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spacing w:after="200" w:line="276" w:lineRule="auto"/>
        <w:rPr>
          <w:rFonts w:eastAsia="Calibri" w:asciiTheme="majorHAnsi" w:hAnsiTheme="majorHAnsi" w:cstheme="majorHAnsi"/>
          <w:b/>
          <w:color w:val="4472C4" w:themeColor="accent1"/>
          <w:sz w:val="28"/>
          <w:szCs w:val="28"/>
          <w14:textFill>
            <w14:solidFill>
              <w14:schemeClr w14:val="accent1"/>
            </w14:solidFill>
          </w14:textFill>
        </w:rPr>
      </w:pPr>
      <w:bookmarkStart w:id="29" w:name="_GoBack"/>
      <w:bookmarkEnd w:id="29"/>
      <w:r>
        <w:rPr>
          <w:rFonts w:eastAsia="Calibri" w:asciiTheme="majorHAnsi" w:hAnsiTheme="majorHAnsi" w:cstheme="majorHAnsi"/>
          <w:b/>
          <w:color w:val="4472C4" w:themeColor="accent1"/>
          <w:sz w:val="28"/>
          <w:szCs w:val="28"/>
          <w14:textFill>
            <w14:solidFill>
              <w14:schemeClr w14:val="accent1"/>
            </w14:solidFill>
          </w14:textFill>
        </w:rPr>
        <w:t>Supplementary material to:</w:t>
      </w:r>
    </w:p>
    <w:p>
      <w:pPr>
        <w:rPr>
          <w:rFonts w:asciiTheme="majorHAnsi" w:hAnsiTheme="majorHAnsi" w:cstheme="majorHAnsi"/>
          <w:b/>
          <w:color w:val="4472C4" w:themeColor="accent1"/>
          <w:sz w:val="36"/>
          <w:lang w:val="en-GB"/>
          <w14:textFill>
            <w14:solidFill>
              <w14:schemeClr w14:val="accent1"/>
            </w14:solidFill>
          </w14:textFill>
        </w:rPr>
      </w:pPr>
      <w:bookmarkStart w:id="0" w:name="_Toc140064687"/>
      <w:r>
        <w:rPr>
          <w:rFonts w:asciiTheme="majorHAnsi" w:hAnsiTheme="majorHAnsi" w:cstheme="majorHAnsi"/>
          <w:b/>
          <w:color w:val="4472C4" w:themeColor="accent1"/>
          <w:sz w:val="36"/>
          <w:lang w:val="en-GB"/>
          <w14:textFill>
            <w14:solidFill>
              <w14:schemeClr w14:val="accent1"/>
            </w14:solidFill>
          </w14:textFill>
        </w:rPr>
        <w:t>Boon and burden: economic performance and future perspectives of the Venice flood protection system</w:t>
      </w:r>
      <w:bookmarkEnd w:id="0"/>
    </w:p>
    <w:p>
      <w:pPr>
        <w:rPr>
          <w:lang w:val="en-GB"/>
        </w:rPr>
      </w:pPr>
    </w:p>
    <w:p>
      <w:pPr>
        <w:rPr>
          <w:rFonts w:eastAsia="Calibri"/>
          <w:vertAlign w:val="superscript"/>
          <w:lang w:val="it-IT"/>
        </w:rPr>
      </w:pPr>
      <w:r>
        <w:rPr>
          <w:rFonts w:eastAsia="Calibri"/>
          <w:lang w:val="it-IT"/>
        </w:rPr>
        <w:t xml:space="preserve">Carlo Giupponi </w:t>
      </w:r>
      <w:r>
        <w:rPr>
          <w:rFonts w:ascii="Segoe UI Symbol" w:hAnsi="Segoe UI Symbol" w:cs="Segoe UI Symbol"/>
          <w:vertAlign w:val="superscript"/>
          <w:lang w:val="it-IT"/>
        </w:rPr>
        <w:t>✉</w:t>
      </w:r>
      <w:r>
        <w:rPr>
          <w:rFonts w:eastAsia="Calibri"/>
          <w:vertAlign w:val="superscript"/>
          <w:lang w:val="it-IT"/>
        </w:rPr>
        <w:t>1,2</w:t>
      </w:r>
      <w:r>
        <w:rPr>
          <w:rFonts w:eastAsia="Calibri"/>
          <w:lang w:val="it-IT"/>
        </w:rPr>
        <w:t xml:space="preserve">, Marco Bidoia </w:t>
      </w:r>
      <w:r>
        <w:rPr>
          <w:rFonts w:eastAsia="Calibri"/>
          <w:vertAlign w:val="superscript"/>
          <w:lang w:val="it-IT"/>
        </w:rPr>
        <w:t>1,2</w:t>
      </w:r>
      <w:r>
        <w:rPr>
          <w:rFonts w:eastAsia="Calibri"/>
          <w:lang w:val="it-IT"/>
        </w:rPr>
        <w:t xml:space="preserve">, Margaretha Breil </w:t>
      </w:r>
      <w:r>
        <w:rPr>
          <w:rFonts w:eastAsia="Calibri"/>
          <w:vertAlign w:val="superscript"/>
          <w:lang w:val="it-IT"/>
        </w:rPr>
        <w:t>3</w:t>
      </w:r>
      <w:r>
        <w:rPr>
          <w:rFonts w:eastAsia="Calibri"/>
          <w:lang w:val="it-IT"/>
        </w:rPr>
        <w:t xml:space="preserve">, Luca Di Corato </w:t>
      </w:r>
      <w:r>
        <w:rPr>
          <w:rFonts w:eastAsia="Calibri"/>
          <w:vertAlign w:val="superscript"/>
          <w:lang w:val="it-IT"/>
        </w:rPr>
        <w:t>1</w:t>
      </w:r>
      <w:r>
        <w:rPr>
          <w:rFonts w:eastAsia="Calibri"/>
          <w:lang w:val="it-IT"/>
        </w:rPr>
        <w:t xml:space="preserve">, Animesh Kumar Gain </w:t>
      </w:r>
      <w:r>
        <w:rPr>
          <w:rFonts w:eastAsia="Calibri"/>
          <w:vertAlign w:val="superscript"/>
          <w:lang w:val="it-IT"/>
        </w:rPr>
        <w:t>1,4</w:t>
      </w:r>
      <w:r>
        <w:rPr>
          <w:rFonts w:eastAsia="Calibri"/>
          <w:lang w:val="it-IT"/>
        </w:rPr>
        <w:t xml:space="preserve">, Veronica Leoni </w:t>
      </w:r>
      <w:r>
        <w:rPr>
          <w:rFonts w:eastAsia="Calibri"/>
          <w:vertAlign w:val="superscript"/>
          <w:lang w:val="it-IT"/>
        </w:rPr>
        <w:t>1,5</w:t>
      </w:r>
      <w:r>
        <w:rPr>
          <w:rFonts w:eastAsia="Calibri"/>
          <w:lang w:val="it-IT"/>
        </w:rPr>
        <w:t xml:space="preserve">, Behnaz Minooei Fard </w:t>
      </w:r>
      <w:r>
        <w:rPr>
          <w:rFonts w:eastAsia="Calibri"/>
          <w:vertAlign w:val="superscript"/>
          <w:lang w:val="it-IT"/>
        </w:rPr>
        <w:t>1</w:t>
      </w:r>
      <w:r>
        <w:rPr>
          <w:rFonts w:eastAsia="Calibri"/>
          <w:lang w:val="it-IT"/>
        </w:rPr>
        <w:t xml:space="preserve">, Raffaele Pesenti </w:t>
      </w:r>
      <w:r>
        <w:rPr>
          <w:rFonts w:eastAsia="Calibri"/>
          <w:vertAlign w:val="superscript"/>
          <w:lang w:val="it-IT"/>
        </w:rPr>
        <w:t>6</w:t>
      </w:r>
      <w:r>
        <w:rPr>
          <w:rFonts w:eastAsia="Calibri"/>
          <w:lang w:val="it-IT"/>
        </w:rPr>
        <w:t xml:space="preserve">, Georg Umgiesser </w:t>
      </w:r>
      <w:r>
        <w:rPr>
          <w:rFonts w:eastAsia="Calibri"/>
          <w:vertAlign w:val="superscript"/>
          <w:lang w:val="it-IT"/>
        </w:rPr>
        <w:t>7,8</w:t>
      </w:r>
    </w:p>
    <w:p>
      <w:pPr>
        <w:rPr>
          <w:rFonts w:eastAsia="Calibri"/>
        </w:rPr>
      </w:pPr>
      <w:r>
        <w:rPr>
          <w:rFonts w:ascii="Segoe UI Symbol" w:hAnsi="Segoe UI Symbol" w:eastAsia="Calibri" w:cs="Segoe UI Symbol"/>
        </w:rPr>
        <w:t>✉</w:t>
      </w:r>
      <w:r>
        <w:rPr>
          <w:rFonts w:eastAsia="Calibri"/>
        </w:rPr>
        <w:t xml:space="preserve"> </w:t>
      </w:r>
      <w:r>
        <w:fldChar w:fldCharType="begin"/>
      </w:r>
      <w:r>
        <w:instrText xml:space="preserve"> HYPERLINK "mailto:cgiupponi@unive.it" </w:instrText>
      </w:r>
      <w:r>
        <w:fldChar w:fldCharType="separate"/>
      </w:r>
      <w:r>
        <w:rPr>
          <w:rStyle w:val="21"/>
          <w:rFonts w:eastAsia="Calibri"/>
        </w:rPr>
        <w:t>cgiupponi@unive.it</w:t>
      </w:r>
      <w:r>
        <w:rPr>
          <w:rStyle w:val="21"/>
          <w:rFonts w:eastAsia="Calibri"/>
        </w:rPr>
        <w:fldChar w:fldCharType="end"/>
      </w:r>
      <w:r>
        <w:rPr>
          <w:rFonts w:eastAsia="Calibri"/>
        </w:rPr>
        <w:t xml:space="preserve"> </w:t>
      </w:r>
    </w:p>
    <w:p>
      <w:pPr>
        <w:spacing w:after="0"/>
        <w:rPr>
          <w:rFonts w:eastAsia="Calibri"/>
          <w:lang w:val="en-GB"/>
        </w:rPr>
      </w:pPr>
      <w:r>
        <w:rPr>
          <w:rFonts w:eastAsia="Calibri"/>
          <w:vertAlign w:val="superscript"/>
          <w:lang w:val="en-GB"/>
        </w:rPr>
        <w:t>1</w:t>
      </w:r>
      <w:r>
        <w:rPr>
          <w:rFonts w:eastAsia="Calibri"/>
          <w:lang w:val="en-GB"/>
        </w:rPr>
        <w:t xml:space="preserve"> Department of Economics, Ca’ Foscari University of Venice, Venice, Italy</w:t>
      </w:r>
    </w:p>
    <w:p>
      <w:pPr>
        <w:spacing w:after="0"/>
        <w:rPr>
          <w:rFonts w:eastAsia="Calibri"/>
          <w:lang w:val="it-IT"/>
        </w:rPr>
      </w:pPr>
      <w:r>
        <w:rPr>
          <w:rFonts w:eastAsia="Calibri"/>
          <w:vertAlign w:val="superscript"/>
          <w:lang w:val="it-IT"/>
        </w:rPr>
        <w:t>2</w:t>
      </w:r>
      <w:r>
        <w:rPr>
          <w:rFonts w:eastAsia="Calibri"/>
          <w:lang w:val="it-IT"/>
        </w:rPr>
        <w:t xml:space="preserve"> Fondazione Eni Enrico Mattei, Venice, Italy</w:t>
      </w:r>
    </w:p>
    <w:p>
      <w:pPr>
        <w:spacing w:after="0"/>
        <w:rPr>
          <w:rFonts w:eastAsia="Calibri"/>
          <w:lang w:val="en-US"/>
        </w:rPr>
      </w:pPr>
      <w:r>
        <w:rPr>
          <w:rFonts w:eastAsia="Calibri"/>
          <w:vertAlign w:val="superscript"/>
          <w:lang w:val="en-US"/>
        </w:rPr>
        <w:t>3</w:t>
      </w:r>
      <w:r>
        <w:rPr>
          <w:rFonts w:eastAsia="Calibri"/>
          <w:lang w:val="en-US"/>
        </w:rPr>
        <w:t xml:space="preserve"> Euro-Mediterranean Centre on Climate Change at Ca’ Foscari University of Venice</w:t>
      </w:r>
      <w:r>
        <w:rPr>
          <w:rFonts w:eastAsia="Calibri"/>
          <w:lang w:val="en-US"/>
        </w:rPr>
        <w:t>, RFF-CMCC</w:t>
      </w:r>
    </w:p>
    <w:p>
      <w:pPr>
        <w:spacing w:after="0"/>
        <w:rPr>
          <w:rFonts w:eastAsia="Calibri"/>
          <w:lang w:val="en-US"/>
        </w:rPr>
      </w:pPr>
      <w:r>
        <w:rPr>
          <w:rFonts w:eastAsia="Calibri"/>
          <w:lang w:val="en-US"/>
        </w:rPr>
        <w:t>European Institute on Economics and the Environment, Venice, Italy</w:t>
      </w:r>
    </w:p>
    <w:p>
      <w:pPr>
        <w:spacing w:after="0"/>
        <w:rPr>
          <w:rFonts w:eastAsia="Calibri"/>
          <w:lang w:val="en-GB"/>
        </w:rPr>
      </w:pPr>
      <w:r>
        <w:rPr>
          <w:rFonts w:eastAsia="Calibri"/>
          <w:vertAlign w:val="superscript"/>
          <w:lang w:val="en-GB"/>
        </w:rPr>
        <w:t>4</w:t>
      </w:r>
      <w:r>
        <w:rPr>
          <w:rFonts w:eastAsia="Calibri"/>
          <w:lang w:val="en-GB"/>
        </w:rPr>
        <w:t xml:space="preserve"> School of Environmental and Conservation Sciences, Murdoch University, 90 South St, Murdoch, WA 6150, Australia.</w:t>
      </w:r>
    </w:p>
    <w:p>
      <w:pPr>
        <w:spacing w:after="0"/>
        <w:rPr>
          <w:rFonts w:eastAsia="Calibri"/>
          <w:lang w:val="en-GB"/>
        </w:rPr>
      </w:pPr>
      <w:r>
        <w:rPr>
          <w:rFonts w:eastAsia="Calibri"/>
          <w:vertAlign w:val="superscript"/>
          <w:lang w:val="en-GB"/>
        </w:rPr>
        <w:t>5</w:t>
      </w:r>
      <w:r>
        <w:rPr>
          <w:rFonts w:eastAsia="Calibri"/>
          <w:lang w:val="en-GB"/>
        </w:rPr>
        <w:t xml:space="preserve"> Department of Applied Economics, University of Balearic Islands, Palma, Spain</w:t>
      </w:r>
    </w:p>
    <w:p>
      <w:pPr>
        <w:spacing w:after="0"/>
        <w:rPr>
          <w:rFonts w:eastAsia="Calibri"/>
          <w:lang w:val="en-GB"/>
        </w:rPr>
      </w:pPr>
      <w:r>
        <w:rPr>
          <w:rFonts w:eastAsia="Calibri"/>
          <w:vertAlign w:val="superscript"/>
          <w:lang w:val="en-GB"/>
        </w:rPr>
        <w:t>6</w:t>
      </w:r>
      <w:r>
        <w:rPr>
          <w:rFonts w:eastAsia="Calibri"/>
          <w:lang w:val="en-GB"/>
        </w:rPr>
        <w:t xml:space="preserve"> Department of Management, Ca’ Foscari University of Venice, Venice, Italy</w:t>
      </w:r>
    </w:p>
    <w:p>
      <w:pPr>
        <w:spacing w:after="0"/>
        <w:rPr>
          <w:rFonts w:eastAsia="Calibri"/>
          <w:lang w:val="en-GB"/>
        </w:rPr>
      </w:pPr>
      <w:r>
        <w:rPr>
          <w:rFonts w:eastAsia="Calibri"/>
          <w:vertAlign w:val="superscript"/>
          <w:lang w:val="en-GB"/>
        </w:rPr>
        <w:t>7</w:t>
      </w:r>
      <w:r>
        <w:rPr>
          <w:rFonts w:eastAsia="Calibri"/>
          <w:lang w:val="en-GB"/>
        </w:rPr>
        <w:t xml:space="preserve"> National Research Council of Italy, CNR-ISMAR, Venice, Italy</w:t>
      </w:r>
    </w:p>
    <w:p>
      <w:pPr>
        <w:spacing w:after="0"/>
        <w:rPr>
          <w:rFonts w:eastAsia="Calibri"/>
          <w:lang w:val="en-GB"/>
        </w:rPr>
      </w:pPr>
      <w:r>
        <w:rPr>
          <w:rFonts w:eastAsia="Calibri"/>
          <w:vertAlign w:val="superscript"/>
          <w:lang w:val="en-GB"/>
        </w:rPr>
        <w:t>8</w:t>
      </w:r>
      <w:r>
        <w:rPr>
          <w:rFonts w:eastAsia="Calibri"/>
          <w:lang w:val="en-GB"/>
        </w:rPr>
        <w:t xml:space="preserve"> Marine Research Institute, Klaipeda University, Klaipeda, Lithuania</w:t>
      </w:r>
    </w:p>
    <w:p>
      <w:pPr>
        <w:widowControl w:val="0"/>
        <w:spacing w:after="0" w:line="276" w:lineRule="auto"/>
        <w:rPr>
          <w:rFonts w:ascii="Times New Roman" w:hAnsi="Times New Roman" w:eastAsia="Calibri" w:cs="Times New Roman"/>
          <w:sz w:val="24"/>
          <w:szCs w:val="28"/>
        </w:rPr>
      </w:pPr>
    </w:p>
    <w:sdt>
      <w:sdtPr>
        <w:rPr>
          <w:rFonts w:asciiTheme="minorHAnsi" w:hAnsiTheme="minorHAnsi" w:eastAsiaTheme="minorHAnsi" w:cstheme="minorBidi"/>
          <w:color w:val="auto"/>
          <w:sz w:val="22"/>
          <w:szCs w:val="22"/>
          <w:lang w:val="en-US" w:eastAsia="en-US"/>
        </w:rPr>
        <w:id w:val="436260373"/>
        <w:docPartObj>
          <w:docPartGallery w:val="Table of Contents"/>
          <w:docPartUnique/>
        </w:docPartObj>
      </w:sdtPr>
      <w:sdtEndPr>
        <w:rPr>
          <w:rFonts w:asciiTheme="minorHAnsi" w:hAnsiTheme="minorHAnsi" w:eastAsiaTheme="minorHAnsi" w:cstheme="minorBidi"/>
          <w:b/>
          <w:bCs/>
          <w:color w:val="auto"/>
          <w:sz w:val="22"/>
          <w:szCs w:val="22"/>
          <w:lang w:val="en-US" w:eastAsia="en-US"/>
        </w:rPr>
      </w:sdtEndPr>
      <w:sdtContent>
        <w:p>
          <w:pPr>
            <w:pStyle w:val="51"/>
            <w:keepNext w:val="0"/>
            <w:keepLines w:val="0"/>
            <w:widowControl w:val="0"/>
            <w:rPr>
              <w:lang w:val="en-US"/>
            </w:rPr>
          </w:pPr>
          <w:r>
            <w:rPr>
              <w:lang w:val="en-US"/>
            </w:rPr>
            <w:t>Contents</w:t>
          </w:r>
        </w:p>
        <w:p>
          <w:pPr>
            <w:pStyle w:val="25"/>
            <w:rPr>
              <w:rFonts w:eastAsiaTheme="minorEastAsia"/>
              <w:kern w:val="2"/>
              <w:lang w:val="it-IT" w:eastAsia="it-IT"/>
              <w14:ligatures w14:val="standardContextual"/>
            </w:rPr>
          </w:pPr>
          <w:r>
            <w:fldChar w:fldCharType="begin"/>
          </w:r>
          <w:r>
            <w:instrText xml:space="preserve"> TOC \o "1-3" \h \z \u </w:instrText>
          </w:r>
          <w:r>
            <w:fldChar w:fldCharType="separate"/>
          </w:r>
          <w:r>
            <w:fldChar w:fldCharType="begin"/>
          </w:r>
          <w:r>
            <w:instrText xml:space="preserve"> HYPERLINK \l "_Toc156227477" </w:instrText>
          </w:r>
          <w:r>
            <w:fldChar w:fldCharType="separate"/>
          </w:r>
          <w:r>
            <w:rPr>
              <w:rStyle w:val="21"/>
              <w:b/>
              <w:bCs/>
            </w:rPr>
            <w:t>1.</w:t>
          </w:r>
          <w:r>
            <w:rPr>
              <w:rFonts w:eastAsiaTheme="minorEastAsia"/>
              <w:kern w:val="2"/>
              <w:lang w:val="it-IT" w:eastAsia="it-IT"/>
              <w14:ligatures w14:val="standardContextual"/>
            </w:rPr>
            <w:tab/>
          </w:r>
          <w:r>
            <w:rPr>
              <w:rStyle w:val="21"/>
              <w:b/>
              <w:bCs/>
            </w:rPr>
            <w:t>THE MODEL VARIABLES</w:t>
          </w:r>
          <w:r>
            <w:tab/>
          </w:r>
          <w:r>
            <w:fldChar w:fldCharType="begin"/>
          </w:r>
          <w:r>
            <w:instrText xml:space="preserve"> PAGEREF _Toc156227477 \h </w:instrText>
          </w:r>
          <w:r>
            <w:fldChar w:fldCharType="separate"/>
          </w:r>
          <w:r>
            <w:t>3</w:t>
          </w:r>
          <w:r>
            <w:fldChar w:fldCharType="end"/>
          </w:r>
          <w:r>
            <w:fldChar w:fldCharType="end"/>
          </w:r>
        </w:p>
        <w:p>
          <w:pPr>
            <w:pStyle w:val="25"/>
            <w:rPr>
              <w:rFonts w:eastAsiaTheme="minorEastAsia"/>
              <w:kern w:val="2"/>
              <w:lang w:val="it-IT" w:eastAsia="it-IT"/>
              <w14:ligatures w14:val="standardContextual"/>
            </w:rPr>
          </w:pPr>
          <w:r>
            <w:fldChar w:fldCharType="begin"/>
          </w:r>
          <w:r>
            <w:instrText xml:space="preserve"> HYPERLINK \l "_Toc156227478" </w:instrText>
          </w:r>
          <w:r>
            <w:fldChar w:fldCharType="separate"/>
          </w:r>
          <w:r>
            <w:rPr>
              <w:rStyle w:val="21"/>
              <w:b/>
              <w:bCs/>
            </w:rPr>
            <w:t>2.</w:t>
          </w:r>
          <w:r>
            <w:rPr>
              <w:rFonts w:eastAsiaTheme="minorEastAsia"/>
              <w:kern w:val="2"/>
              <w:lang w:val="it-IT" w:eastAsia="it-IT"/>
              <w14:ligatures w14:val="standardContextual"/>
            </w:rPr>
            <w:tab/>
          </w:r>
          <w:r>
            <w:rPr>
              <w:rStyle w:val="21"/>
              <w:b/>
              <w:bCs/>
            </w:rPr>
            <w:t>THE MoSE MANAGEMENT MODULE</w:t>
          </w:r>
          <w:r>
            <w:tab/>
          </w:r>
          <w:r>
            <w:fldChar w:fldCharType="begin"/>
          </w:r>
          <w:r>
            <w:instrText xml:space="preserve"> PAGEREF _Toc156227478 \h </w:instrText>
          </w:r>
          <w:r>
            <w:fldChar w:fldCharType="separate"/>
          </w:r>
          <w:r>
            <w:t>6</w:t>
          </w:r>
          <w:r>
            <w:fldChar w:fldCharType="end"/>
          </w:r>
          <w:r>
            <w:fldChar w:fldCharType="end"/>
          </w:r>
        </w:p>
        <w:p>
          <w:pPr>
            <w:pStyle w:val="25"/>
            <w:rPr>
              <w:rFonts w:eastAsiaTheme="minorEastAsia"/>
              <w:kern w:val="2"/>
              <w:lang w:val="it-IT" w:eastAsia="it-IT"/>
              <w14:ligatures w14:val="standardContextual"/>
            </w:rPr>
          </w:pPr>
          <w:r>
            <w:fldChar w:fldCharType="begin"/>
          </w:r>
          <w:r>
            <w:instrText xml:space="preserve"> HYPERLINK \l "_Toc156227479" </w:instrText>
          </w:r>
          <w:r>
            <w:fldChar w:fldCharType="separate"/>
          </w:r>
          <w:r>
            <w:rPr>
              <w:rStyle w:val="21"/>
              <w:b/>
            </w:rPr>
            <w:t>3.</w:t>
          </w:r>
          <w:r>
            <w:rPr>
              <w:rFonts w:eastAsiaTheme="minorEastAsia"/>
              <w:kern w:val="2"/>
              <w:lang w:val="it-IT" w:eastAsia="it-IT"/>
              <w14:ligatures w14:val="standardContextual"/>
            </w:rPr>
            <w:tab/>
          </w:r>
          <w:r>
            <w:rPr>
              <w:rStyle w:val="21"/>
              <w:b/>
            </w:rPr>
            <w:t>THE CITY MODULE</w:t>
          </w:r>
          <w:r>
            <w:tab/>
          </w:r>
          <w:r>
            <w:fldChar w:fldCharType="begin"/>
          </w:r>
          <w:r>
            <w:instrText xml:space="preserve"> PAGEREF _Toc156227479 \h </w:instrText>
          </w:r>
          <w:r>
            <w:fldChar w:fldCharType="separate"/>
          </w:r>
          <w:r>
            <w:t>8</w:t>
          </w:r>
          <w:r>
            <w:fldChar w:fldCharType="end"/>
          </w:r>
          <w:r>
            <w:fldChar w:fldCharType="end"/>
          </w:r>
        </w:p>
        <w:p>
          <w:pPr>
            <w:pStyle w:val="26"/>
            <w:rPr>
              <w:rFonts w:eastAsiaTheme="minorEastAsia"/>
              <w:kern w:val="2"/>
              <w:lang w:val="it-IT" w:eastAsia="it-IT"/>
              <w14:ligatures w14:val="standardContextual"/>
            </w:rPr>
          </w:pPr>
          <w:r>
            <w:fldChar w:fldCharType="begin"/>
          </w:r>
          <w:r>
            <w:instrText xml:space="preserve"> HYPERLINK \l "_Toc156227480" </w:instrText>
          </w:r>
          <w:r>
            <w:fldChar w:fldCharType="separate"/>
          </w:r>
          <w:r>
            <w:rPr>
              <w:rStyle w:val="21"/>
            </w:rPr>
            <w:t>3.1</w:t>
          </w:r>
          <w:r>
            <w:rPr>
              <w:rFonts w:eastAsiaTheme="minorEastAsia"/>
              <w:kern w:val="2"/>
              <w:lang w:val="it-IT" w:eastAsia="it-IT"/>
              <w14:ligatures w14:val="standardContextual"/>
            </w:rPr>
            <w:tab/>
          </w:r>
          <w:r>
            <w:rPr>
              <w:rStyle w:val="21"/>
            </w:rPr>
            <w:t>TOURISM</w:t>
          </w:r>
          <w:r>
            <w:tab/>
          </w:r>
          <w:r>
            <w:fldChar w:fldCharType="begin"/>
          </w:r>
          <w:r>
            <w:instrText xml:space="preserve"> PAGEREF _Toc156227480 \h </w:instrText>
          </w:r>
          <w:r>
            <w:fldChar w:fldCharType="separate"/>
          </w:r>
          <w:r>
            <w:t>9</w:t>
          </w:r>
          <w:r>
            <w:fldChar w:fldCharType="end"/>
          </w:r>
          <w:r>
            <w:fldChar w:fldCharType="end"/>
          </w:r>
        </w:p>
        <w:p>
          <w:pPr>
            <w:pStyle w:val="26"/>
            <w:rPr>
              <w:rFonts w:eastAsiaTheme="minorEastAsia"/>
              <w:kern w:val="2"/>
              <w:lang w:val="it-IT" w:eastAsia="it-IT"/>
              <w14:ligatures w14:val="standardContextual"/>
            </w:rPr>
          </w:pPr>
          <w:r>
            <w:fldChar w:fldCharType="begin"/>
          </w:r>
          <w:r>
            <w:instrText xml:space="preserve"> HYPERLINK \l "_Toc156227481" </w:instrText>
          </w:r>
          <w:r>
            <w:fldChar w:fldCharType="separate"/>
          </w:r>
          <w:r>
            <w:rPr>
              <w:rStyle w:val="21"/>
            </w:rPr>
            <w:t>3.2</w:t>
          </w:r>
          <w:r>
            <w:rPr>
              <w:rFonts w:eastAsiaTheme="minorEastAsia"/>
              <w:kern w:val="2"/>
              <w:lang w:val="it-IT" w:eastAsia="it-IT"/>
              <w14:ligatures w14:val="standardContextual"/>
            </w:rPr>
            <w:tab/>
          </w:r>
          <w:r>
            <w:rPr>
              <w:rStyle w:val="21"/>
            </w:rPr>
            <w:t>POPULATION</w:t>
          </w:r>
          <w:r>
            <w:tab/>
          </w:r>
          <w:r>
            <w:fldChar w:fldCharType="begin"/>
          </w:r>
          <w:r>
            <w:instrText xml:space="preserve"> PAGEREF _Toc156227481 \h </w:instrText>
          </w:r>
          <w:r>
            <w:fldChar w:fldCharType="separate"/>
          </w:r>
          <w:r>
            <w:t>11</w:t>
          </w:r>
          <w:r>
            <w:fldChar w:fldCharType="end"/>
          </w:r>
          <w:r>
            <w:fldChar w:fldCharType="end"/>
          </w:r>
        </w:p>
        <w:p>
          <w:pPr>
            <w:pStyle w:val="26"/>
            <w:rPr>
              <w:rFonts w:eastAsiaTheme="minorEastAsia"/>
              <w:kern w:val="2"/>
              <w:lang w:val="it-IT" w:eastAsia="it-IT"/>
              <w14:ligatures w14:val="standardContextual"/>
            </w:rPr>
          </w:pPr>
          <w:r>
            <w:fldChar w:fldCharType="begin"/>
          </w:r>
          <w:r>
            <w:instrText xml:space="preserve"> HYPERLINK \l "_Toc156227482" </w:instrText>
          </w:r>
          <w:r>
            <w:fldChar w:fldCharType="separate"/>
          </w:r>
          <w:r>
            <w:rPr>
              <w:rStyle w:val="21"/>
            </w:rPr>
            <w:t>3.3</w:t>
          </w:r>
          <w:r>
            <w:rPr>
              <w:rFonts w:eastAsiaTheme="minorEastAsia"/>
              <w:kern w:val="2"/>
              <w:lang w:val="it-IT" w:eastAsia="it-IT"/>
              <w14:ligatures w14:val="standardContextual"/>
            </w:rPr>
            <w:tab/>
          </w:r>
          <w:r>
            <w:rPr>
              <w:rStyle w:val="21"/>
            </w:rPr>
            <w:t>BUILDINGS</w:t>
          </w:r>
          <w:r>
            <w:tab/>
          </w:r>
          <w:r>
            <w:fldChar w:fldCharType="begin"/>
          </w:r>
          <w:r>
            <w:instrText xml:space="preserve"> PAGEREF _Toc156227482 \h </w:instrText>
          </w:r>
          <w:r>
            <w:fldChar w:fldCharType="separate"/>
          </w:r>
          <w:r>
            <w:t>12</w:t>
          </w:r>
          <w:r>
            <w:fldChar w:fldCharType="end"/>
          </w:r>
          <w:r>
            <w:fldChar w:fldCharType="end"/>
          </w:r>
        </w:p>
        <w:p>
          <w:pPr>
            <w:pStyle w:val="25"/>
            <w:rPr>
              <w:rFonts w:eastAsiaTheme="minorEastAsia"/>
              <w:kern w:val="2"/>
              <w:lang w:val="it-IT" w:eastAsia="it-IT"/>
              <w14:ligatures w14:val="standardContextual"/>
            </w:rPr>
          </w:pPr>
          <w:r>
            <w:fldChar w:fldCharType="begin"/>
          </w:r>
          <w:r>
            <w:instrText xml:space="preserve"> HYPERLINK \l "_Toc156227483" </w:instrText>
          </w:r>
          <w:r>
            <w:fldChar w:fldCharType="separate"/>
          </w:r>
          <w:r>
            <w:rPr>
              <w:rStyle w:val="21"/>
              <w:b/>
              <w:bCs/>
            </w:rPr>
            <w:t>4.</w:t>
          </w:r>
          <w:r>
            <w:rPr>
              <w:rFonts w:eastAsiaTheme="minorEastAsia"/>
              <w:kern w:val="2"/>
              <w:lang w:val="it-IT" w:eastAsia="it-IT"/>
              <w14:ligatures w14:val="standardContextual"/>
            </w:rPr>
            <w:tab/>
          </w:r>
          <w:r>
            <w:rPr>
              <w:rStyle w:val="21"/>
              <w:b/>
              <w:bCs/>
            </w:rPr>
            <w:t>THE PORT MODULE</w:t>
          </w:r>
          <w:r>
            <w:tab/>
          </w:r>
          <w:r>
            <w:fldChar w:fldCharType="begin"/>
          </w:r>
          <w:r>
            <w:instrText xml:space="preserve"> PAGEREF _Toc156227483 \h </w:instrText>
          </w:r>
          <w:r>
            <w:fldChar w:fldCharType="separate"/>
          </w:r>
          <w:r>
            <w:t>15</w:t>
          </w:r>
          <w:r>
            <w:fldChar w:fldCharType="end"/>
          </w:r>
          <w:r>
            <w:fldChar w:fldCharType="end"/>
          </w:r>
        </w:p>
        <w:p>
          <w:pPr>
            <w:pStyle w:val="25"/>
            <w:rPr>
              <w:rFonts w:eastAsiaTheme="minorEastAsia"/>
              <w:kern w:val="2"/>
              <w:lang w:val="it-IT" w:eastAsia="it-IT"/>
              <w14:ligatures w14:val="standardContextual"/>
            </w:rPr>
          </w:pPr>
          <w:r>
            <w:fldChar w:fldCharType="begin"/>
          </w:r>
          <w:r>
            <w:instrText xml:space="preserve"> HYPERLINK \l "_Toc156227484" </w:instrText>
          </w:r>
          <w:r>
            <w:fldChar w:fldCharType="separate"/>
          </w:r>
          <w:r>
            <w:rPr>
              <w:rStyle w:val="21"/>
              <w:b/>
            </w:rPr>
            <w:t>5.</w:t>
          </w:r>
          <w:r>
            <w:rPr>
              <w:rFonts w:eastAsiaTheme="minorEastAsia"/>
              <w:kern w:val="2"/>
              <w:lang w:val="it-IT" w:eastAsia="it-IT"/>
              <w14:ligatures w14:val="standardContextual"/>
            </w:rPr>
            <w:tab/>
          </w:r>
          <w:r>
            <w:rPr>
              <w:rStyle w:val="21"/>
              <w:b/>
            </w:rPr>
            <w:t>SENSITIVITY ANALYSIS</w:t>
          </w:r>
          <w:r>
            <w:tab/>
          </w:r>
          <w:r>
            <w:fldChar w:fldCharType="begin"/>
          </w:r>
          <w:r>
            <w:instrText xml:space="preserve"> PAGEREF _Toc156227484 \h </w:instrText>
          </w:r>
          <w:r>
            <w:fldChar w:fldCharType="separate"/>
          </w:r>
          <w:r>
            <w:t>18</w:t>
          </w:r>
          <w:r>
            <w:fldChar w:fldCharType="end"/>
          </w:r>
          <w:r>
            <w:fldChar w:fldCharType="end"/>
          </w:r>
        </w:p>
        <w:p>
          <w:pPr>
            <w:pStyle w:val="26"/>
            <w:rPr>
              <w:rFonts w:eastAsiaTheme="minorEastAsia"/>
              <w:kern w:val="2"/>
              <w:lang w:val="it-IT" w:eastAsia="it-IT"/>
              <w14:ligatures w14:val="standardContextual"/>
            </w:rPr>
          </w:pPr>
          <w:r>
            <w:fldChar w:fldCharType="begin"/>
          </w:r>
          <w:r>
            <w:instrText xml:space="preserve"> HYPERLINK \l "_Toc156227485" </w:instrText>
          </w:r>
          <w:r>
            <w:fldChar w:fldCharType="separate"/>
          </w:r>
          <w:r>
            <w:rPr>
              <w:rStyle w:val="21"/>
            </w:rPr>
            <w:t>5.1</w:t>
          </w:r>
          <w:r>
            <w:rPr>
              <w:rFonts w:eastAsiaTheme="minorEastAsia"/>
              <w:kern w:val="2"/>
              <w:lang w:val="it-IT" w:eastAsia="it-IT"/>
              <w14:ligatures w14:val="standardContextual"/>
            </w:rPr>
            <w:tab/>
          </w:r>
          <w:r>
            <w:rPr>
              <w:rStyle w:val="21"/>
            </w:rPr>
            <w:t>HISTORICAL RECORDS</w:t>
          </w:r>
          <w:r>
            <w:tab/>
          </w:r>
          <w:r>
            <w:fldChar w:fldCharType="begin"/>
          </w:r>
          <w:r>
            <w:instrText xml:space="preserve"> PAGEREF _Toc156227485 \h </w:instrText>
          </w:r>
          <w:r>
            <w:fldChar w:fldCharType="separate"/>
          </w:r>
          <w:r>
            <w:t>18</w:t>
          </w:r>
          <w:r>
            <w:fldChar w:fldCharType="end"/>
          </w:r>
          <w:r>
            <w:fldChar w:fldCharType="end"/>
          </w:r>
        </w:p>
        <w:p>
          <w:pPr>
            <w:pStyle w:val="26"/>
            <w:rPr>
              <w:rFonts w:eastAsiaTheme="minorEastAsia"/>
              <w:kern w:val="2"/>
              <w:lang w:val="it-IT" w:eastAsia="it-IT"/>
              <w14:ligatures w14:val="standardContextual"/>
            </w:rPr>
          </w:pPr>
          <w:r>
            <w:fldChar w:fldCharType="begin"/>
          </w:r>
          <w:r>
            <w:instrText xml:space="preserve"> HYPERLINK \l "_Toc156227486" </w:instrText>
          </w:r>
          <w:r>
            <w:fldChar w:fldCharType="separate"/>
          </w:r>
          <w:r>
            <w:rPr>
              <w:rStyle w:val="21"/>
            </w:rPr>
            <w:t>5.2</w:t>
          </w:r>
          <w:r>
            <w:rPr>
              <w:rFonts w:eastAsiaTheme="minorEastAsia"/>
              <w:kern w:val="2"/>
              <w:lang w:val="it-IT" w:eastAsia="it-IT"/>
              <w14:ligatures w14:val="standardContextual"/>
            </w:rPr>
            <w:tab/>
          </w:r>
          <w:r>
            <w:rPr>
              <w:rStyle w:val="21"/>
            </w:rPr>
            <w:t>FUTURE SCENARIOS</w:t>
          </w:r>
          <w:r>
            <w:tab/>
          </w:r>
          <w:r>
            <w:fldChar w:fldCharType="begin"/>
          </w:r>
          <w:r>
            <w:instrText xml:space="preserve"> PAGEREF _Toc156227486 \h </w:instrText>
          </w:r>
          <w:r>
            <w:fldChar w:fldCharType="separate"/>
          </w:r>
          <w:r>
            <w:t>20</w:t>
          </w:r>
          <w:r>
            <w:fldChar w:fldCharType="end"/>
          </w:r>
          <w:r>
            <w:fldChar w:fldCharType="end"/>
          </w:r>
        </w:p>
        <w:p>
          <w:pPr>
            <w:widowControl w:val="0"/>
          </w:pPr>
          <w:r>
            <w:rPr>
              <w:b/>
              <w:bCs/>
            </w:rPr>
            <w:fldChar w:fldCharType="end"/>
          </w:r>
        </w:p>
      </w:sdtContent>
    </w:sdt>
    <w:p>
      <w:pPr>
        <w:pStyle w:val="3"/>
        <w:keepNext w:val="0"/>
        <w:keepLines w:val="0"/>
        <w:widowControl w:val="0"/>
        <w:jc w:val="both"/>
        <w:rPr>
          <w:b/>
          <w:bCs/>
        </w:rPr>
      </w:pPr>
      <w:bookmarkStart w:id="1" w:name="_Hlk99647336"/>
      <w:r>
        <w:rPr>
          <w:b/>
          <w:bCs/>
          <w:sz w:val="40"/>
          <w:szCs w:val="32"/>
        </w:rPr>
        <w:br w:type="column"/>
      </w:r>
      <w:bookmarkStart w:id="2" w:name="_Toc156227477"/>
      <w:r>
        <w:rPr>
          <w:b/>
          <w:bCs/>
        </w:rPr>
        <w:t>THE MODEL VARIABLES</w:t>
      </w:r>
      <w:bookmarkEnd w:id="2"/>
    </w:p>
    <w:p>
      <w:pPr>
        <w:widowControl w:val="0"/>
        <w:spacing w:line="276" w:lineRule="auto"/>
        <w:jc w:val="both"/>
        <w:rPr>
          <w:rFonts w:ascii="Times New Roman" w:hAnsi="Times New Roman" w:cs="Times New Roman"/>
          <w:sz w:val="24"/>
          <w:szCs w:val="24"/>
        </w:rPr>
      </w:pPr>
      <w:r>
        <w:rPr>
          <w:rFonts w:ascii="Times New Roman" w:hAnsi="Times New Roman" w:cs="Times New Roman"/>
          <w:sz w:val="24"/>
          <w:szCs w:val="24"/>
        </w:rPr>
        <w:t>This appendix provides a detailed description of the model presented in Figure 2 in the main paper and presents also the modules omitted there for brevity.  The model is a discrete event model with time step of 6 hours, which allows to consider the two maximum and two minimum levels of the daily tidal cycles. It consists of three modules: MoSE management, the City, and the Port,</w:t>
      </w:r>
    </w:p>
    <w:p>
      <w:pPr>
        <w:widowControl w:val="0"/>
        <w:spacing w:line="276" w:lineRule="auto"/>
        <w:jc w:val="both"/>
        <w:rPr>
          <w:rFonts w:ascii="Times New Roman" w:hAnsi="Times New Roman" w:cs="Times New Roman"/>
          <w:sz w:val="24"/>
          <w:szCs w:val="24"/>
        </w:rPr>
      </w:pPr>
      <w:r>
        <w:rPr>
          <w:rFonts w:ascii="Times New Roman" w:hAnsi="Times New Roman" w:cs="Times New Roman"/>
          <w:sz w:val="24"/>
          <w:szCs w:val="24"/>
        </w:rPr>
        <w:t>Throughout this appendix:</w:t>
      </w:r>
    </w:p>
    <w:p>
      <w:pPr>
        <w:pStyle w:val="31"/>
        <w:widowControl w:val="0"/>
        <w:numPr>
          <w:ilvl w:val="0"/>
          <w:numId w:val="3"/>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in accordance with the UN World Tourism Organization glossary, we call </w:t>
      </w:r>
      <w:r>
        <w:rPr>
          <w:rFonts w:ascii="Times New Roman" w:hAnsi="Times New Roman" w:cs="Times New Roman"/>
          <w:i/>
          <w:iCs/>
          <w:sz w:val="24"/>
          <w:szCs w:val="24"/>
        </w:rPr>
        <w:t>excursionist</w:t>
      </w:r>
      <w:r>
        <w:rPr>
          <w:rFonts w:ascii="Times New Roman" w:hAnsi="Times New Roman" w:cs="Times New Roman"/>
          <w:sz w:val="24"/>
          <w:szCs w:val="24"/>
        </w:rPr>
        <w:t xml:space="preserve"> a same-day visitor, we call </w:t>
      </w:r>
      <w:r>
        <w:rPr>
          <w:rFonts w:ascii="Times New Roman" w:hAnsi="Times New Roman" w:cs="Times New Roman"/>
          <w:i/>
          <w:iCs/>
          <w:sz w:val="24"/>
          <w:szCs w:val="24"/>
        </w:rPr>
        <w:t>tourist</w:t>
      </w:r>
      <w:r>
        <w:rPr>
          <w:rFonts w:ascii="Times New Roman" w:hAnsi="Times New Roman" w:cs="Times New Roman"/>
          <w:sz w:val="24"/>
          <w:szCs w:val="24"/>
        </w:rPr>
        <w:t xml:space="preserve"> an overnight visitor that spend the night in a city dwelling.</w:t>
      </w:r>
    </w:p>
    <w:p>
      <w:pPr>
        <w:pStyle w:val="31"/>
        <w:widowControl w:val="0"/>
        <w:numPr>
          <w:ilvl w:val="0"/>
          <w:numId w:val="3"/>
        </w:numPr>
        <w:spacing w:line="276" w:lineRule="auto"/>
        <w:jc w:val="both"/>
        <w:rPr>
          <w:rFonts w:ascii="Times New Roman" w:hAnsi="Times New Roman" w:cs="Times New Roman"/>
          <w:sz w:val="24"/>
          <w:szCs w:val="24"/>
        </w:rPr>
      </w:pPr>
      <w:r>
        <w:rPr>
          <w:rFonts w:ascii="Times New Roman" w:hAnsi="Times New Roman" w:cs="Times New Roman"/>
          <w:sz w:val="24"/>
          <w:szCs w:val="24"/>
        </w:rPr>
        <w:t>by *</w:t>
      </w:r>
      <w:r>
        <w:rPr>
          <w:rFonts w:ascii="Times New Roman" w:hAnsi="Times New Roman" w:cs="Times New Roman"/>
          <w:i/>
          <w:iCs/>
          <w:sz w:val="24"/>
          <w:szCs w:val="24"/>
        </w:rPr>
        <w:t>vessel</w:t>
      </w:r>
      <w:r>
        <w:rPr>
          <w:rFonts w:ascii="Times New Roman" w:hAnsi="Times New Roman" w:cs="Times New Roman"/>
          <w:sz w:val="24"/>
          <w:szCs w:val="24"/>
        </w:rPr>
        <w:t>(</w:t>
      </w:r>
      <w:r>
        <w:rPr>
          <w:rFonts w:ascii="Times New Roman" w:hAnsi="Times New Roman" w:cs="Times New Roman"/>
          <w:i/>
          <w:iCs/>
          <w:sz w:val="24"/>
          <w:szCs w:val="24"/>
        </w:rPr>
        <w:t>s</w:t>
      </w:r>
      <w:r>
        <w:rPr>
          <w:rFonts w:ascii="Times New Roman" w:hAnsi="Times New Roman" w:cs="Times New Roman"/>
          <w:sz w:val="24"/>
          <w:szCs w:val="24"/>
        </w:rPr>
        <w:t>)*, we refer to any kind of vessel, unless specified otherwise. In the model stock and flow diagram, the specific group of vessels is explicitly named, rather than generically employing the word *vessel*, e.g., Container(ship).</w:t>
      </w:r>
    </w:p>
    <w:p>
      <w:pPr>
        <w:pStyle w:val="31"/>
        <w:widowControl w:val="0"/>
        <w:numPr>
          <w:ilvl w:val="0"/>
          <w:numId w:val="3"/>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by </w:t>
      </w:r>
      <w:r>
        <w:rPr>
          <w:rFonts w:ascii="Times New Roman" w:hAnsi="Times New Roman" w:cs="Times New Roman"/>
          <w:i/>
          <w:iCs/>
          <w:sz w:val="24"/>
          <w:szCs w:val="24"/>
        </w:rPr>
        <w:t>high tide</w:t>
      </w:r>
      <w:r>
        <w:rPr>
          <w:rFonts w:ascii="Times New Roman" w:hAnsi="Times New Roman" w:cs="Times New Roman"/>
          <w:sz w:val="24"/>
          <w:szCs w:val="24"/>
        </w:rPr>
        <w:t>, we refer to the higher values of lagoon water levels which appear twice a day, as a consequence of tidal cycles.</w:t>
      </w:r>
    </w:p>
    <w:p>
      <w:pPr>
        <w:pStyle w:val="31"/>
        <w:widowControl w:val="0"/>
        <w:numPr>
          <w:ilvl w:val="0"/>
          <w:numId w:val="3"/>
        </w:numPr>
        <w:spacing w:line="276" w:lineRule="auto"/>
        <w:jc w:val="both"/>
        <w:rPr>
          <w:rFonts w:ascii="Times New Roman" w:hAnsi="Times New Roman" w:cs="Times New Roman"/>
          <w:sz w:val="24"/>
          <w:szCs w:val="24"/>
        </w:rPr>
      </w:pPr>
      <w:r>
        <w:rPr>
          <w:rFonts w:ascii="Times New Roman" w:hAnsi="Times New Roman" w:cs="Times New Roman"/>
          <w:sz w:val="24"/>
          <w:szCs w:val="24"/>
        </w:rPr>
        <w:t>by RCP, we refer to the Representative Concentration Pathway adopted by the IPCC. In particular, we consider the RCP 2.6 "very stringent" scenario likely to keep global temperature rise below 2 °C by 2100, and the RCP 8.5 scenario, generally taken as the worst-case climate change scenario.</w:t>
      </w:r>
    </w:p>
    <w:p>
      <w:pPr>
        <w:pStyle w:val="31"/>
        <w:widowControl w:val="0"/>
        <w:numPr>
          <w:ilvl w:val="0"/>
          <w:numId w:val="3"/>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input data and parameters are shown in </w:t>
      </w:r>
      <w:r>
        <w:rPr>
          <w:rFonts w:ascii="Times New Roman" w:hAnsi="Times New Roman" w:cs="Times New Roman"/>
          <w:b/>
          <w:bCs/>
          <w:sz w:val="24"/>
          <w:szCs w:val="24"/>
        </w:rPr>
        <w:t>bold</w:t>
      </w:r>
      <w:r>
        <w:rPr>
          <w:rFonts w:ascii="Times New Roman" w:hAnsi="Times New Roman" w:cs="Times New Roman"/>
          <w:sz w:val="24"/>
          <w:szCs w:val="24"/>
        </w:rPr>
        <w:t>.</w:t>
      </w:r>
    </w:p>
    <w:p>
      <w:pPr>
        <w:pStyle w:val="31"/>
        <w:widowControl w:val="0"/>
        <w:numPr>
          <w:ilvl w:val="0"/>
          <w:numId w:val="3"/>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state and output variables are shown in </w:t>
      </w:r>
      <w:r>
        <w:rPr>
          <w:rFonts w:ascii="Times New Roman" w:hAnsi="Times New Roman" w:cs="Times New Roman"/>
          <w:i/>
          <w:iCs/>
          <w:sz w:val="24"/>
          <w:szCs w:val="24"/>
        </w:rPr>
        <w:t>italics</w:t>
      </w:r>
      <w:r>
        <w:rPr>
          <w:rFonts w:ascii="Times New Roman" w:hAnsi="Times New Roman" w:cs="Times New Roman"/>
          <w:sz w:val="24"/>
          <w:szCs w:val="24"/>
        </w:rPr>
        <w:t>.</w:t>
      </w:r>
    </w:p>
    <w:p/>
    <w:p>
      <w:pPr>
        <w:widowControl w:val="0"/>
        <w:spacing w:line="276" w:lineRule="auto"/>
        <w:jc w:val="both"/>
        <w:rPr>
          <w:rFonts w:ascii="Times New Roman" w:hAnsi="Times New Roman" w:cs="Times New Roman"/>
          <w:sz w:val="24"/>
          <w:szCs w:val="24"/>
        </w:rPr>
      </w:pPr>
      <w:r>
        <w:rPr>
          <w:rFonts w:ascii="Times New Roman" w:hAnsi="Times New Roman" w:cs="Times New Roman"/>
          <w:sz w:val="24"/>
          <w:szCs w:val="24"/>
        </w:rPr>
        <w:t>The model uses</w:t>
      </w:r>
    </w:p>
    <w:p>
      <w:pPr>
        <w:pStyle w:val="31"/>
        <w:widowControl w:val="0"/>
        <w:numPr>
          <w:ilvl w:val="0"/>
          <w:numId w:val="4"/>
        </w:numPr>
        <w:spacing w:line="276" w:lineRule="auto"/>
        <w:jc w:val="both"/>
        <w:rPr>
          <w:rFonts w:ascii="Times New Roman" w:hAnsi="Times New Roman" w:cs="Times New Roman"/>
          <w:sz w:val="24"/>
          <w:szCs w:val="24"/>
        </w:rPr>
      </w:pPr>
      <w:r>
        <w:rPr>
          <w:rFonts w:ascii="Times New Roman" w:hAnsi="Times New Roman" w:cs="Times New Roman"/>
          <w:sz w:val="24"/>
          <w:szCs w:val="24"/>
        </w:rPr>
        <w:t>as main input data:</w:t>
      </w:r>
    </w:p>
    <w:p>
      <w:pPr>
        <w:pStyle w:val="31"/>
        <w:widowControl w:val="0"/>
        <w:numPr>
          <w:ilvl w:val="1"/>
          <w:numId w:val="4"/>
        </w:numPr>
        <w:spacing w:line="276" w:lineRule="auto"/>
        <w:jc w:val="both"/>
        <w:rPr>
          <w:rFonts w:ascii="Times New Roman" w:hAnsi="Times New Roman" w:cs="Times New Roman"/>
          <w:sz w:val="24"/>
          <w:szCs w:val="24"/>
        </w:rPr>
      </w:pPr>
      <w:r>
        <w:rPr>
          <w:rFonts w:ascii="Times New Roman" w:hAnsi="Times New Roman" w:cs="Times New Roman"/>
          <w:b/>
          <w:bCs/>
          <w:sz w:val="24"/>
          <w:szCs w:val="24"/>
        </w:rPr>
        <w:t>Lagoon Water Levels</w:t>
      </w:r>
      <w:r>
        <w:rPr>
          <w:rFonts w:ascii="Times New Roman" w:hAnsi="Times New Roman" w:cs="Times New Roman"/>
          <w:sz w:val="24"/>
          <w:szCs w:val="24"/>
        </w:rPr>
        <w:t>: either the 1983 – 2021 Venetian lagoon tide data in the form of two daily min and max, approximately sampled every 6 hours; or the 2022 – 2100 Venetian lagoon tide synthetic data in the form of two daily min and max, again approximately sampled every 6 hours. Under RCP 2.6 and 8.5 scenarios</w:t>
      </w:r>
    </w:p>
    <w:p>
      <w:pPr>
        <w:pStyle w:val="31"/>
        <w:widowControl w:val="0"/>
        <w:numPr>
          <w:ilvl w:val="1"/>
          <w:numId w:val="4"/>
        </w:numPr>
        <w:spacing w:line="276" w:lineRule="auto"/>
        <w:jc w:val="both"/>
        <w:rPr>
          <w:rFonts w:ascii="Times New Roman" w:hAnsi="Times New Roman" w:cs="Times New Roman"/>
          <w:sz w:val="24"/>
          <w:szCs w:val="24"/>
        </w:rPr>
      </w:pPr>
      <w:r>
        <w:rPr>
          <w:rFonts w:ascii="Times New Roman" w:hAnsi="Times New Roman" w:cs="Times New Roman"/>
          <w:b/>
          <w:sz w:val="24"/>
          <w:szCs w:val="24"/>
        </w:rPr>
        <w:t>Peak Time</w:t>
      </w:r>
      <w:r>
        <w:rPr>
          <w:rFonts w:ascii="Times New Roman" w:hAnsi="Times New Roman" w:cs="Times New Roman"/>
          <w:sz w:val="24"/>
          <w:szCs w:val="24"/>
        </w:rPr>
        <w:t xml:space="preserve">: hour associated with a peak in </w:t>
      </w:r>
      <w:r>
        <w:rPr>
          <w:rFonts w:ascii="Times New Roman" w:hAnsi="Times New Roman" w:cs="Times New Roman"/>
          <w:b/>
          <w:bCs/>
          <w:sz w:val="24"/>
          <w:szCs w:val="24"/>
        </w:rPr>
        <w:t>Lagoon Water Levels</w:t>
      </w:r>
    </w:p>
    <w:p>
      <w:pPr>
        <w:pStyle w:val="31"/>
        <w:widowControl w:val="0"/>
        <w:numPr>
          <w:ilvl w:val="1"/>
          <w:numId w:val="4"/>
        </w:numPr>
        <w:spacing w:line="276" w:lineRule="auto"/>
        <w:jc w:val="both"/>
        <w:rPr>
          <w:rFonts w:ascii="Times New Roman" w:hAnsi="Times New Roman" w:cs="Times New Roman"/>
          <w:sz w:val="24"/>
          <w:szCs w:val="24"/>
        </w:rPr>
      </w:pPr>
      <w:r>
        <w:rPr>
          <w:rFonts w:ascii="Times New Roman" w:hAnsi="Times New Roman" w:cs="Times New Roman"/>
          <w:b/>
          <w:bCs/>
          <w:sz w:val="24"/>
          <w:szCs w:val="24"/>
        </w:rPr>
        <w:t>Monthly Tourists</w:t>
      </w:r>
      <w:r>
        <w:rPr>
          <w:rFonts w:ascii="Times New Roman" w:hAnsi="Times New Roman" w:cs="Times New Roman"/>
          <w:sz w:val="24"/>
          <w:szCs w:val="24"/>
        </w:rPr>
        <w:t>: estimated number of tourists by month</w:t>
      </w:r>
    </w:p>
    <w:p>
      <w:pPr>
        <w:pStyle w:val="31"/>
        <w:widowControl w:val="0"/>
        <w:numPr>
          <w:ilvl w:val="1"/>
          <w:numId w:val="4"/>
        </w:numPr>
        <w:spacing w:line="276" w:lineRule="auto"/>
        <w:jc w:val="both"/>
        <w:rPr>
          <w:rFonts w:ascii="Times New Roman" w:hAnsi="Times New Roman" w:cs="Times New Roman"/>
          <w:sz w:val="24"/>
          <w:szCs w:val="24"/>
        </w:rPr>
      </w:pPr>
      <w:r>
        <w:rPr>
          <w:rFonts w:ascii="Times New Roman" w:hAnsi="Times New Roman" w:cs="Times New Roman"/>
          <w:b/>
          <w:bCs/>
          <w:sz w:val="24"/>
          <w:szCs w:val="24"/>
        </w:rPr>
        <w:t>Monthly Excursionists</w:t>
      </w:r>
      <w:r>
        <w:rPr>
          <w:rFonts w:ascii="Times New Roman" w:hAnsi="Times New Roman" w:cs="Times New Roman"/>
          <w:sz w:val="24"/>
          <w:szCs w:val="24"/>
        </w:rPr>
        <w:t>: estimated number of excursionists by month</w:t>
      </w:r>
    </w:p>
    <w:p>
      <w:pPr>
        <w:pStyle w:val="31"/>
        <w:widowControl w:val="0"/>
        <w:numPr>
          <w:ilvl w:val="1"/>
          <w:numId w:val="4"/>
        </w:numPr>
        <w:spacing w:line="276" w:lineRule="auto"/>
        <w:jc w:val="both"/>
        <w:rPr>
          <w:rFonts w:ascii="Times New Roman" w:hAnsi="Times New Roman" w:cs="Times New Roman"/>
          <w:sz w:val="24"/>
          <w:szCs w:val="24"/>
        </w:rPr>
      </w:pPr>
      <w:r>
        <w:rPr>
          <w:rFonts w:ascii="Times New Roman" w:hAnsi="Times New Roman" w:cs="Times New Roman"/>
          <w:b/>
          <w:bCs/>
          <w:sz w:val="24"/>
          <w:szCs w:val="24"/>
        </w:rPr>
        <w:t>Daily *Vessels*</w:t>
      </w:r>
      <w:r>
        <w:rPr>
          <w:rFonts w:ascii="Times New Roman" w:hAnsi="Times New Roman" w:cs="Times New Roman"/>
          <w:sz w:val="24"/>
          <w:szCs w:val="24"/>
        </w:rPr>
        <w:t>: estimated daily number of *vessel* calls to the port of Venice, according to the month, under baseline conditions</w:t>
      </w:r>
    </w:p>
    <w:p>
      <w:pPr>
        <w:pStyle w:val="31"/>
        <w:widowControl w:val="0"/>
        <w:numPr>
          <w:ilvl w:val="0"/>
          <w:numId w:val="5"/>
        </w:numPr>
        <w:spacing w:line="276" w:lineRule="auto"/>
        <w:jc w:val="both"/>
        <w:rPr>
          <w:rFonts w:ascii="Times New Roman" w:hAnsi="Times New Roman" w:cs="Times New Roman"/>
          <w:sz w:val="24"/>
          <w:szCs w:val="24"/>
        </w:rPr>
      </w:pPr>
      <w:r>
        <w:rPr>
          <w:rFonts w:ascii="Times New Roman" w:hAnsi="Times New Roman" w:cs="Times New Roman"/>
          <w:sz w:val="24"/>
          <w:szCs w:val="24"/>
        </w:rPr>
        <w:t>as main parameters:</w:t>
      </w:r>
    </w:p>
    <w:p>
      <w:pPr>
        <w:pStyle w:val="31"/>
        <w:widowControl w:val="0"/>
        <w:numPr>
          <w:ilvl w:val="1"/>
          <w:numId w:val="5"/>
        </w:numPr>
        <w:spacing w:line="276" w:lineRule="auto"/>
        <w:jc w:val="both"/>
        <w:rPr>
          <w:rFonts w:ascii="Times New Roman" w:hAnsi="Times New Roman" w:cs="Times New Roman"/>
          <w:i/>
          <w:iCs/>
          <w:sz w:val="24"/>
          <w:szCs w:val="24"/>
        </w:rPr>
      </w:pPr>
      <w:r>
        <w:rPr>
          <w:rFonts w:ascii="Times New Roman" w:hAnsi="Times New Roman" w:cs="Times New Roman"/>
          <w:b/>
          <w:bCs/>
          <w:sz w:val="24"/>
          <w:szCs w:val="24"/>
        </w:rPr>
        <w:t>Cost per closure</w:t>
      </w:r>
      <w:r>
        <w:rPr>
          <w:rFonts w:ascii="Times New Roman" w:hAnsi="Times New Roman" w:cs="Times New Roman"/>
          <w:sz w:val="24"/>
          <w:szCs w:val="24"/>
        </w:rPr>
        <w:t>: total cost for each MoSE closure given by a combined sum of energy and labor costs</w:t>
      </w:r>
    </w:p>
    <w:p>
      <w:pPr>
        <w:pStyle w:val="31"/>
        <w:widowControl w:val="0"/>
        <w:numPr>
          <w:ilvl w:val="1"/>
          <w:numId w:val="5"/>
        </w:numPr>
        <w:spacing w:line="276" w:lineRule="auto"/>
        <w:jc w:val="both"/>
        <w:rPr>
          <w:rFonts w:ascii="Times New Roman" w:hAnsi="Times New Roman" w:cs="Times New Roman"/>
          <w:b/>
          <w:sz w:val="24"/>
          <w:szCs w:val="24"/>
        </w:rPr>
      </w:pPr>
      <w:r>
        <w:rPr>
          <w:rFonts w:ascii="Times New Roman" w:hAnsi="Times New Roman" w:cs="Times New Roman"/>
          <w:b/>
          <w:sz w:val="24"/>
          <w:szCs w:val="24"/>
        </w:rPr>
        <w:t>Closure level</w:t>
      </w:r>
      <w:r>
        <w:rPr>
          <w:rFonts w:ascii="Times New Roman" w:hAnsi="Times New Roman" w:cs="Times New Roman"/>
          <w:bCs/>
          <w:sz w:val="24"/>
          <w:szCs w:val="24"/>
        </w:rPr>
        <w:t>: high tide forecast threshold for MoSE closure</w:t>
      </w:r>
    </w:p>
    <w:p>
      <w:pPr>
        <w:pStyle w:val="31"/>
        <w:widowControl w:val="0"/>
        <w:numPr>
          <w:ilvl w:val="1"/>
          <w:numId w:val="5"/>
        </w:numPr>
        <w:spacing w:line="276" w:lineRule="auto"/>
        <w:jc w:val="both"/>
        <w:rPr>
          <w:rFonts w:ascii="Times New Roman" w:hAnsi="Times New Roman" w:cs="Times New Roman"/>
          <w:b/>
          <w:sz w:val="24"/>
          <w:szCs w:val="24"/>
        </w:rPr>
      </w:pPr>
      <w:r>
        <w:rPr>
          <w:rFonts w:ascii="Times New Roman" w:hAnsi="Times New Roman" w:cs="Times New Roman"/>
          <w:b/>
          <w:sz w:val="24"/>
          <w:szCs w:val="24"/>
        </w:rPr>
        <w:t>Tide Forecast Accuracy</w:t>
      </w:r>
      <w:r>
        <w:rPr>
          <w:rFonts w:ascii="Times New Roman" w:hAnsi="Times New Roman" w:cs="Times New Roman"/>
          <w:bCs/>
          <w:sz w:val="24"/>
          <w:szCs w:val="24"/>
        </w:rPr>
        <w:t>: historical standard deviation in cm of real water levels from forecasted one. Set to 20 cm</w:t>
      </w:r>
    </w:p>
    <w:p>
      <w:pPr>
        <w:pStyle w:val="31"/>
        <w:widowControl w:val="0"/>
        <w:numPr>
          <w:ilvl w:val="1"/>
          <w:numId w:val="5"/>
        </w:numPr>
        <w:spacing w:line="276" w:lineRule="auto"/>
        <w:jc w:val="both"/>
        <w:rPr>
          <w:rFonts w:ascii="Times New Roman" w:hAnsi="Times New Roman" w:cs="Times New Roman"/>
          <w:b/>
          <w:bCs/>
          <w:sz w:val="24"/>
          <w:szCs w:val="24"/>
        </w:rPr>
      </w:pPr>
      <w:r>
        <w:rPr>
          <w:rFonts w:ascii="Times New Roman" w:hAnsi="Times New Roman" w:cs="Times New Roman"/>
          <w:b/>
          <w:bCs/>
          <w:sz w:val="24"/>
          <w:szCs w:val="24"/>
        </w:rPr>
        <w:t>Percentage of Lost Tourists</w:t>
      </w:r>
      <w:r>
        <w:rPr>
          <w:rFonts w:ascii="Times New Roman" w:hAnsi="Times New Roman" w:cs="Times New Roman"/>
          <w:sz w:val="24"/>
          <w:szCs w:val="24"/>
        </w:rPr>
        <w:t>: percentage of Tourists which are expected not to come to Venice in the month following a high tide episode</w:t>
      </w:r>
    </w:p>
    <w:p>
      <w:pPr>
        <w:pStyle w:val="31"/>
        <w:numPr>
          <w:ilvl w:val="1"/>
          <w:numId w:val="5"/>
        </w:numPr>
        <w:rPr>
          <w:rFonts w:ascii="Times New Roman" w:hAnsi="Times New Roman" w:cs="Times New Roman"/>
          <w:b/>
          <w:bCs/>
          <w:sz w:val="24"/>
          <w:szCs w:val="24"/>
        </w:rPr>
      </w:pPr>
      <w:r>
        <w:rPr>
          <w:rFonts w:ascii="Times New Roman" w:hAnsi="Times New Roman" w:cs="Times New Roman"/>
          <w:b/>
          <w:bCs/>
          <w:sz w:val="24"/>
          <w:szCs w:val="24"/>
        </w:rPr>
        <w:t xml:space="preserve">Percentage of Lost Excursionists: </w:t>
      </w:r>
      <w:r>
        <w:rPr>
          <w:rFonts w:ascii="Times New Roman" w:hAnsi="Times New Roman" w:cs="Times New Roman"/>
          <w:sz w:val="24"/>
          <w:szCs w:val="24"/>
        </w:rPr>
        <w:t>percentage of Excursionists which are expected not to come to Venice in the month following a high tide episode</w:t>
      </w:r>
    </w:p>
    <w:p>
      <w:pPr>
        <w:pStyle w:val="31"/>
        <w:widowControl w:val="0"/>
        <w:numPr>
          <w:ilvl w:val="1"/>
          <w:numId w:val="5"/>
        </w:numPr>
        <w:spacing w:line="276" w:lineRule="auto"/>
        <w:jc w:val="both"/>
        <w:rPr>
          <w:rFonts w:ascii="Times New Roman" w:hAnsi="Times New Roman" w:cs="Times New Roman"/>
          <w:b/>
          <w:bCs/>
          <w:sz w:val="24"/>
          <w:szCs w:val="24"/>
        </w:rPr>
      </w:pPr>
      <w:r>
        <w:rPr>
          <w:rFonts w:ascii="Times New Roman" w:hAnsi="Times New Roman" w:cs="Times New Roman"/>
          <w:b/>
          <w:bCs/>
          <w:sz w:val="24"/>
          <w:szCs w:val="24"/>
        </w:rPr>
        <w:t>Average Expense per Tourist</w:t>
      </w:r>
      <w:r>
        <w:rPr>
          <w:rFonts w:ascii="Times New Roman" w:hAnsi="Times New Roman" w:cs="Times New Roman"/>
          <w:sz w:val="24"/>
          <w:szCs w:val="24"/>
        </w:rPr>
        <w:t xml:space="preserve">: average expense per tourist as computed by </w:t>
      </w:r>
      <w:r>
        <w:rPr>
          <w:rFonts w:ascii="Times New Roman" w:hAnsi="Times New Roman" w:eastAsia="Times New Roman" w:cs="Times New Roman"/>
          <w:sz w:val="24"/>
          <w:szCs w:val="24"/>
          <w:lang w:eastAsia="es-ES"/>
        </w:rPr>
        <w:t>De Marchi et al. (2019)</w:t>
      </w:r>
      <w:r>
        <w:rPr>
          <w:rStyle w:val="17"/>
          <w:rFonts w:ascii="Times New Roman" w:hAnsi="Times New Roman" w:eastAsia="Times New Roman" w:cs="Times New Roman"/>
          <w:sz w:val="24"/>
          <w:szCs w:val="24"/>
          <w:lang w:val="it-IT" w:eastAsia="es-ES"/>
        </w:rPr>
        <w:footnoteReference w:id="0"/>
      </w:r>
    </w:p>
    <w:p>
      <w:pPr>
        <w:pStyle w:val="31"/>
        <w:widowControl w:val="0"/>
        <w:numPr>
          <w:ilvl w:val="1"/>
          <w:numId w:val="5"/>
        </w:numPr>
        <w:spacing w:line="276" w:lineRule="auto"/>
        <w:jc w:val="both"/>
        <w:rPr>
          <w:rFonts w:ascii="Times New Roman" w:hAnsi="Times New Roman" w:cs="Times New Roman"/>
          <w:b/>
          <w:bCs/>
          <w:sz w:val="24"/>
          <w:szCs w:val="24"/>
        </w:rPr>
      </w:pPr>
      <w:r>
        <w:rPr>
          <w:rFonts w:ascii="Times New Roman" w:hAnsi="Times New Roman" w:cs="Times New Roman"/>
          <w:b/>
          <w:bCs/>
          <w:sz w:val="24"/>
          <w:szCs w:val="24"/>
        </w:rPr>
        <w:t>Average Expense per Excursionist</w:t>
      </w:r>
      <w:r>
        <w:rPr>
          <w:rFonts w:ascii="Times New Roman" w:hAnsi="Times New Roman" w:cs="Times New Roman"/>
          <w:sz w:val="24"/>
          <w:szCs w:val="24"/>
        </w:rPr>
        <w:t xml:space="preserve">: average expense per excursionist as computed by </w:t>
      </w:r>
      <w:r>
        <w:rPr>
          <w:rFonts w:ascii="Times New Roman" w:hAnsi="Times New Roman" w:eastAsia="Times New Roman" w:cs="Times New Roman"/>
          <w:sz w:val="24"/>
          <w:szCs w:val="24"/>
          <w:lang w:eastAsia="es-ES"/>
        </w:rPr>
        <w:t>De Marchi et al. (2019)</w:t>
      </w:r>
    </w:p>
    <w:p>
      <w:pPr>
        <w:pStyle w:val="31"/>
        <w:widowControl w:val="0"/>
        <w:numPr>
          <w:ilvl w:val="1"/>
          <w:numId w:val="5"/>
        </w:numPr>
        <w:spacing w:line="276" w:lineRule="auto"/>
        <w:jc w:val="both"/>
        <w:rPr>
          <w:rFonts w:ascii="Times New Roman" w:hAnsi="Times New Roman" w:cs="Times New Roman"/>
          <w:b/>
          <w:bCs/>
          <w:sz w:val="24"/>
          <w:szCs w:val="24"/>
        </w:rPr>
      </w:pPr>
      <w:r>
        <w:rPr>
          <w:rFonts w:ascii="Times New Roman" w:hAnsi="Times New Roman" w:cs="Times New Roman"/>
          <w:b/>
          <w:bCs/>
          <w:sz w:val="24"/>
          <w:szCs w:val="24"/>
        </w:rPr>
        <w:t>Children Population</w:t>
      </w:r>
      <w:r>
        <w:rPr>
          <w:rFonts w:ascii="Times New Roman" w:hAnsi="Times New Roman" w:cs="Times New Roman"/>
          <w:sz w:val="24"/>
          <w:szCs w:val="24"/>
        </w:rPr>
        <w:t>: total number of school age children (5 to 19 years old) living in Venice as reported by the Italian National Institute of Statistics (ISTAT).</w:t>
      </w:r>
    </w:p>
    <w:p>
      <w:pPr>
        <w:pStyle w:val="31"/>
        <w:widowControl w:val="0"/>
        <w:numPr>
          <w:ilvl w:val="1"/>
          <w:numId w:val="5"/>
        </w:numPr>
        <w:spacing w:line="276" w:lineRule="auto"/>
        <w:jc w:val="both"/>
        <w:rPr>
          <w:rFonts w:ascii="Times New Roman" w:hAnsi="Times New Roman" w:cs="Times New Roman"/>
          <w:b/>
          <w:bCs/>
          <w:sz w:val="24"/>
          <w:szCs w:val="24"/>
        </w:rPr>
      </w:pPr>
      <w:r>
        <w:rPr>
          <w:rFonts w:ascii="Times New Roman" w:hAnsi="Times New Roman" w:cs="Times New Roman"/>
          <w:b/>
          <w:bCs/>
          <w:sz w:val="24"/>
          <w:szCs w:val="24"/>
        </w:rPr>
        <w:t>Elderly Population</w:t>
      </w:r>
      <w:r>
        <w:rPr>
          <w:rFonts w:ascii="Times New Roman" w:hAnsi="Times New Roman" w:cs="Times New Roman"/>
          <w:sz w:val="24"/>
          <w:szCs w:val="24"/>
        </w:rPr>
        <w:t>: total population from 75 to 84 years living in Venice as reported by ISTAT.</w:t>
      </w:r>
    </w:p>
    <w:p>
      <w:pPr>
        <w:pStyle w:val="31"/>
        <w:widowControl w:val="0"/>
        <w:numPr>
          <w:ilvl w:val="1"/>
          <w:numId w:val="5"/>
        </w:numPr>
        <w:spacing w:line="276" w:lineRule="auto"/>
        <w:jc w:val="both"/>
        <w:rPr>
          <w:rFonts w:ascii="Times New Roman" w:hAnsi="Times New Roman" w:cs="Times New Roman"/>
          <w:b/>
          <w:bCs/>
          <w:sz w:val="24"/>
          <w:szCs w:val="24"/>
        </w:rPr>
      </w:pPr>
      <w:r>
        <w:rPr>
          <w:rFonts w:ascii="Times New Roman" w:hAnsi="Times New Roman" w:cs="Times New Roman"/>
          <w:b/>
          <w:bCs/>
          <w:sz w:val="24"/>
          <w:szCs w:val="24"/>
        </w:rPr>
        <w:t>Baby sitter unitary cost</w:t>
      </w:r>
      <w:r>
        <w:rPr>
          <w:rFonts w:ascii="Times New Roman" w:hAnsi="Times New Roman" w:cs="Times New Roman"/>
          <w:sz w:val="24"/>
          <w:szCs w:val="24"/>
        </w:rPr>
        <w:t>: hourly cost for assistance to minor children as reported by ISTAT multiplied by the estimated number of hours for which assistance service may be needed after a high tide episode.</w:t>
      </w:r>
    </w:p>
    <w:p>
      <w:pPr>
        <w:pStyle w:val="31"/>
        <w:widowControl w:val="0"/>
        <w:numPr>
          <w:ilvl w:val="1"/>
          <w:numId w:val="5"/>
        </w:numPr>
        <w:spacing w:line="276" w:lineRule="auto"/>
        <w:jc w:val="both"/>
        <w:rPr>
          <w:rFonts w:ascii="Times New Roman" w:hAnsi="Times New Roman" w:cs="Times New Roman"/>
          <w:b/>
          <w:bCs/>
          <w:sz w:val="24"/>
          <w:szCs w:val="24"/>
        </w:rPr>
      </w:pPr>
      <w:r>
        <w:rPr>
          <w:rFonts w:ascii="Times New Roman" w:hAnsi="Times New Roman" w:cs="Times New Roman"/>
          <w:b/>
          <w:bCs/>
          <w:sz w:val="24"/>
          <w:szCs w:val="24"/>
        </w:rPr>
        <w:t>Care giver unitary cost</w:t>
      </w:r>
      <w:r>
        <w:rPr>
          <w:rFonts w:ascii="Times New Roman" w:hAnsi="Times New Roman" w:cs="Times New Roman"/>
          <w:sz w:val="24"/>
          <w:szCs w:val="24"/>
        </w:rPr>
        <w:t>: hourly cost for assistance to elderly as reported by ISTAT multiplied by the estimated number of hours for which assistance service may be needed after a high tide episode.</w:t>
      </w:r>
    </w:p>
    <w:p>
      <w:pPr>
        <w:pStyle w:val="31"/>
        <w:widowControl w:val="0"/>
        <w:numPr>
          <w:ilvl w:val="1"/>
          <w:numId w:val="5"/>
        </w:numPr>
        <w:spacing w:line="276" w:lineRule="auto"/>
        <w:jc w:val="both"/>
        <w:rPr>
          <w:rFonts w:ascii="Times New Roman" w:hAnsi="Times New Roman" w:cs="Times New Roman"/>
          <w:b/>
          <w:bCs/>
          <w:sz w:val="24"/>
          <w:szCs w:val="24"/>
        </w:rPr>
      </w:pPr>
      <w:r>
        <w:rPr>
          <w:rFonts w:ascii="Times New Roman" w:hAnsi="Times New Roman" w:cs="Times New Roman"/>
          <w:b/>
          <w:bCs/>
          <w:sz w:val="24"/>
          <w:szCs w:val="24"/>
        </w:rPr>
        <w:t>Average Revenues per *Vessel*</w:t>
      </w:r>
      <w:r>
        <w:rPr>
          <w:rFonts w:ascii="Times New Roman" w:hAnsi="Times New Roman" w:cs="Times New Roman"/>
          <w:sz w:val="24"/>
          <w:szCs w:val="24"/>
        </w:rPr>
        <w:t xml:space="preserve">: average revenues for port operators coming from a freight *vessel* call. </w:t>
      </w:r>
    </w:p>
    <w:p>
      <w:pPr>
        <w:pStyle w:val="31"/>
        <w:widowControl w:val="0"/>
        <w:numPr>
          <w:ilvl w:val="1"/>
          <w:numId w:val="5"/>
        </w:numPr>
        <w:spacing w:line="276" w:lineRule="auto"/>
        <w:jc w:val="both"/>
        <w:rPr>
          <w:rFonts w:ascii="Times New Roman" w:hAnsi="Times New Roman" w:cs="Times New Roman"/>
          <w:b/>
          <w:bCs/>
          <w:sz w:val="24"/>
          <w:szCs w:val="24"/>
        </w:rPr>
      </w:pPr>
      <w:r>
        <w:rPr>
          <w:rFonts w:ascii="Times New Roman" w:hAnsi="Times New Roman" w:cs="Times New Roman"/>
          <w:b/>
          <w:bCs/>
          <w:sz w:val="24"/>
          <w:szCs w:val="24"/>
        </w:rPr>
        <w:t>Temporary Lost *Vessels*</w:t>
      </w:r>
      <w:r>
        <w:rPr>
          <w:rFonts w:ascii="Times New Roman" w:hAnsi="Times New Roman" w:cs="Times New Roman"/>
          <w:sz w:val="24"/>
          <w:szCs w:val="24"/>
        </w:rPr>
        <w:t>: percentage of freight *vessels* which are affected once by MoSE operations and are not going to come back before one year. Set to 10% for all freight *vessels*</w:t>
      </w:r>
    </w:p>
    <w:p>
      <w:pPr>
        <w:pStyle w:val="31"/>
        <w:widowControl w:val="0"/>
        <w:numPr>
          <w:ilvl w:val="1"/>
          <w:numId w:val="5"/>
        </w:numPr>
        <w:spacing w:line="276" w:lineRule="auto"/>
        <w:jc w:val="both"/>
        <w:rPr>
          <w:rFonts w:ascii="Times New Roman" w:hAnsi="Times New Roman" w:cs="Times New Roman"/>
          <w:b/>
          <w:bCs/>
          <w:sz w:val="24"/>
          <w:szCs w:val="24"/>
        </w:rPr>
      </w:pPr>
      <w:r>
        <w:rPr>
          <w:rFonts w:ascii="Times New Roman" w:hAnsi="Times New Roman" w:cs="Times New Roman"/>
          <w:b/>
          <w:bCs/>
          <w:sz w:val="24"/>
          <w:szCs w:val="24"/>
        </w:rPr>
        <w:t>Permanently Lost *Vessels*</w:t>
      </w:r>
      <w:r>
        <w:rPr>
          <w:rFonts w:ascii="Times New Roman" w:hAnsi="Times New Roman" w:cs="Times New Roman"/>
          <w:sz w:val="24"/>
          <w:szCs w:val="24"/>
        </w:rPr>
        <w:t>: percentage of freight *vessels* which are affected once by MoSE operations and are not going to come back forever. Set to 20% for all freight *vessels*</w:t>
      </w:r>
    </w:p>
    <w:p>
      <w:pPr>
        <w:pStyle w:val="31"/>
        <w:widowControl w:val="0"/>
        <w:numPr>
          <w:ilvl w:val="1"/>
          <w:numId w:val="5"/>
        </w:numPr>
        <w:spacing w:line="276" w:lineRule="auto"/>
        <w:jc w:val="both"/>
        <w:rPr>
          <w:rFonts w:ascii="Times New Roman" w:hAnsi="Times New Roman" w:cs="Times New Roman"/>
          <w:b/>
          <w:bCs/>
          <w:sz w:val="24"/>
          <w:szCs w:val="24"/>
        </w:rPr>
      </w:pPr>
      <w:r>
        <w:rPr>
          <w:rFonts w:ascii="Times New Roman" w:hAnsi="Times New Roman" w:cs="Times New Roman"/>
          <w:b/>
          <w:bCs/>
          <w:sz w:val="24"/>
          <w:szCs w:val="24"/>
        </w:rPr>
        <w:t>*Vessels* Lost per Closure</w:t>
      </w:r>
      <w:r>
        <w:rPr>
          <w:rFonts w:ascii="Times New Roman" w:hAnsi="Times New Roman" w:cs="Times New Roman"/>
          <w:sz w:val="24"/>
          <w:szCs w:val="24"/>
        </w:rPr>
        <w:t>: percentage of *vessel* calls expected to be immediately lost due to MoSE operations</w:t>
      </w:r>
    </w:p>
    <w:p>
      <w:pPr>
        <w:pStyle w:val="31"/>
        <w:widowControl w:val="0"/>
        <w:numPr>
          <w:ilvl w:val="1"/>
          <w:numId w:val="5"/>
        </w:numPr>
        <w:spacing w:line="276" w:lineRule="auto"/>
        <w:rPr>
          <w:rFonts w:ascii="Times New Roman" w:hAnsi="Times New Roman" w:cs="Times New Roman"/>
          <w:b/>
          <w:bCs/>
          <w:sz w:val="24"/>
          <w:szCs w:val="24"/>
        </w:rPr>
      </w:pPr>
      <w:r>
        <w:rPr>
          <w:rFonts w:ascii="Times New Roman" w:hAnsi="Times New Roman" w:cs="Times New Roman"/>
          <w:b/>
          <w:bCs/>
          <w:sz w:val="24"/>
          <w:szCs w:val="24"/>
        </w:rPr>
        <w:t>*Vessel* Return Frequency</w:t>
      </w:r>
      <w:r>
        <w:rPr>
          <w:rFonts w:ascii="Times New Roman" w:hAnsi="Times New Roman" w:cs="Times New Roman"/>
          <w:sz w:val="24"/>
          <w:szCs w:val="24"/>
        </w:rPr>
        <w:t>: the number of times in which a *vessel* is expected to return to Venice yearly</w:t>
      </w:r>
    </w:p>
    <w:p>
      <w:pPr>
        <w:pStyle w:val="31"/>
        <w:widowControl w:val="0"/>
        <w:numPr>
          <w:ilvl w:val="0"/>
          <w:numId w:val="5"/>
        </w:numPr>
        <w:spacing w:line="276" w:lineRule="auto"/>
        <w:jc w:val="both"/>
        <w:rPr>
          <w:rFonts w:ascii="Times New Roman" w:hAnsi="Times New Roman" w:cs="Times New Roman"/>
          <w:sz w:val="24"/>
          <w:szCs w:val="24"/>
        </w:rPr>
      </w:pPr>
      <w:r>
        <w:rPr>
          <w:rFonts w:ascii="Times New Roman" w:hAnsi="Times New Roman" w:cs="Times New Roman"/>
          <w:sz w:val="24"/>
          <w:szCs w:val="24"/>
        </w:rPr>
        <w:t>as main state variables:</w:t>
      </w:r>
    </w:p>
    <w:p>
      <w:pPr>
        <w:pStyle w:val="31"/>
        <w:widowControl w:val="0"/>
        <w:numPr>
          <w:ilvl w:val="1"/>
          <w:numId w:val="5"/>
        </w:numPr>
        <w:spacing w:line="276" w:lineRule="auto"/>
        <w:jc w:val="both"/>
        <w:rPr>
          <w:rFonts w:ascii="Times New Roman" w:hAnsi="Times New Roman" w:cs="Times New Roman"/>
          <w:sz w:val="24"/>
          <w:szCs w:val="24"/>
        </w:rPr>
      </w:pPr>
      <w:r>
        <w:rPr>
          <w:rFonts w:ascii="Times New Roman" w:hAnsi="Times New Roman" w:cs="Times New Roman"/>
          <w:bCs/>
          <w:i/>
          <w:iCs/>
          <w:sz w:val="24"/>
          <w:szCs w:val="24"/>
        </w:rPr>
        <w:t>MoSE Operation</w:t>
      </w:r>
      <w:r>
        <w:rPr>
          <w:rFonts w:ascii="Times New Roman" w:hAnsi="Times New Roman" w:cs="Times New Roman"/>
          <w:bCs/>
          <w:sz w:val="24"/>
          <w:szCs w:val="24"/>
        </w:rPr>
        <w:t>: binary variable equal to 1 on when the MoSE gates are closed.</w:t>
      </w:r>
    </w:p>
    <w:p>
      <w:pPr>
        <w:pStyle w:val="31"/>
        <w:widowControl w:val="0"/>
        <w:numPr>
          <w:ilvl w:val="1"/>
          <w:numId w:val="5"/>
        </w:num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Tide Forecast Error</w:t>
      </w:r>
      <w:r>
        <w:rPr>
          <w:rFonts w:ascii="Times New Roman" w:hAnsi="Times New Roman" w:cs="Times New Roman"/>
          <w:sz w:val="24"/>
          <w:szCs w:val="24"/>
        </w:rPr>
        <w:t xml:space="preserve">: Random error introduced in the time series of expected tide level to simulate forecast error. Represented by a random normal variable truncated between - </w:t>
      </w:r>
      <w:r>
        <w:rPr>
          <w:rFonts w:ascii="Times New Roman" w:hAnsi="Times New Roman" w:cs="Times New Roman"/>
          <w:b/>
          <w:sz w:val="24"/>
          <w:szCs w:val="24"/>
        </w:rPr>
        <w:t>Tide Forecast Accuracy</w:t>
      </w:r>
      <w:r>
        <w:rPr>
          <w:rFonts w:ascii="Times New Roman" w:hAnsi="Times New Roman" w:cs="Times New Roman"/>
          <w:bCs/>
          <w:sz w:val="24"/>
          <w:szCs w:val="24"/>
        </w:rPr>
        <w:t xml:space="preserve"> and + </w:t>
      </w:r>
      <w:r>
        <w:rPr>
          <w:rFonts w:ascii="Times New Roman" w:hAnsi="Times New Roman" w:cs="Times New Roman"/>
          <w:b/>
          <w:sz w:val="24"/>
          <w:szCs w:val="24"/>
        </w:rPr>
        <w:t>Tide forecast accuracy</w:t>
      </w:r>
      <w:r>
        <w:rPr>
          <w:rFonts w:ascii="Times New Roman" w:hAnsi="Times New Roman" w:cs="Times New Roman"/>
          <w:bCs/>
          <w:sz w:val="24"/>
          <w:szCs w:val="24"/>
        </w:rPr>
        <w:t>.</w:t>
      </w:r>
    </w:p>
    <w:p>
      <w:pPr>
        <w:pStyle w:val="31"/>
        <w:widowControl w:val="0"/>
        <w:numPr>
          <w:ilvl w:val="1"/>
          <w:numId w:val="5"/>
        </w:num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Tide Forecast</w:t>
      </w:r>
      <w:r>
        <w:rPr>
          <w:rFonts w:ascii="Times New Roman" w:hAnsi="Times New Roman" w:cs="Times New Roman"/>
          <w:sz w:val="24"/>
          <w:szCs w:val="24"/>
        </w:rPr>
        <w:t xml:space="preserve">: the simulated tide forecast, computed as </w:t>
      </w:r>
      <w:r>
        <w:rPr>
          <w:rFonts w:ascii="Times New Roman" w:hAnsi="Times New Roman" w:cs="Times New Roman"/>
          <w:b/>
          <w:bCs/>
          <w:sz w:val="24"/>
          <w:szCs w:val="24"/>
        </w:rPr>
        <w:t>Lagoon Water Levels</w:t>
      </w:r>
      <w:r>
        <w:rPr>
          <w:rFonts w:ascii="Times New Roman" w:hAnsi="Times New Roman" w:cs="Times New Roman"/>
          <w:sz w:val="24"/>
          <w:szCs w:val="24"/>
        </w:rPr>
        <w:t xml:space="preserve"> plus </w:t>
      </w:r>
      <w:r>
        <w:rPr>
          <w:rFonts w:ascii="Times New Roman" w:hAnsi="Times New Roman" w:cs="Times New Roman"/>
          <w:i/>
          <w:iCs/>
          <w:sz w:val="24"/>
          <w:szCs w:val="24"/>
        </w:rPr>
        <w:t>Tide Forecast Error</w:t>
      </w:r>
    </w:p>
    <w:p>
      <w:pPr>
        <w:pStyle w:val="31"/>
        <w:widowControl w:val="0"/>
        <w:numPr>
          <w:ilvl w:val="1"/>
          <w:numId w:val="5"/>
        </w:numPr>
        <w:spacing w:line="276" w:lineRule="auto"/>
        <w:jc w:val="both"/>
        <w:rPr>
          <w:rFonts w:ascii="Times New Roman" w:hAnsi="Times New Roman" w:cs="Times New Roman"/>
          <w:sz w:val="24"/>
          <w:szCs w:val="24"/>
        </w:rPr>
      </w:pPr>
      <w:r>
        <w:rPr>
          <w:rFonts w:ascii="Times New Roman" w:hAnsi="Times New Roman" w:cs="Times New Roman"/>
          <w:i/>
          <w:iCs/>
          <w:sz w:val="24"/>
          <w:szCs w:val="24"/>
        </w:rPr>
        <w:t>Max damage subs closure</w:t>
      </w:r>
      <w:r>
        <w:rPr>
          <w:rFonts w:ascii="Times New Roman" w:hAnsi="Times New Roman" w:cs="Times New Roman"/>
          <w:sz w:val="24"/>
          <w:szCs w:val="24"/>
        </w:rPr>
        <w:t>: the maximum damage avoided to the city considering the maximum water levels which may have occurred, when the MoSE is assumed to be closed for more than one subsequent time step.</w:t>
      </w:r>
    </w:p>
    <w:p>
      <w:pPr>
        <w:pStyle w:val="31"/>
        <w:widowControl w:val="0"/>
        <w:numPr>
          <w:ilvl w:val="1"/>
          <w:numId w:val="5"/>
        </w:numPr>
        <w:spacing w:line="276" w:lineRule="auto"/>
        <w:jc w:val="both"/>
        <w:rPr>
          <w:rFonts w:ascii="Times New Roman" w:hAnsi="Times New Roman" w:cs="Times New Roman"/>
          <w:i/>
          <w:iCs/>
          <w:sz w:val="24"/>
          <w:szCs w:val="24"/>
        </w:rPr>
      </w:pPr>
      <w:bookmarkStart w:id="3" w:name="_Hlk139551204"/>
      <w:r>
        <w:rPr>
          <w:rFonts w:ascii="Times New Roman" w:hAnsi="Times New Roman" w:cs="Times New Roman"/>
          <w:i/>
          <w:iCs/>
          <w:sz w:val="24"/>
          <w:szCs w:val="24"/>
        </w:rPr>
        <w:t>Lost Monthly Tourists</w:t>
      </w:r>
      <w:r>
        <w:rPr>
          <w:rFonts w:ascii="Times New Roman" w:hAnsi="Times New Roman" w:cs="Times New Roman"/>
          <w:sz w:val="24"/>
          <w:szCs w:val="24"/>
        </w:rPr>
        <w:t xml:space="preserve">: number of Tourists which are expected not to come to Venice in the month following a high tide episode. Equal to </w:t>
      </w:r>
      <w:r>
        <w:rPr>
          <w:rFonts w:ascii="Times New Roman" w:hAnsi="Times New Roman" w:cs="Times New Roman"/>
          <w:b/>
          <w:bCs/>
          <w:sz w:val="24"/>
          <w:szCs w:val="24"/>
        </w:rPr>
        <w:t xml:space="preserve">Monthly Tourists </w:t>
      </w:r>
      <w:r>
        <w:rPr>
          <w:rFonts w:ascii="Times New Roman" w:hAnsi="Times New Roman" w:cs="Times New Roman"/>
          <w:sz w:val="24"/>
          <w:szCs w:val="24"/>
        </w:rPr>
        <w:t xml:space="preserve">multiplied by the </w:t>
      </w:r>
      <w:r>
        <w:rPr>
          <w:rFonts w:ascii="Times New Roman" w:hAnsi="Times New Roman" w:cs="Times New Roman"/>
          <w:b/>
          <w:bCs/>
          <w:sz w:val="24"/>
          <w:szCs w:val="24"/>
        </w:rPr>
        <w:t>Percentage of Lost Tourists</w:t>
      </w:r>
    </w:p>
    <w:bookmarkEnd w:id="3"/>
    <w:p>
      <w:pPr>
        <w:pStyle w:val="31"/>
        <w:widowControl w:val="0"/>
        <w:numPr>
          <w:ilvl w:val="1"/>
          <w:numId w:val="5"/>
        </w:num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Lost Monthly Excursionists</w:t>
      </w:r>
      <w:r>
        <w:rPr>
          <w:rFonts w:ascii="Times New Roman" w:hAnsi="Times New Roman" w:cs="Times New Roman"/>
          <w:sz w:val="24"/>
          <w:szCs w:val="24"/>
        </w:rPr>
        <w:t xml:space="preserve">: number of Excursionists which are expected not to come to Venice in the month following a high tide episode. Equal to </w:t>
      </w:r>
      <w:r>
        <w:rPr>
          <w:rFonts w:ascii="Times New Roman" w:hAnsi="Times New Roman" w:cs="Times New Roman"/>
          <w:b/>
          <w:bCs/>
          <w:sz w:val="24"/>
          <w:szCs w:val="24"/>
        </w:rPr>
        <w:t xml:space="preserve">Monthly Excursionists </w:t>
      </w:r>
      <w:r>
        <w:rPr>
          <w:rFonts w:ascii="Times New Roman" w:hAnsi="Times New Roman" w:cs="Times New Roman"/>
          <w:sz w:val="24"/>
          <w:szCs w:val="24"/>
        </w:rPr>
        <w:t xml:space="preserve">multiplied by the </w:t>
      </w:r>
      <w:r>
        <w:rPr>
          <w:rFonts w:ascii="Times New Roman" w:hAnsi="Times New Roman" w:cs="Times New Roman"/>
          <w:b/>
          <w:bCs/>
          <w:sz w:val="24"/>
          <w:szCs w:val="24"/>
        </w:rPr>
        <w:t>Percentage of Lost Excursionists</w:t>
      </w:r>
    </w:p>
    <w:p>
      <w:pPr>
        <w:pStyle w:val="31"/>
        <w:widowControl w:val="0"/>
        <w:numPr>
          <w:ilvl w:val="1"/>
          <w:numId w:val="5"/>
        </w:num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Commercial Internal Walls Costs</w:t>
      </w:r>
      <w:r>
        <w:rPr>
          <w:rFonts w:ascii="Times New Roman" w:hAnsi="Times New Roman" w:cs="Times New Roman"/>
          <w:sz w:val="24"/>
          <w:szCs w:val="24"/>
        </w:rPr>
        <w:t>: the total cost of the damage caused by high tides to the walls of a commercial use building</w:t>
      </w:r>
    </w:p>
    <w:p>
      <w:pPr>
        <w:pStyle w:val="31"/>
        <w:widowControl w:val="0"/>
        <w:numPr>
          <w:ilvl w:val="1"/>
          <w:numId w:val="5"/>
        </w:num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Commercial External Walls Costs</w:t>
      </w:r>
      <w:r>
        <w:rPr>
          <w:rFonts w:ascii="Times New Roman" w:hAnsi="Times New Roman" w:cs="Times New Roman"/>
          <w:sz w:val="24"/>
          <w:szCs w:val="24"/>
        </w:rPr>
        <w:t>: the total cost of the damage caused by high tides to the internal walls of a commercial use building</w:t>
      </w:r>
    </w:p>
    <w:p>
      <w:pPr>
        <w:pStyle w:val="31"/>
        <w:widowControl w:val="0"/>
        <w:numPr>
          <w:ilvl w:val="1"/>
          <w:numId w:val="5"/>
        </w:num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Commercial External Walls Costs</w:t>
      </w:r>
      <w:r>
        <w:rPr>
          <w:rFonts w:ascii="Times New Roman" w:hAnsi="Times New Roman" w:cs="Times New Roman"/>
          <w:sz w:val="24"/>
          <w:szCs w:val="24"/>
        </w:rPr>
        <w:t>: the total cost of the damage caused by high tides to the external walls of a commercial use building</w:t>
      </w:r>
    </w:p>
    <w:p>
      <w:pPr>
        <w:pStyle w:val="31"/>
        <w:widowControl w:val="0"/>
        <w:numPr>
          <w:ilvl w:val="1"/>
          <w:numId w:val="5"/>
        </w:num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Commercial Internal Doors Costs</w:t>
      </w:r>
      <w:r>
        <w:rPr>
          <w:rFonts w:ascii="Times New Roman" w:hAnsi="Times New Roman" w:cs="Times New Roman"/>
          <w:sz w:val="24"/>
          <w:szCs w:val="24"/>
        </w:rPr>
        <w:t>: the total cost of the damage caused by high tides to the internal doors of a commercial use building</w:t>
      </w:r>
    </w:p>
    <w:p>
      <w:pPr>
        <w:pStyle w:val="31"/>
        <w:widowControl w:val="0"/>
        <w:numPr>
          <w:ilvl w:val="1"/>
          <w:numId w:val="5"/>
        </w:num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Commercial External Doors Costs</w:t>
      </w:r>
      <w:r>
        <w:rPr>
          <w:rFonts w:ascii="Times New Roman" w:hAnsi="Times New Roman" w:cs="Times New Roman"/>
          <w:sz w:val="24"/>
          <w:szCs w:val="24"/>
        </w:rPr>
        <w:t>: the total cost of the damage caused by high tides to the external doors of a commercial use building</w:t>
      </w:r>
    </w:p>
    <w:p>
      <w:pPr>
        <w:pStyle w:val="31"/>
        <w:widowControl w:val="0"/>
        <w:numPr>
          <w:ilvl w:val="1"/>
          <w:numId w:val="5"/>
        </w:num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Commercial Floor Costs</w:t>
      </w:r>
      <w:r>
        <w:rPr>
          <w:rFonts w:ascii="Times New Roman" w:hAnsi="Times New Roman" w:cs="Times New Roman"/>
          <w:sz w:val="24"/>
          <w:szCs w:val="24"/>
        </w:rPr>
        <w:t>: the total cost of the damage caused by high tides to the floors of a commercial use building, computed as number of commercial units affected under a certain tide height multiplied by the average floor cleaning cost for a commercial unit</w:t>
      </w:r>
    </w:p>
    <w:p>
      <w:pPr>
        <w:pStyle w:val="31"/>
        <w:widowControl w:val="0"/>
        <w:numPr>
          <w:ilvl w:val="1"/>
          <w:numId w:val="5"/>
        </w:num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Residential Internal Walls Costs</w:t>
      </w:r>
      <w:r>
        <w:rPr>
          <w:rFonts w:ascii="Times New Roman" w:hAnsi="Times New Roman" w:cs="Times New Roman"/>
          <w:sz w:val="24"/>
          <w:szCs w:val="24"/>
        </w:rPr>
        <w:t>: the total cost of the damage caused by high tides to the walls of a residential use building</w:t>
      </w:r>
    </w:p>
    <w:p>
      <w:pPr>
        <w:pStyle w:val="31"/>
        <w:widowControl w:val="0"/>
        <w:numPr>
          <w:ilvl w:val="1"/>
          <w:numId w:val="5"/>
        </w:num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Residential External Walls Costs</w:t>
      </w:r>
      <w:r>
        <w:rPr>
          <w:rFonts w:ascii="Times New Roman" w:hAnsi="Times New Roman" w:cs="Times New Roman"/>
          <w:sz w:val="24"/>
          <w:szCs w:val="24"/>
        </w:rPr>
        <w:t>: the total cost of the damage caused by high tides to the internal walls of a residential use building</w:t>
      </w:r>
    </w:p>
    <w:p>
      <w:pPr>
        <w:pStyle w:val="31"/>
        <w:widowControl w:val="0"/>
        <w:numPr>
          <w:ilvl w:val="1"/>
          <w:numId w:val="5"/>
        </w:num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Residential External Walls Costs</w:t>
      </w:r>
      <w:r>
        <w:rPr>
          <w:rFonts w:ascii="Times New Roman" w:hAnsi="Times New Roman" w:cs="Times New Roman"/>
          <w:sz w:val="24"/>
          <w:szCs w:val="24"/>
        </w:rPr>
        <w:t>: the total cost of the damage caused by high tides to the external walls of a residential use building</w:t>
      </w:r>
    </w:p>
    <w:p>
      <w:pPr>
        <w:pStyle w:val="31"/>
        <w:widowControl w:val="0"/>
        <w:numPr>
          <w:ilvl w:val="1"/>
          <w:numId w:val="5"/>
        </w:num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Residential Internal Doors Costs</w:t>
      </w:r>
      <w:r>
        <w:rPr>
          <w:rFonts w:ascii="Times New Roman" w:hAnsi="Times New Roman" w:cs="Times New Roman"/>
          <w:sz w:val="24"/>
          <w:szCs w:val="24"/>
        </w:rPr>
        <w:t>: the total cost of the damage caused by high tides to the internal doors of a residential use building</w:t>
      </w:r>
    </w:p>
    <w:p>
      <w:pPr>
        <w:pStyle w:val="31"/>
        <w:widowControl w:val="0"/>
        <w:numPr>
          <w:ilvl w:val="1"/>
          <w:numId w:val="5"/>
        </w:num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Residential External Doors Costs</w:t>
      </w:r>
      <w:r>
        <w:rPr>
          <w:rFonts w:ascii="Times New Roman" w:hAnsi="Times New Roman" w:cs="Times New Roman"/>
          <w:sz w:val="24"/>
          <w:szCs w:val="24"/>
        </w:rPr>
        <w:t>: the total cost of the damage caused by high tides to the external doors of a residential use building</w:t>
      </w:r>
    </w:p>
    <w:p>
      <w:pPr>
        <w:pStyle w:val="31"/>
        <w:widowControl w:val="0"/>
        <w:numPr>
          <w:ilvl w:val="1"/>
          <w:numId w:val="5"/>
        </w:num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Residential Floor Costs</w:t>
      </w:r>
      <w:r>
        <w:rPr>
          <w:rFonts w:ascii="Times New Roman" w:hAnsi="Times New Roman" w:cs="Times New Roman"/>
          <w:sz w:val="24"/>
          <w:szCs w:val="24"/>
        </w:rPr>
        <w:t>: the total cost of the damage caused by high tides to the floors of a residential use building, computed as number of residential units affected under a certain tide height multiplied by the average floor cleaning cost for a residential unit</w:t>
      </w:r>
    </w:p>
    <w:p>
      <w:pPr>
        <w:pStyle w:val="31"/>
        <w:widowControl w:val="0"/>
        <w:numPr>
          <w:ilvl w:val="1"/>
          <w:numId w:val="5"/>
        </w:num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Temporary Lost *Vessels*</w:t>
      </w:r>
      <w:r>
        <w:rPr>
          <w:rFonts w:ascii="Times New Roman" w:hAnsi="Times New Roman" w:cs="Times New Roman"/>
          <w:sz w:val="24"/>
          <w:szCs w:val="24"/>
        </w:rPr>
        <w:t>: number of *vessels* estimated not to come back to Venice for one year after being affected once by MoSE operations. Computed taking into account *</w:t>
      </w:r>
      <w:r>
        <w:rPr>
          <w:rFonts w:ascii="Times New Roman" w:hAnsi="Times New Roman" w:cs="Times New Roman"/>
          <w:b/>
          <w:bCs/>
          <w:sz w:val="24"/>
          <w:szCs w:val="24"/>
        </w:rPr>
        <w:t>Vessel* Return Frequency</w:t>
      </w:r>
      <w:r>
        <w:rPr>
          <w:rFonts w:ascii="Times New Roman" w:hAnsi="Times New Roman" w:cs="Times New Roman"/>
          <w:sz w:val="24"/>
          <w:szCs w:val="24"/>
        </w:rPr>
        <w:t xml:space="preserve"> and </w:t>
      </w:r>
      <w:r>
        <w:rPr>
          <w:rFonts w:ascii="Times New Roman" w:hAnsi="Times New Roman" w:cs="Times New Roman"/>
          <w:b/>
          <w:bCs/>
          <w:sz w:val="24"/>
          <w:szCs w:val="24"/>
        </w:rPr>
        <w:t>Temporary Lost *Vessels*</w:t>
      </w:r>
      <w:r>
        <w:rPr>
          <w:rFonts w:ascii="Times New Roman" w:hAnsi="Times New Roman" w:cs="Times New Roman"/>
          <w:sz w:val="24"/>
          <w:szCs w:val="24"/>
        </w:rPr>
        <w:t xml:space="preserve"> variables. Only in the case of freight *vessels*</w:t>
      </w:r>
    </w:p>
    <w:p>
      <w:pPr>
        <w:pStyle w:val="31"/>
        <w:widowControl w:val="0"/>
        <w:numPr>
          <w:ilvl w:val="1"/>
          <w:numId w:val="5"/>
        </w:num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Permanently Lost *Vessels*</w:t>
      </w:r>
      <w:r>
        <w:rPr>
          <w:rFonts w:ascii="Times New Roman" w:hAnsi="Times New Roman" w:cs="Times New Roman"/>
          <w:sz w:val="24"/>
          <w:szCs w:val="24"/>
        </w:rPr>
        <w:t>: number of *vessels* estimated not to come back to Venice forever after being affected once by MoSE operations. Computed taking into account *</w:t>
      </w:r>
      <w:r>
        <w:rPr>
          <w:rFonts w:ascii="Times New Roman" w:hAnsi="Times New Roman" w:cs="Times New Roman"/>
          <w:b/>
          <w:bCs/>
          <w:sz w:val="24"/>
          <w:szCs w:val="24"/>
        </w:rPr>
        <w:t>Vessel* Return Frequency</w:t>
      </w:r>
      <w:r>
        <w:rPr>
          <w:rFonts w:ascii="Times New Roman" w:hAnsi="Times New Roman" w:cs="Times New Roman"/>
          <w:sz w:val="24"/>
          <w:szCs w:val="24"/>
        </w:rPr>
        <w:t xml:space="preserve"> and </w:t>
      </w:r>
      <w:r>
        <w:rPr>
          <w:rFonts w:ascii="Times New Roman" w:hAnsi="Times New Roman" w:cs="Times New Roman"/>
          <w:b/>
          <w:bCs/>
          <w:sz w:val="24"/>
          <w:szCs w:val="24"/>
        </w:rPr>
        <w:t>Permanently Lost *Vessels*</w:t>
      </w:r>
      <w:r>
        <w:rPr>
          <w:rFonts w:ascii="Times New Roman" w:hAnsi="Times New Roman" w:cs="Times New Roman"/>
          <w:sz w:val="24"/>
          <w:szCs w:val="24"/>
        </w:rPr>
        <w:t xml:space="preserve"> variables. Only in the case of freight *vessels*</w:t>
      </w:r>
    </w:p>
    <w:p>
      <w:pPr>
        <w:pStyle w:val="31"/>
        <w:widowControl w:val="0"/>
        <w:numPr>
          <w:ilvl w:val="1"/>
          <w:numId w:val="5"/>
        </w:num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Daily *Vessels* Revised</w:t>
      </w:r>
      <w:r>
        <w:rPr>
          <w:rFonts w:ascii="Times New Roman" w:hAnsi="Times New Roman" w:cs="Times New Roman"/>
          <w:sz w:val="24"/>
          <w:szCs w:val="24"/>
        </w:rPr>
        <w:t>: estimated daily number of *vessels* calls to the port of Venice, according to the month, taking into account the temporary and permanent reduction (memory effects) due to the effect of MoSE operations. Only in the case of freight *vessels*</w:t>
      </w:r>
    </w:p>
    <w:p>
      <w:pPr>
        <w:pStyle w:val="31"/>
        <w:widowControl w:val="0"/>
        <w:numPr>
          <w:ilvl w:val="1"/>
          <w:numId w:val="5"/>
        </w:num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*Vessels* lost per day</w:t>
      </w:r>
      <w:r>
        <w:rPr>
          <w:rFonts w:ascii="Times New Roman" w:hAnsi="Times New Roman" w:cs="Times New Roman"/>
          <w:sz w:val="24"/>
          <w:szCs w:val="24"/>
        </w:rPr>
        <w:t xml:space="preserve">: number of *vessels* calls expected to be immediately lost due to MoSE operations, as result of the product between </w:t>
      </w:r>
      <w:r>
        <w:rPr>
          <w:rFonts w:ascii="Times New Roman" w:hAnsi="Times New Roman" w:cs="Times New Roman"/>
          <w:i/>
          <w:iCs/>
          <w:sz w:val="24"/>
          <w:szCs w:val="24"/>
        </w:rPr>
        <w:t xml:space="preserve">Daily *vessels* Revised </w:t>
      </w:r>
      <w:r>
        <w:rPr>
          <w:rFonts w:ascii="Times New Roman" w:hAnsi="Times New Roman" w:cs="Times New Roman"/>
          <w:sz w:val="24"/>
          <w:szCs w:val="24"/>
        </w:rPr>
        <w:t xml:space="preserve">and </w:t>
      </w:r>
      <w:r>
        <w:rPr>
          <w:rFonts w:ascii="Times New Roman" w:hAnsi="Times New Roman" w:cs="Times New Roman"/>
          <w:b/>
          <w:bCs/>
          <w:sz w:val="24"/>
          <w:szCs w:val="24"/>
        </w:rPr>
        <w:t>*Vessels* Lost per Closure</w:t>
      </w:r>
      <w:r>
        <w:rPr>
          <w:rFonts w:ascii="Times New Roman" w:hAnsi="Times New Roman" w:cs="Times New Roman"/>
          <w:sz w:val="24"/>
          <w:szCs w:val="24"/>
        </w:rPr>
        <w:t xml:space="preserve"> variables</w:t>
      </w:r>
    </w:p>
    <w:p>
      <w:pPr>
        <w:pStyle w:val="31"/>
        <w:widowControl w:val="0"/>
        <w:numPr>
          <w:ilvl w:val="1"/>
          <w:numId w:val="5"/>
        </w:num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*Vessel* Immediate Costs</w:t>
      </w:r>
      <w:r>
        <w:rPr>
          <w:rFonts w:ascii="Times New Roman" w:hAnsi="Times New Roman" w:cs="Times New Roman"/>
          <w:sz w:val="24"/>
          <w:szCs w:val="24"/>
        </w:rPr>
        <w:t>: total economic losses for port operators associated with the loss of expected *vessels* calls immediately following MoSE operations</w:t>
      </w:r>
    </w:p>
    <w:p>
      <w:pPr>
        <w:pStyle w:val="31"/>
        <w:widowControl w:val="0"/>
        <w:numPr>
          <w:ilvl w:val="1"/>
          <w:numId w:val="5"/>
        </w:numPr>
        <w:spacing w:line="276" w:lineRule="auto"/>
        <w:jc w:val="both"/>
        <w:rPr>
          <w:rFonts w:ascii="Times New Roman" w:hAnsi="Times New Roman" w:cs="Times New Roman"/>
          <w:i/>
          <w:iCs/>
          <w:sz w:val="24"/>
          <w:szCs w:val="24"/>
        </w:rPr>
      </w:pPr>
      <w:r>
        <w:rPr>
          <w:rFonts w:ascii="Times New Roman" w:hAnsi="Times New Roman" w:cs="Times New Roman"/>
          <w:i/>
          <w:iCs/>
          <w:sz w:val="24"/>
          <w:szCs w:val="24"/>
        </w:rPr>
        <w:t>*Vessel* Memory Costs</w:t>
      </w:r>
      <w:r>
        <w:rPr>
          <w:rFonts w:ascii="Times New Roman" w:hAnsi="Times New Roman" w:cs="Times New Roman"/>
          <w:sz w:val="24"/>
          <w:szCs w:val="24"/>
        </w:rPr>
        <w:t>: total economic losses for port operators associated with the loss of expected *vessels* due to permanent and temporary memory effects of MoSE closures</w:t>
      </w:r>
    </w:p>
    <w:p>
      <w:pPr>
        <w:pStyle w:val="31"/>
        <w:widowControl w:val="0"/>
        <w:spacing w:line="276" w:lineRule="auto"/>
        <w:ind w:left="1440"/>
        <w:jc w:val="both"/>
        <w:rPr>
          <w:rFonts w:ascii="Times New Roman" w:hAnsi="Times New Roman" w:cs="Times New Roman"/>
          <w:i/>
          <w:iCs/>
          <w:sz w:val="24"/>
          <w:szCs w:val="24"/>
        </w:rPr>
      </w:pPr>
    </w:p>
    <w:p>
      <w:pPr>
        <w:widowControl w:val="0"/>
        <w:spacing w:line="276" w:lineRule="auto"/>
        <w:jc w:val="both"/>
        <w:rPr>
          <w:rFonts w:ascii="Times New Roman" w:hAnsi="Times New Roman" w:cs="Times New Roman"/>
          <w:sz w:val="24"/>
          <w:szCs w:val="24"/>
        </w:rPr>
      </w:pPr>
      <w:r>
        <w:rPr>
          <w:rFonts w:ascii="Times New Roman" w:hAnsi="Times New Roman" w:cs="Times New Roman"/>
          <w:sz w:val="24"/>
          <w:szCs w:val="24"/>
        </w:rPr>
        <w:t>The model returns as main output the values and the statistics of the following variables:</w:t>
      </w:r>
    </w:p>
    <w:p>
      <w:pPr>
        <w:pStyle w:val="31"/>
        <w:widowControl w:val="0"/>
        <w:numPr>
          <w:ilvl w:val="0"/>
          <w:numId w:val="5"/>
        </w:numPr>
        <w:spacing w:line="276" w:lineRule="auto"/>
        <w:jc w:val="both"/>
        <w:rPr>
          <w:rFonts w:ascii="Times New Roman" w:hAnsi="Times New Roman" w:cs="Times New Roman"/>
          <w:sz w:val="24"/>
          <w:szCs w:val="24"/>
        </w:rPr>
      </w:pPr>
      <w:r>
        <w:rPr>
          <w:rFonts w:asciiTheme="majorBidi" w:hAnsiTheme="majorBidi" w:cstheme="majorBidi"/>
          <w:i/>
          <w:iCs/>
          <w:sz w:val="24"/>
          <w:szCs w:val="24"/>
        </w:rPr>
        <w:t>City costs</w:t>
      </w:r>
      <w:r>
        <w:rPr>
          <w:rFonts w:asciiTheme="majorBidi" w:hAnsiTheme="majorBidi" w:cstheme="majorBidi"/>
          <w:bCs/>
          <w:sz w:val="24"/>
          <w:szCs w:val="24"/>
        </w:rPr>
        <w:t>: stock variable whose value represents the Net Present Value (NPV) of the cumulative costs paid by the city over the years due to tides</w:t>
      </w:r>
    </w:p>
    <w:p>
      <w:pPr>
        <w:pStyle w:val="31"/>
        <w:widowControl w:val="0"/>
        <w:numPr>
          <w:ilvl w:val="0"/>
          <w:numId w:val="5"/>
        </w:numPr>
        <w:spacing w:line="276" w:lineRule="auto"/>
        <w:jc w:val="both"/>
        <w:rPr>
          <w:rFonts w:ascii="Times New Roman" w:hAnsi="Times New Roman" w:cs="Times New Roman"/>
          <w:sz w:val="24"/>
          <w:szCs w:val="24"/>
        </w:rPr>
      </w:pPr>
      <w:r>
        <w:rPr>
          <w:rFonts w:asciiTheme="majorBidi" w:hAnsiTheme="majorBidi" w:cstheme="majorBidi"/>
          <w:i/>
          <w:iCs/>
          <w:sz w:val="24"/>
          <w:szCs w:val="24"/>
        </w:rPr>
        <w:t>Port costs</w:t>
      </w:r>
      <w:r>
        <w:rPr>
          <w:rFonts w:asciiTheme="majorBidi" w:hAnsiTheme="majorBidi" w:cstheme="majorBidi"/>
          <w:bCs/>
          <w:sz w:val="24"/>
          <w:szCs w:val="24"/>
        </w:rPr>
        <w:t>: stock variable whose value represents the NPV of the cumulative costs paid by the port over the years due to MoSE operations</w:t>
      </w:r>
    </w:p>
    <w:p>
      <w:pPr>
        <w:pStyle w:val="31"/>
        <w:widowControl w:val="0"/>
        <w:numPr>
          <w:ilvl w:val="0"/>
          <w:numId w:val="5"/>
        </w:numPr>
        <w:spacing w:line="276" w:lineRule="auto"/>
        <w:jc w:val="both"/>
        <w:rPr>
          <w:rFonts w:ascii="Times New Roman" w:hAnsi="Times New Roman" w:cs="Times New Roman"/>
          <w:sz w:val="24"/>
          <w:szCs w:val="24"/>
        </w:rPr>
      </w:pPr>
      <w:r>
        <w:rPr>
          <w:rFonts w:ascii="Times New Roman" w:hAnsi="Times New Roman" w:cs="Times New Roman"/>
          <w:i/>
          <w:iCs/>
          <w:sz w:val="24"/>
          <w:szCs w:val="24"/>
        </w:rPr>
        <w:t>City Avoided costs</w:t>
      </w:r>
      <w:r>
        <w:rPr>
          <w:rFonts w:asciiTheme="majorBidi" w:hAnsiTheme="majorBidi" w:cstheme="majorBidi"/>
          <w:bCs/>
          <w:sz w:val="24"/>
          <w:szCs w:val="24"/>
        </w:rPr>
        <w:t xml:space="preserve">: stock variable whose value represents the NPV of the cumulative costs avoided to the city by MoSE operations over the years, considering </w:t>
      </w:r>
    </w:p>
    <w:p>
      <w:pPr>
        <w:pStyle w:val="31"/>
        <w:widowControl w:val="0"/>
        <w:numPr>
          <w:ilvl w:val="0"/>
          <w:numId w:val="5"/>
        </w:numPr>
        <w:spacing w:line="276" w:lineRule="auto"/>
        <w:jc w:val="both"/>
        <w:rPr>
          <w:rFonts w:ascii="Times New Roman" w:hAnsi="Times New Roman" w:cs="Times New Roman"/>
          <w:sz w:val="24"/>
          <w:szCs w:val="24"/>
        </w:rPr>
      </w:pPr>
      <w:r>
        <w:rPr>
          <w:rFonts w:ascii="Times New Roman" w:hAnsi="Times New Roman" w:cs="Times New Roman"/>
          <w:i/>
          <w:iCs/>
          <w:sz w:val="24"/>
          <w:szCs w:val="24"/>
        </w:rPr>
        <w:t>City avoided costs subs Closures</w:t>
      </w:r>
      <w:r>
        <w:rPr>
          <w:rFonts w:ascii="Times New Roman" w:hAnsi="Times New Roman" w:cs="Times New Roman"/>
          <w:sz w:val="24"/>
          <w:szCs w:val="24"/>
        </w:rPr>
        <w:t xml:space="preserve">: </w:t>
      </w:r>
      <w:r>
        <w:rPr>
          <w:rFonts w:asciiTheme="majorBidi" w:hAnsiTheme="majorBidi" w:cstheme="majorBidi"/>
          <w:sz w:val="24"/>
          <w:szCs w:val="24"/>
        </w:rPr>
        <w:t xml:space="preserve">stock variable whose value represents the NPV of the cumulative costs avoided to the city by MoSE operations over the years, considering only once the </w:t>
      </w:r>
      <w:r>
        <w:rPr>
          <w:rFonts w:ascii="Times New Roman" w:hAnsi="Times New Roman" w:cs="Times New Roman"/>
          <w:b/>
          <w:bCs/>
          <w:sz w:val="24"/>
          <w:szCs w:val="24"/>
        </w:rPr>
        <w:t>Cost per closure</w:t>
      </w:r>
      <w:r>
        <w:rPr>
          <w:rFonts w:asciiTheme="majorBidi" w:hAnsiTheme="majorBidi" w:cstheme="majorBidi"/>
          <w:sz w:val="24"/>
          <w:szCs w:val="24"/>
        </w:rPr>
        <w:t xml:space="preserve"> in the case of subsequent closures</w:t>
      </w:r>
    </w:p>
    <w:p>
      <w:pPr>
        <w:pStyle w:val="31"/>
        <w:widowControl w:val="0"/>
        <w:numPr>
          <w:ilvl w:val="0"/>
          <w:numId w:val="5"/>
        </w:numPr>
        <w:spacing w:line="276" w:lineRule="auto"/>
        <w:jc w:val="both"/>
        <w:rPr>
          <w:rFonts w:asciiTheme="majorBidi" w:hAnsiTheme="majorBidi" w:cstheme="majorBidi"/>
          <w:sz w:val="24"/>
          <w:szCs w:val="24"/>
        </w:rPr>
      </w:pPr>
      <w:r>
        <w:rPr>
          <w:rFonts w:ascii="Times New Roman" w:hAnsi="Times New Roman" w:cs="Times New Roman"/>
          <w:i/>
          <w:iCs/>
          <w:sz w:val="24"/>
          <w:szCs w:val="24"/>
        </w:rPr>
        <w:t>Total costs</w:t>
      </w:r>
      <w:r>
        <w:rPr>
          <w:rFonts w:ascii="Times New Roman" w:hAnsi="Times New Roman" w:cs="Times New Roman"/>
          <w:sz w:val="24"/>
          <w:szCs w:val="24"/>
        </w:rPr>
        <w:t xml:space="preserve">: sum of </w:t>
      </w:r>
      <w:r>
        <w:rPr>
          <w:rFonts w:ascii="Times New Roman" w:hAnsi="Times New Roman" w:cs="Times New Roman"/>
          <w:i/>
          <w:iCs/>
          <w:sz w:val="24"/>
          <w:szCs w:val="24"/>
        </w:rPr>
        <w:t>City costs</w:t>
      </w:r>
      <w:r>
        <w:rPr>
          <w:rFonts w:ascii="Times New Roman" w:hAnsi="Times New Roman" w:cs="Times New Roman"/>
          <w:sz w:val="24"/>
          <w:szCs w:val="24"/>
        </w:rPr>
        <w:t xml:space="preserve"> and </w:t>
      </w:r>
      <w:r>
        <w:rPr>
          <w:rFonts w:asciiTheme="majorBidi" w:hAnsiTheme="majorBidi" w:cstheme="majorBidi"/>
          <w:i/>
          <w:iCs/>
          <w:sz w:val="24"/>
          <w:szCs w:val="24"/>
        </w:rPr>
        <w:t>Port costs</w:t>
      </w:r>
      <w:r>
        <w:rPr>
          <w:rFonts w:asciiTheme="majorBidi" w:hAnsiTheme="majorBidi" w:cstheme="majorBidi"/>
          <w:sz w:val="24"/>
          <w:szCs w:val="24"/>
        </w:rPr>
        <w:t xml:space="preserve"> to represent the final costs for the city</w:t>
      </w:r>
    </w:p>
    <w:p>
      <w:pPr>
        <w:pStyle w:val="31"/>
        <w:widowControl w:val="0"/>
        <w:numPr>
          <w:ilvl w:val="0"/>
          <w:numId w:val="5"/>
        </w:numPr>
        <w:spacing w:line="276" w:lineRule="auto"/>
        <w:jc w:val="both"/>
        <w:rPr>
          <w:rFonts w:ascii="Times New Roman" w:hAnsi="Times New Roman" w:cs="Times New Roman"/>
          <w:sz w:val="24"/>
          <w:szCs w:val="24"/>
        </w:rPr>
      </w:pPr>
      <w:r>
        <w:rPr>
          <w:rFonts w:asciiTheme="majorBidi" w:hAnsiTheme="majorBidi" w:cstheme="majorBidi"/>
          <w:i/>
          <w:iCs/>
          <w:sz w:val="24"/>
          <w:szCs w:val="24"/>
        </w:rPr>
        <w:t>Closures</w:t>
      </w:r>
      <w:r>
        <w:rPr>
          <w:rFonts w:asciiTheme="majorBidi" w:hAnsiTheme="majorBidi" w:cstheme="majorBidi"/>
          <w:sz w:val="24"/>
          <w:szCs w:val="24"/>
        </w:rPr>
        <w:t>: stock variable accumulating the total number of MoSE closure within one year</w:t>
      </w:r>
    </w:p>
    <w:p>
      <w:pPr>
        <w:pStyle w:val="31"/>
        <w:widowControl w:val="0"/>
        <w:numPr>
          <w:ilvl w:val="0"/>
          <w:numId w:val="5"/>
        </w:numPr>
        <w:spacing w:line="276" w:lineRule="auto"/>
        <w:jc w:val="both"/>
        <w:rPr>
          <w:rFonts w:ascii="Times New Roman" w:hAnsi="Times New Roman" w:cs="Times New Roman"/>
          <w:sz w:val="24"/>
          <w:szCs w:val="24"/>
        </w:rPr>
      </w:pPr>
      <w:r>
        <w:rPr>
          <w:rFonts w:ascii="Times New Roman" w:hAnsi="Times New Roman" w:eastAsia="Times New Roman" w:cs="Times New Roman"/>
          <w:i/>
          <w:iCs/>
          <w:sz w:val="24"/>
          <w:szCs w:val="24"/>
          <w:lang w:eastAsia="es-ES"/>
        </w:rPr>
        <w:t>Lost tourists</w:t>
      </w:r>
      <w:r>
        <w:rPr>
          <w:rFonts w:ascii="Times New Roman" w:hAnsi="Times New Roman" w:eastAsia="Times New Roman" w:cs="Times New Roman"/>
          <w:sz w:val="24"/>
          <w:szCs w:val="24"/>
          <w:lang w:eastAsia="es-ES"/>
        </w:rPr>
        <w:t>: stock variable accumulating the number of tourists lost due to high tides</w:t>
      </w:r>
    </w:p>
    <w:p>
      <w:pPr>
        <w:pStyle w:val="31"/>
        <w:widowControl w:val="0"/>
        <w:numPr>
          <w:ilvl w:val="0"/>
          <w:numId w:val="5"/>
        </w:numPr>
        <w:spacing w:line="276" w:lineRule="auto"/>
        <w:jc w:val="both"/>
        <w:rPr>
          <w:rFonts w:ascii="Times New Roman" w:hAnsi="Times New Roman" w:cs="Times New Roman"/>
          <w:sz w:val="24"/>
          <w:szCs w:val="24"/>
        </w:rPr>
      </w:pPr>
      <w:r>
        <w:rPr>
          <w:rFonts w:ascii="Times New Roman" w:hAnsi="Times New Roman" w:eastAsia="Times New Roman" w:cs="Times New Roman"/>
          <w:i/>
          <w:iCs/>
          <w:sz w:val="24"/>
          <w:szCs w:val="24"/>
          <w:lang w:eastAsia="es-ES"/>
        </w:rPr>
        <w:t>Lost Excursionists</w:t>
      </w:r>
      <w:r>
        <w:rPr>
          <w:rFonts w:ascii="Times New Roman" w:hAnsi="Times New Roman" w:eastAsia="Times New Roman" w:cs="Times New Roman"/>
          <w:sz w:val="24"/>
          <w:szCs w:val="24"/>
          <w:lang w:eastAsia="es-ES"/>
        </w:rPr>
        <w:t>: stock variable accumulating the number of excursionists lost due to high tides</w:t>
      </w:r>
    </w:p>
    <w:p>
      <w:pPr>
        <w:pStyle w:val="31"/>
        <w:widowControl w:val="0"/>
        <w:numPr>
          <w:ilvl w:val="0"/>
          <w:numId w:val="5"/>
        </w:numPr>
        <w:spacing w:line="276" w:lineRule="auto"/>
        <w:jc w:val="both"/>
        <w:rPr>
          <w:rFonts w:ascii="Times New Roman" w:hAnsi="Times New Roman" w:cs="Times New Roman"/>
          <w:sz w:val="24"/>
          <w:szCs w:val="24"/>
        </w:rPr>
      </w:pPr>
      <w:r>
        <w:rPr>
          <w:rFonts w:ascii="Times New Roman" w:hAnsi="Times New Roman" w:cs="Times New Roman"/>
          <w:i/>
          <w:iCs/>
          <w:sz w:val="24"/>
          <w:szCs w:val="24"/>
        </w:rPr>
        <w:t>Cumulated Tourist Costs</w:t>
      </w:r>
      <w:r>
        <w:rPr>
          <w:rFonts w:ascii="Times New Roman" w:hAnsi="Times New Roman" w:cs="Times New Roman"/>
          <w:sz w:val="24"/>
          <w:szCs w:val="24"/>
        </w:rPr>
        <w:t xml:space="preserve">: stock variable whose value represents </w:t>
      </w:r>
      <w:r>
        <w:rPr>
          <w:rFonts w:asciiTheme="majorBidi" w:hAnsiTheme="majorBidi" w:cstheme="majorBidi"/>
          <w:sz w:val="24"/>
          <w:szCs w:val="24"/>
        </w:rPr>
        <w:t>the NPV of</w:t>
      </w:r>
      <w:r>
        <w:rPr>
          <w:rFonts w:ascii="Times New Roman" w:hAnsi="Times New Roman" w:cs="Times New Roman"/>
          <w:sz w:val="24"/>
          <w:szCs w:val="24"/>
        </w:rPr>
        <w:t xml:space="preserve"> total economic losses due to high tides for the tourism sector. Considering both the number of excursionists and of tourists lost and their average expenditure</w:t>
      </w:r>
    </w:p>
    <w:p>
      <w:pPr>
        <w:pStyle w:val="31"/>
        <w:widowControl w:val="0"/>
        <w:numPr>
          <w:ilvl w:val="0"/>
          <w:numId w:val="5"/>
        </w:numPr>
        <w:spacing w:line="276" w:lineRule="auto"/>
        <w:jc w:val="both"/>
        <w:rPr>
          <w:rFonts w:ascii="Times New Roman" w:hAnsi="Times New Roman" w:cs="Times New Roman"/>
          <w:sz w:val="24"/>
          <w:szCs w:val="24"/>
        </w:rPr>
      </w:pPr>
      <w:r>
        <w:rPr>
          <w:rFonts w:ascii="Times New Roman" w:hAnsi="Times New Roman" w:cs="Times New Roman"/>
          <w:i/>
          <w:iCs/>
          <w:sz w:val="24"/>
          <w:szCs w:val="24"/>
        </w:rPr>
        <w:t>Cumulated Population Costs</w:t>
      </w:r>
      <w:r>
        <w:rPr>
          <w:rFonts w:ascii="Times New Roman" w:hAnsi="Times New Roman" w:cs="Times New Roman"/>
          <w:sz w:val="24"/>
          <w:szCs w:val="24"/>
        </w:rPr>
        <w:t xml:space="preserve">: stock variable whose value represent </w:t>
      </w:r>
      <w:r>
        <w:rPr>
          <w:rFonts w:asciiTheme="majorBidi" w:hAnsiTheme="majorBidi" w:cstheme="majorBidi"/>
          <w:sz w:val="24"/>
          <w:szCs w:val="24"/>
        </w:rPr>
        <w:t>the NPV of costs for assistance to elderly and children due to high tides</w:t>
      </w:r>
    </w:p>
    <w:p>
      <w:pPr>
        <w:pStyle w:val="31"/>
        <w:widowControl w:val="0"/>
        <w:numPr>
          <w:ilvl w:val="0"/>
          <w:numId w:val="5"/>
        </w:numPr>
        <w:spacing w:line="276" w:lineRule="auto"/>
        <w:jc w:val="both"/>
        <w:rPr>
          <w:rFonts w:ascii="Times New Roman" w:hAnsi="Times New Roman" w:cs="Times New Roman"/>
          <w:sz w:val="24"/>
          <w:szCs w:val="24"/>
        </w:rPr>
      </w:pPr>
      <w:r>
        <w:rPr>
          <w:rFonts w:ascii="Times New Roman" w:hAnsi="Times New Roman" w:cs="Times New Roman"/>
          <w:i/>
          <w:iCs/>
          <w:sz w:val="24"/>
          <w:szCs w:val="24"/>
        </w:rPr>
        <w:t>Cumulated Commercial Costs</w:t>
      </w:r>
      <w:r>
        <w:rPr>
          <w:rFonts w:ascii="Times New Roman" w:hAnsi="Times New Roman" w:cs="Times New Roman"/>
          <w:sz w:val="24"/>
          <w:szCs w:val="24"/>
        </w:rPr>
        <w:t xml:space="preserve">: stock variable whose value represent </w:t>
      </w:r>
      <w:r>
        <w:rPr>
          <w:rFonts w:asciiTheme="majorBidi" w:hAnsiTheme="majorBidi" w:cstheme="majorBidi"/>
          <w:sz w:val="24"/>
          <w:szCs w:val="24"/>
        </w:rPr>
        <w:t>the NPV of costs for restoration of commercial use buildings due to high tides</w:t>
      </w:r>
    </w:p>
    <w:p>
      <w:pPr>
        <w:pStyle w:val="31"/>
        <w:widowControl w:val="0"/>
        <w:numPr>
          <w:ilvl w:val="0"/>
          <w:numId w:val="5"/>
        </w:numPr>
        <w:spacing w:line="276" w:lineRule="auto"/>
        <w:jc w:val="both"/>
        <w:rPr>
          <w:rFonts w:ascii="Times New Roman" w:hAnsi="Times New Roman" w:cs="Times New Roman"/>
          <w:sz w:val="24"/>
          <w:szCs w:val="24"/>
        </w:rPr>
      </w:pPr>
      <w:r>
        <w:rPr>
          <w:rFonts w:ascii="Times New Roman" w:hAnsi="Times New Roman" w:cs="Times New Roman"/>
          <w:i/>
          <w:iCs/>
          <w:sz w:val="24"/>
          <w:szCs w:val="24"/>
        </w:rPr>
        <w:t>Cumulated Residential Costs</w:t>
      </w:r>
      <w:r>
        <w:rPr>
          <w:rFonts w:ascii="Times New Roman" w:hAnsi="Times New Roman" w:cs="Times New Roman"/>
          <w:sz w:val="24"/>
          <w:szCs w:val="24"/>
        </w:rPr>
        <w:t xml:space="preserve">: stock variable whose value represent </w:t>
      </w:r>
      <w:r>
        <w:rPr>
          <w:rFonts w:asciiTheme="majorBidi" w:hAnsiTheme="majorBidi" w:cstheme="majorBidi"/>
          <w:sz w:val="24"/>
          <w:szCs w:val="24"/>
        </w:rPr>
        <w:t>the NPV of costs for restoration of residential use buildings due to high tides</w:t>
      </w:r>
    </w:p>
    <w:p>
      <w:pPr>
        <w:pStyle w:val="31"/>
        <w:widowControl w:val="0"/>
        <w:numPr>
          <w:ilvl w:val="0"/>
          <w:numId w:val="5"/>
        </w:numPr>
        <w:spacing w:line="276" w:lineRule="auto"/>
        <w:jc w:val="both"/>
        <w:rPr>
          <w:rFonts w:asciiTheme="majorBidi" w:hAnsiTheme="majorBidi" w:cstheme="majorBidi"/>
          <w:i/>
          <w:iCs/>
          <w:sz w:val="24"/>
          <w:szCs w:val="24"/>
        </w:rPr>
      </w:pPr>
      <w:r>
        <w:rPr>
          <w:rFonts w:ascii="Times New Roman" w:hAnsi="Times New Roman" w:cs="Times New Roman"/>
          <w:i/>
          <w:iCs/>
          <w:sz w:val="24"/>
          <w:szCs w:val="24"/>
        </w:rPr>
        <w:t>Cumulated *Vessel* Costs</w:t>
      </w:r>
      <w:r>
        <w:rPr>
          <w:rFonts w:ascii="Times New Roman" w:hAnsi="Times New Roman" w:cs="Times New Roman"/>
          <w:sz w:val="24"/>
          <w:szCs w:val="24"/>
        </w:rPr>
        <w:t xml:space="preserve">: </w:t>
      </w:r>
      <w:r>
        <w:rPr>
          <w:rFonts w:asciiTheme="majorBidi" w:hAnsiTheme="majorBidi" w:cstheme="majorBidi"/>
          <w:sz w:val="24"/>
          <w:szCs w:val="24"/>
        </w:rPr>
        <w:t xml:space="preserve">stock variable whose value represent the NPV of the cumulative costs paid by port operators over the years due to the loss of *vessel* calls. Four different cumulated stocks are computed for the four different macro-groups of vessels and aggregated in the final stock variable </w:t>
      </w:r>
      <w:r>
        <w:rPr>
          <w:rFonts w:asciiTheme="majorBidi" w:hAnsiTheme="majorBidi" w:cstheme="majorBidi"/>
          <w:i/>
          <w:iCs/>
          <w:sz w:val="24"/>
          <w:szCs w:val="24"/>
        </w:rPr>
        <w:t>Port costs</w:t>
      </w:r>
    </w:p>
    <w:p>
      <w:pPr>
        <w:widowControl w:val="0"/>
        <w:spacing w:line="276" w:lineRule="auto"/>
        <w:jc w:val="both"/>
        <w:rPr>
          <w:rFonts w:ascii="Times New Roman" w:hAnsi="Times New Roman" w:cs="Times New Roman"/>
          <w:sz w:val="24"/>
          <w:szCs w:val="24"/>
        </w:rPr>
      </w:pPr>
    </w:p>
    <w:p>
      <w:pPr>
        <w:pStyle w:val="3"/>
        <w:keepNext w:val="0"/>
        <w:keepLines w:val="0"/>
        <w:widowControl w:val="0"/>
        <w:jc w:val="both"/>
        <w:rPr>
          <w:b/>
          <w:bCs/>
        </w:rPr>
      </w:pPr>
      <w:bookmarkStart w:id="4" w:name="_Toc121130332"/>
      <w:bookmarkStart w:id="5" w:name="_Toc156227478"/>
      <w:r>
        <w:rPr>
          <w:b/>
          <w:bCs/>
        </w:rPr>
        <w:t>THE MoSE MANAGEMENT</w:t>
      </w:r>
      <w:bookmarkEnd w:id="4"/>
      <w:r>
        <w:rPr>
          <w:b/>
          <w:bCs/>
        </w:rPr>
        <w:t xml:space="preserve"> MODULE</w:t>
      </w:r>
      <w:bookmarkEnd w:id="5"/>
    </w:p>
    <w:p>
      <w:pPr>
        <w:widowControl w:val="0"/>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The MoSE management module (reported in Figure 2 of the main paper) operates on </w:t>
      </w:r>
      <w:r>
        <w:rPr>
          <w:rFonts w:ascii="Times New Roman" w:hAnsi="Times New Roman" w:cs="Times New Roman"/>
          <w:b/>
          <w:bCs/>
          <w:sz w:val="24"/>
          <w:szCs w:val="24"/>
        </w:rPr>
        <w:t>Lagoon Water Levels</w:t>
      </w:r>
      <w:r>
        <w:rPr>
          <w:rFonts w:ascii="Times New Roman" w:hAnsi="Times New Roman" w:cs="Times New Roman"/>
          <w:sz w:val="24"/>
          <w:szCs w:val="24"/>
        </w:rPr>
        <w:t>, that is a record of lagoon water levels data on the two daily maximum and minimum values of the tides. Its parameters were calibrated using the tide data from 1983 to 2021 that was retrieved from Venice municipality’s official website at the monitoring station of Venezia-Punta della Salute</w:t>
      </w:r>
      <w:r>
        <w:rPr>
          <w:rFonts w:ascii="Times New Roman" w:hAnsi="Times New Roman" w:cs="Times New Roman"/>
          <w:sz w:val="24"/>
          <w:szCs w:val="24"/>
          <w:vertAlign w:val="superscript"/>
        </w:rPr>
        <w:footnoteReference w:id="1"/>
      </w:r>
      <w:r>
        <w:rPr>
          <w:rFonts w:ascii="Times New Roman" w:hAnsi="Times New Roman" w:cs="Times New Roman"/>
          <w:sz w:val="24"/>
          <w:szCs w:val="24"/>
        </w:rPr>
        <w:t>. In general, the records show 4 observations per day: two high tides and two low tides. In some cases, interference with meteorological conditions may alter the tidal cycle, either prolonging or shrinking the 6-hour intervals and thus resulting in three or five values per day. In order to have a consistent time series with four values (time steps) per day, the time series has been consolidated as follows</w:t>
      </w:r>
      <w:r>
        <w:rPr>
          <w:rStyle w:val="17"/>
          <w:rFonts w:ascii="Times New Roman" w:hAnsi="Times New Roman" w:cs="Times New Roman"/>
          <w:sz w:val="24"/>
          <w:szCs w:val="24"/>
        </w:rPr>
        <w:footnoteReference w:id="2"/>
      </w:r>
      <w:r>
        <w:rPr>
          <w:rFonts w:ascii="Times New Roman" w:hAnsi="Times New Roman" w:cs="Times New Roman"/>
          <w:sz w:val="24"/>
          <w:szCs w:val="24"/>
        </w:rPr>
        <w:t>:</w:t>
      </w:r>
    </w:p>
    <w:p>
      <w:pPr>
        <w:pStyle w:val="31"/>
        <w:widowControl w:val="0"/>
        <w:numPr>
          <w:ilvl w:val="0"/>
          <w:numId w:val="6"/>
        </w:numPr>
        <w:jc w:val="both"/>
        <w:rPr>
          <w:rFonts w:ascii="Times New Roman" w:hAnsi="Times New Roman" w:cs="Times New Roman"/>
          <w:sz w:val="24"/>
          <w:szCs w:val="24"/>
        </w:rPr>
      </w:pPr>
      <w:r>
        <w:rPr>
          <w:rFonts w:ascii="Times New Roman" w:hAnsi="Times New Roman" w:cs="Times New Roman"/>
          <w:sz w:val="24"/>
          <w:szCs w:val="24"/>
        </w:rPr>
        <w:t>for days with more than four observations, only the two actual maxima and minima have been selected,</w:t>
      </w:r>
    </w:p>
    <w:p>
      <w:pPr>
        <w:pStyle w:val="31"/>
        <w:widowControl w:val="0"/>
        <w:numPr>
          <w:ilvl w:val="0"/>
          <w:numId w:val="6"/>
        </w:numPr>
        <w:jc w:val="both"/>
        <w:rPr>
          <w:rFonts w:ascii="Times New Roman" w:hAnsi="Times New Roman" w:cs="Times New Roman"/>
          <w:sz w:val="24"/>
          <w:szCs w:val="24"/>
        </w:rPr>
      </w:pPr>
      <w:r>
        <w:rPr>
          <w:rFonts w:ascii="Times New Roman" w:hAnsi="Times New Roman" w:cs="Times New Roman"/>
          <w:sz w:val="24"/>
          <w:szCs w:val="24"/>
        </w:rPr>
        <w:t>for days with less than four observations, values were included approximately every six hours using linear interpolation on the immediate previous and following observations.</w:t>
      </w:r>
    </w:p>
    <w:p>
      <w:pPr>
        <w:widowControl w:val="0"/>
        <w:jc w:val="both"/>
        <w:rPr>
          <w:rFonts w:ascii="Times New Roman" w:hAnsi="Times New Roman" w:cs="Times New Roman"/>
          <w:sz w:val="24"/>
          <w:szCs w:val="24"/>
        </w:rPr>
      </w:pPr>
      <w:r>
        <w:rPr>
          <w:rFonts w:ascii="Times New Roman" w:hAnsi="Times New Roman" w:cs="Times New Roman"/>
          <w:sz w:val="24"/>
          <w:szCs w:val="24"/>
        </w:rPr>
        <w:t>Three different datasets were generated, to be used for the different simulations:</w:t>
      </w:r>
    </w:p>
    <w:p>
      <w:pPr>
        <w:pStyle w:val="31"/>
        <w:widowControl w:val="0"/>
        <w:numPr>
          <w:ilvl w:val="0"/>
          <w:numId w:val="6"/>
        </w:numPr>
        <w:jc w:val="both"/>
        <w:rPr>
          <w:rFonts w:ascii="Times New Roman" w:hAnsi="Times New Roman" w:cs="Times New Roman"/>
          <w:sz w:val="24"/>
          <w:szCs w:val="24"/>
        </w:rPr>
      </w:pPr>
      <w:r>
        <w:rPr>
          <w:rFonts w:ascii="Times New Roman" w:hAnsi="Times New Roman" w:cs="Times New Roman"/>
          <w:sz w:val="24"/>
          <w:szCs w:val="24"/>
        </w:rPr>
        <w:t>Historical records, for preliminary sensitivity analysis and calibration. These comprise all the data from January 1983 to September 2020. Thus excluding data after October 2020, when the MoSE started its operations (3</w:t>
      </w:r>
      <w:r>
        <w:rPr>
          <w:rFonts w:ascii="Times New Roman" w:hAnsi="Times New Roman" w:cs="Times New Roman"/>
          <w:sz w:val="24"/>
          <w:szCs w:val="24"/>
          <w:vertAlign w:val="superscript"/>
        </w:rPr>
        <w:t>rd</w:t>
      </w:r>
      <w:r>
        <w:rPr>
          <w:rFonts w:ascii="Times New Roman" w:hAnsi="Times New Roman" w:cs="Times New Roman"/>
          <w:sz w:val="24"/>
          <w:szCs w:val="24"/>
        </w:rPr>
        <w:t xml:space="preserve"> October 2020).</w:t>
      </w:r>
    </w:p>
    <w:p>
      <w:pPr>
        <w:pStyle w:val="31"/>
        <w:widowControl w:val="0"/>
        <w:numPr>
          <w:ilvl w:val="0"/>
          <w:numId w:val="6"/>
        </w:numPr>
        <w:jc w:val="both"/>
        <w:rPr>
          <w:rFonts w:ascii="Times New Roman" w:hAnsi="Times New Roman" w:cs="Times New Roman"/>
          <w:sz w:val="24"/>
          <w:szCs w:val="24"/>
        </w:rPr>
      </w:pPr>
      <w:r>
        <w:rPr>
          <w:rFonts w:ascii="Times New Roman" w:hAnsi="Times New Roman" w:cs="Times New Roman"/>
          <w:sz w:val="24"/>
          <w:szCs w:val="24"/>
        </w:rPr>
        <w:t>Year 2019, to evaluate the damages due to the extraordinary high tide events of November, for model validation purposes, as we could rely on the quantified damage estimates provided by the municipal administration.</w:t>
      </w:r>
    </w:p>
    <w:p>
      <w:pPr>
        <w:pStyle w:val="31"/>
        <w:widowControl w:val="0"/>
        <w:numPr>
          <w:ilvl w:val="0"/>
          <w:numId w:val="7"/>
        </w:numPr>
        <w:jc w:val="both"/>
        <w:rPr>
          <w:rFonts w:ascii="Times New Roman" w:hAnsi="Times New Roman" w:cs="Times New Roman"/>
          <w:sz w:val="24"/>
          <w:szCs w:val="24"/>
        </w:rPr>
      </w:pPr>
      <w:r>
        <w:rPr>
          <w:rFonts w:ascii="Times New Roman" w:hAnsi="Times New Roman" w:cs="Times New Roman"/>
          <w:sz w:val="24"/>
          <w:szCs w:val="24"/>
        </w:rPr>
        <w:t>Two synthetic time series to simulate the sea level trend under the different scenarios. The original time series from 1996 to 2021 (26-year time series) was segmented in annual records, which have been randomly combined to form a new 78-year time series (from 2021 to 2100). The new time series was then used for generating the synthetic series of the two climate change scenarios by adding expected trends of average sea level, according to the following formula, calculated from the projections of relative sea level rise found in Lionello et al. (2021)</w:t>
      </w:r>
      <w:r>
        <w:rPr>
          <w:rStyle w:val="17"/>
          <w:rFonts w:ascii="Times New Roman" w:hAnsi="Times New Roman" w:cs="Times New Roman"/>
          <w:sz w:val="24"/>
          <w:szCs w:val="24"/>
        </w:rPr>
        <w:footnoteReference w:id="3"/>
      </w:r>
      <w:r>
        <w:rPr>
          <w:rFonts w:ascii="Times New Roman" w:hAnsi="Times New Roman" w:cs="Times New Roman"/>
          <w:sz w:val="24"/>
          <w:szCs w:val="24"/>
        </w:rPr>
        <w:t>:</w:t>
      </w:r>
    </w:p>
    <w:p>
      <w:pPr>
        <w:pStyle w:val="31"/>
        <w:widowControl w:val="0"/>
        <w:ind w:left="1080"/>
        <w:jc w:val="both"/>
        <w:rPr>
          <w:rFonts w:ascii="Times New Roman" w:hAnsi="Times New Roman" w:cs="Times New Roman"/>
        </w:rPr>
      </w:pPr>
    </w:p>
    <w:p>
      <w:pPr>
        <w:pStyle w:val="31"/>
        <w:widowControl w:val="0"/>
        <w:numPr>
          <w:ilvl w:val="0"/>
          <w:numId w:val="8"/>
        </w:numPr>
        <w:jc w:val="center"/>
        <w:rPr>
          <w:rFonts w:ascii="Times New Roman" w:hAnsi="Times New Roman" w:cs="Times New Roman" w:eastAsiaTheme="minorEastAsia"/>
          <w:sz w:val="28"/>
          <w:szCs w:val="28"/>
        </w:rPr>
      </w:pPr>
      <m:oMath>
        <m:r>
          <m:rPr/>
          <w:rPr>
            <w:rFonts w:ascii="Cambria Math" w:hAnsi="Cambria Math" w:cs="Times New Roman"/>
            <w:sz w:val="28"/>
            <w:szCs w:val="28"/>
          </w:rPr>
          <m:t>f</m:t>
        </m:r>
        <m:d>
          <m:dPr>
            <m:ctrlPr>
              <w:rPr>
                <w:rFonts w:ascii="Cambria Math" w:hAnsi="Cambria Math" w:cs="Times New Roman"/>
                <w:i/>
                <w:sz w:val="28"/>
                <w:szCs w:val="28"/>
              </w:rPr>
            </m:ctrlPr>
          </m:dPr>
          <m:e>
            <m:r>
              <m:rPr/>
              <w:rPr>
                <w:rFonts w:ascii="Cambria Math" w:hAnsi="Cambria Math" w:cs="Times New Roman"/>
                <w:sz w:val="28"/>
                <w:szCs w:val="28"/>
              </w:rPr>
              <m:t>n</m:t>
            </m:r>
            <m:ctrlPr>
              <w:rPr>
                <w:rFonts w:ascii="Cambria Math" w:hAnsi="Cambria Math" w:cs="Times New Roman"/>
                <w:i/>
                <w:sz w:val="28"/>
                <w:szCs w:val="28"/>
              </w:rPr>
            </m:ctrlPr>
          </m:e>
        </m:d>
        <m:r>
          <m:rPr/>
          <w:rPr>
            <w:rFonts w:ascii="Cambria Math" w:hAnsi="Cambria Math" w:cs="Times New Roman"/>
            <w:sz w:val="28"/>
            <w:szCs w:val="28"/>
          </w:rPr>
          <m:t>= a+b×</m:t>
        </m:r>
        <m:sSup>
          <m:sSupPr>
            <m:ctrlPr>
              <w:rPr>
                <w:rFonts w:ascii="Cambria Math" w:hAnsi="Cambria Math" w:cs="Times New Roman"/>
                <w:i/>
                <w:sz w:val="28"/>
                <w:szCs w:val="28"/>
              </w:rPr>
            </m:ctrlPr>
          </m:sSupPr>
          <m:e>
            <m:r>
              <m:rPr/>
              <w:rPr>
                <w:rFonts w:ascii="Cambria Math" w:hAnsi="Cambria Math" w:cs="Times New Roman"/>
                <w:sz w:val="28"/>
                <w:szCs w:val="28"/>
              </w:rPr>
              <m:t>e</m:t>
            </m:r>
            <m:ctrlPr>
              <w:rPr>
                <w:rFonts w:ascii="Cambria Math" w:hAnsi="Cambria Math" w:cs="Times New Roman"/>
                <w:i/>
                <w:sz w:val="28"/>
                <w:szCs w:val="28"/>
              </w:rPr>
            </m:ctrlPr>
          </m:e>
          <m:sup>
            <m:r>
              <m:rPr/>
              <w:rPr>
                <w:rFonts w:ascii="Cambria Math" w:hAnsi="Cambria Math" w:cs="Times New Roman"/>
                <w:sz w:val="28"/>
                <w:szCs w:val="28"/>
              </w:rPr>
              <m:t>rn</m:t>
            </m:r>
            <m:ctrlPr>
              <w:rPr>
                <w:rFonts w:ascii="Cambria Math" w:hAnsi="Cambria Math" w:cs="Times New Roman"/>
                <w:i/>
                <w:sz w:val="28"/>
                <w:szCs w:val="28"/>
              </w:rPr>
            </m:ctrlPr>
          </m:sup>
        </m:sSup>
      </m:oMath>
    </w:p>
    <w:p>
      <w:pPr>
        <w:widowControl w:val="0"/>
        <w:ind w:left="360"/>
        <w:jc w:val="both"/>
        <w:rPr>
          <w:rFonts w:ascii="Times New Roman" w:hAnsi="Times New Roman" w:cs="Times New Roman" w:eastAsiaTheme="minorEastAsia"/>
          <w:sz w:val="24"/>
          <w:szCs w:val="24"/>
        </w:rPr>
      </w:pPr>
      <w:r>
        <w:rPr>
          <w:rFonts w:ascii="Times New Roman" w:hAnsi="Times New Roman" w:cs="Times New Roman"/>
          <w:sz w:val="24"/>
          <w:szCs w:val="24"/>
        </w:rPr>
        <w:t xml:space="preserve">Where </w:t>
      </w:r>
      <m:oMath>
        <m:r>
          <m:rPr/>
          <w:rPr>
            <w:rFonts w:ascii="Cambria Math" w:hAnsi="Cambria Math" w:cs="Times New Roman"/>
            <w:sz w:val="24"/>
            <w:szCs w:val="24"/>
          </w:rPr>
          <m:t>a</m:t>
        </m:r>
      </m:oMath>
      <w:r>
        <w:rPr>
          <w:rFonts w:ascii="Times New Roman" w:hAnsi="Times New Roman" w:cs="Times New Roman" w:eastAsiaTheme="minorEastAsia"/>
          <w:sz w:val="24"/>
          <w:szCs w:val="24"/>
        </w:rPr>
        <w:t xml:space="preserve">, </w:t>
      </w:r>
      <m:oMath>
        <m:r>
          <m:rPr/>
          <w:rPr>
            <w:rFonts w:ascii="Cambria Math" w:hAnsi="Cambria Math" w:cs="Times New Roman" w:eastAsiaTheme="minorEastAsia"/>
            <w:sz w:val="24"/>
            <w:szCs w:val="24"/>
          </w:rPr>
          <m:t>b</m:t>
        </m:r>
      </m:oMath>
      <w:r>
        <w:rPr>
          <w:rFonts w:ascii="Times New Roman" w:hAnsi="Times New Roman" w:cs="Times New Roman" w:eastAsiaTheme="minorEastAsia"/>
          <w:sz w:val="24"/>
          <w:szCs w:val="24"/>
        </w:rPr>
        <w:t xml:space="preserve"> and </w:t>
      </w:r>
      <m:oMath>
        <m:r>
          <m:rPr/>
          <w:rPr>
            <w:rFonts w:ascii="Cambria Math" w:hAnsi="Cambria Math" w:cs="Times New Roman" w:eastAsiaTheme="minorEastAsia"/>
            <w:sz w:val="24"/>
            <w:szCs w:val="24"/>
          </w:rPr>
          <m:t>r</m:t>
        </m:r>
      </m:oMath>
      <w:r>
        <w:rPr>
          <w:rFonts w:ascii="Times New Roman" w:hAnsi="Times New Roman" w:cs="Times New Roman" w:eastAsiaTheme="minorEastAsia"/>
          <w:sz w:val="24"/>
          <w:szCs w:val="24"/>
        </w:rPr>
        <w:t xml:space="preserve"> are parameters and </w:t>
      </w:r>
      <m:oMath>
        <m:r>
          <m:rPr/>
          <w:rPr>
            <w:rFonts w:ascii="Cambria Math" w:hAnsi="Cambria Math" w:cs="Times New Roman" w:eastAsiaTheme="minorEastAsia"/>
            <w:sz w:val="24"/>
            <w:szCs w:val="24"/>
          </w:rPr>
          <m:t>n</m:t>
        </m:r>
      </m:oMath>
      <w:r>
        <w:rPr>
          <w:rFonts w:ascii="Times New Roman" w:hAnsi="Times New Roman" w:cs="Times New Roman" w:eastAsiaTheme="minorEastAsia"/>
          <w:sz w:val="24"/>
          <w:szCs w:val="24"/>
        </w:rPr>
        <w:t xml:space="preserve"> is the number of years between 2023 and the year considered</w:t>
      </w:r>
      <w:r>
        <w:rPr>
          <w:rStyle w:val="17"/>
          <w:rFonts w:ascii="Times New Roman" w:hAnsi="Times New Roman" w:cs="Times New Roman" w:eastAsiaTheme="minorEastAsia"/>
          <w:sz w:val="24"/>
          <w:szCs w:val="24"/>
        </w:rPr>
        <w:footnoteReference w:id="4"/>
      </w:r>
      <w:r>
        <w:rPr>
          <w:rFonts w:ascii="Times New Roman" w:hAnsi="Times New Roman" w:cs="Times New Roman" w:eastAsiaTheme="minorEastAsia"/>
          <w:sz w:val="24"/>
          <w:szCs w:val="24"/>
        </w:rPr>
        <w:t>. This operation allowed to account for sea-level rise while retaining the information on the seasonality of tides.</w:t>
      </w:r>
    </w:p>
    <w:p>
      <w:pPr>
        <w:widowControl w:val="0"/>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At each time steps the model applies a forecast error to the scenario data sets as a random noise varying within the +/- </w:t>
      </w:r>
      <w:r>
        <w:rPr>
          <w:rFonts w:ascii="Times New Roman" w:hAnsi="Times New Roman" w:cs="Times New Roman"/>
          <w:b/>
          <w:sz w:val="24"/>
          <w:szCs w:val="24"/>
        </w:rPr>
        <w:t>Tide Forecast Accuracy</w:t>
      </w:r>
      <w:r>
        <w:rPr>
          <w:rFonts w:ascii="Times New Roman" w:hAnsi="Times New Roman" w:cs="Times New Roman"/>
          <w:sz w:val="24"/>
          <w:szCs w:val="24"/>
        </w:rPr>
        <w:t xml:space="preserve"> interval. Each time the resulting forecast is above the predefined closure level, the MoSE system is activated. This procedure mimics the current criteria adopted by the competent administration to decide upon the MoSE operations. The </w:t>
      </w:r>
      <w:r>
        <w:rPr>
          <w:rFonts w:ascii="Times New Roman" w:hAnsi="Times New Roman" w:cs="Times New Roman"/>
          <w:b/>
          <w:bCs/>
          <w:sz w:val="24"/>
          <w:szCs w:val="24"/>
        </w:rPr>
        <w:t>Cost per closure</w:t>
      </w:r>
      <w:r>
        <w:rPr>
          <w:rFonts w:ascii="Times New Roman" w:hAnsi="Times New Roman" w:cs="Times New Roman"/>
          <w:sz w:val="24"/>
          <w:szCs w:val="24"/>
        </w:rPr>
        <w:t xml:space="preserve"> is accounted as a lumped sum of energy and labor costs, following informal communications from the competent administration, but does not consider the total annual maintenance cost, because it is still unknown.</w:t>
      </w:r>
    </w:p>
    <w:p>
      <w:pPr>
        <w:jc w:val="both"/>
        <w:rPr>
          <w:rFonts w:ascii="Times New Roman" w:hAnsi="Times New Roman" w:cs="Times New Roman"/>
          <w:sz w:val="24"/>
          <w:szCs w:val="24"/>
        </w:rPr>
      </w:pPr>
      <w:r>
        <w:rPr>
          <w:rFonts w:asciiTheme="majorBidi" w:hAnsiTheme="majorBidi" w:cstheme="majorBidi"/>
          <w:sz w:val="24"/>
          <w:szCs w:val="24"/>
          <w:lang w:val="en-GB"/>
        </w:rPr>
        <w:t xml:space="preserve">The MoSE barriers remain closed when sequences of water levels (either high or low tides) exceed the MoSE activation water level threshold, as observed during the first two years of operation.  </w:t>
      </w:r>
      <w:r>
        <w:rPr>
          <w:rFonts w:ascii="Times New Roman" w:hAnsi="Times New Roman" w:cs="Times New Roman"/>
          <w:sz w:val="24"/>
          <w:szCs w:val="24"/>
        </w:rPr>
        <w:t xml:space="preserve">In terms of damage calculation, each of these prolonged closures is regarded as a single event. To account for the occurrence of these events, a specific variable memorizing costs, named </w:t>
      </w:r>
      <w:r>
        <w:rPr>
          <w:rFonts w:ascii="Times New Roman" w:hAnsi="Times New Roman" w:cs="Times New Roman"/>
          <w:i/>
          <w:iCs/>
          <w:sz w:val="24"/>
          <w:szCs w:val="24"/>
        </w:rPr>
        <w:t>City avoided costs subs Closures</w:t>
      </w:r>
      <w:r>
        <w:rPr>
          <w:rFonts w:ascii="Times New Roman" w:hAnsi="Times New Roman" w:cs="Times New Roman"/>
          <w:sz w:val="24"/>
          <w:szCs w:val="24"/>
        </w:rPr>
        <w:t xml:space="preserve">, was included. </w:t>
      </w:r>
    </w:p>
    <w:p>
      <w:pPr>
        <w:widowControl w:val="0"/>
        <w:jc w:val="both"/>
        <w:rPr>
          <w:rFonts w:ascii="Times New Roman" w:hAnsi="Times New Roman" w:cs="Times New Roman"/>
          <w:i/>
          <w:iCs/>
          <w:sz w:val="24"/>
          <w:szCs w:val="24"/>
        </w:rPr>
      </w:pPr>
      <w:r>
        <w:rPr>
          <w:rFonts w:ascii="Times New Roman" w:hAnsi="Times New Roman" w:cs="Times New Roman"/>
          <w:sz w:val="24"/>
          <w:szCs w:val="24"/>
        </w:rPr>
        <w:t>When the variable</w:t>
      </w:r>
      <w:r>
        <w:rPr>
          <w:rFonts w:ascii="Times New Roman" w:hAnsi="Times New Roman" w:cs="Times New Roman"/>
          <w:b/>
          <w:bCs/>
          <w:sz w:val="24"/>
          <w:szCs w:val="24"/>
        </w:rPr>
        <w:t xml:space="preserve"> </w:t>
      </w:r>
      <w:r>
        <w:rPr>
          <w:rFonts w:ascii="Times New Roman" w:hAnsi="Times New Roman" w:cs="Times New Roman"/>
          <w:i/>
          <w:iCs/>
          <w:sz w:val="24"/>
          <w:szCs w:val="24"/>
        </w:rPr>
        <w:t>MoSE Operation</w:t>
      </w:r>
      <w:r>
        <w:rPr>
          <w:rFonts w:ascii="Times New Roman" w:hAnsi="Times New Roman" w:cs="Times New Roman"/>
          <w:sz w:val="24"/>
          <w:szCs w:val="24"/>
        </w:rPr>
        <w:t xml:space="preserve"> is equal to 1 for more than one consecutive time step, the </w:t>
      </w:r>
      <w:r>
        <w:rPr>
          <w:rFonts w:ascii="Times New Roman" w:hAnsi="Times New Roman" w:cs="Times New Roman"/>
          <w:i/>
          <w:iCs/>
          <w:sz w:val="24"/>
          <w:szCs w:val="24"/>
        </w:rPr>
        <w:t>Potential city damages</w:t>
      </w:r>
      <w:r>
        <w:rPr>
          <w:rFonts w:ascii="Times New Roman" w:hAnsi="Times New Roman" w:cs="Times New Roman"/>
          <w:b/>
          <w:bCs/>
          <w:sz w:val="24"/>
          <w:szCs w:val="24"/>
        </w:rPr>
        <w:t xml:space="preserve"> </w:t>
      </w:r>
      <w:r>
        <w:rPr>
          <w:rFonts w:ascii="Times New Roman" w:hAnsi="Times New Roman" w:cs="Times New Roman"/>
          <w:sz w:val="24"/>
          <w:szCs w:val="24"/>
        </w:rPr>
        <w:t xml:space="preserve">are assessed iteratively computed and memorized in the variable </w:t>
      </w:r>
      <w:r>
        <w:rPr>
          <w:rFonts w:ascii="Times New Roman" w:hAnsi="Times New Roman" w:cs="Times New Roman"/>
          <w:i/>
          <w:iCs/>
          <w:sz w:val="24"/>
          <w:szCs w:val="24"/>
        </w:rPr>
        <w:t>Max damage subs closure</w:t>
      </w:r>
      <w:r>
        <w:rPr>
          <w:rFonts w:ascii="Times New Roman" w:hAnsi="Times New Roman" w:cs="Times New Roman"/>
          <w:sz w:val="24"/>
          <w:szCs w:val="24"/>
        </w:rPr>
        <w:t xml:space="preserve">. Then, the model ensures that this value is added only once to the final </w:t>
      </w:r>
      <w:r>
        <w:rPr>
          <w:rFonts w:ascii="Times New Roman" w:hAnsi="Times New Roman" w:cs="Times New Roman"/>
          <w:i/>
          <w:iCs/>
          <w:sz w:val="24"/>
          <w:szCs w:val="24"/>
        </w:rPr>
        <w:t>City avoided costs subs closures</w:t>
      </w:r>
      <w:r>
        <w:rPr>
          <w:rFonts w:ascii="Times New Roman" w:hAnsi="Times New Roman" w:cs="Times New Roman"/>
          <w:sz w:val="24"/>
          <w:szCs w:val="24"/>
        </w:rPr>
        <w:t xml:space="preserve"> stock variable. For every time step of closure, being it subsequent or not, the MoSE </w:t>
      </w:r>
      <w:r>
        <w:rPr>
          <w:rFonts w:ascii="Times New Roman" w:hAnsi="Times New Roman" w:cs="Times New Roman"/>
          <w:b/>
          <w:bCs/>
          <w:sz w:val="24"/>
          <w:szCs w:val="24"/>
        </w:rPr>
        <w:t xml:space="preserve">Cost per closure </w:t>
      </w:r>
      <w:r>
        <w:rPr>
          <w:rFonts w:ascii="Times New Roman" w:hAnsi="Times New Roman" w:cs="Times New Roman"/>
          <w:sz w:val="24"/>
          <w:szCs w:val="24"/>
        </w:rPr>
        <w:t xml:space="preserve">is considered and therefore subtracted from the absolute values of the </w:t>
      </w:r>
      <w:r>
        <w:rPr>
          <w:rFonts w:ascii="Times New Roman" w:hAnsi="Times New Roman" w:cs="Times New Roman"/>
          <w:i/>
          <w:iCs/>
          <w:sz w:val="24"/>
          <w:szCs w:val="24"/>
        </w:rPr>
        <w:t>City Avoided costs</w:t>
      </w:r>
      <w:r>
        <w:rPr>
          <w:rFonts w:ascii="Times New Roman" w:hAnsi="Times New Roman" w:cs="Times New Roman"/>
          <w:b/>
          <w:bCs/>
          <w:sz w:val="24"/>
          <w:szCs w:val="24"/>
        </w:rPr>
        <w:t xml:space="preserve"> </w:t>
      </w:r>
      <w:r>
        <w:rPr>
          <w:rFonts w:ascii="Times New Roman" w:hAnsi="Times New Roman" w:cs="Times New Roman"/>
          <w:sz w:val="24"/>
          <w:szCs w:val="24"/>
        </w:rPr>
        <w:t xml:space="preserve">and </w:t>
      </w:r>
      <w:r>
        <w:rPr>
          <w:rFonts w:ascii="Times New Roman" w:hAnsi="Times New Roman" w:cs="Times New Roman"/>
          <w:i/>
          <w:iCs/>
          <w:sz w:val="24"/>
          <w:szCs w:val="24"/>
        </w:rPr>
        <w:t>City avoided costs subs closures</w:t>
      </w:r>
      <w:r>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to take into account the energy and labor costs of the persisting closures.</w:t>
      </w:r>
      <w:r>
        <w:rPr>
          <w:rFonts w:ascii="Times New Roman" w:hAnsi="Times New Roman" w:cs="Times New Roman"/>
          <w:b/>
          <w:bCs/>
          <w:sz w:val="24"/>
          <w:szCs w:val="24"/>
        </w:rPr>
        <w:t xml:space="preserve"> </w:t>
      </w:r>
      <w:r>
        <w:rPr>
          <w:rFonts w:ascii="Times New Roman" w:hAnsi="Times New Roman" w:cs="Times New Roman"/>
          <w:i/>
          <w:iCs/>
          <w:sz w:val="24"/>
          <w:szCs w:val="24"/>
        </w:rPr>
        <w:t xml:space="preserve">City avoided costs subs closures </w:t>
      </w:r>
      <w:r>
        <w:rPr>
          <w:rFonts w:ascii="Times New Roman" w:hAnsi="Times New Roman" w:cs="Times New Roman"/>
          <w:sz w:val="24"/>
          <w:szCs w:val="24"/>
        </w:rPr>
        <w:t xml:space="preserve">can thus be compared with </w:t>
      </w:r>
      <w:r>
        <w:rPr>
          <w:rFonts w:ascii="Times New Roman" w:hAnsi="Times New Roman" w:cs="Times New Roman"/>
          <w:i/>
          <w:iCs/>
          <w:sz w:val="24"/>
          <w:szCs w:val="24"/>
        </w:rPr>
        <w:t>City costs</w:t>
      </w:r>
      <w:r>
        <w:rPr>
          <w:rFonts w:ascii="Times New Roman" w:hAnsi="Times New Roman" w:cs="Times New Roman"/>
          <w:sz w:val="24"/>
          <w:szCs w:val="24"/>
        </w:rPr>
        <w:t>.</w:t>
      </w:r>
      <w:r>
        <w:rPr>
          <w:lang w:eastAsia="it-IT"/>
        </w:rPr>
        <w:t xml:space="preserve"> </w:t>
      </w:r>
    </w:p>
    <w:p>
      <w:pPr>
        <w:widowControl w:val="0"/>
        <w:jc w:val="center"/>
        <w:rPr>
          <w:rFonts w:ascii="Times New Roman" w:hAnsi="Times New Roman" w:cs="Times New Roman"/>
          <w:b/>
          <w:sz w:val="24"/>
          <w:szCs w:val="24"/>
        </w:rPr>
      </w:pPr>
      <w:r>
        <w:rPr>
          <w:lang w:val="it-IT" w:eastAsia="it-IT"/>
        </w:rPr>
        <w:drawing>
          <wp:inline distT="0" distB="0" distL="0" distR="0">
            <wp:extent cx="4572000" cy="2743200"/>
            <wp:effectExtent l="0" t="0" r="0" b="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magine 19"/>
                    <pic:cNvPicPr preferRelativeResize="0">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4572000" cy="2743200"/>
                    </a:xfrm>
                    <a:prstGeom prst="rect">
                      <a:avLst/>
                    </a:prstGeom>
                    <a:noFill/>
                  </pic:spPr>
                </pic:pic>
              </a:graphicData>
            </a:graphic>
          </wp:inline>
        </w:drawing>
      </w:r>
    </w:p>
    <w:p>
      <w:pPr>
        <w:pStyle w:val="9"/>
        <w:widowControl w:val="0"/>
        <w:jc w:val="center"/>
        <w:rPr>
          <w:rFonts w:ascii="Times New Roman" w:hAnsi="Times New Roman"/>
          <w:b w:val="0"/>
          <w:i/>
          <w:lang w:val="en-US"/>
        </w:rPr>
      </w:pPr>
      <w:r>
        <w:rPr>
          <w:rFonts w:ascii="Times New Roman" w:hAnsi="Times New Roman"/>
          <w:b w:val="0"/>
          <w:i/>
          <w:lang w:val="en-US"/>
        </w:rPr>
        <w:t>Fig A.1 Expected number of time steps of subsequent closures according to four different scenarios resulting from the combination of two climatic scenarios (Rcp 2.6 and 8.5) and two closure levels (110 and 130 cm).</w:t>
      </w:r>
    </w:p>
    <w:p>
      <w:pPr>
        <w:rPr>
          <w:lang w:eastAsia="de-DE"/>
        </w:rPr>
      </w:pPr>
    </w:p>
    <w:p>
      <w:pPr>
        <w:pStyle w:val="3"/>
        <w:keepNext w:val="0"/>
        <w:keepLines w:val="0"/>
        <w:widowControl w:val="0"/>
        <w:rPr>
          <w:b/>
        </w:rPr>
      </w:pPr>
      <w:bookmarkStart w:id="6" w:name="_Toc121130333"/>
      <w:bookmarkStart w:id="7" w:name="_Toc156227479"/>
      <w:r>
        <w:rPr>
          <w:b/>
        </w:rPr>
        <w:t>THE CITY</w:t>
      </w:r>
      <w:bookmarkEnd w:id="6"/>
      <w:r>
        <w:rPr>
          <w:b/>
        </w:rPr>
        <w:t xml:space="preserve"> MODULE</w:t>
      </w:r>
      <w:bookmarkEnd w:id="7"/>
    </w:p>
    <w:bookmarkEnd w:id="1"/>
    <w:p>
      <w:pPr>
        <w:widowControl w:val="0"/>
        <w:spacing w:line="276" w:lineRule="auto"/>
        <w:jc w:val="both"/>
        <w:rPr>
          <w:rFonts w:ascii="Times New Roman" w:hAnsi="Times New Roman" w:cs="Times New Roman"/>
          <w:sz w:val="24"/>
          <w:szCs w:val="24"/>
        </w:rPr>
      </w:pPr>
      <w:r>
        <w:rPr>
          <w:rFonts w:ascii="Times New Roman" w:hAnsi="Times New Roman" w:cs="Times New Roman"/>
          <w:sz w:val="24"/>
          <w:szCs w:val="24"/>
        </w:rPr>
        <w:t>This module was used to assess (i) the impact of high tide events on tourism activities (i.e., on the number of tourists and excursionists) and (ii) the impact of tides higher than 120 cm on the population (young and elderly). Moreover, it was used to investigate the impact of different water levels on buildings (including walls and doors), and floors.</w:t>
      </w:r>
    </w:p>
    <w:p>
      <w:pPr>
        <w:widowControl w:val="0"/>
        <w:spacing w:line="276" w:lineRule="auto"/>
        <w:jc w:val="both"/>
        <w:rPr>
          <w:rFonts w:asciiTheme="majorBidi" w:hAnsiTheme="majorBidi" w:cstheme="majorBidi"/>
          <w:sz w:val="24"/>
          <w:szCs w:val="24"/>
        </w:rPr>
      </w:pPr>
      <w:r>
        <w:rPr>
          <w:rFonts w:ascii="Times New Roman" w:hAnsi="Times New Roman" w:cs="Times New Roman"/>
          <w:sz w:val="24"/>
          <w:szCs w:val="24"/>
        </w:rPr>
        <w:t xml:space="preserve">If MoSE operates, the model adds its </w:t>
      </w:r>
      <w:r>
        <w:rPr>
          <w:rFonts w:ascii="Times New Roman" w:hAnsi="Times New Roman" w:cs="Times New Roman"/>
          <w:b/>
          <w:bCs/>
          <w:sz w:val="24"/>
          <w:szCs w:val="24"/>
        </w:rPr>
        <w:t>Cost per closure</w:t>
      </w:r>
      <w:r>
        <w:rPr>
          <w:rFonts w:ascii="Times New Roman" w:hAnsi="Times New Roman" w:cs="Times New Roman"/>
          <w:sz w:val="24"/>
          <w:szCs w:val="24"/>
        </w:rPr>
        <w:t xml:space="preserve"> to the </w:t>
      </w:r>
      <w:r>
        <w:rPr>
          <w:rFonts w:ascii="Times New Roman" w:hAnsi="Times New Roman" w:cs="Times New Roman"/>
          <w:i/>
          <w:iCs/>
          <w:sz w:val="24"/>
          <w:szCs w:val="24"/>
        </w:rPr>
        <w:t>Total costs</w:t>
      </w:r>
      <w:r>
        <w:rPr>
          <w:rFonts w:ascii="Times New Roman" w:hAnsi="Times New Roman" w:cs="Times New Roman"/>
          <w:sz w:val="24"/>
          <w:szCs w:val="24"/>
        </w:rPr>
        <w:t xml:space="preserve"> stock variable while the </w:t>
      </w:r>
      <w:r>
        <w:rPr>
          <w:rFonts w:ascii="Times New Roman" w:hAnsi="Times New Roman" w:cs="Times New Roman"/>
          <w:i/>
          <w:iCs/>
          <w:sz w:val="24"/>
          <w:szCs w:val="24"/>
        </w:rPr>
        <w:t>Potential city damages</w:t>
      </w:r>
      <w:r>
        <w:rPr>
          <w:rFonts w:ascii="Times New Roman" w:hAnsi="Times New Roman" w:cs="Times New Roman"/>
          <w:sz w:val="24"/>
          <w:szCs w:val="24"/>
        </w:rPr>
        <w:t xml:space="preserve"> are added to the </w:t>
      </w:r>
      <w:r>
        <w:rPr>
          <w:rFonts w:ascii="Times New Roman" w:hAnsi="Times New Roman" w:cs="Times New Roman"/>
          <w:i/>
          <w:iCs/>
          <w:sz w:val="24"/>
          <w:szCs w:val="24"/>
        </w:rPr>
        <w:t>City Avoided costs</w:t>
      </w:r>
      <w:r>
        <w:rPr>
          <w:rFonts w:ascii="Times New Roman" w:hAnsi="Times New Roman" w:cs="Times New Roman"/>
          <w:b/>
          <w:bCs/>
          <w:sz w:val="24"/>
          <w:szCs w:val="24"/>
        </w:rPr>
        <w:t xml:space="preserve"> </w:t>
      </w:r>
      <w:r>
        <w:rPr>
          <w:rFonts w:ascii="Times New Roman" w:hAnsi="Times New Roman" w:cs="Times New Roman"/>
          <w:sz w:val="24"/>
          <w:szCs w:val="24"/>
        </w:rPr>
        <w:t>stock variable. Otherwise, if the MoSE system is not activated, the</w:t>
      </w:r>
      <w:r>
        <w:rPr>
          <w:rFonts w:ascii="Times New Roman" w:hAnsi="Times New Roman" w:cs="Times New Roman"/>
          <w:b/>
          <w:bCs/>
          <w:sz w:val="24"/>
          <w:szCs w:val="24"/>
        </w:rPr>
        <w:t xml:space="preserve"> </w:t>
      </w:r>
      <w:r>
        <w:rPr>
          <w:rFonts w:ascii="Times New Roman" w:hAnsi="Times New Roman" w:cs="Times New Roman"/>
          <w:i/>
          <w:iCs/>
          <w:sz w:val="24"/>
          <w:szCs w:val="24"/>
        </w:rPr>
        <w:t xml:space="preserve">Potential city damages </w:t>
      </w:r>
      <w:r>
        <w:rPr>
          <w:rFonts w:ascii="Times New Roman" w:hAnsi="Times New Roman" w:cs="Times New Roman"/>
          <w:sz w:val="24"/>
          <w:szCs w:val="24"/>
        </w:rPr>
        <w:t>are a</w:t>
      </w:r>
      <w:r>
        <w:rPr>
          <w:rFonts w:asciiTheme="majorBidi" w:hAnsiTheme="majorBidi" w:cstheme="majorBidi"/>
          <w:sz w:val="24"/>
          <w:szCs w:val="24"/>
        </w:rPr>
        <w:t xml:space="preserve">dded to the </w:t>
      </w:r>
      <w:r>
        <w:rPr>
          <w:rFonts w:asciiTheme="majorBidi" w:hAnsiTheme="majorBidi" w:cstheme="majorBidi"/>
          <w:i/>
          <w:iCs/>
          <w:sz w:val="24"/>
          <w:szCs w:val="24"/>
        </w:rPr>
        <w:t>City costs</w:t>
      </w:r>
      <w:r>
        <w:rPr>
          <w:rFonts w:asciiTheme="majorBidi" w:hAnsiTheme="majorBidi" w:cstheme="majorBidi"/>
          <w:sz w:val="24"/>
          <w:szCs w:val="24"/>
        </w:rPr>
        <w:t xml:space="preserve">, and therefore also to the </w:t>
      </w:r>
      <w:r>
        <w:rPr>
          <w:rFonts w:asciiTheme="majorBidi" w:hAnsiTheme="majorBidi" w:cstheme="majorBidi"/>
          <w:i/>
          <w:iCs/>
          <w:sz w:val="24"/>
          <w:szCs w:val="24"/>
        </w:rPr>
        <w:t>Total costs</w:t>
      </w:r>
      <w:r>
        <w:rPr>
          <w:rFonts w:asciiTheme="majorBidi" w:hAnsiTheme="majorBidi" w:cstheme="majorBidi"/>
          <w:sz w:val="24"/>
          <w:szCs w:val="24"/>
        </w:rPr>
        <w:t>.</w:t>
      </w:r>
    </w:p>
    <w:p>
      <w:pPr>
        <w:widowControl w:val="0"/>
        <w:spacing w:after="0" w:line="276" w:lineRule="auto"/>
        <w:jc w:val="both"/>
        <w:rPr>
          <w:rFonts w:ascii="Times New Roman" w:hAnsi="Times New Roman" w:eastAsia="Times New Roman" w:cs="Times New Roman"/>
          <w:sz w:val="24"/>
          <w:szCs w:val="24"/>
          <w:lang w:eastAsia="es-ES"/>
        </w:rPr>
      </w:pPr>
    </w:p>
    <w:p>
      <w:pPr>
        <w:pStyle w:val="4"/>
        <w:keepNext w:val="0"/>
        <w:keepLines w:val="0"/>
        <w:widowControl w:val="0"/>
      </w:pPr>
      <w:bookmarkStart w:id="8" w:name="_Toc121130334"/>
      <w:bookmarkStart w:id="9" w:name="_Toc156227480"/>
      <w:r>
        <w:t>TOURISM</w:t>
      </w:r>
      <w:bookmarkEnd w:id="8"/>
      <w:bookmarkEnd w:id="9"/>
      <w:bookmarkStart w:id="10" w:name="_Hlk99704655"/>
      <w:bookmarkStart w:id="11" w:name="_Hlk99647707"/>
      <w:bookmarkStart w:id="12" w:name="_Hlk99646993"/>
      <w:bookmarkStart w:id="13" w:name="_Hlk99704543"/>
    </w:p>
    <w:p>
      <w:pPr>
        <w:widowControl w:val="0"/>
      </w:pPr>
    </w:p>
    <w:p>
      <w:pPr>
        <w:widowControl w:val="0"/>
      </w:pPr>
      <w:r>
        <w:rPr>
          <w:lang w:val="it-IT" w:eastAsia="it-IT"/>
        </w:rPr>
        <w:drawing>
          <wp:inline distT="0" distB="0" distL="0" distR="0">
            <wp:extent cx="6224270" cy="2080260"/>
            <wp:effectExtent l="0" t="0" r="5080" b="0"/>
            <wp:docPr id="490214098" name="Immagine 1" descr="Immagine che contiene testo, Carattere, line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214098" name="Immagine 1" descr="Immagine che contiene testo, Carattere, linea, schermata&#10;&#10;Descrizione generata automaticamente"/>
                    <pic:cNvPicPr>
                      <a:picLocks noChangeAspect="1"/>
                    </pic:cNvPicPr>
                  </pic:nvPicPr>
                  <pic:blipFill>
                    <a:blip r:embed="rId10"/>
                    <a:stretch>
                      <a:fillRect/>
                    </a:stretch>
                  </pic:blipFill>
                  <pic:spPr>
                    <a:xfrm>
                      <a:off x="0" y="0"/>
                      <a:ext cx="6224400" cy="2080800"/>
                    </a:xfrm>
                    <a:prstGeom prst="rect">
                      <a:avLst/>
                    </a:prstGeom>
                  </pic:spPr>
                </pic:pic>
              </a:graphicData>
            </a:graphic>
          </wp:inline>
        </w:drawing>
      </w:r>
    </w:p>
    <w:p>
      <w:pPr>
        <w:pStyle w:val="9"/>
        <w:widowControl w:val="0"/>
        <w:jc w:val="center"/>
        <w:rPr>
          <w:rFonts w:ascii="Times New Roman" w:hAnsi="Times New Roman"/>
          <w:b w:val="0"/>
          <w:i/>
          <w:lang w:val="en-US"/>
        </w:rPr>
      </w:pPr>
      <w:r>
        <w:rPr>
          <w:rFonts w:ascii="Times New Roman" w:hAnsi="Times New Roman"/>
          <w:b w:val="0"/>
          <w:i/>
          <w:lang w:val="en-US"/>
        </w:rPr>
        <w:t>Fig A.2 Tourism stock and flow diagram</w:t>
      </w:r>
    </w:p>
    <w:p>
      <w:pPr>
        <w:widowControl w:val="0"/>
        <w:rPr>
          <w:lang w:eastAsia="de-DE"/>
        </w:rPr>
      </w:pPr>
    </w:p>
    <w:p>
      <w:pPr>
        <w:widowControl w:val="0"/>
        <w:jc w:val="both"/>
        <w:rPr>
          <w:rFonts w:ascii="Times New Roman" w:hAnsi="Times New Roman" w:cs="Times New Roman"/>
          <w:sz w:val="24"/>
          <w:szCs w:val="24"/>
        </w:rPr>
      </w:pPr>
      <w:r>
        <w:rPr>
          <w:rFonts w:ascii="Times New Roman" w:hAnsi="Times New Roman" w:cs="Times New Roman"/>
          <w:sz w:val="24"/>
          <w:szCs w:val="24"/>
        </w:rPr>
        <w:t>Following Fontini et al. (2010)</w:t>
      </w:r>
      <w:r>
        <w:rPr>
          <w:rStyle w:val="17"/>
          <w:rFonts w:ascii="Times New Roman" w:hAnsi="Times New Roman" w:cs="Times New Roman"/>
          <w:sz w:val="24"/>
          <w:szCs w:val="24"/>
        </w:rPr>
        <w:footnoteReference w:id="5"/>
      </w:r>
      <w:r>
        <w:rPr>
          <w:rFonts w:ascii="Times New Roman" w:hAnsi="Times New Roman" w:cs="Times New Roman"/>
          <w:sz w:val="24"/>
          <w:szCs w:val="24"/>
        </w:rPr>
        <w:t>, we considered the effect of tide on tourism activities and we estimated the loss in tourists’ expenditures associated with high tide episodes. In our model we considered only water level events above 140 cm, because empirical evidence shows that the impacts on tourists depend on the information available in the media, which is usually provided only in cases of exceptional high levels, i.e., when the tide exceeds 140 cm. Given that the impacts typically consist in cancellations of planned trips to the city, which persist for some weeks after the extreme event, we adopted the following model:</w:t>
      </w:r>
      <w:bookmarkEnd w:id="10"/>
    </w:p>
    <w:bookmarkEnd w:id="11"/>
    <w:bookmarkEnd w:id="12"/>
    <w:p>
      <w:pPr>
        <w:pStyle w:val="31"/>
        <w:widowControl w:val="0"/>
        <w:numPr>
          <w:ilvl w:val="0"/>
          <w:numId w:val="8"/>
        </w:numPr>
        <w:jc w:val="center"/>
        <w:rPr>
          <w:rFonts w:ascii="Times New Roman" w:hAnsi="Times New Roman" w:eastAsia="Cambria Math" w:cs="Times New Roman"/>
          <w:sz w:val="24"/>
          <w:szCs w:val="24"/>
          <w:lang w:eastAsia="es-ES"/>
        </w:rPr>
      </w:pPr>
      <m:oMath>
        <m:sSub>
          <w:bookmarkStart w:id="14" w:name="_Hlk99704702"/>
          <m:sSubPr>
            <m:ctrlPr>
              <w:rPr>
                <w:rFonts w:ascii="Cambria Math" w:hAnsi="Cambria Math" w:eastAsia="Cambria Math" w:cs="Times New Roman"/>
                <w:sz w:val="24"/>
                <w:szCs w:val="24"/>
                <w:lang w:eastAsia="es-ES"/>
              </w:rPr>
            </m:ctrlPr>
          </m:sSubPr>
          <m:e>
            <m:r>
              <m:rPr>
                <m:sty m:val="p"/>
              </m:rPr>
              <w:rPr>
                <w:rFonts w:ascii="Cambria Math" w:hAnsi="Cambria Math" w:eastAsia="Cambria Math" w:cs="Times New Roman"/>
                <w:sz w:val="24"/>
                <w:szCs w:val="24"/>
                <w:lang w:eastAsia="es-ES"/>
              </w:rPr>
              <m:t>ln⁡</m:t>
            </m:r>
            <m:r>
              <m:rPr/>
              <w:rPr>
                <w:rFonts w:ascii="Cambria Math" w:hAnsi="Cambria Math" w:eastAsia="Cambria Math" w:cs="Times New Roman"/>
                <w:sz w:val="24"/>
                <w:szCs w:val="24"/>
                <w:lang w:eastAsia="es-ES"/>
              </w:rPr>
              <m:t>(Tourism stays</m:t>
            </m:r>
            <m:ctrlPr>
              <w:rPr>
                <w:rFonts w:ascii="Cambria Math" w:hAnsi="Cambria Math" w:eastAsia="Cambria Math" w:cs="Times New Roman"/>
                <w:sz w:val="24"/>
                <w:szCs w:val="24"/>
                <w:lang w:eastAsia="es-ES"/>
              </w:rPr>
            </m:ctrlPr>
          </m:e>
          <m:sub>
            <m:r>
              <m:rPr/>
              <w:rPr>
                <w:rFonts w:ascii="Cambria Math" w:hAnsi="Cambria Math" w:eastAsia="Cambria Math" w:cs="Times New Roman"/>
                <w:sz w:val="24"/>
                <w:szCs w:val="24"/>
                <w:lang w:eastAsia="es-ES"/>
              </w:rPr>
              <m:t>t</m:t>
            </m:r>
            <m:ctrlPr>
              <w:rPr>
                <w:rFonts w:ascii="Cambria Math" w:hAnsi="Cambria Math" w:eastAsia="Cambria Math" w:cs="Times New Roman"/>
                <w:sz w:val="24"/>
                <w:szCs w:val="24"/>
                <w:lang w:eastAsia="es-ES"/>
              </w:rPr>
            </m:ctrlPr>
          </m:sub>
        </m:sSub>
        <m:r>
          <m:rPr/>
          <w:rPr>
            <w:rFonts w:ascii="Cambria Math" w:hAnsi="Cambria Math" w:eastAsia="Cambria Math" w:cs="Times New Roman"/>
            <w:sz w:val="24"/>
            <w:szCs w:val="24"/>
            <w:lang w:eastAsia="es-ES"/>
          </w:rPr>
          <m:t xml:space="preserve">)=α+ β </m:t>
        </m:r>
        <m:sSub>
          <m:sSubPr>
            <m:ctrlPr>
              <w:rPr>
                <w:rFonts w:ascii="Cambria Math" w:hAnsi="Cambria Math" w:eastAsia="Cambria Math" w:cs="Times New Roman"/>
                <w:sz w:val="24"/>
                <w:szCs w:val="24"/>
                <w:lang w:eastAsia="es-ES"/>
              </w:rPr>
            </m:ctrlPr>
          </m:sSubPr>
          <m:e>
            <m:r>
              <m:rPr/>
              <w:rPr>
                <w:rFonts w:ascii="Cambria Math" w:hAnsi="Cambria Math" w:eastAsia="Cambria Math" w:cs="Times New Roman"/>
                <w:sz w:val="24"/>
                <w:szCs w:val="24"/>
                <w:lang w:eastAsia="es-ES"/>
              </w:rPr>
              <m:t>HigℎWater</m:t>
            </m:r>
            <m:ctrlPr>
              <w:rPr>
                <w:rFonts w:ascii="Cambria Math" w:hAnsi="Cambria Math" w:eastAsia="Cambria Math" w:cs="Times New Roman"/>
                <w:sz w:val="24"/>
                <w:szCs w:val="24"/>
                <w:lang w:eastAsia="es-ES"/>
              </w:rPr>
            </m:ctrlPr>
          </m:e>
          <m:sub>
            <m:r>
              <m:rPr/>
              <w:rPr>
                <w:rFonts w:ascii="Cambria Math" w:hAnsi="Cambria Math" w:eastAsia="Cambria Math" w:cs="Times New Roman"/>
                <w:sz w:val="24"/>
                <w:szCs w:val="24"/>
                <w:lang w:eastAsia="es-ES"/>
              </w:rPr>
              <m:t>t</m:t>
            </m:r>
            <m:ctrlPr>
              <w:rPr>
                <w:rFonts w:ascii="Cambria Math" w:hAnsi="Cambria Math" w:eastAsia="Cambria Math" w:cs="Times New Roman"/>
                <w:sz w:val="24"/>
                <w:szCs w:val="24"/>
                <w:lang w:eastAsia="es-ES"/>
              </w:rPr>
            </m:ctrlPr>
          </m:sub>
        </m:sSub>
        <m:r>
          <m:rPr/>
          <w:rPr>
            <w:rFonts w:ascii="Cambria Math" w:hAnsi="Cambria Math" w:eastAsia="Cambria Math" w:cs="Times New Roman"/>
            <w:sz w:val="24"/>
            <w:szCs w:val="24"/>
            <w:lang w:eastAsia="es-ES"/>
          </w:rPr>
          <m:t>+ γYear+ δ</m:t>
        </m:r>
        <m:r>
          <m:rPr>
            <m:sty m:val="p"/>
          </m:rPr>
          <w:rPr>
            <w:rFonts w:ascii="Cambria Math" w:hAnsi="Cambria Math" w:eastAsia="Cambria Math" w:cs="Times New Roman"/>
            <w:sz w:val="24"/>
            <w:szCs w:val="24"/>
            <w:lang w:eastAsia="es-ES"/>
          </w:rPr>
          <m:t>Season</m:t>
        </m:r>
        <m:r>
          <m:rPr/>
          <w:rPr>
            <w:rFonts w:ascii="Cambria Math" w:hAnsi="Cambria Math" w:eastAsia="Cambria Math" w:cs="Times New Roman"/>
            <w:sz w:val="24"/>
            <w:szCs w:val="24"/>
            <w:lang w:eastAsia="es-ES"/>
          </w:rPr>
          <m:t xml:space="preserve">+ </m:t>
        </m:r>
        <m:sSub>
          <m:sSubPr>
            <m:ctrlPr>
              <w:rPr>
                <w:rFonts w:ascii="Cambria Math" w:hAnsi="Cambria Math" w:eastAsia="Cambria Math" w:cs="Times New Roman"/>
                <w:sz w:val="24"/>
                <w:szCs w:val="24"/>
                <w:lang w:eastAsia="es-ES"/>
              </w:rPr>
            </m:ctrlPr>
          </m:sSubPr>
          <m:e>
            <m:r>
              <m:rPr/>
              <w:rPr>
                <w:rFonts w:ascii="Cambria Math" w:hAnsi="Cambria Math" w:eastAsia="Cambria Math" w:cs="Times New Roman"/>
                <w:sz w:val="24"/>
                <w:szCs w:val="24"/>
                <w:lang w:eastAsia="es-ES"/>
              </w:rPr>
              <m:t>ε</m:t>
            </m:r>
            <m:ctrlPr>
              <w:rPr>
                <w:rFonts w:ascii="Cambria Math" w:hAnsi="Cambria Math" w:eastAsia="Cambria Math" w:cs="Times New Roman"/>
                <w:sz w:val="24"/>
                <w:szCs w:val="24"/>
                <w:lang w:eastAsia="es-ES"/>
              </w:rPr>
            </m:ctrlPr>
          </m:e>
          <m:sub>
            <m:r>
              <m:rPr/>
              <w:rPr>
                <w:rFonts w:ascii="Cambria Math" w:hAnsi="Cambria Math" w:eastAsia="Cambria Math" w:cs="Times New Roman"/>
                <w:sz w:val="24"/>
                <w:szCs w:val="24"/>
                <w:lang w:eastAsia="es-ES"/>
              </w:rPr>
              <m:t>t</m:t>
            </m:r>
            <m:ctrlPr>
              <w:rPr>
                <w:rFonts w:ascii="Cambria Math" w:hAnsi="Cambria Math" w:eastAsia="Cambria Math" w:cs="Times New Roman"/>
                <w:sz w:val="24"/>
                <w:szCs w:val="24"/>
                <w:lang w:eastAsia="es-ES"/>
              </w:rPr>
            </m:ctrlPr>
          </m:sub>
        </m:sSub>
      </m:oMath>
    </w:p>
    <w:bookmarkEnd w:id="14"/>
    <w:p>
      <w:pPr>
        <w:widowControl w:val="0"/>
        <w:spacing w:after="0" w:line="276" w:lineRule="auto"/>
        <w:jc w:val="both"/>
        <w:rPr>
          <w:rFonts w:ascii="Times New Roman" w:hAnsi="Times New Roman" w:eastAsia="Times New Roman" w:cs="Times New Roman"/>
          <w:sz w:val="24"/>
          <w:szCs w:val="24"/>
          <w:lang w:eastAsia="es-ES"/>
        </w:rPr>
      </w:pPr>
      <w:bookmarkStart w:id="15" w:name="_Hlk99647903"/>
      <w:bookmarkStart w:id="16" w:name="_Hlk99647018"/>
      <w:r>
        <w:rPr>
          <w:rFonts w:ascii="Times New Roman" w:hAnsi="Times New Roman" w:eastAsia="Times New Roman" w:cs="Times New Roman"/>
          <w:color w:val="000000"/>
          <w:sz w:val="24"/>
          <w:szCs w:val="24"/>
        </w:rPr>
        <w:t xml:space="preserve">Where </w:t>
      </w:r>
      <m:oMath>
        <m:r>
          <m:rPr/>
          <w:rPr>
            <w:rFonts w:ascii="Cambria Math" w:hAnsi="Cambria Math" w:cs="Times New Roman"/>
            <w:sz w:val="24"/>
            <w:szCs w:val="24"/>
          </w:rPr>
          <m:t>α</m:t>
        </m:r>
      </m:oMath>
      <w:r>
        <w:rPr>
          <w:rFonts w:ascii="Times New Roman" w:hAnsi="Times New Roman" w:eastAsia="Times New Roman" w:cs="Times New Roman"/>
          <w:color w:val="000000"/>
          <w:sz w:val="24"/>
          <w:szCs w:val="24"/>
        </w:rPr>
        <w:t xml:space="preserve"> is a constant term, </w:t>
      </w:r>
      <m:oMath>
        <m:sSub>
          <m:sSubPr>
            <m:ctrlPr>
              <w:rPr>
                <w:rFonts w:ascii="Cambria Math" w:hAnsi="Cambria Math" w:eastAsia="Cambria Math" w:cs="Times New Roman"/>
                <w:color w:val="000000"/>
                <w:sz w:val="24"/>
                <w:szCs w:val="24"/>
                <w:lang w:eastAsia="es-ES"/>
              </w:rPr>
            </m:ctrlPr>
          </m:sSubPr>
          <m:e>
            <m:r>
              <m:rPr/>
              <w:rPr>
                <w:rFonts w:ascii="Cambria Math" w:hAnsi="Cambria Math" w:eastAsia="Cambria Math" w:cs="Times New Roman"/>
                <w:color w:val="000000"/>
                <w:sz w:val="24"/>
                <w:szCs w:val="24"/>
              </w:rPr>
              <m:t>Higℎ Water</m:t>
            </m:r>
            <m:ctrlPr>
              <w:rPr>
                <w:rFonts w:ascii="Cambria Math" w:hAnsi="Cambria Math" w:eastAsia="Cambria Math" w:cs="Times New Roman"/>
                <w:color w:val="000000"/>
                <w:sz w:val="24"/>
                <w:szCs w:val="24"/>
                <w:lang w:eastAsia="es-ES"/>
              </w:rPr>
            </m:ctrlPr>
          </m:e>
          <m:sub>
            <m:r>
              <m:rPr/>
              <w:rPr>
                <w:rFonts w:ascii="Cambria Math" w:hAnsi="Cambria Math" w:eastAsia="Cambria Math" w:cs="Times New Roman"/>
                <w:color w:val="000000"/>
                <w:sz w:val="24"/>
                <w:szCs w:val="24"/>
              </w:rPr>
              <m:t>t</m:t>
            </m:r>
            <m:ctrlPr>
              <w:rPr>
                <w:rFonts w:ascii="Cambria Math" w:hAnsi="Cambria Math" w:eastAsia="Cambria Math" w:cs="Times New Roman"/>
                <w:color w:val="000000"/>
                <w:sz w:val="24"/>
                <w:szCs w:val="24"/>
                <w:lang w:eastAsia="es-ES"/>
              </w:rPr>
            </m:ctrlPr>
          </m:sub>
        </m:sSub>
      </m:oMath>
      <w:r>
        <w:rPr>
          <w:rFonts w:ascii="Times New Roman" w:hAnsi="Times New Roman" w:eastAsia="Times New Roman" w:cs="Times New Roman"/>
          <w:color w:val="000000"/>
          <w:sz w:val="24"/>
          <w:szCs w:val="24"/>
        </w:rPr>
        <w:t xml:space="preserve"> is the number of </w:t>
      </w:r>
      <w:r>
        <w:rPr>
          <w:rFonts w:ascii="Times New Roman" w:hAnsi="Times New Roman" w:cs="Times New Roman"/>
          <w:sz w:val="24"/>
          <w:szCs w:val="24"/>
        </w:rPr>
        <w:t xml:space="preserve">high tide </w:t>
      </w:r>
      <w:r>
        <w:rPr>
          <w:rFonts w:ascii="Times New Roman" w:hAnsi="Times New Roman" w:eastAsia="Times New Roman" w:cs="Times New Roman"/>
          <w:color w:val="000000"/>
          <w:sz w:val="24"/>
          <w:szCs w:val="24"/>
        </w:rPr>
        <w:t xml:space="preserve">episodes occurred at month </w:t>
      </w:r>
      <w:r>
        <w:rPr>
          <w:rFonts w:ascii="Times New Roman" w:hAnsi="Times New Roman" w:eastAsia="Times New Roman" w:cs="Times New Roman"/>
          <w:i/>
          <w:iCs/>
          <w:color w:val="000000"/>
          <w:sz w:val="24"/>
          <w:szCs w:val="24"/>
        </w:rPr>
        <w:t>t</w:t>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i/>
          <w:iCs/>
          <w:color w:val="000000"/>
          <w:sz w:val="24"/>
          <w:szCs w:val="24"/>
        </w:rPr>
        <w:t>Year</w:t>
      </w:r>
      <w:r>
        <w:rPr>
          <w:rFonts w:ascii="Times New Roman" w:hAnsi="Times New Roman" w:eastAsia="Times New Roman" w:cs="Times New Roman"/>
          <w:color w:val="000000"/>
          <w:sz w:val="24"/>
          <w:szCs w:val="24"/>
        </w:rPr>
        <w:t xml:space="preserve"> and </w:t>
      </w:r>
      <w:r>
        <w:rPr>
          <w:rFonts w:ascii="Times New Roman" w:hAnsi="Times New Roman" w:eastAsia="Times New Roman" w:cs="Times New Roman"/>
          <w:i/>
          <w:iCs/>
          <w:color w:val="000000"/>
          <w:sz w:val="24"/>
          <w:szCs w:val="24"/>
        </w:rPr>
        <w:t>Season</w:t>
      </w:r>
      <w:r>
        <w:rPr>
          <w:rFonts w:ascii="Times New Roman" w:hAnsi="Times New Roman" w:eastAsia="Times New Roman" w:cs="Times New Roman"/>
          <w:color w:val="000000"/>
          <w:sz w:val="24"/>
          <w:szCs w:val="24"/>
        </w:rPr>
        <w:t xml:space="preserve"> account for the year and seasonal fixed effects, respectively, and </w:t>
      </w:r>
      <m:oMath>
        <m:sSub>
          <m:sSubPr>
            <m:ctrlPr>
              <w:rPr>
                <w:rFonts w:ascii="Cambria Math" w:hAnsi="Cambria Math" w:eastAsia="Cambria Math" w:cs="Times New Roman"/>
                <w:sz w:val="24"/>
                <w:szCs w:val="24"/>
                <w:lang w:eastAsia="es-ES"/>
              </w:rPr>
            </m:ctrlPr>
          </m:sSubPr>
          <m:e>
            <m:r>
              <m:rPr/>
              <w:rPr>
                <w:rFonts w:ascii="Cambria Math" w:hAnsi="Cambria Math" w:eastAsia="Cambria Math" w:cs="Times New Roman"/>
                <w:sz w:val="24"/>
                <w:szCs w:val="24"/>
                <w:lang w:eastAsia="es-ES"/>
              </w:rPr>
              <m:t>ε</m:t>
            </m:r>
            <m:ctrlPr>
              <w:rPr>
                <w:rFonts w:ascii="Cambria Math" w:hAnsi="Cambria Math" w:eastAsia="Cambria Math" w:cs="Times New Roman"/>
                <w:sz w:val="24"/>
                <w:szCs w:val="24"/>
                <w:lang w:eastAsia="es-ES"/>
              </w:rPr>
            </m:ctrlPr>
          </m:e>
          <m:sub>
            <m:r>
              <m:rPr/>
              <w:rPr>
                <w:rFonts w:ascii="Cambria Math" w:hAnsi="Cambria Math" w:eastAsia="Cambria Math" w:cs="Times New Roman"/>
                <w:sz w:val="24"/>
                <w:szCs w:val="24"/>
                <w:lang w:eastAsia="es-ES"/>
              </w:rPr>
              <m:t>t</m:t>
            </m:r>
            <m:ctrlPr>
              <w:rPr>
                <w:rFonts w:ascii="Cambria Math" w:hAnsi="Cambria Math" w:eastAsia="Cambria Math" w:cs="Times New Roman"/>
                <w:sz w:val="24"/>
                <w:szCs w:val="24"/>
                <w:lang w:eastAsia="es-ES"/>
              </w:rPr>
            </m:ctrlPr>
          </m:sub>
        </m:sSub>
      </m:oMath>
      <w:r>
        <w:rPr>
          <w:rFonts w:ascii="Times New Roman" w:hAnsi="Times New Roman" w:eastAsia="Times New Roman" w:cs="Times New Roman"/>
          <w:color w:val="000000"/>
          <w:sz w:val="24"/>
          <w:szCs w:val="24"/>
        </w:rPr>
        <w:t xml:space="preserve"> is a random error term. </w:t>
      </w:r>
      <m:oMath>
        <m:r>
          <m:rPr/>
          <w:rPr>
            <w:rFonts w:ascii="Cambria Math" w:hAnsi="Cambria Math" w:eastAsia="Cambria Math" w:cs="Times New Roman"/>
            <w:sz w:val="24"/>
            <w:szCs w:val="24"/>
            <w:lang w:eastAsia="es-ES"/>
          </w:rPr>
          <m:t>β</m:t>
        </m:r>
      </m:oMath>
      <w:r>
        <w:rPr>
          <w:rFonts w:ascii="Times New Roman" w:hAnsi="Times New Roman" w:eastAsia="Times New Roman" w:cs="Times New Roman"/>
          <w:sz w:val="24"/>
          <w:szCs w:val="24"/>
          <w:lang w:eastAsia="es-ES"/>
        </w:rPr>
        <w:t xml:space="preserve"> was the main parameter to be estimated, representing the percentage of change in tourism stays, as a result of a marginal increase in the number high tide level episodes.</w:t>
      </w:r>
    </w:p>
    <w:bookmarkEnd w:id="13"/>
    <w:bookmarkEnd w:id="15"/>
    <w:p>
      <w:pPr>
        <w:widowControl w:val="0"/>
        <w:spacing w:after="0" w:line="276" w:lineRule="auto"/>
        <w:jc w:val="both"/>
        <w:rPr>
          <w:rFonts w:ascii="Times New Roman" w:hAnsi="Times New Roman" w:eastAsia="Times New Roman" w:cs="Times New Roman"/>
          <w:sz w:val="24"/>
          <w:szCs w:val="24"/>
          <w:lang w:eastAsia="es-ES"/>
        </w:rPr>
      </w:pPr>
    </w:p>
    <w:p>
      <w:pPr>
        <w:widowControl w:val="0"/>
        <w:spacing w:after="0" w:line="276" w:lineRule="auto"/>
        <w:jc w:val="both"/>
        <w:rPr>
          <w:rFonts w:ascii="Times New Roman" w:hAnsi="Times New Roman" w:eastAsia="Times New Roman" w:cs="Times New Roman"/>
          <w:sz w:val="24"/>
          <w:szCs w:val="24"/>
          <w:lang w:eastAsia="es-ES"/>
        </w:rPr>
      </w:pPr>
      <w:bookmarkStart w:id="17" w:name="_Hlk99704647"/>
      <w:r>
        <w:rPr>
          <w:rFonts w:ascii="Times New Roman" w:hAnsi="Times New Roman" w:eastAsia="Times New Roman" w:cs="Times New Roman"/>
          <w:sz w:val="24"/>
          <w:szCs w:val="24"/>
          <w:lang w:eastAsia="es-ES"/>
        </w:rPr>
        <w:t xml:space="preserve">Data on tourism stays were retrieved from the Official Statistic Bureau of Veneto Region. They include monthly tourist stays, thus considering only people staying overnight in official accommodation facilities, covering the period from January 2005 to December 2019. The use of more recent data has been dismissed to avoid biased estimates potentially associated with two confounding effects i.e., the outbreak of COVID-19 and the activation of MoSE barriers. Data on lagoon water levels have been downloaded from the </w:t>
      </w:r>
      <w:r>
        <w:rPr>
          <w:rFonts w:ascii="Times New Roman" w:hAnsi="Times New Roman" w:eastAsia="Times New Roman" w:cs="Times New Roman"/>
          <w:i/>
          <w:iCs/>
          <w:sz w:val="24"/>
          <w:szCs w:val="24"/>
          <w:lang w:eastAsia="es-ES"/>
        </w:rPr>
        <w:t>Centro Maree</w:t>
      </w:r>
      <w:r>
        <w:rPr>
          <w:rFonts w:ascii="Times New Roman" w:hAnsi="Times New Roman" w:eastAsia="Times New Roman" w:cs="Times New Roman"/>
          <w:sz w:val="24"/>
          <w:szCs w:val="24"/>
          <w:lang w:eastAsia="es-ES"/>
        </w:rPr>
        <w:t xml:space="preserve"> website (the tide forecast center of the Municipal administration)</w:t>
      </w:r>
      <w:r>
        <w:rPr>
          <w:rStyle w:val="17"/>
          <w:rFonts w:ascii="Times New Roman" w:hAnsi="Times New Roman" w:eastAsia="Times New Roman" w:cs="Times New Roman"/>
          <w:sz w:val="24"/>
          <w:szCs w:val="24"/>
          <w:lang w:eastAsia="es-ES"/>
        </w:rPr>
        <w:footnoteReference w:id="6"/>
      </w:r>
      <w:r>
        <w:rPr>
          <w:rFonts w:ascii="Times New Roman" w:hAnsi="Times New Roman" w:eastAsia="Times New Roman" w:cs="Times New Roman"/>
          <w:sz w:val="24"/>
          <w:szCs w:val="24"/>
          <w:lang w:eastAsia="es-ES"/>
        </w:rPr>
        <w:t xml:space="preserve">. </w:t>
      </w:r>
      <w:bookmarkEnd w:id="16"/>
      <w:r>
        <w:rPr>
          <w:rFonts w:ascii="Times New Roman" w:hAnsi="Times New Roman" w:eastAsia="Times New Roman" w:cs="Times New Roman"/>
          <w:sz w:val="24"/>
          <w:szCs w:val="24"/>
          <w:lang w:eastAsia="es-ES"/>
        </w:rPr>
        <w:t xml:space="preserve">This data enabled us to estimate that high tide episodes are associated with a decrease of approximately 6.3% in tourism stays. </w:t>
      </w:r>
      <w:r>
        <w:rPr>
          <w:rFonts w:ascii="Times New Roman" w:hAnsi="Times New Roman" w:eastAsia="Times New Roman" w:cs="Times New Roman"/>
          <w:b/>
          <w:sz w:val="24"/>
          <w:szCs w:val="24"/>
          <w:lang w:eastAsia="es-ES"/>
        </w:rPr>
        <w:t>Percentage of Lost Tourists</w:t>
      </w:r>
      <w:r>
        <w:rPr>
          <w:rFonts w:ascii="Times New Roman" w:hAnsi="Times New Roman" w:eastAsia="Times New Roman" w:cs="Times New Roman"/>
          <w:sz w:val="24"/>
          <w:szCs w:val="24"/>
          <w:lang w:eastAsia="es-ES"/>
        </w:rPr>
        <w:t>, was calculated on monthly average of tourist stays between 2017 and 2019.</w:t>
      </w:r>
    </w:p>
    <w:p>
      <w:pPr>
        <w:widowControl w:val="0"/>
        <w:jc w:val="both"/>
        <w:rPr>
          <w:rFonts w:ascii="Times New Roman" w:hAnsi="Times New Roman" w:cs="Times New Roman"/>
          <w:sz w:val="24"/>
          <w:szCs w:val="24"/>
        </w:rPr>
      </w:pPr>
      <w:r>
        <w:rPr>
          <w:rFonts w:ascii="Times New Roman" w:hAnsi="Times New Roman" w:cs="Times New Roman"/>
          <w:sz w:val="24"/>
          <w:szCs w:val="24"/>
        </w:rPr>
        <w:t>Data on tourist stays were collected from the Veneto region’s official website.</w:t>
      </w:r>
      <w:r>
        <w:rPr>
          <w:rStyle w:val="17"/>
          <w:rFonts w:ascii="Times New Roman" w:hAnsi="Times New Roman" w:cs="Times New Roman"/>
          <w:sz w:val="24"/>
          <w:szCs w:val="24"/>
        </w:rPr>
        <w:footnoteReference w:id="7"/>
      </w:r>
      <w:r>
        <w:rPr>
          <w:rFonts w:ascii="Times New Roman" w:hAnsi="Times New Roman" w:cs="Times New Roman"/>
          <w:sz w:val="24"/>
          <w:szCs w:val="24"/>
        </w:rPr>
        <w:t xml:space="preserve"> The estimated number of monthly tourists and excursionists are reported in Table A.1.</w:t>
      </w:r>
    </w:p>
    <w:tbl>
      <w:tblPr>
        <w:tblStyle w:val="50"/>
        <w:tblW w:w="7101" w:type="dxa"/>
        <w:jc w:val="center"/>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Layout w:type="autofit"/>
        <w:tblCellMar>
          <w:top w:w="0" w:type="dxa"/>
          <w:left w:w="108" w:type="dxa"/>
          <w:bottom w:w="0" w:type="dxa"/>
          <w:right w:w="108" w:type="dxa"/>
        </w:tblCellMar>
      </w:tblPr>
      <w:tblGrid>
        <w:gridCol w:w="842"/>
        <w:gridCol w:w="3718"/>
        <w:gridCol w:w="2541"/>
      </w:tblGrid>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57" w:hRule="atLeast"/>
          <w:jc w:val="center"/>
        </w:trPr>
        <w:tc>
          <w:tcPr>
            <w:tcW w:w="842" w:type="dxa"/>
            <w:tcBorders>
              <w:top w:val="single" w:color="A5A5A5" w:themeColor="accent3" w:sz="4" w:space="0"/>
              <w:left w:val="single" w:color="A5A5A5" w:themeColor="accent3" w:sz="4" w:space="0"/>
              <w:bottom w:val="single" w:color="A5A5A5" w:themeColor="accent3" w:sz="4" w:space="0"/>
              <w:insideH w:val="single" w:sz="4" w:space="0"/>
            </w:tcBorders>
            <w:shd w:val="clear" w:color="auto" w:fill="A5A5A5" w:themeFill="accent3"/>
            <w:noWrap/>
          </w:tcPr>
          <w:p>
            <w:pPr>
              <w:widowControl w:val="0"/>
              <w:spacing w:after="0" w:line="240" w:lineRule="auto"/>
              <w:jc w:val="center"/>
              <w:rPr>
                <w:rFonts w:ascii="Times New Roman" w:hAnsi="Times New Roman" w:eastAsia="Times New Roman" w:cs="Times New Roman"/>
                <w:b w:val="0"/>
                <w:bCs/>
                <w:color w:val="000000"/>
                <w:sz w:val="20"/>
                <w:szCs w:val="20"/>
                <w:lang w:eastAsia="it-IT"/>
              </w:rPr>
            </w:pPr>
            <w:r>
              <w:rPr>
                <w:rFonts w:ascii="Times New Roman" w:hAnsi="Times New Roman" w:eastAsia="Times New Roman" w:cs="Times New Roman"/>
                <w:b w:val="0"/>
                <w:bCs/>
                <w:color w:val="000000"/>
                <w:sz w:val="20"/>
                <w:szCs w:val="20"/>
                <w:lang w:eastAsia="it-IT"/>
              </w:rPr>
              <w:t>Month</w:t>
            </w:r>
          </w:p>
        </w:tc>
        <w:tc>
          <w:tcPr>
            <w:tcW w:w="3718" w:type="dxa"/>
            <w:tcBorders>
              <w:top w:val="single" w:color="A5A5A5" w:themeColor="accent3" w:sz="4" w:space="0"/>
              <w:bottom w:val="single" w:color="A5A5A5" w:themeColor="accent3" w:sz="4" w:space="0"/>
              <w:insideH w:val="single" w:sz="4" w:space="0"/>
            </w:tcBorders>
            <w:shd w:val="clear" w:color="auto" w:fill="A5A5A5" w:themeFill="accent3"/>
            <w:noWrap/>
          </w:tcPr>
          <w:p>
            <w:pPr>
              <w:widowControl w:val="0"/>
              <w:spacing w:after="0" w:line="240" w:lineRule="auto"/>
              <w:jc w:val="center"/>
              <w:rPr>
                <w:rFonts w:ascii="Times New Roman" w:hAnsi="Times New Roman" w:eastAsia="Times New Roman" w:cs="Times New Roman"/>
                <w:b w:val="0"/>
                <w:bCs/>
                <w:color w:val="000000"/>
                <w:sz w:val="20"/>
                <w:szCs w:val="20"/>
                <w:lang w:eastAsia="it-IT"/>
              </w:rPr>
            </w:pPr>
            <w:r>
              <w:rPr>
                <w:rFonts w:ascii="Times New Roman" w:hAnsi="Times New Roman" w:eastAsia="Times New Roman" w:cs="Times New Roman"/>
                <w:b w:val="0"/>
                <w:bCs/>
                <w:color w:val="000000"/>
                <w:sz w:val="20"/>
                <w:szCs w:val="20"/>
                <w:lang w:eastAsia="it-IT"/>
              </w:rPr>
              <w:t>Tourism stays estimate (avg. 2017-19)</w:t>
            </w:r>
          </w:p>
        </w:tc>
        <w:tc>
          <w:tcPr>
            <w:tcW w:w="2541" w:type="dxa"/>
            <w:tcBorders>
              <w:top w:val="single" w:color="A5A5A5" w:themeColor="accent3" w:sz="4" w:space="0"/>
              <w:bottom w:val="single" w:color="A5A5A5" w:themeColor="accent3" w:sz="4" w:space="0"/>
              <w:right w:val="single" w:color="A5A5A5" w:themeColor="accent3" w:sz="4" w:space="0"/>
              <w:insideH w:val="single" w:sz="4" w:space="0"/>
            </w:tcBorders>
            <w:shd w:val="clear" w:color="auto" w:fill="A5A5A5" w:themeFill="accent3"/>
            <w:noWrap/>
          </w:tcPr>
          <w:p>
            <w:pPr>
              <w:widowControl w:val="0"/>
              <w:spacing w:after="0" w:line="240" w:lineRule="auto"/>
              <w:jc w:val="center"/>
              <w:rPr>
                <w:rFonts w:ascii="Times New Roman" w:hAnsi="Times New Roman" w:eastAsia="Times New Roman" w:cs="Times New Roman"/>
                <w:b w:val="0"/>
                <w:bCs/>
                <w:color w:val="000000"/>
                <w:sz w:val="20"/>
                <w:szCs w:val="20"/>
                <w:lang w:eastAsia="it-IT"/>
              </w:rPr>
            </w:pPr>
            <w:r>
              <w:rPr>
                <w:rFonts w:ascii="Times New Roman" w:hAnsi="Times New Roman" w:cs="Times New Roman"/>
                <w:b w:val="0"/>
                <w:bCs/>
                <w:color w:val="000000"/>
                <w:sz w:val="20"/>
                <w:szCs w:val="20"/>
              </w:rPr>
              <w:t>Monthly exc. Estimate</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57" w:hRule="atLeast"/>
          <w:jc w:val="center"/>
        </w:trPr>
        <w:tc>
          <w:tcPr>
            <w:tcW w:w="842"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b w:val="0"/>
                <w:bCs/>
                <w:color w:val="000000"/>
                <w:sz w:val="20"/>
                <w:szCs w:val="20"/>
                <w:lang w:eastAsia="it-IT"/>
              </w:rPr>
            </w:pPr>
            <w:r>
              <w:rPr>
                <w:rFonts w:ascii="Times New Roman" w:hAnsi="Times New Roman" w:eastAsia="Times New Roman" w:cs="Times New Roman"/>
                <w:b w:val="0"/>
                <w:bCs/>
                <w:color w:val="000000"/>
                <w:sz w:val="20"/>
                <w:szCs w:val="20"/>
                <w:lang w:eastAsia="it-IT"/>
              </w:rPr>
              <w:t>1</w:t>
            </w:r>
          </w:p>
        </w:tc>
        <w:tc>
          <w:tcPr>
            <w:tcW w:w="3718"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sz w:val="20"/>
                <w:szCs w:val="20"/>
                <w:lang w:eastAsia="it-IT"/>
              </w:rPr>
            </w:pPr>
            <w:r>
              <w:rPr>
                <w:rFonts w:ascii="Calibri" w:hAnsi="Calibri"/>
                <w:color w:val="000000"/>
              </w:rPr>
              <w:t>567,</w:t>
            </w:r>
            <w:r>
              <w:rPr>
                <w:rFonts w:ascii="Calibri" w:hAnsi="Calibri" w:cs="Calibri"/>
                <w:color w:val="000000"/>
              </w:rPr>
              <w:t>781</w:t>
            </w:r>
          </w:p>
        </w:tc>
        <w:tc>
          <w:tcPr>
            <w:tcW w:w="2541" w:type="dxa"/>
            <w:shd w:val="clear" w:color="auto" w:fill="ECECEC" w:themeFill="accent3" w:themeFillTint="33"/>
            <w:noWrap/>
          </w:tcPr>
          <w:p>
            <w:pPr>
              <w:widowControl w:val="0"/>
              <w:spacing w:after="0" w:line="240" w:lineRule="auto"/>
              <w:jc w:val="center"/>
              <w:rPr>
                <w:color w:val="000000"/>
              </w:rPr>
            </w:pPr>
            <w:r>
              <w:rPr>
                <w:color w:val="000000"/>
              </w:rPr>
              <w:t>836,</w:t>
            </w:r>
            <w:r>
              <w:rPr>
                <w:rFonts w:cstheme="minorHAnsi"/>
                <w:color w:val="000000"/>
              </w:rPr>
              <w:t>197</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57" w:hRule="atLeast"/>
          <w:jc w:val="center"/>
        </w:trPr>
        <w:tc>
          <w:tcPr>
            <w:tcW w:w="842" w:type="dxa"/>
            <w:noWrap/>
          </w:tcPr>
          <w:p>
            <w:pPr>
              <w:widowControl w:val="0"/>
              <w:spacing w:after="0" w:line="240" w:lineRule="auto"/>
              <w:jc w:val="center"/>
              <w:rPr>
                <w:rFonts w:ascii="Times New Roman" w:hAnsi="Times New Roman" w:eastAsia="Times New Roman" w:cs="Times New Roman"/>
                <w:b w:val="0"/>
                <w:bCs/>
                <w:color w:val="000000"/>
                <w:sz w:val="20"/>
                <w:szCs w:val="20"/>
                <w:lang w:eastAsia="it-IT"/>
              </w:rPr>
            </w:pPr>
            <w:r>
              <w:rPr>
                <w:rFonts w:ascii="Times New Roman" w:hAnsi="Times New Roman" w:eastAsia="Times New Roman" w:cs="Times New Roman"/>
                <w:b w:val="0"/>
                <w:bCs/>
                <w:color w:val="000000"/>
                <w:sz w:val="20"/>
                <w:szCs w:val="20"/>
                <w:lang w:eastAsia="it-IT"/>
              </w:rPr>
              <w:t>2</w:t>
            </w:r>
          </w:p>
        </w:tc>
        <w:tc>
          <w:tcPr>
            <w:tcW w:w="3718" w:type="dxa"/>
            <w:noWrap/>
          </w:tcPr>
          <w:p>
            <w:pPr>
              <w:widowControl w:val="0"/>
              <w:spacing w:after="0" w:line="240" w:lineRule="auto"/>
              <w:jc w:val="center"/>
              <w:rPr>
                <w:rFonts w:ascii="Times New Roman" w:hAnsi="Times New Roman" w:eastAsia="Times New Roman" w:cs="Times New Roman"/>
                <w:color w:val="000000"/>
                <w:sz w:val="20"/>
                <w:szCs w:val="20"/>
                <w:lang w:eastAsia="it-IT"/>
              </w:rPr>
            </w:pPr>
            <w:r>
              <w:rPr>
                <w:rFonts w:ascii="Calibri" w:hAnsi="Calibri"/>
                <w:color w:val="000000"/>
              </w:rPr>
              <w:t>694,</w:t>
            </w:r>
            <w:r>
              <w:rPr>
                <w:rFonts w:ascii="Calibri" w:hAnsi="Calibri" w:cs="Calibri"/>
                <w:color w:val="000000"/>
              </w:rPr>
              <w:t>583</w:t>
            </w:r>
          </w:p>
        </w:tc>
        <w:tc>
          <w:tcPr>
            <w:tcW w:w="2541" w:type="dxa"/>
            <w:noWrap/>
          </w:tcPr>
          <w:p>
            <w:pPr>
              <w:widowControl w:val="0"/>
              <w:spacing w:after="0" w:line="240" w:lineRule="auto"/>
              <w:jc w:val="center"/>
              <w:rPr>
                <w:color w:val="000000"/>
              </w:rPr>
            </w:pPr>
            <w:r>
              <w:rPr>
                <w:rFonts w:cstheme="minorHAnsi"/>
                <w:color w:val="000000"/>
              </w:rPr>
              <w:t>1,022,945</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57" w:hRule="atLeast"/>
          <w:jc w:val="center"/>
        </w:trPr>
        <w:tc>
          <w:tcPr>
            <w:tcW w:w="842"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b w:val="0"/>
                <w:bCs/>
                <w:color w:val="000000"/>
                <w:sz w:val="20"/>
                <w:szCs w:val="20"/>
                <w:lang w:eastAsia="it-IT"/>
              </w:rPr>
            </w:pPr>
            <w:r>
              <w:rPr>
                <w:rFonts w:ascii="Times New Roman" w:hAnsi="Times New Roman" w:eastAsia="Times New Roman" w:cs="Times New Roman"/>
                <w:b w:val="0"/>
                <w:bCs/>
                <w:color w:val="000000"/>
                <w:sz w:val="20"/>
                <w:szCs w:val="20"/>
                <w:lang w:eastAsia="it-IT"/>
              </w:rPr>
              <w:t>3</w:t>
            </w:r>
          </w:p>
        </w:tc>
        <w:tc>
          <w:tcPr>
            <w:tcW w:w="3718"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sz w:val="20"/>
                <w:szCs w:val="20"/>
                <w:lang w:eastAsia="it-IT"/>
              </w:rPr>
            </w:pPr>
            <w:r>
              <w:rPr>
                <w:rFonts w:ascii="Calibri" w:hAnsi="Calibri"/>
                <w:color w:val="000000"/>
              </w:rPr>
              <w:t>861,</w:t>
            </w:r>
            <w:r>
              <w:rPr>
                <w:rFonts w:ascii="Calibri" w:hAnsi="Calibri" w:cs="Calibri"/>
                <w:color w:val="000000"/>
              </w:rPr>
              <w:t>379</w:t>
            </w:r>
          </w:p>
        </w:tc>
        <w:tc>
          <w:tcPr>
            <w:tcW w:w="2541" w:type="dxa"/>
            <w:shd w:val="clear" w:color="auto" w:fill="ECECEC" w:themeFill="accent3" w:themeFillTint="33"/>
            <w:noWrap/>
          </w:tcPr>
          <w:p>
            <w:pPr>
              <w:widowControl w:val="0"/>
              <w:spacing w:after="0" w:line="240" w:lineRule="auto"/>
              <w:jc w:val="center"/>
              <w:rPr>
                <w:color w:val="000000"/>
              </w:rPr>
            </w:pPr>
            <w:r>
              <w:rPr>
                <w:rFonts w:cstheme="minorHAnsi"/>
                <w:color w:val="000000"/>
              </w:rPr>
              <w:t>1,268,593</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57" w:hRule="atLeast"/>
          <w:jc w:val="center"/>
        </w:trPr>
        <w:tc>
          <w:tcPr>
            <w:tcW w:w="842" w:type="dxa"/>
            <w:noWrap/>
          </w:tcPr>
          <w:p>
            <w:pPr>
              <w:widowControl w:val="0"/>
              <w:spacing w:after="0" w:line="240" w:lineRule="auto"/>
              <w:jc w:val="center"/>
              <w:rPr>
                <w:rFonts w:ascii="Times New Roman" w:hAnsi="Times New Roman" w:eastAsia="Times New Roman" w:cs="Times New Roman"/>
                <w:b w:val="0"/>
                <w:bCs/>
                <w:color w:val="000000"/>
                <w:sz w:val="20"/>
                <w:szCs w:val="20"/>
                <w:lang w:eastAsia="it-IT"/>
              </w:rPr>
            </w:pPr>
            <w:r>
              <w:rPr>
                <w:rFonts w:ascii="Times New Roman" w:hAnsi="Times New Roman" w:eastAsia="Times New Roman" w:cs="Times New Roman"/>
                <w:b w:val="0"/>
                <w:bCs/>
                <w:color w:val="000000"/>
                <w:sz w:val="20"/>
                <w:szCs w:val="20"/>
                <w:lang w:eastAsia="it-IT"/>
              </w:rPr>
              <w:t>4</w:t>
            </w:r>
          </w:p>
        </w:tc>
        <w:tc>
          <w:tcPr>
            <w:tcW w:w="3718" w:type="dxa"/>
            <w:noWrap/>
          </w:tcPr>
          <w:p>
            <w:pPr>
              <w:widowControl w:val="0"/>
              <w:spacing w:after="0" w:line="240" w:lineRule="auto"/>
              <w:jc w:val="center"/>
              <w:rPr>
                <w:rFonts w:ascii="Times New Roman" w:hAnsi="Times New Roman" w:eastAsia="Times New Roman" w:cs="Times New Roman"/>
                <w:color w:val="000000"/>
                <w:sz w:val="20"/>
                <w:szCs w:val="20"/>
                <w:lang w:eastAsia="it-IT"/>
              </w:rPr>
            </w:pPr>
            <w:r>
              <w:rPr>
                <w:rFonts w:ascii="Calibri" w:hAnsi="Calibri" w:cs="Calibri"/>
                <w:color w:val="000000"/>
              </w:rPr>
              <w:t>1099836</w:t>
            </w:r>
          </w:p>
        </w:tc>
        <w:tc>
          <w:tcPr>
            <w:tcW w:w="2541" w:type="dxa"/>
            <w:noWrap/>
          </w:tcPr>
          <w:p>
            <w:pPr>
              <w:widowControl w:val="0"/>
              <w:spacing w:after="0" w:line="240" w:lineRule="auto"/>
              <w:jc w:val="center"/>
              <w:rPr>
                <w:color w:val="000000"/>
              </w:rPr>
            </w:pPr>
            <w:r>
              <w:rPr>
                <w:rFonts w:cstheme="minorHAnsi"/>
                <w:color w:val="000000"/>
              </w:rPr>
              <w:t>1,619,780</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57" w:hRule="atLeast"/>
          <w:jc w:val="center"/>
        </w:trPr>
        <w:tc>
          <w:tcPr>
            <w:tcW w:w="842"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b w:val="0"/>
                <w:bCs/>
                <w:color w:val="000000"/>
                <w:sz w:val="20"/>
                <w:szCs w:val="20"/>
                <w:lang w:eastAsia="it-IT"/>
              </w:rPr>
            </w:pPr>
            <w:r>
              <w:rPr>
                <w:rFonts w:ascii="Times New Roman" w:hAnsi="Times New Roman" w:eastAsia="Times New Roman" w:cs="Times New Roman"/>
                <w:b w:val="0"/>
                <w:bCs/>
                <w:color w:val="000000"/>
                <w:sz w:val="20"/>
                <w:szCs w:val="20"/>
                <w:lang w:eastAsia="it-IT"/>
              </w:rPr>
              <w:t>5</w:t>
            </w:r>
          </w:p>
        </w:tc>
        <w:tc>
          <w:tcPr>
            <w:tcW w:w="3718"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sz w:val="20"/>
                <w:szCs w:val="20"/>
                <w:lang w:eastAsia="it-IT"/>
              </w:rPr>
            </w:pPr>
            <w:r>
              <w:rPr>
                <w:rFonts w:ascii="Calibri" w:hAnsi="Calibri"/>
                <w:color w:val="000000"/>
              </w:rPr>
              <w:t>1,</w:t>
            </w:r>
            <w:r>
              <w:rPr>
                <w:rFonts w:ascii="Calibri" w:hAnsi="Calibri" w:cs="Calibri"/>
                <w:color w:val="000000"/>
              </w:rPr>
              <w:t>176,856</w:t>
            </w:r>
          </w:p>
        </w:tc>
        <w:tc>
          <w:tcPr>
            <w:tcW w:w="2541" w:type="dxa"/>
            <w:shd w:val="clear" w:color="auto" w:fill="ECECEC" w:themeFill="accent3" w:themeFillTint="33"/>
            <w:noWrap/>
          </w:tcPr>
          <w:p>
            <w:pPr>
              <w:widowControl w:val="0"/>
              <w:spacing w:after="0" w:line="240" w:lineRule="auto"/>
              <w:jc w:val="center"/>
              <w:rPr>
                <w:color w:val="000000"/>
              </w:rPr>
            </w:pPr>
            <w:r>
              <w:rPr>
                <w:rFonts w:cstheme="minorHAnsi"/>
                <w:color w:val="000000"/>
              </w:rPr>
              <w:t>1,733,211</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57" w:hRule="atLeast"/>
          <w:jc w:val="center"/>
        </w:trPr>
        <w:tc>
          <w:tcPr>
            <w:tcW w:w="842" w:type="dxa"/>
            <w:noWrap/>
          </w:tcPr>
          <w:p>
            <w:pPr>
              <w:widowControl w:val="0"/>
              <w:spacing w:after="0" w:line="240" w:lineRule="auto"/>
              <w:jc w:val="center"/>
              <w:rPr>
                <w:rFonts w:ascii="Times New Roman" w:hAnsi="Times New Roman" w:eastAsia="Times New Roman" w:cs="Times New Roman"/>
                <w:b w:val="0"/>
                <w:bCs/>
                <w:color w:val="000000"/>
                <w:sz w:val="20"/>
                <w:szCs w:val="20"/>
                <w:lang w:eastAsia="it-IT"/>
              </w:rPr>
            </w:pPr>
            <w:r>
              <w:rPr>
                <w:rFonts w:ascii="Times New Roman" w:hAnsi="Times New Roman" w:eastAsia="Times New Roman" w:cs="Times New Roman"/>
                <w:b w:val="0"/>
                <w:bCs/>
                <w:color w:val="000000"/>
                <w:sz w:val="20"/>
                <w:szCs w:val="20"/>
                <w:lang w:eastAsia="it-IT"/>
              </w:rPr>
              <w:t>6</w:t>
            </w:r>
          </w:p>
        </w:tc>
        <w:tc>
          <w:tcPr>
            <w:tcW w:w="3718" w:type="dxa"/>
            <w:noWrap/>
          </w:tcPr>
          <w:p>
            <w:pPr>
              <w:widowControl w:val="0"/>
              <w:spacing w:after="0" w:line="240" w:lineRule="auto"/>
              <w:jc w:val="center"/>
              <w:rPr>
                <w:rFonts w:ascii="Times New Roman" w:hAnsi="Times New Roman" w:eastAsia="Times New Roman" w:cs="Times New Roman"/>
                <w:color w:val="000000"/>
                <w:sz w:val="20"/>
                <w:szCs w:val="20"/>
                <w:lang w:eastAsia="it-IT"/>
              </w:rPr>
            </w:pPr>
            <w:r>
              <w:rPr>
                <w:rFonts w:ascii="Calibri" w:hAnsi="Calibri"/>
                <w:color w:val="000000"/>
              </w:rPr>
              <w:t>1,</w:t>
            </w:r>
            <w:r>
              <w:rPr>
                <w:rFonts w:ascii="Calibri" w:hAnsi="Calibri" w:cs="Calibri"/>
                <w:color w:val="000000"/>
              </w:rPr>
              <w:t>218,355</w:t>
            </w:r>
          </w:p>
        </w:tc>
        <w:tc>
          <w:tcPr>
            <w:tcW w:w="2541" w:type="dxa"/>
            <w:noWrap/>
          </w:tcPr>
          <w:p>
            <w:pPr>
              <w:widowControl w:val="0"/>
              <w:spacing w:after="0" w:line="240" w:lineRule="auto"/>
              <w:jc w:val="center"/>
              <w:rPr>
                <w:color w:val="000000"/>
              </w:rPr>
            </w:pPr>
            <w:r>
              <w:rPr>
                <w:rFonts w:cstheme="minorHAnsi"/>
                <w:color w:val="000000"/>
              </w:rPr>
              <w:t>1,794,329</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57" w:hRule="atLeast"/>
          <w:jc w:val="center"/>
        </w:trPr>
        <w:tc>
          <w:tcPr>
            <w:tcW w:w="842"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b w:val="0"/>
                <w:bCs/>
                <w:color w:val="000000"/>
                <w:sz w:val="20"/>
                <w:szCs w:val="20"/>
                <w:lang w:eastAsia="it-IT"/>
              </w:rPr>
            </w:pPr>
            <w:r>
              <w:rPr>
                <w:rFonts w:ascii="Times New Roman" w:hAnsi="Times New Roman" w:eastAsia="Times New Roman" w:cs="Times New Roman"/>
                <w:b w:val="0"/>
                <w:bCs/>
                <w:color w:val="000000"/>
                <w:sz w:val="20"/>
                <w:szCs w:val="20"/>
                <w:lang w:eastAsia="it-IT"/>
              </w:rPr>
              <w:t>7</w:t>
            </w:r>
          </w:p>
        </w:tc>
        <w:tc>
          <w:tcPr>
            <w:tcW w:w="3718"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sz w:val="20"/>
                <w:szCs w:val="20"/>
                <w:lang w:eastAsia="it-IT"/>
              </w:rPr>
            </w:pPr>
            <w:r>
              <w:rPr>
                <w:rFonts w:ascii="Calibri" w:hAnsi="Calibri"/>
                <w:color w:val="000000"/>
              </w:rPr>
              <w:t>1,</w:t>
            </w:r>
            <w:r>
              <w:rPr>
                <w:rFonts w:ascii="Calibri" w:hAnsi="Calibri" w:cs="Calibri"/>
                <w:color w:val="000000"/>
              </w:rPr>
              <w:t>339,594</w:t>
            </w:r>
          </w:p>
        </w:tc>
        <w:tc>
          <w:tcPr>
            <w:tcW w:w="2541" w:type="dxa"/>
            <w:shd w:val="clear" w:color="auto" w:fill="ECECEC" w:themeFill="accent3" w:themeFillTint="33"/>
            <w:noWrap/>
          </w:tcPr>
          <w:p>
            <w:pPr>
              <w:widowControl w:val="0"/>
              <w:spacing w:after="0" w:line="240" w:lineRule="auto"/>
              <w:jc w:val="center"/>
              <w:rPr>
                <w:color w:val="000000"/>
              </w:rPr>
            </w:pPr>
            <w:r>
              <w:rPr>
                <w:rFonts w:cstheme="minorHAnsi"/>
                <w:color w:val="000000"/>
              </w:rPr>
              <w:t>1,972,883</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57" w:hRule="atLeast"/>
          <w:jc w:val="center"/>
        </w:trPr>
        <w:tc>
          <w:tcPr>
            <w:tcW w:w="842" w:type="dxa"/>
            <w:noWrap/>
          </w:tcPr>
          <w:p>
            <w:pPr>
              <w:widowControl w:val="0"/>
              <w:spacing w:after="0" w:line="240" w:lineRule="auto"/>
              <w:jc w:val="center"/>
              <w:rPr>
                <w:rFonts w:ascii="Times New Roman" w:hAnsi="Times New Roman" w:eastAsia="Times New Roman" w:cs="Times New Roman"/>
                <w:b w:val="0"/>
                <w:bCs/>
                <w:color w:val="000000"/>
                <w:sz w:val="20"/>
                <w:szCs w:val="20"/>
                <w:lang w:eastAsia="it-IT"/>
              </w:rPr>
            </w:pPr>
            <w:r>
              <w:rPr>
                <w:rFonts w:ascii="Times New Roman" w:hAnsi="Times New Roman" w:eastAsia="Times New Roman" w:cs="Times New Roman"/>
                <w:b w:val="0"/>
                <w:bCs/>
                <w:color w:val="000000"/>
                <w:sz w:val="20"/>
                <w:szCs w:val="20"/>
                <w:lang w:eastAsia="it-IT"/>
              </w:rPr>
              <w:t>8</w:t>
            </w:r>
          </w:p>
        </w:tc>
        <w:tc>
          <w:tcPr>
            <w:tcW w:w="3718" w:type="dxa"/>
            <w:noWrap/>
          </w:tcPr>
          <w:p>
            <w:pPr>
              <w:widowControl w:val="0"/>
              <w:spacing w:after="0" w:line="240" w:lineRule="auto"/>
              <w:jc w:val="center"/>
              <w:rPr>
                <w:rFonts w:ascii="Times New Roman" w:hAnsi="Times New Roman" w:eastAsia="Times New Roman" w:cs="Times New Roman"/>
                <w:color w:val="000000"/>
                <w:sz w:val="20"/>
                <w:szCs w:val="20"/>
                <w:lang w:eastAsia="it-IT"/>
              </w:rPr>
            </w:pPr>
            <w:r>
              <w:rPr>
                <w:rFonts w:ascii="Calibri" w:hAnsi="Calibri"/>
                <w:color w:val="000000"/>
              </w:rPr>
              <w:t>1,</w:t>
            </w:r>
            <w:r>
              <w:rPr>
                <w:rFonts w:ascii="Calibri" w:hAnsi="Calibri" w:cs="Calibri"/>
                <w:color w:val="000000"/>
              </w:rPr>
              <w:t>341,391</w:t>
            </w:r>
          </w:p>
        </w:tc>
        <w:tc>
          <w:tcPr>
            <w:tcW w:w="2541" w:type="dxa"/>
            <w:noWrap/>
          </w:tcPr>
          <w:p>
            <w:pPr>
              <w:widowControl w:val="0"/>
              <w:spacing w:after="0" w:line="240" w:lineRule="auto"/>
              <w:jc w:val="center"/>
              <w:rPr>
                <w:color w:val="000000"/>
              </w:rPr>
            </w:pPr>
            <w:r>
              <w:rPr>
                <w:rFonts w:cstheme="minorHAnsi"/>
                <w:color w:val="000000"/>
              </w:rPr>
              <w:t>1,975,530</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57" w:hRule="atLeast"/>
          <w:jc w:val="center"/>
        </w:trPr>
        <w:tc>
          <w:tcPr>
            <w:tcW w:w="842"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b w:val="0"/>
                <w:bCs/>
                <w:color w:val="000000"/>
                <w:sz w:val="20"/>
                <w:szCs w:val="20"/>
                <w:lang w:eastAsia="it-IT"/>
              </w:rPr>
            </w:pPr>
            <w:r>
              <w:rPr>
                <w:rFonts w:ascii="Times New Roman" w:hAnsi="Times New Roman" w:eastAsia="Times New Roman" w:cs="Times New Roman"/>
                <w:b w:val="0"/>
                <w:bCs/>
                <w:color w:val="000000"/>
                <w:sz w:val="20"/>
                <w:szCs w:val="20"/>
                <w:lang w:eastAsia="it-IT"/>
              </w:rPr>
              <w:t>9</w:t>
            </w:r>
          </w:p>
        </w:tc>
        <w:tc>
          <w:tcPr>
            <w:tcW w:w="3718"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sz w:val="20"/>
                <w:szCs w:val="20"/>
                <w:lang w:eastAsia="it-IT"/>
              </w:rPr>
            </w:pPr>
            <w:r>
              <w:rPr>
                <w:rFonts w:ascii="Calibri" w:hAnsi="Calibri"/>
                <w:color w:val="000000"/>
              </w:rPr>
              <w:t>1,</w:t>
            </w:r>
            <w:r>
              <w:rPr>
                <w:rFonts w:ascii="Calibri" w:hAnsi="Calibri" w:cs="Calibri"/>
                <w:color w:val="000000"/>
              </w:rPr>
              <w:t>280,292</w:t>
            </w:r>
          </w:p>
        </w:tc>
        <w:tc>
          <w:tcPr>
            <w:tcW w:w="2541" w:type="dxa"/>
            <w:shd w:val="clear" w:color="auto" w:fill="ECECEC" w:themeFill="accent3" w:themeFillTint="33"/>
            <w:noWrap/>
          </w:tcPr>
          <w:p>
            <w:pPr>
              <w:widowControl w:val="0"/>
              <w:spacing w:after="0" w:line="240" w:lineRule="auto"/>
              <w:jc w:val="center"/>
              <w:rPr>
                <w:color w:val="000000"/>
              </w:rPr>
            </w:pPr>
            <w:r>
              <w:rPr>
                <w:color w:val="000000"/>
              </w:rPr>
              <w:t>1,</w:t>
            </w:r>
            <w:r>
              <w:rPr>
                <w:rFonts w:cstheme="minorHAnsi"/>
                <w:color w:val="000000"/>
              </w:rPr>
              <w:t>885,546</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57" w:hRule="atLeast"/>
          <w:jc w:val="center"/>
        </w:trPr>
        <w:tc>
          <w:tcPr>
            <w:tcW w:w="842" w:type="dxa"/>
            <w:noWrap/>
          </w:tcPr>
          <w:p>
            <w:pPr>
              <w:widowControl w:val="0"/>
              <w:spacing w:after="0" w:line="240" w:lineRule="auto"/>
              <w:jc w:val="center"/>
              <w:rPr>
                <w:rFonts w:ascii="Times New Roman" w:hAnsi="Times New Roman" w:eastAsia="Times New Roman" w:cs="Times New Roman"/>
                <w:b w:val="0"/>
                <w:bCs/>
                <w:color w:val="000000"/>
                <w:sz w:val="20"/>
                <w:szCs w:val="20"/>
                <w:lang w:eastAsia="it-IT"/>
              </w:rPr>
            </w:pPr>
            <w:r>
              <w:rPr>
                <w:rFonts w:ascii="Times New Roman" w:hAnsi="Times New Roman" w:eastAsia="Times New Roman" w:cs="Times New Roman"/>
                <w:b w:val="0"/>
                <w:bCs/>
                <w:color w:val="000000"/>
                <w:sz w:val="20"/>
                <w:szCs w:val="20"/>
                <w:lang w:eastAsia="it-IT"/>
              </w:rPr>
              <w:t>10</w:t>
            </w:r>
          </w:p>
        </w:tc>
        <w:tc>
          <w:tcPr>
            <w:tcW w:w="3718" w:type="dxa"/>
            <w:noWrap/>
          </w:tcPr>
          <w:p>
            <w:pPr>
              <w:widowControl w:val="0"/>
              <w:spacing w:after="0" w:line="240" w:lineRule="auto"/>
              <w:jc w:val="center"/>
              <w:rPr>
                <w:rFonts w:ascii="Times New Roman" w:hAnsi="Times New Roman" w:eastAsia="Times New Roman" w:cs="Times New Roman"/>
                <w:color w:val="000000"/>
                <w:sz w:val="20"/>
                <w:szCs w:val="20"/>
                <w:lang w:eastAsia="it-IT"/>
              </w:rPr>
            </w:pPr>
            <w:r>
              <w:rPr>
                <w:rFonts w:ascii="Calibri" w:hAnsi="Calibri"/>
                <w:color w:val="000000"/>
              </w:rPr>
              <w:t>1,</w:t>
            </w:r>
            <w:r>
              <w:rPr>
                <w:rFonts w:ascii="Calibri" w:hAnsi="Calibri" w:cs="Calibri"/>
                <w:color w:val="000000"/>
              </w:rPr>
              <w:t>251,538</w:t>
            </w:r>
          </w:p>
        </w:tc>
        <w:tc>
          <w:tcPr>
            <w:tcW w:w="2541" w:type="dxa"/>
            <w:noWrap/>
          </w:tcPr>
          <w:p>
            <w:pPr>
              <w:widowControl w:val="0"/>
              <w:spacing w:after="0" w:line="240" w:lineRule="auto"/>
              <w:jc w:val="center"/>
              <w:rPr>
                <w:color w:val="000000"/>
              </w:rPr>
            </w:pPr>
            <w:r>
              <w:rPr>
                <w:rFonts w:cstheme="minorHAnsi"/>
                <w:color w:val="000000"/>
              </w:rPr>
              <w:t>1,843,199</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57" w:hRule="atLeast"/>
          <w:jc w:val="center"/>
        </w:trPr>
        <w:tc>
          <w:tcPr>
            <w:tcW w:w="842"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b w:val="0"/>
                <w:bCs/>
                <w:color w:val="000000"/>
                <w:sz w:val="20"/>
                <w:szCs w:val="20"/>
                <w:lang w:eastAsia="it-IT"/>
              </w:rPr>
            </w:pPr>
            <w:r>
              <w:rPr>
                <w:rFonts w:ascii="Times New Roman" w:hAnsi="Times New Roman" w:eastAsia="Times New Roman" w:cs="Times New Roman"/>
                <w:b w:val="0"/>
                <w:bCs/>
                <w:color w:val="000000"/>
                <w:sz w:val="20"/>
                <w:szCs w:val="20"/>
                <w:lang w:eastAsia="it-IT"/>
              </w:rPr>
              <w:t>11</w:t>
            </w:r>
          </w:p>
        </w:tc>
        <w:tc>
          <w:tcPr>
            <w:tcW w:w="3718"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sz w:val="20"/>
                <w:szCs w:val="20"/>
                <w:lang w:eastAsia="it-IT"/>
              </w:rPr>
            </w:pPr>
            <w:r>
              <w:rPr>
                <w:rFonts w:ascii="Calibri" w:hAnsi="Calibri"/>
                <w:color w:val="000000"/>
              </w:rPr>
              <w:t>784,</w:t>
            </w:r>
            <w:r>
              <w:rPr>
                <w:rFonts w:ascii="Calibri" w:hAnsi="Calibri" w:cs="Calibri"/>
                <w:color w:val="000000"/>
              </w:rPr>
              <w:t>527</w:t>
            </w:r>
          </w:p>
        </w:tc>
        <w:tc>
          <w:tcPr>
            <w:tcW w:w="2541" w:type="dxa"/>
            <w:shd w:val="clear" w:color="auto" w:fill="ECECEC" w:themeFill="accent3" w:themeFillTint="33"/>
            <w:noWrap/>
          </w:tcPr>
          <w:p>
            <w:pPr>
              <w:widowControl w:val="0"/>
              <w:spacing w:after="0" w:line="240" w:lineRule="auto"/>
              <w:jc w:val="center"/>
              <w:rPr>
                <w:color w:val="000000"/>
              </w:rPr>
            </w:pPr>
            <w:r>
              <w:rPr>
                <w:rFonts w:cstheme="minorHAnsi"/>
                <w:color w:val="000000"/>
              </w:rPr>
              <w:t>1,155,410</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57" w:hRule="atLeast"/>
          <w:jc w:val="center"/>
        </w:trPr>
        <w:tc>
          <w:tcPr>
            <w:tcW w:w="842" w:type="dxa"/>
            <w:noWrap/>
          </w:tcPr>
          <w:p>
            <w:pPr>
              <w:widowControl w:val="0"/>
              <w:spacing w:after="0" w:line="240" w:lineRule="auto"/>
              <w:jc w:val="center"/>
              <w:rPr>
                <w:rFonts w:ascii="Times New Roman" w:hAnsi="Times New Roman" w:eastAsia="Times New Roman" w:cs="Times New Roman"/>
                <w:b w:val="0"/>
                <w:bCs/>
                <w:color w:val="000000"/>
                <w:sz w:val="20"/>
                <w:szCs w:val="20"/>
                <w:lang w:eastAsia="it-IT"/>
              </w:rPr>
            </w:pPr>
            <w:r>
              <w:rPr>
                <w:rFonts w:ascii="Times New Roman" w:hAnsi="Times New Roman" w:eastAsia="Times New Roman" w:cs="Times New Roman"/>
                <w:b w:val="0"/>
                <w:bCs/>
                <w:color w:val="000000"/>
                <w:sz w:val="20"/>
                <w:szCs w:val="20"/>
                <w:lang w:eastAsia="it-IT"/>
              </w:rPr>
              <w:t>12</w:t>
            </w:r>
          </w:p>
        </w:tc>
        <w:tc>
          <w:tcPr>
            <w:tcW w:w="3718" w:type="dxa"/>
            <w:noWrap/>
          </w:tcPr>
          <w:p>
            <w:pPr>
              <w:widowControl w:val="0"/>
              <w:spacing w:after="0" w:line="240" w:lineRule="auto"/>
              <w:jc w:val="center"/>
              <w:rPr>
                <w:rFonts w:ascii="Times New Roman" w:hAnsi="Times New Roman" w:eastAsia="Times New Roman" w:cs="Times New Roman"/>
                <w:color w:val="000000"/>
                <w:sz w:val="20"/>
                <w:szCs w:val="20"/>
                <w:lang w:eastAsia="it-IT"/>
              </w:rPr>
            </w:pPr>
            <w:r>
              <w:rPr>
                <w:rFonts w:ascii="Calibri" w:hAnsi="Calibri"/>
                <w:color w:val="000000"/>
              </w:rPr>
              <w:t>634,</w:t>
            </w:r>
            <w:r>
              <w:rPr>
                <w:rFonts w:ascii="Calibri" w:hAnsi="Calibri" w:cs="Calibri"/>
                <w:color w:val="000000"/>
              </w:rPr>
              <w:t>749</w:t>
            </w:r>
          </w:p>
        </w:tc>
        <w:tc>
          <w:tcPr>
            <w:tcW w:w="2541" w:type="dxa"/>
            <w:noWrap/>
          </w:tcPr>
          <w:p>
            <w:pPr>
              <w:widowControl w:val="0"/>
              <w:spacing w:after="0" w:line="240" w:lineRule="auto"/>
              <w:jc w:val="center"/>
              <w:rPr>
                <w:color w:val="000000"/>
              </w:rPr>
            </w:pPr>
            <w:r>
              <w:rPr>
                <w:color w:val="000000"/>
              </w:rPr>
              <w:t>934,</w:t>
            </w:r>
            <w:r>
              <w:rPr>
                <w:rFonts w:cstheme="minorHAnsi"/>
                <w:color w:val="000000"/>
              </w:rPr>
              <w:t>824</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57" w:hRule="atLeast"/>
          <w:jc w:val="center"/>
        </w:trPr>
        <w:tc>
          <w:tcPr>
            <w:tcW w:w="842"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b w:val="0"/>
                <w:bCs/>
                <w:color w:val="000000"/>
                <w:sz w:val="20"/>
                <w:szCs w:val="20"/>
                <w:lang w:eastAsia="it-IT"/>
              </w:rPr>
            </w:pPr>
            <w:r>
              <w:rPr>
                <w:rFonts w:ascii="Times New Roman" w:hAnsi="Times New Roman" w:eastAsia="Times New Roman" w:cs="Times New Roman"/>
                <w:b w:val="0"/>
                <w:bCs/>
                <w:color w:val="000000"/>
                <w:sz w:val="20"/>
                <w:szCs w:val="20"/>
                <w:lang w:eastAsia="it-IT"/>
              </w:rPr>
              <w:t>Total</w:t>
            </w:r>
          </w:p>
        </w:tc>
        <w:tc>
          <w:tcPr>
            <w:tcW w:w="3718"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sz w:val="20"/>
                <w:szCs w:val="20"/>
                <w:lang w:eastAsia="it-IT"/>
              </w:rPr>
            </w:pPr>
            <w:r>
              <w:rPr>
                <w:rFonts w:ascii="Calibri" w:hAnsi="Calibri" w:cs="Calibri"/>
                <w:color w:val="000000"/>
              </w:rPr>
              <w:t>12,250,879</w:t>
            </w:r>
          </w:p>
        </w:tc>
        <w:tc>
          <w:tcPr>
            <w:tcW w:w="2541" w:type="dxa"/>
            <w:shd w:val="clear" w:color="auto" w:fill="ECECEC" w:themeFill="accent3" w:themeFillTint="33"/>
            <w:noWrap/>
          </w:tcPr>
          <w:p>
            <w:pPr>
              <w:widowControl w:val="0"/>
              <w:spacing w:after="0" w:line="240" w:lineRule="auto"/>
              <w:jc w:val="center"/>
              <w:rPr>
                <w:color w:val="000000"/>
              </w:rPr>
            </w:pPr>
            <w:r>
              <w:rPr>
                <w:rFonts w:cstheme="minorHAnsi"/>
                <w:color w:val="000000"/>
              </w:rPr>
              <w:t>18,042,448</w:t>
            </w:r>
          </w:p>
        </w:tc>
      </w:tr>
    </w:tbl>
    <w:p>
      <w:pPr>
        <w:widowControl w:val="0"/>
        <w:jc w:val="center"/>
        <w:rPr>
          <w:rFonts w:ascii="Times New Roman" w:hAnsi="Times New Roman" w:cs="Times New Roman"/>
          <w:i/>
          <w:iCs/>
          <w:sz w:val="20"/>
          <w:szCs w:val="20"/>
        </w:rPr>
      </w:pPr>
      <w:r>
        <w:rPr>
          <w:rFonts w:ascii="Times New Roman" w:hAnsi="Times New Roman" w:cs="Times New Roman"/>
          <w:i/>
          <w:iCs/>
          <w:sz w:val="20"/>
          <w:szCs w:val="20"/>
        </w:rPr>
        <w:t>Tab A.1 Estimated number of tourists and excursionists per month.</w:t>
      </w:r>
    </w:p>
    <w:p>
      <w:pPr>
        <w:widowControl w:val="0"/>
        <w:spacing w:after="0"/>
        <w:rPr>
          <w:rFonts w:ascii="Times New Roman" w:hAnsi="Times New Roman" w:cs="Times New Roman"/>
          <w:sz w:val="24"/>
          <w:szCs w:val="24"/>
        </w:rPr>
      </w:pPr>
      <w:r>
        <w:rPr>
          <w:rFonts w:ascii="Times New Roman" w:hAnsi="Times New Roman" w:cs="Times New Roman"/>
          <w:sz w:val="24"/>
          <w:szCs w:val="24"/>
        </w:rPr>
        <w:t xml:space="preserve">                                                                              </w:t>
      </w:r>
    </w:p>
    <w:p>
      <w:pPr>
        <w:widowControl w:val="0"/>
        <w:jc w:val="both"/>
        <w:rPr>
          <w:rFonts w:ascii="Times New Roman" w:hAnsi="Times New Roman" w:cs="Times New Roman"/>
          <w:sz w:val="24"/>
          <w:szCs w:val="24"/>
        </w:rPr>
      </w:pPr>
      <w:r>
        <w:rPr>
          <w:rFonts w:ascii="Times New Roman" w:hAnsi="Times New Roman" w:cs="Times New Roman"/>
          <w:sz w:val="24"/>
          <w:szCs w:val="24"/>
        </w:rPr>
        <w:t>Data on high tide events per month during these periods was obtained from Venice municipality’s official website.</w:t>
      </w:r>
      <w:r>
        <w:rPr>
          <w:rStyle w:val="17"/>
          <w:rFonts w:ascii="Times New Roman" w:hAnsi="Times New Roman" w:cs="Times New Roman"/>
          <w:sz w:val="24"/>
          <w:szCs w:val="24"/>
        </w:rPr>
        <w:footnoteReference w:id="8"/>
      </w:r>
      <w:r>
        <w:rPr>
          <w:rFonts w:ascii="Times New Roman" w:hAnsi="Times New Roman" w:cs="Times New Roman"/>
          <w:sz w:val="24"/>
          <w:szCs w:val="24"/>
        </w:rPr>
        <w:t xml:space="preserve"> Hence, it was possible to compute the number of high tide episodes per month (number of  events &gt; 140 cm, NAA_140).</w:t>
      </w:r>
    </w:p>
    <w:p>
      <w:pPr>
        <w:widowControl w:val="0"/>
        <w:jc w:val="both"/>
        <w:rPr>
          <w:rFonts w:ascii="Times New Roman" w:hAnsi="Times New Roman" w:cs="Times New Roman"/>
          <w:sz w:val="24"/>
          <w:szCs w:val="24"/>
        </w:rPr>
      </w:pPr>
      <w:r>
        <w:rPr>
          <w:rFonts w:ascii="Times New Roman" w:hAnsi="Times New Roman" w:cs="Times New Roman"/>
          <w:sz w:val="24"/>
          <w:szCs w:val="24"/>
        </w:rPr>
        <w:t>This data allowed us to estimate the effect of high tide on tourism stays, as described in section 1.1, formula (1). To rule out the effect of seasonality and of yearly trends, time indicator variables have been included.</w:t>
      </w:r>
    </w:p>
    <w:p>
      <w:pPr>
        <w:widowControl w:val="0"/>
        <w:rPr>
          <w:rFonts w:ascii="Times New Roman" w:hAnsi="Times New Roman" w:cs="Times New Roman"/>
          <w:sz w:val="24"/>
          <w:szCs w:val="24"/>
        </w:rPr>
      </w:pPr>
      <w:r>
        <w:rPr>
          <w:rFonts w:ascii="Times New Roman" w:hAnsi="Times New Roman" w:cs="Times New Roman"/>
          <w:sz w:val="24"/>
          <w:szCs w:val="24"/>
        </w:rPr>
        <w:t>For completeness, the summary of the regression is available in Table A.2:</w:t>
      </w:r>
      <w:r>
        <w:rPr>
          <w:rStyle w:val="17"/>
          <w:rFonts w:ascii="Times New Roman" w:hAnsi="Times New Roman" w:cs="Times New Roman"/>
          <w:sz w:val="24"/>
          <w:szCs w:val="24"/>
        </w:rPr>
        <w:footnoteReference w:id="9"/>
      </w:r>
    </w:p>
    <w:p>
      <w:pPr>
        <w:widowControl w:val="0"/>
        <w:jc w:val="center"/>
        <w:rPr>
          <w:rFonts w:ascii="Times New Roman" w:hAnsi="Times New Roman" w:cs="Times New Roman"/>
          <w:sz w:val="20"/>
          <w:szCs w:val="20"/>
        </w:rPr>
      </w:pPr>
      <w:r>
        <w:rPr>
          <w:rFonts w:ascii="Times New Roman" w:hAnsi="Times New Roman" w:cs="Times New Roman"/>
          <w:sz w:val="20"/>
          <w:szCs w:val="20"/>
        </w:rPr>
        <w:t xml:space="preserve">                Observations:     180</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Dependent variable:       log(tourism_stays)</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 xml:space="preserve">                   Type:               OLS linear regression</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F(18,161):</w:t>
      </w:r>
      <w:r>
        <w:rPr>
          <w:rFonts w:ascii="Times New Roman" w:hAnsi="Times New Roman" w:cs="Times New Roman"/>
          <w:sz w:val="20"/>
          <w:szCs w:val="20"/>
        </w:rPr>
        <w:tab/>
      </w:r>
      <w:r>
        <w:rPr>
          <w:rFonts w:ascii="Times New Roman" w:hAnsi="Times New Roman" w:cs="Times New Roman"/>
          <w:sz w:val="20"/>
          <w:szCs w:val="20"/>
        </w:rPr>
        <w:t xml:space="preserve">          24.35</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 xml:space="preserve">     R²:</w:t>
      </w:r>
      <w:r>
        <w:rPr>
          <w:rFonts w:ascii="Times New Roman" w:hAnsi="Times New Roman" w:cs="Times New Roman"/>
          <w:sz w:val="20"/>
          <w:szCs w:val="20"/>
        </w:rPr>
        <w:tab/>
      </w:r>
      <w:r>
        <w:rPr>
          <w:rFonts w:ascii="Times New Roman" w:hAnsi="Times New Roman" w:cs="Times New Roman"/>
          <w:sz w:val="20"/>
          <w:szCs w:val="20"/>
        </w:rPr>
        <w:t xml:space="preserve">                         0.73</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Adj. R²:                          0.70</w:t>
      </w:r>
    </w:p>
    <w:p>
      <w:pPr>
        <w:pStyle w:val="31"/>
        <w:widowControl w:val="0"/>
        <w:jc w:val="center"/>
        <w:rPr>
          <w:rFonts w:ascii="Times New Roman" w:hAnsi="Times New Roman" w:cs="Times New Roman"/>
          <w:sz w:val="20"/>
          <w:szCs w:val="20"/>
        </w:rPr>
      </w:pP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 xml:space="preserve">                           Est          S.E.      t val.</w:t>
      </w:r>
      <w:r>
        <w:rPr>
          <w:rFonts w:ascii="Times New Roman" w:hAnsi="Times New Roman" w:cs="Times New Roman"/>
          <w:sz w:val="20"/>
          <w:szCs w:val="20"/>
        </w:rPr>
        <w:tab/>
      </w:r>
      <w:r>
        <w:rPr>
          <w:rFonts w:ascii="Times New Roman" w:hAnsi="Times New Roman" w:cs="Times New Roman"/>
          <w:sz w:val="20"/>
          <w:szCs w:val="20"/>
        </w:rPr>
        <w:t xml:space="preserve"> p</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Intercept              12.983</w:t>
      </w:r>
      <w:r>
        <w:rPr>
          <w:rFonts w:ascii="Times New Roman" w:hAnsi="Times New Roman" w:cs="Times New Roman"/>
          <w:sz w:val="20"/>
          <w:szCs w:val="20"/>
        </w:rPr>
        <w:tab/>
      </w:r>
      <w:r>
        <w:rPr>
          <w:rFonts w:ascii="Times New Roman" w:hAnsi="Times New Roman" w:cs="Times New Roman"/>
          <w:sz w:val="20"/>
          <w:szCs w:val="20"/>
        </w:rPr>
        <w:t>0.060   217.499</w:t>
      </w:r>
      <w:r>
        <w:rPr>
          <w:rFonts w:ascii="Times New Roman" w:hAnsi="Times New Roman" w:cs="Times New Roman"/>
          <w:sz w:val="20"/>
          <w:szCs w:val="20"/>
        </w:rPr>
        <w:tab/>
      </w:r>
      <w:r>
        <w:rPr>
          <w:rFonts w:ascii="Times New Roman" w:hAnsi="Times New Roman" w:cs="Times New Roman"/>
          <w:sz w:val="20"/>
          <w:szCs w:val="20"/>
        </w:rPr>
        <w:t>0.000</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NAA_140           -0.065</w:t>
      </w:r>
      <w:r>
        <w:rPr>
          <w:rFonts w:ascii="Times New Roman" w:hAnsi="Times New Roman" w:cs="Times New Roman"/>
          <w:sz w:val="20"/>
          <w:szCs w:val="20"/>
        </w:rPr>
        <w:tab/>
      </w:r>
      <w:r>
        <w:rPr>
          <w:rFonts w:ascii="Times New Roman" w:hAnsi="Times New Roman" w:cs="Times New Roman"/>
          <w:sz w:val="20"/>
          <w:szCs w:val="20"/>
        </w:rPr>
        <w:t>0.037    -1.767</w:t>
      </w:r>
      <w:r>
        <w:rPr>
          <w:rFonts w:ascii="Times New Roman" w:hAnsi="Times New Roman" w:cs="Times New Roman"/>
          <w:sz w:val="20"/>
          <w:szCs w:val="20"/>
        </w:rPr>
        <w:tab/>
      </w:r>
      <w:r>
        <w:rPr>
          <w:rFonts w:ascii="Times New Roman" w:hAnsi="Times New Roman" w:cs="Times New Roman"/>
          <w:sz w:val="20"/>
          <w:szCs w:val="20"/>
        </w:rPr>
        <w:t>0.079</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(year)2006</w:t>
      </w:r>
      <w:r>
        <w:rPr>
          <w:rFonts w:ascii="Times New Roman" w:hAnsi="Times New Roman" w:cs="Times New Roman"/>
          <w:sz w:val="20"/>
          <w:szCs w:val="20"/>
        </w:rPr>
        <w:tab/>
      </w:r>
      <w:r>
        <w:rPr>
          <w:rFonts w:ascii="Times New Roman" w:hAnsi="Times New Roman" w:cs="Times New Roman"/>
          <w:sz w:val="20"/>
          <w:szCs w:val="20"/>
        </w:rPr>
        <w:t>0.071</w:t>
      </w:r>
      <w:r>
        <w:rPr>
          <w:rFonts w:ascii="Times New Roman" w:hAnsi="Times New Roman" w:cs="Times New Roman"/>
          <w:sz w:val="20"/>
          <w:szCs w:val="20"/>
        </w:rPr>
        <w:tab/>
      </w:r>
      <w:r>
        <w:rPr>
          <w:rFonts w:ascii="Times New Roman" w:hAnsi="Times New Roman" w:cs="Times New Roman"/>
          <w:sz w:val="20"/>
          <w:szCs w:val="20"/>
        </w:rPr>
        <w:t>0.077</w:t>
      </w:r>
      <w:r>
        <w:rPr>
          <w:rFonts w:ascii="Times New Roman" w:hAnsi="Times New Roman" w:cs="Times New Roman"/>
          <w:sz w:val="20"/>
          <w:szCs w:val="20"/>
        </w:rPr>
        <w:tab/>
      </w:r>
      <w:r>
        <w:rPr>
          <w:rFonts w:ascii="Times New Roman" w:hAnsi="Times New Roman" w:cs="Times New Roman"/>
          <w:sz w:val="20"/>
          <w:szCs w:val="20"/>
        </w:rPr>
        <w:t>0.927</w:t>
      </w:r>
      <w:r>
        <w:rPr>
          <w:rFonts w:ascii="Times New Roman" w:hAnsi="Times New Roman" w:cs="Times New Roman"/>
          <w:sz w:val="20"/>
          <w:szCs w:val="20"/>
        </w:rPr>
        <w:tab/>
      </w:r>
      <w:r>
        <w:rPr>
          <w:rFonts w:ascii="Times New Roman" w:hAnsi="Times New Roman" w:cs="Times New Roman"/>
          <w:sz w:val="20"/>
          <w:szCs w:val="20"/>
        </w:rPr>
        <w:t>0.355</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(year)2007</w:t>
      </w:r>
      <w:r>
        <w:rPr>
          <w:rFonts w:ascii="Times New Roman" w:hAnsi="Times New Roman" w:cs="Times New Roman"/>
          <w:sz w:val="20"/>
          <w:szCs w:val="20"/>
        </w:rPr>
        <w:tab/>
      </w:r>
      <w:r>
        <w:rPr>
          <w:rFonts w:ascii="Times New Roman" w:hAnsi="Times New Roman" w:cs="Times New Roman"/>
          <w:sz w:val="20"/>
          <w:szCs w:val="20"/>
        </w:rPr>
        <w:t>0.146</w:t>
      </w:r>
      <w:r>
        <w:rPr>
          <w:rFonts w:ascii="Times New Roman" w:hAnsi="Times New Roman" w:cs="Times New Roman"/>
          <w:sz w:val="20"/>
          <w:szCs w:val="20"/>
        </w:rPr>
        <w:tab/>
      </w:r>
      <w:r>
        <w:rPr>
          <w:rFonts w:ascii="Times New Roman" w:hAnsi="Times New Roman" w:cs="Times New Roman"/>
          <w:sz w:val="20"/>
          <w:szCs w:val="20"/>
        </w:rPr>
        <w:t>0.077</w:t>
      </w:r>
      <w:r>
        <w:rPr>
          <w:rFonts w:ascii="Times New Roman" w:hAnsi="Times New Roman" w:cs="Times New Roman"/>
          <w:sz w:val="20"/>
          <w:szCs w:val="20"/>
        </w:rPr>
        <w:tab/>
      </w:r>
      <w:r>
        <w:rPr>
          <w:rFonts w:ascii="Times New Roman" w:hAnsi="Times New Roman" w:cs="Times New Roman"/>
          <w:sz w:val="20"/>
          <w:szCs w:val="20"/>
        </w:rPr>
        <w:t>1.891</w:t>
      </w:r>
      <w:r>
        <w:rPr>
          <w:rFonts w:ascii="Times New Roman" w:hAnsi="Times New Roman" w:cs="Times New Roman"/>
          <w:sz w:val="20"/>
          <w:szCs w:val="20"/>
        </w:rPr>
        <w:tab/>
      </w:r>
      <w:r>
        <w:rPr>
          <w:rFonts w:ascii="Times New Roman" w:hAnsi="Times New Roman" w:cs="Times New Roman"/>
          <w:sz w:val="20"/>
          <w:szCs w:val="20"/>
        </w:rPr>
        <w:t>0.060</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(year)2008</w:t>
      </w:r>
      <w:r>
        <w:rPr>
          <w:rFonts w:ascii="Times New Roman" w:hAnsi="Times New Roman" w:cs="Times New Roman"/>
          <w:sz w:val="20"/>
          <w:szCs w:val="20"/>
        </w:rPr>
        <w:tab/>
      </w:r>
      <w:r>
        <w:rPr>
          <w:rFonts w:ascii="Times New Roman" w:hAnsi="Times New Roman" w:cs="Times New Roman"/>
          <w:sz w:val="20"/>
          <w:szCs w:val="20"/>
        </w:rPr>
        <w:t>0.115</w:t>
      </w:r>
      <w:r>
        <w:rPr>
          <w:rFonts w:ascii="Times New Roman" w:hAnsi="Times New Roman" w:cs="Times New Roman"/>
          <w:sz w:val="20"/>
          <w:szCs w:val="20"/>
        </w:rPr>
        <w:tab/>
      </w:r>
      <w:r>
        <w:rPr>
          <w:rFonts w:ascii="Times New Roman" w:hAnsi="Times New Roman" w:cs="Times New Roman"/>
          <w:sz w:val="20"/>
          <w:szCs w:val="20"/>
        </w:rPr>
        <w:t>0.077</w:t>
      </w:r>
      <w:r>
        <w:rPr>
          <w:rFonts w:ascii="Times New Roman" w:hAnsi="Times New Roman" w:cs="Times New Roman"/>
          <w:sz w:val="20"/>
          <w:szCs w:val="20"/>
        </w:rPr>
        <w:tab/>
      </w:r>
      <w:r>
        <w:rPr>
          <w:rFonts w:ascii="Times New Roman" w:hAnsi="Times New Roman" w:cs="Times New Roman"/>
          <w:sz w:val="20"/>
          <w:szCs w:val="20"/>
        </w:rPr>
        <w:t>1.491</w:t>
      </w:r>
      <w:r>
        <w:rPr>
          <w:rFonts w:ascii="Times New Roman" w:hAnsi="Times New Roman" w:cs="Times New Roman"/>
          <w:sz w:val="20"/>
          <w:szCs w:val="20"/>
        </w:rPr>
        <w:tab/>
      </w:r>
      <w:r>
        <w:rPr>
          <w:rFonts w:ascii="Times New Roman" w:hAnsi="Times New Roman" w:cs="Times New Roman"/>
          <w:sz w:val="20"/>
          <w:szCs w:val="20"/>
        </w:rPr>
        <w:t>0.138</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(year)2009</w:t>
      </w:r>
      <w:r>
        <w:rPr>
          <w:rFonts w:ascii="Times New Roman" w:hAnsi="Times New Roman" w:cs="Times New Roman"/>
          <w:sz w:val="20"/>
          <w:szCs w:val="20"/>
        </w:rPr>
        <w:tab/>
      </w:r>
      <w:r>
        <w:rPr>
          <w:rFonts w:ascii="Times New Roman" w:hAnsi="Times New Roman" w:cs="Times New Roman"/>
          <w:sz w:val="20"/>
          <w:szCs w:val="20"/>
        </w:rPr>
        <w:t>0.105</w:t>
      </w:r>
      <w:r>
        <w:rPr>
          <w:rFonts w:ascii="Times New Roman" w:hAnsi="Times New Roman" w:cs="Times New Roman"/>
          <w:sz w:val="20"/>
          <w:szCs w:val="20"/>
        </w:rPr>
        <w:tab/>
      </w:r>
      <w:r>
        <w:rPr>
          <w:rFonts w:ascii="Times New Roman" w:hAnsi="Times New Roman" w:cs="Times New Roman"/>
          <w:sz w:val="20"/>
          <w:szCs w:val="20"/>
        </w:rPr>
        <w:t>0.077</w:t>
      </w:r>
      <w:r>
        <w:rPr>
          <w:rFonts w:ascii="Times New Roman" w:hAnsi="Times New Roman" w:cs="Times New Roman"/>
          <w:sz w:val="20"/>
          <w:szCs w:val="20"/>
        </w:rPr>
        <w:tab/>
      </w:r>
      <w:r>
        <w:rPr>
          <w:rFonts w:ascii="Times New Roman" w:hAnsi="Times New Roman" w:cs="Times New Roman"/>
          <w:sz w:val="20"/>
          <w:szCs w:val="20"/>
        </w:rPr>
        <w:t>1.356</w:t>
      </w:r>
      <w:r>
        <w:rPr>
          <w:rFonts w:ascii="Times New Roman" w:hAnsi="Times New Roman" w:cs="Times New Roman"/>
          <w:sz w:val="20"/>
          <w:szCs w:val="20"/>
        </w:rPr>
        <w:tab/>
      </w:r>
      <w:r>
        <w:rPr>
          <w:rFonts w:ascii="Times New Roman" w:hAnsi="Times New Roman" w:cs="Times New Roman"/>
          <w:sz w:val="20"/>
          <w:szCs w:val="20"/>
        </w:rPr>
        <w:t>0.177</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(year)2010</w:t>
      </w:r>
      <w:r>
        <w:rPr>
          <w:rFonts w:ascii="Times New Roman" w:hAnsi="Times New Roman" w:cs="Times New Roman"/>
          <w:sz w:val="20"/>
          <w:szCs w:val="20"/>
        </w:rPr>
        <w:tab/>
      </w:r>
      <w:r>
        <w:rPr>
          <w:rFonts w:ascii="Times New Roman" w:hAnsi="Times New Roman" w:cs="Times New Roman"/>
          <w:sz w:val="20"/>
          <w:szCs w:val="20"/>
        </w:rPr>
        <w:t>0.099</w:t>
      </w:r>
      <w:r>
        <w:rPr>
          <w:rFonts w:ascii="Times New Roman" w:hAnsi="Times New Roman" w:cs="Times New Roman"/>
          <w:sz w:val="20"/>
          <w:szCs w:val="20"/>
        </w:rPr>
        <w:tab/>
      </w:r>
      <w:r>
        <w:rPr>
          <w:rFonts w:ascii="Times New Roman" w:hAnsi="Times New Roman" w:cs="Times New Roman"/>
          <w:sz w:val="20"/>
          <w:szCs w:val="20"/>
        </w:rPr>
        <w:t>0.077</w:t>
      </w:r>
      <w:r>
        <w:rPr>
          <w:rFonts w:ascii="Times New Roman" w:hAnsi="Times New Roman" w:cs="Times New Roman"/>
          <w:sz w:val="20"/>
          <w:szCs w:val="20"/>
        </w:rPr>
        <w:tab/>
      </w:r>
      <w:r>
        <w:rPr>
          <w:rFonts w:ascii="Times New Roman" w:hAnsi="Times New Roman" w:cs="Times New Roman"/>
          <w:sz w:val="20"/>
          <w:szCs w:val="20"/>
        </w:rPr>
        <w:t>1.283</w:t>
      </w:r>
      <w:r>
        <w:rPr>
          <w:rFonts w:ascii="Times New Roman" w:hAnsi="Times New Roman" w:cs="Times New Roman"/>
          <w:sz w:val="20"/>
          <w:szCs w:val="20"/>
        </w:rPr>
        <w:tab/>
      </w:r>
      <w:r>
        <w:rPr>
          <w:rFonts w:ascii="Times New Roman" w:hAnsi="Times New Roman" w:cs="Times New Roman"/>
          <w:sz w:val="20"/>
          <w:szCs w:val="20"/>
        </w:rPr>
        <w:t>0.201</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(year)2011</w:t>
      </w:r>
      <w:r>
        <w:rPr>
          <w:rFonts w:ascii="Times New Roman" w:hAnsi="Times New Roman" w:cs="Times New Roman"/>
          <w:sz w:val="20"/>
          <w:szCs w:val="20"/>
        </w:rPr>
        <w:tab/>
      </w:r>
      <w:r>
        <w:rPr>
          <w:rFonts w:ascii="Times New Roman" w:hAnsi="Times New Roman" w:cs="Times New Roman"/>
          <w:sz w:val="20"/>
          <w:szCs w:val="20"/>
        </w:rPr>
        <w:t>0.188</w:t>
      </w:r>
      <w:r>
        <w:rPr>
          <w:rFonts w:ascii="Times New Roman" w:hAnsi="Times New Roman" w:cs="Times New Roman"/>
          <w:sz w:val="20"/>
          <w:szCs w:val="20"/>
        </w:rPr>
        <w:tab/>
      </w:r>
      <w:r>
        <w:rPr>
          <w:rFonts w:ascii="Times New Roman" w:hAnsi="Times New Roman" w:cs="Times New Roman"/>
          <w:sz w:val="20"/>
          <w:szCs w:val="20"/>
        </w:rPr>
        <w:t>0.077</w:t>
      </w:r>
      <w:r>
        <w:rPr>
          <w:rFonts w:ascii="Times New Roman" w:hAnsi="Times New Roman" w:cs="Times New Roman"/>
          <w:sz w:val="20"/>
          <w:szCs w:val="20"/>
        </w:rPr>
        <w:tab/>
      </w:r>
      <w:r>
        <w:rPr>
          <w:rFonts w:ascii="Times New Roman" w:hAnsi="Times New Roman" w:cs="Times New Roman"/>
          <w:sz w:val="20"/>
          <w:szCs w:val="20"/>
        </w:rPr>
        <w:t>2.439</w:t>
      </w:r>
      <w:r>
        <w:rPr>
          <w:rFonts w:ascii="Times New Roman" w:hAnsi="Times New Roman" w:cs="Times New Roman"/>
          <w:sz w:val="20"/>
          <w:szCs w:val="20"/>
        </w:rPr>
        <w:tab/>
      </w:r>
      <w:r>
        <w:rPr>
          <w:rFonts w:ascii="Times New Roman" w:hAnsi="Times New Roman" w:cs="Times New Roman"/>
          <w:sz w:val="20"/>
          <w:szCs w:val="20"/>
        </w:rPr>
        <w:t>0.016</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(year)2012</w:t>
      </w:r>
      <w:r>
        <w:rPr>
          <w:rFonts w:ascii="Times New Roman" w:hAnsi="Times New Roman" w:cs="Times New Roman"/>
          <w:sz w:val="20"/>
          <w:szCs w:val="20"/>
        </w:rPr>
        <w:tab/>
      </w:r>
      <w:r>
        <w:rPr>
          <w:rFonts w:ascii="Times New Roman" w:hAnsi="Times New Roman" w:cs="Times New Roman"/>
          <w:sz w:val="20"/>
          <w:szCs w:val="20"/>
        </w:rPr>
        <w:t>0.196</w:t>
      </w:r>
      <w:r>
        <w:rPr>
          <w:rFonts w:ascii="Times New Roman" w:hAnsi="Times New Roman" w:cs="Times New Roman"/>
          <w:sz w:val="20"/>
          <w:szCs w:val="20"/>
        </w:rPr>
        <w:tab/>
      </w:r>
      <w:r>
        <w:rPr>
          <w:rFonts w:ascii="Times New Roman" w:hAnsi="Times New Roman" w:cs="Times New Roman"/>
          <w:sz w:val="20"/>
          <w:szCs w:val="20"/>
        </w:rPr>
        <w:t>0.077</w:t>
      </w:r>
      <w:r>
        <w:rPr>
          <w:rFonts w:ascii="Times New Roman" w:hAnsi="Times New Roman" w:cs="Times New Roman"/>
          <w:sz w:val="20"/>
          <w:szCs w:val="20"/>
        </w:rPr>
        <w:tab/>
      </w:r>
      <w:r>
        <w:rPr>
          <w:rFonts w:ascii="Times New Roman" w:hAnsi="Times New Roman" w:cs="Times New Roman"/>
          <w:sz w:val="20"/>
          <w:szCs w:val="20"/>
        </w:rPr>
        <w:t>2.540</w:t>
      </w:r>
      <w:r>
        <w:rPr>
          <w:rFonts w:ascii="Times New Roman" w:hAnsi="Times New Roman" w:cs="Times New Roman"/>
          <w:sz w:val="20"/>
          <w:szCs w:val="20"/>
        </w:rPr>
        <w:tab/>
      </w:r>
      <w:r>
        <w:rPr>
          <w:rFonts w:ascii="Times New Roman" w:hAnsi="Times New Roman" w:cs="Times New Roman"/>
          <w:sz w:val="20"/>
          <w:szCs w:val="20"/>
        </w:rPr>
        <w:t>0.012</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(year)2013</w:t>
      </w:r>
      <w:r>
        <w:rPr>
          <w:rFonts w:ascii="Times New Roman" w:hAnsi="Times New Roman" w:cs="Times New Roman"/>
          <w:sz w:val="20"/>
          <w:szCs w:val="20"/>
        </w:rPr>
        <w:tab/>
      </w:r>
      <w:r>
        <w:rPr>
          <w:rFonts w:ascii="Times New Roman" w:hAnsi="Times New Roman" w:cs="Times New Roman"/>
          <w:sz w:val="20"/>
          <w:szCs w:val="20"/>
        </w:rPr>
        <w:t>0.238</w:t>
      </w:r>
      <w:r>
        <w:rPr>
          <w:rFonts w:ascii="Times New Roman" w:hAnsi="Times New Roman" w:cs="Times New Roman"/>
          <w:sz w:val="20"/>
          <w:szCs w:val="20"/>
        </w:rPr>
        <w:tab/>
      </w:r>
      <w:r>
        <w:rPr>
          <w:rFonts w:ascii="Times New Roman" w:hAnsi="Times New Roman" w:cs="Times New Roman"/>
          <w:sz w:val="20"/>
          <w:szCs w:val="20"/>
        </w:rPr>
        <w:t>0.077</w:t>
      </w:r>
      <w:r>
        <w:rPr>
          <w:rFonts w:ascii="Times New Roman" w:hAnsi="Times New Roman" w:cs="Times New Roman"/>
          <w:sz w:val="20"/>
          <w:szCs w:val="20"/>
        </w:rPr>
        <w:tab/>
      </w:r>
      <w:r>
        <w:rPr>
          <w:rFonts w:ascii="Times New Roman" w:hAnsi="Times New Roman" w:cs="Times New Roman"/>
          <w:sz w:val="20"/>
          <w:szCs w:val="20"/>
        </w:rPr>
        <w:t>3.083</w:t>
      </w:r>
      <w:r>
        <w:rPr>
          <w:rFonts w:ascii="Times New Roman" w:hAnsi="Times New Roman" w:cs="Times New Roman"/>
          <w:sz w:val="20"/>
          <w:szCs w:val="20"/>
        </w:rPr>
        <w:tab/>
      </w:r>
      <w:r>
        <w:rPr>
          <w:rFonts w:ascii="Times New Roman" w:hAnsi="Times New Roman" w:cs="Times New Roman"/>
          <w:sz w:val="20"/>
          <w:szCs w:val="20"/>
        </w:rPr>
        <w:t>0.002</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(year)2014</w:t>
      </w:r>
      <w:r>
        <w:rPr>
          <w:rFonts w:ascii="Times New Roman" w:hAnsi="Times New Roman" w:cs="Times New Roman"/>
          <w:sz w:val="20"/>
          <w:szCs w:val="20"/>
        </w:rPr>
        <w:tab/>
      </w:r>
      <w:r>
        <w:rPr>
          <w:rFonts w:ascii="Times New Roman" w:hAnsi="Times New Roman" w:cs="Times New Roman"/>
          <w:sz w:val="20"/>
          <w:szCs w:val="20"/>
        </w:rPr>
        <w:t>0.256</w:t>
      </w:r>
      <w:r>
        <w:rPr>
          <w:rFonts w:ascii="Times New Roman" w:hAnsi="Times New Roman" w:cs="Times New Roman"/>
          <w:sz w:val="20"/>
          <w:szCs w:val="20"/>
        </w:rPr>
        <w:tab/>
      </w:r>
      <w:r>
        <w:rPr>
          <w:rFonts w:ascii="Times New Roman" w:hAnsi="Times New Roman" w:cs="Times New Roman"/>
          <w:sz w:val="20"/>
          <w:szCs w:val="20"/>
        </w:rPr>
        <w:t>0.077</w:t>
      </w:r>
      <w:r>
        <w:rPr>
          <w:rFonts w:ascii="Times New Roman" w:hAnsi="Times New Roman" w:cs="Times New Roman"/>
          <w:sz w:val="20"/>
          <w:szCs w:val="20"/>
        </w:rPr>
        <w:tab/>
      </w:r>
      <w:r>
        <w:rPr>
          <w:rFonts w:ascii="Times New Roman" w:hAnsi="Times New Roman" w:cs="Times New Roman"/>
          <w:sz w:val="20"/>
          <w:szCs w:val="20"/>
        </w:rPr>
        <w:t>3.328</w:t>
      </w:r>
      <w:r>
        <w:rPr>
          <w:rFonts w:ascii="Times New Roman" w:hAnsi="Times New Roman" w:cs="Times New Roman"/>
          <w:sz w:val="20"/>
          <w:szCs w:val="20"/>
        </w:rPr>
        <w:tab/>
      </w:r>
      <w:r>
        <w:rPr>
          <w:rFonts w:ascii="Times New Roman" w:hAnsi="Times New Roman" w:cs="Times New Roman"/>
          <w:sz w:val="20"/>
          <w:szCs w:val="20"/>
        </w:rPr>
        <w:t>0.001</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(year)2015</w:t>
      </w:r>
      <w:r>
        <w:rPr>
          <w:rFonts w:ascii="Times New Roman" w:hAnsi="Times New Roman" w:cs="Times New Roman"/>
          <w:sz w:val="20"/>
          <w:szCs w:val="20"/>
        </w:rPr>
        <w:tab/>
      </w:r>
      <w:r>
        <w:rPr>
          <w:rFonts w:ascii="Times New Roman" w:hAnsi="Times New Roman" w:cs="Times New Roman"/>
          <w:sz w:val="20"/>
          <w:szCs w:val="20"/>
        </w:rPr>
        <w:t>0.277</w:t>
      </w:r>
      <w:r>
        <w:rPr>
          <w:rFonts w:ascii="Times New Roman" w:hAnsi="Times New Roman" w:cs="Times New Roman"/>
          <w:sz w:val="20"/>
          <w:szCs w:val="20"/>
        </w:rPr>
        <w:tab/>
      </w:r>
      <w:r>
        <w:rPr>
          <w:rFonts w:ascii="Times New Roman" w:hAnsi="Times New Roman" w:cs="Times New Roman"/>
          <w:sz w:val="20"/>
          <w:szCs w:val="20"/>
        </w:rPr>
        <w:t>0.077</w:t>
      </w:r>
      <w:r>
        <w:rPr>
          <w:rFonts w:ascii="Times New Roman" w:hAnsi="Times New Roman" w:cs="Times New Roman"/>
          <w:sz w:val="20"/>
          <w:szCs w:val="20"/>
        </w:rPr>
        <w:tab/>
      </w:r>
      <w:r>
        <w:rPr>
          <w:rFonts w:ascii="Times New Roman" w:hAnsi="Times New Roman" w:cs="Times New Roman"/>
          <w:sz w:val="20"/>
          <w:szCs w:val="20"/>
        </w:rPr>
        <w:t>3.602</w:t>
      </w:r>
      <w:r>
        <w:rPr>
          <w:rFonts w:ascii="Times New Roman" w:hAnsi="Times New Roman" w:cs="Times New Roman"/>
          <w:sz w:val="20"/>
          <w:szCs w:val="20"/>
        </w:rPr>
        <w:tab/>
      </w:r>
      <w:r>
        <w:rPr>
          <w:rFonts w:ascii="Times New Roman" w:hAnsi="Times New Roman" w:cs="Times New Roman"/>
          <w:sz w:val="20"/>
          <w:szCs w:val="20"/>
        </w:rPr>
        <w:t>0.000</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(year)2016</w:t>
      </w:r>
      <w:r>
        <w:rPr>
          <w:rFonts w:ascii="Times New Roman" w:hAnsi="Times New Roman" w:cs="Times New Roman"/>
          <w:sz w:val="20"/>
          <w:szCs w:val="20"/>
        </w:rPr>
        <w:tab/>
      </w:r>
      <w:r>
        <w:rPr>
          <w:rFonts w:ascii="Times New Roman" w:hAnsi="Times New Roman" w:cs="Times New Roman"/>
          <w:sz w:val="20"/>
          <w:szCs w:val="20"/>
        </w:rPr>
        <w:t>0.320</w:t>
      </w:r>
      <w:r>
        <w:rPr>
          <w:rFonts w:ascii="Times New Roman" w:hAnsi="Times New Roman" w:cs="Times New Roman"/>
          <w:sz w:val="20"/>
          <w:szCs w:val="20"/>
        </w:rPr>
        <w:tab/>
      </w:r>
      <w:r>
        <w:rPr>
          <w:rFonts w:ascii="Times New Roman" w:hAnsi="Times New Roman" w:cs="Times New Roman"/>
          <w:sz w:val="20"/>
          <w:szCs w:val="20"/>
        </w:rPr>
        <w:t>0.077</w:t>
      </w:r>
      <w:r>
        <w:rPr>
          <w:rFonts w:ascii="Times New Roman" w:hAnsi="Times New Roman" w:cs="Times New Roman"/>
          <w:sz w:val="20"/>
          <w:szCs w:val="20"/>
        </w:rPr>
        <w:tab/>
      </w:r>
      <w:r>
        <w:rPr>
          <w:rFonts w:ascii="Times New Roman" w:hAnsi="Times New Roman" w:cs="Times New Roman"/>
          <w:sz w:val="20"/>
          <w:szCs w:val="20"/>
        </w:rPr>
        <w:t>4.161</w:t>
      </w:r>
      <w:r>
        <w:rPr>
          <w:rFonts w:ascii="Times New Roman" w:hAnsi="Times New Roman" w:cs="Times New Roman"/>
          <w:sz w:val="20"/>
          <w:szCs w:val="20"/>
        </w:rPr>
        <w:tab/>
      </w:r>
      <w:r>
        <w:rPr>
          <w:rFonts w:ascii="Times New Roman" w:hAnsi="Times New Roman" w:cs="Times New Roman"/>
          <w:sz w:val="20"/>
          <w:szCs w:val="20"/>
        </w:rPr>
        <w:t>0.000</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(year)2017</w:t>
      </w:r>
      <w:r>
        <w:rPr>
          <w:rFonts w:ascii="Times New Roman" w:hAnsi="Times New Roman" w:cs="Times New Roman"/>
          <w:sz w:val="20"/>
          <w:szCs w:val="20"/>
        </w:rPr>
        <w:tab/>
      </w:r>
      <w:r>
        <w:rPr>
          <w:rFonts w:ascii="Times New Roman" w:hAnsi="Times New Roman" w:cs="Times New Roman"/>
          <w:sz w:val="20"/>
          <w:szCs w:val="20"/>
        </w:rPr>
        <w:t>0.422</w:t>
      </w:r>
      <w:r>
        <w:rPr>
          <w:rFonts w:ascii="Times New Roman" w:hAnsi="Times New Roman" w:cs="Times New Roman"/>
          <w:sz w:val="20"/>
          <w:szCs w:val="20"/>
        </w:rPr>
        <w:tab/>
      </w:r>
      <w:r>
        <w:rPr>
          <w:rFonts w:ascii="Times New Roman" w:hAnsi="Times New Roman" w:cs="Times New Roman"/>
          <w:sz w:val="20"/>
          <w:szCs w:val="20"/>
        </w:rPr>
        <w:t>0.077</w:t>
      </w:r>
      <w:r>
        <w:rPr>
          <w:rFonts w:ascii="Times New Roman" w:hAnsi="Times New Roman" w:cs="Times New Roman"/>
          <w:sz w:val="20"/>
          <w:szCs w:val="20"/>
        </w:rPr>
        <w:tab/>
      </w:r>
      <w:r>
        <w:rPr>
          <w:rFonts w:ascii="Times New Roman" w:hAnsi="Times New Roman" w:cs="Times New Roman"/>
          <w:sz w:val="20"/>
          <w:szCs w:val="20"/>
        </w:rPr>
        <w:t>5.477</w:t>
      </w:r>
      <w:r>
        <w:rPr>
          <w:rFonts w:ascii="Times New Roman" w:hAnsi="Times New Roman" w:cs="Times New Roman"/>
          <w:sz w:val="20"/>
          <w:szCs w:val="20"/>
        </w:rPr>
        <w:tab/>
      </w:r>
      <w:r>
        <w:rPr>
          <w:rFonts w:ascii="Times New Roman" w:hAnsi="Times New Roman" w:cs="Times New Roman"/>
          <w:sz w:val="20"/>
          <w:szCs w:val="20"/>
        </w:rPr>
        <w:t>0.000</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(year)2018</w:t>
      </w:r>
      <w:r>
        <w:rPr>
          <w:rFonts w:ascii="Times New Roman" w:hAnsi="Times New Roman" w:cs="Times New Roman"/>
          <w:sz w:val="20"/>
          <w:szCs w:val="20"/>
        </w:rPr>
        <w:tab/>
      </w:r>
      <w:r>
        <w:rPr>
          <w:rFonts w:ascii="Times New Roman" w:hAnsi="Times New Roman" w:cs="Times New Roman"/>
          <w:sz w:val="20"/>
          <w:szCs w:val="20"/>
        </w:rPr>
        <w:t>0.472</w:t>
      </w:r>
      <w:r>
        <w:rPr>
          <w:rFonts w:ascii="Times New Roman" w:hAnsi="Times New Roman" w:cs="Times New Roman"/>
          <w:sz w:val="20"/>
          <w:szCs w:val="20"/>
        </w:rPr>
        <w:tab/>
      </w:r>
      <w:r>
        <w:rPr>
          <w:rFonts w:ascii="Times New Roman" w:hAnsi="Times New Roman" w:cs="Times New Roman"/>
          <w:sz w:val="20"/>
          <w:szCs w:val="20"/>
        </w:rPr>
        <w:t>0.077</w:t>
      </w:r>
      <w:r>
        <w:rPr>
          <w:rFonts w:ascii="Times New Roman" w:hAnsi="Times New Roman" w:cs="Times New Roman"/>
          <w:sz w:val="20"/>
          <w:szCs w:val="20"/>
        </w:rPr>
        <w:tab/>
      </w:r>
      <w:r>
        <w:rPr>
          <w:rFonts w:ascii="Times New Roman" w:hAnsi="Times New Roman" w:cs="Times New Roman"/>
          <w:sz w:val="20"/>
          <w:szCs w:val="20"/>
        </w:rPr>
        <w:t>6.115</w:t>
      </w:r>
      <w:r>
        <w:rPr>
          <w:rFonts w:ascii="Times New Roman" w:hAnsi="Times New Roman" w:cs="Times New Roman"/>
          <w:sz w:val="20"/>
          <w:szCs w:val="20"/>
        </w:rPr>
        <w:tab/>
      </w:r>
      <w:r>
        <w:rPr>
          <w:rFonts w:ascii="Times New Roman" w:hAnsi="Times New Roman" w:cs="Times New Roman"/>
          <w:sz w:val="20"/>
          <w:szCs w:val="20"/>
        </w:rPr>
        <w:t>0.000</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(year)2019</w:t>
      </w:r>
      <w:r>
        <w:rPr>
          <w:rFonts w:ascii="Times New Roman" w:hAnsi="Times New Roman" w:cs="Times New Roman"/>
          <w:sz w:val="20"/>
          <w:szCs w:val="20"/>
        </w:rPr>
        <w:tab/>
      </w:r>
      <w:r>
        <w:rPr>
          <w:rFonts w:ascii="Times New Roman" w:hAnsi="Times New Roman" w:cs="Times New Roman"/>
          <w:sz w:val="20"/>
          <w:szCs w:val="20"/>
        </w:rPr>
        <w:t>0.541</w:t>
      </w:r>
      <w:r>
        <w:rPr>
          <w:rFonts w:ascii="Times New Roman" w:hAnsi="Times New Roman" w:cs="Times New Roman"/>
          <w:sz w:val="20"/>
          <w:szCs w:val="20"/>
        </w:rPr>
        <w:tab/>
      </w:r>
      <w:r>
        <w:rPr>
          <w:rFonts w:ascii="Times New Roman" w:hAnsi="Times New Roman" w:cs="Times New Roman"/>
          <w:sz w:val="20"/>
          <w:szCs w:val="20"/>
        </w:rPr>
        <w:t>0.079</w:t>
      </w:r>
      <w:r>
        <w:rPr>
          <w:rFonts w:ascii="Times New Roman" w:hAnsi="Times New Roman" w:cs="Times New Roman"/>
          <w:sz w:val="20"/>
          <w:szCs w:val="20"/>
        </w:rPr>
        <w:tab/>
      </w:r>
      <w:r>
        <w:rPr>
          <w:rFonts w:ascii="Times New Roman" w:hAnsi="Times New Roman" w:cs="Times New Roman"/>
          <w:sz w:val="20"/>
          <w:szCs w:val="20"/>
        </w:rPr>
        <w:t>6.893</w:t>
      </w:r>
      <w:r>
        <w:rPr>
          <w:rFonts w:ascii="Times New Roman" w:hAnsi="Times New Roman" w:cs="Times New Roman"/>
          <w:sz w:val="20"/>
          <w:szCs w:val="20"/>
        </w:rPr>
        <w:tab/>
      </w:r>
      <w:r>
        <w:rPr>
          <w:rFonts w:ascii="Times New Roman" w:hAnsi="Times New Roman" w:cs="Times New Roman"/>
          <w:sz w:val="20"/>
          <w:szCs w:val="20"/>
        </w:rPr>
        <w:t>0.000</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(season)2</w:t>
      </w:r>
      <w:r>
        <w:rPr>
          <w:rFonts w:ascii="Times New Roman" w:hAnsi="Times New Roman" w:cs="Times New Roman"/>
          <w:sz w:val="20"/>
          <w:szCs w:val="20"/>
        </w:rPr>
        <w:tab/>
      </w:r>
      <w:r>
        <w:rPr>
          <w:rFonts w:ascii="Times New Roman" w:hAnsi="Times New Roman" w:cs="Times New Roman"/>
          <w:sz w:val="20"/>
          <w:szCs w:val="20"/>
        </w:rPr>
        <w:t>0.515</w:t>
      </w:r>
      <w:r>
        <w:rPr>
          <w:rFonts w:ascii="Times New Roman" w:hAnsi="Times New Roman" w:cs="Times New Roman"/>
          <w:sz w:val="20"/>
          <w:szCs w:val="20"/>
        </w:rPr>
        <w:tab/>
      </w:r>
      <w:r>
        <w:rPr>
          <w:rFonts w:ascii="Times New Roman" w:hAnsi="Times New Roman" w:cs="Times New Roman"/>
          <w:sz w:val="20"/>
          <w:szCs w:val="20"/>
        </w:rPr>
        <w:t>0.040    12.945</w:t>
      </w:r>
      <w:r>
        <w:rPr>
          <w:rFonts w:ascii="Times New Roman" w:hAnsi="Times New Roman" w:cs="Times New Roman"/>
          <w:sz w:val="20"/>
          <w:szCs w:val="20"/>
        </w:rPr>
        <w:tab/>
      </w:r>
      <w:r>
        <w:rPr>
          <w:rFonts w:ascii="Times New Roman" w:hAnsi="Times New Roman" w:cs="Times New Roman"/>
          <w:sz w:val="20"/>
          <w:szCs w:val="20"/>
        </w:rPr>
        <w:t>0.000</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(season)3</w:t>
      </w:r>
      <w:r>
        <w:rPr>
          <w:rFonts w:ascii="Times New Roman" w:hAnsi="Times New Roman" w:cs="Times New Roman"/>
          <w:sz w:val="20"/>
          <w:szCs w:val="20"/>
        </w:rPr>
        <w:tab/>
      </w:r>
      <w:r>
        <w:rPr>
          <w:rFonts w:ascii="Times New Roman" w:hAnsi="Times New Roman" w:cs="Times New Roman"/>
          <w:sz w:val="20"/>
          <w:szCs w:val="20"/>
        </w:rPr>
        <w:t>0.642</w:t>
      </w:r>
      <w:r>
        <w:rPr>
          <w:rFonts w:ascii="Times New Roman" w:hAnsi="Times New Roman" w:cs="Times New Roman"/>
          <w:sz w:val="20"/>
          <w:szCs w:val="20"/>
        </w:rPr>
        <w:tab/>
      </w:r>
      <w:r>
        <w:rPr>
          <w:rFonts w:ascii="Times New Roman" w:hAnsi="Times New Roman" w:cs="Times New Roman"/>
          <w:sz w:val="20"/>
          <w:szCs w:val="20"/>
        </w:rPr>
        <w:t>0.040</w:t>
      </w:r>
      <w:r>
        <w:rPr>
          <w:rFonts w:ascii="Times New Roman" w:hAnsi="Times New Roman" w:cs="Times New Roman"/>
          <w:sz w:val="20"/>
          <w:szCs w:val="20"/>
        </w:rPr>
        <w:tab/>
      </w:r>
      <w:r>
        <w:rPr>
          <w:rFonts w:ascii="Times New Roman" w:hAnsi="Times New Roman" w:cs="Times New Roman"/>
          <w:sz w:val="20"/>
          <w:szCs w:val="20"/>
        </w:rPr>
        <w:t>16.135</w:t>
      </w:r>
      <w:r>
        <w:rPr>
          <w:rFonts w:ascii="Times New Roman" w:hAnsi="Times New Roman" w:cs="Times New Roman"/>
          <w:sz w:val="20"/>
          <w:szCs w:val="20"/>
        </w:rPr>
        <w:tab/>
      </w:r>
      <w:r>
        <w:rPr>
          <w:rFonts w:ascii="Times New Roman" w:hAnsi="Times New Roman" w:cs="Times New Roman"/>
          <w:sz w:val="20"/>
          <w:szCs w:val="20"/>
        </w:rPr>
        <w:t>0.000</w:t>
      </w:r>
    </w:p>
    <w:p>
      <w:pPr>
        <w:pStyle w:val="31"/>
        <w:widowControl w:val="0"/>
        <w:jc w:val="center"/>
        <w:rPr>
          <w:rFonts w:ascii="Times New Roman" w:hAnsi="Times New Roman" w:cs="Times New Roman"/>
          <w:sz w:val="20"/>
          <w:szCs w:val="20"/>
        </w:rPr>
      </w:pPr>
      <w:r>
        <w:rPr>
          <w:rFonts w:ascii="Times New Roman" w:hAnsi="Times New Roman" w:cs="Times New Roman"/>
          <w:sz w:val="20"/>
          <w:szCs w:val="20"/>
        </w:rPr>
        <w:t>(season)4</w:t>
      </w:r>
      <w:r>
        <w:rPr>
          <w:rFonts w:ascii="Times New Roman" w:hAnsi="Times New Roman" w:cs="Times New Roman"/>
          <w:sz w:val="20"/>
          <w:szCs w:val="20"/>
        </w:rPr>
        <w:tab/>
      </w:r>
      <w:r>
        <w:rPr>
          <w:rFonts w:ascii="Times New Roman" w:hAnsi="Times New Roman" w:cs="Times New Roman"/>
          <w:sz w:val="20"/>
          <w:szCs w:val="20"/>
        </w:rPr>
        <w:t>0.218</w:t>
      </w:r>
      <w:r>
        <w:rPr>
          <w:rFonts w:ascii="Times New Roman" w:hAnsi="Times New Roman" w:cs="Times New Roman"/>
          <w:sz w:val="20"/>
          <w:szCs w:val="20"/>
        </w:rPr>
        <w:tab/>
      </w:r>
      <w:r>
        <w:rPr>
          <w:rFonts w:ascii="Times New Roman" w:hAnsi="Times New Roman" w:cs="Times New Roman"/>
          <w:sz w:val="20"/>
          <w:szCs w:val="20"/>
        </w:rPr>
        <w:t>0.041</w:t>
      </w:r>
      <w:r>
        <w:rPr>
          <w:rFonts w:ascii="Times New Roman" w:hAnsi="Times New Roman" w:cs="Times New Roman"/>
          <w:sz w:val="20"/>
          <w:szCs w:val="20"/>
        </w:rPr>
        <w:tab/>
      </w:r>
      <w:r>
        <w:rPr>
          <w:rFonts w:ascii="Times New Roman" w:hAnsi="Times New Roman" w:cs="Times New Roman"/>
          <w:sz w:val="20"/>
          <w:szCs w:val="20"/>
        </w:rPr>
        <w:t>5.324</w:t>
      </w:r>
      <w:r>
        <w:rPr>
          <w:rFonts w:ascii="Times New Roman" w:hAnsi="Times New Roman" w:cs="Times New Roman"/>
          <w:sz w:val="20"/>
          <w:szCs w:val="20"/>
        </w:rPr>
        <w:tab/>
      </w:r>
      <w:r>
        <w:rPr>
          <w:rFonts w:ascii="Times New Roman" w:hAnsi="Times New Roman" w:cs="Times New Roman"/>
          <w:sz w:val="20"/>
          <w:szCs w:val="20"/>
        </w:rPr>
        <w:t>0.000</w:t>
      </w:r>
    </w:p>
    <w:p>
      <w:pPr>
        <w:widowControl w:val="0"/>
        <w:jc w:val="center"/>
        <w:rPr>
          <w:rFonts w:ascii="Times New Roman" w:hAnsi="Times New Roman" w:cs="Times New Roman"/>
          <w:i/>
          <w:iCs/>
        </w:rPr>
      </w:pPr>
      <w:r>
        <w:rPr>
          <w:rFonts w:ascii="Times New Roman" w:hAnsi="Times New Roman" w:cs="Times New Roman"/>
          <w:i/>
          <w:iCs/>
        </w:rPr>
        <w:t>Tab A.2 Results of tourism and high tide episodes’ regression as by Eq. (1).</w:t>
      </w:r>
    </w:p>
    <w:p>
      <w:pPr>
        <w:widowControl w:val="0"/>
        <w:spacing w:after="0" w:line="276" w:lineRule="auto"/>
        <w:jc w:val="both"/>
        <w:rPr>
          <w:rFonts w:ascii="Times New Roman" w:hAnsi="Times New Roman" w:eastAsia="Times New Roman" w:cs="Times New Roman"/>
          <w:sz w:val="24"/>
          <w:szCs w:val="24"/>
          <w:lang w:eastAsia="es-ES"/>
        </w:rPr>
      </w:pPr>
    </w:p>
    <w:p>
      <w:pPr>
        <w:widowControl w:val="0"/>
        <w:spacing w:after="0" w:line="276" w:lineRule="auto"/>
        <w:jc w:val="both"/>
        <w:rPr>
          <w:rFonts w:ascii="Times New Roman" w:hAnsi="Times New Roman" w:eastAsia="Times New Roman" w:cs="Times New Roman"/>
          <w:sz w:val="24"/>
          <w:szCs w:val="24"/>
          <w:lang w:eastAsia="es-ES"/>
        </w:rPr>
      </w:pPr>
      <w:r>
        <w:rPr>
          <w:rFonts w:ascii="Times New Roman" w:hAnsi="Times New Roman" w:eastAsia="Times New Roman" w:cs="Times New Roman"/>
          <w:sz w:val="24"/>
          <w:szCs w:val="24"/>
          <w:lang w:eastAsia="es-ES"/>
        </w:rPr>
        <w:t>Estimating the behavior of excursionists is generally quite complex, since they do not register in any official accommodation facilities. To estimate the</w:t>
      </w:r>
      <w:r>
        <w:rPr>
          <w:rFonts w:ascii="Times New Roman" w:hAnsi="Times New Roman" w:cs="Times New Roman"/>
          <w:b/>
          <w:bCs/>
          <w:sz w:val="24"/>
          <w:szCs w:val="24"/>
        </w:rPr>
        <w:t xml:space="preserve"> Monthly Excursionists</w:t>
      </w:r>
      <w:r>
        <w:rPr>
          <w:rFonts w:ascii="Times New Roman" w:hAnsi="Times New Roman" w:eastAsia="Times New Roman" w:cs="Times New Roman"/>
          <w:sz w:val="24"/>
          <w:szCs w:val="24"/>
          <w:lang w:eastAsia="es-ES"/>
        </w:rPr>
        <w:t xml:space="preserve">, we assumed that their annual growth rate is the same as the one of tourists between 2008 and 2017-19, and that their monthly distribution follows the same as that of tourists. Data on excursionists’ expenditures from De Marchi et al. (2019) were used to calculate damages following the same pattern as that of tourists, by applying the same percentage decrease computed with formula (1) for tourists’ stays to quantify the effect of high tides. According to De Marchi et al. (2019), 47.00 euros is the average daily expenditure for excursionists (same for Italians and foreigners) and 181.00 euros for tourists (weighted average between Italians and foreigners according to their relative share, as reported in the Venice Municipality Tourism Yearbook, 2019). </w:t>
      </w:r>
    </w:p>
    <w:p>
      <w:pPr>
        <w:widowControl w:val="0"/>
        <w:spacing w:after="0" w:line="276" w:lineRule="auto"/>
        <w:jc w:val="both"/>
        <w:rPr>
          <w:rFonts w:ascii="Times New Roman" w:hAnsi="Times New Roman" w:eastAsia="Times New Roman" w:cs="Times New Roman"/>
          <w:sz w:val="24"/>
          <w:szCs w:val="24"/>
          <w:lang w:eastAsia="es-ES"/>
        </w:rPr>
      </w:pPr>
    </w:p>
    <w:p>
      <w:pPr>
        <w:widowControl w:val="0"/>
        <w:spacing w:after="0" w:line="276" w:lineRule="auto"/>
        <w:jc w:val="both"/>
        <w:rPr>
          <w:rFonts w:ascii="Times New Roman" w:hAnsi="Times New Roman" w:eastAsia="Times New Roman" w:cs="Times New Roman"/>
          <w:sz w:val="24"/>
          <w:szCs w:val="24"/>
          <w:lang w:eastAsia="es-ES"/>
        </w:rPr>
      </w:pPr>
      <w:r>
        <w:rPr>
          <w:rFonts w:ascii="Times New Roman" w:hAnsi="Times New Roman" w:eastAsia="Times New Roman" w:cs="Times New Roman"/>
          <w:sz w:val="24"/>
          <w:szCs w:val="24"/>
          <w:lang w:eastAsia="es-ES"/>
        </w:rPr>
        <w:t xml:space="preserve">High-tide episodes lead to a decrease in the flow of </w:t>
      </w:r>
      <w:r>
        <w:rPr>
          <w:rFonts w:ascii="Times New Roman" w:hAnsi="Times New Roman" w:cs="Times New Roman"/>
          <w:b/>
          <w:bCs/>
          <w:sz w:val="24"/>
          <w:szCs w:val="24"/>
        </w:rPr>
        <w:t>Monthly Tourists,</w:t>
      </w:r>
      <w:r>
        <w:rPr>
          <w:rFonts w:ascii="Times New Roman" w:hAnsi="Times New Roman" w:eastAsia="Times New Roman" w:cs="Times New Roman"/>
          <w:bCs/>
          <w:sz w:val="24"/>
          <w:szCs w:val="24"/>
          <w:lang w:eastAsia="es-ES"/>
        </w:rPr>
        <w:t xml:space="preserve"> as computed in the variable </w:t>
      </w:r>
      <w:r>
        <w:rPr>
          <w:rFonts w:ascii="Times New Roman" w:hAnsi="Times New Roman" w:cs="Times New Roman"/>
          <w:i/>
          <w:iCs/>
          <w:sz w:val="24"/>
          <w:szCs w:val="24"/>
        </w:rPr>
        <w:t>Lost Monthly Tourists</w:t>
      </w:r>
      <w:r>
        <w:rPr>
          <w:rFonts w:ascii="Times New Roman" w:hAnsi="Times New Roman" w:eastAsia="Times New Roman" w:cs="Times New Roman"/>
          <w:bCs/>
          <w:sz w:val="24"/>
          <w:szCs w:val="24"/>
          <w:lang w:eastAsia="es-ES"/>
        </w:rPr>
        <w:t xml:space="preserve">. This value accumulates in </w:t>
      </w:r>
      <w:r>
        <w:rPr>
          <w:rFonts w:ascii="Times New Roman" w:hAnsi="Times New Roman" w:eastAsia="Times New Roman" w:cs="Times New Roman"/>
          <w:i/>
          <w:iCs/>
          <w:sz w:val="24"/>
          <w:szCs w:val="24"/>
          <w:lang w:eastAsia="es-ES"/>
        </w:rPr>
        <w:t>Lost tourists</w:t>
      </w:r>
      <w:r>
        <w:rPr>
          <w:rFonts w:ascii="Times New Roman" w:hAnsi="Times New Roman" w:eastAsia="Times New Roman" w:cs="Times New Roman"/>
          <w:bCs/>
          <w:sz w:val="24"/>
          <w:szCs w:val="24"/>
          <w:lang w:eastAsia="es-ES"/>
        </w:rPr>
        <w:t xml:space="preserve"> and</w:t>
      </w:r>
      <w:r>
        <w:rPr>
          <w:rFonts w:ascii="Times New Roman" w:hAnsi="Times New Roman" w:eastAsia="Times New Roman" w:cs="Times New Roman"/>
          <w:sz w:val="24"/>
          <w:szCs w:val="24"/>
          <w:lang w:eastAsia="es-ES"/>
        </w:rPr>
        <w:t xml:space="preserve"> it is gradually released during the month following the episode, to simulate the tail of cancellations following extreme events. The value of the variable </w:t>
      </w:r>
      <w:r>
        <w:rPr>
          <w:rFonts w:ascii="Times New Roman" w:hAnsi="Times New Roman" w:eastAsia="Times New Roman" w:cs="Times New Roman"/>
          <w:bCs/>
          <w:i/>
          <w:iCs/>
          <w:sz w:val="24"/>
          <w:szCs w:val="24"/>
          <w:lang w:eastAsia="es-ES"/>
        </w:rPr>
        <w:t>Lost tourists</w:t>
      </w:r>
      <w:r>
        <w:rPr>
          <w:rFonts w:ascii="Times New Roman" w:hAnsi="Times New Roman" w:eastAsia="Times New Roman" w:cs="Times New Roman"/>
          <w:sz w:val="24"/>
          <w:szCs w:val="24"/>
          <w:lang w:eastAsia="es-ES"/>
        </w:rPr>
        <w:t xml:space="preserve"> is multiplied by the </w:t>
      </w:r>
      <w:r>
        <w:rPr>
          <w:rFonts w:ascii="Times New Roman" w:hAnsi="Times New Roman" w:eastAsia="Times New Roman" w:cs="Times New Roman"/>
          <w:b/>
          <w:sz w:val="24"/>
          <w:szCs w:val="24"/>
          <w:lang w:eastAsia="es-ES"/>
        </w:rPr>
        <w:t>Average Expense per Tourist</w:t>
      </w:r>
      <w:r>
        <w:rPr>
          <w:rFonts w:ascii="Times New Roman" w:hAnsi="Times New Roman" w:eastAsia="Times New Roman" w:cs="Times New Roman"/>
          <w:sz w:val="24"/>
          <w:szCs w:val="24"/>
          <w:lang w:eastAsia="es-ES"/>
        </w:rPr>
        <w:t xml:space="preserve"> and accumulated in the final stock </w:t>
      </w:r>
      <w:r>
        <w:rPr>
          <w:rFonts w:ascii="Times New Roman" w:hAnsi="Times New Roman" w:cs="Times New Roman"/>
          <w:i/>
          <w:iCs/>
          <w:sz w:val="24"/>
          <w:szCs w:val="24"/>
        </w:rPr>
        <w:t>Cumulated Tourist Costs</w:t>
      </w:r>
      <w:r>
        <w:rPr>
          <w:rFonts w:ascii="Times New Roman" w:hAnsi="Times New Roman" w:eastAsia="Times New Roman" w:cs="Times New Roman"/>
          <w:sz w:val="24"/>
          <w:szCs w:val="24"/>
          <w:lang w:eastAsia="es-ES"/>
        </w:rPr>
        <w:t>. The same algorithm is replicated for the excursionists.</w:t>
      </w:r>
    </w:p>
    <w:p>
      <w:pPr>
        <w:widowControl w:val="0"/>
        <w:jc w:val="both"/>
        <w:rPr>
          <w:rFonts w:ascii="Times New Roman" w:hAnsi="Times New Roman" w:cs="Times New Roman"/>
          <w:sz w:val="24"/>
          <w:szCs w:val="24"/>
        </w:rPr>
      </w:pPr>
    </w:p>
    <w:p>
      <w:pPr>
        <w:pStyle w:val="4"/>
        <w:keepNext w:val="0"/>
        <w:keepLines w:val="0"/>
        <w:widowControl w:val="0"/>
      </w:pPr>
      <w:bookmarkStart w:id="18" w:name="_Toc156227481"/>
      <w:bookmarkStart w:id="19" w:name="_Toc121130335"/>
      <w:r>
        <w:t>POPULATION</w:t>
      </w:r>
      <w:bookmarkEnd w:id="18"/>
      <w:bookmarkEnd w:id="19"/>
    </w:p>
    <w:p>
      <w:pPr>
        <w:widowControl w:val="0"/>
        <w:jc w:val="center"/>
      </w:pPr>
      <w:r>
        <w:rPr>
          <w:lang w:val="it-IT" w:eastAsia="it-IT"/>
        </w:rPr>
        <w:drawing>
          <wp:inline distT="0" distB="0" distL="0" distR="0">
            <wp:extent cx="3750945" cy="1331595"/>
            <wp:effectExtent l="0" t="0" r="1905" b="1905"/>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magine 14"/>
                    <pic:cNvPicPr>
                      <a:picLocks noChangeAspect="1"/>
                    </pic:cNvPicPr>
                  </pic:nvPicPr>
                  <pic:blipFill>
                    <a:blip r:embed="rId11"/>
                    <a:stretch>
                      <a:fillRect/>
                    </a:stretch>
                  </pic:blipFill>
                  <pic:spPr>
                    <a:xfrm>
                      <a:off x="0" y="0"/>
                      <a:ext cx="3751200" cy="1332000"/>
                    </a:xfrm>
                    <a:prstGeom prst="rect">
                      <a:avLst/>
                    </a:prstGeom>
                  </pic:spPr>
                </pic:pic>
              </a:graphicData>
            </a:graphic>
          </wp:inline>
        </w:drawing>
      </w:r>
    </w:p>
    <w:p>
      <w:pPr>
        <w:pStyle w:val="9"/>
        <w:widowControl w:val="0"/>
        <w:jc w:val="center"/>
        <w:rPr>
          <w:rFonts w:ascii="Times New Roman" w:hAnsi="Times New Roman"/>
          <w:b w:val="0"/>
          <w:i/>
          <w:lang w:val="en-US"/>
        </w:rPr>
      </w:pPr>
      <w:r>
        <w:rPr>
          <w:rFonts w:ascii="Times New Roman" w:hAnsi="Times New Roman"/>
          <w:b w:val="0"/>
          <w:i/>
          <w:lang w:val="en-US"/>
        </w:rPr>
        <w:t>Fig A.3 Population stock and flow diagram</w:t>
      </w:r>
    </w:p>
    <w:p>
      <w:pPr>
        <w:pStyle w:val="9"/>
        <w:widowControl w:val="0"/>
        <w:jc w:val="center"/>
        <w:rPr>
          <w:lang w:val="en-US"/>
        </w:rPr>
      </w:pPr>
    </w:p>
    <w:p>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The </w:t>
      </w:r>
      <w:r>
        <w:rPr>
          <w:rFonts w:ascii="Times New Roman" w:hAnsi="Times New Roman" w:cs="Times New Roman"/>
          <w:i/>
          <w:sz w:val="24"/>
          <w:szCs w:val="24"/>
        </w:rPr>
        <w:t xml:space="preserve">Cumulated </w:t>
      </w:r>
      <w:r>
        <w:rPr>
          <w:rFonts w:ascii="Times New Roman" w:hAnsi="Times New Roman" w:cs="Times New Roman"/>
          <w:i/>
          <w:iCs/>
          <w:sz w:val="24"/>
          <w:szCs w:val="24"/>
        </w:rPr>
        <w:t>Population Costs</w:t>
      </w:r>
      <w:r>
        <w:rPr>
          <w:rFonts w:ascii="Times New Roman" w:hAnsi="Times New Roman" w:cs="Times New Roman"/>
          <w:sz w:val="24"/>
          <w:szCs w:val="24"/>
        </w:rPr>
        <w:t xml:space="preserve"> stock takes into account the cost of assistance for </w:t>
      </w:r>
      <w:r>
        <w:rPr>
          <w:rFonts w:ascii="Times New Roman" w:hAnsi="Times New Roman" w:cs="Times New Roman"/>
          <w:b/>
          <w:sz w:val="24"/>
          <w:szCs w:val="24"/>
        </w:rPr>
        <w:t>Children Population</w:t>
      </w:r>
      <w:r>
        <w:rPr>
          <w:rFonts w:ascii="Times New Roman" w:hAnsi="Times New Roman" w:cs="Times New Roman"/>
          <w:sz w:val="24"/>
          <w:szCs w:val="24"/>
        </w:rPr>
        <w:t xml:space="preserve"> and </w:t>
      </w:r>
      <w:r>
        <w:rPr>
          <w:rFonts w:ascii="Times New Roman" w:hAnsi="Times New Roman" w:cs="Times New Roman"/>
          <w:b/>
          <w:sz w:val="24"/>
          <w:szCs w:val="24"/>
        </w:rPr>
        <w:t>Elderly Population</w:t>
      </w:r>
      <w:r>
        <w:rPr>
          <w:rFonts w:ascii="Times New Roman" w:hAnsi="Times New Roman" w:cs="Times New Roman"/>
          <w:sz w:val="24"/>
          <w:szCs w:val="24"/>
        </w:rPr>
        <w:t>, following the work of Cellerino (1998)</w:t>
      </w:r>
      <w:r>
        <w:rPr>
          <w:rStyle w:val="17"/>
          <w:rFonts w:ascii="Times New Roman" w:hAnsi="Times New Roman" w:cs="Times New Roman"/>
          <w:sz w:val="24"/>
          <w:szCs w:val="24"/>
        </w:rPr>
        <w:footnoteReference w:id="10"/>
      </w:r>
      <w:r>
        <w:rPr>
          <w:rFonts w:ascii="Times New Roman" w:hAnsi="Times New Roman" w:cs="Times New Roman"/>
          <w:sz w:val="24"/>
          <w:szCs w:val="24"/>
        </w:rPr>
        <w:t xml:space="preserve">. </w:t>
      </w:r>
    </w:p>
    <w:p>
      <w:pPr>
        <w:widowControl w:val="0"/>
        <w:spacing w:after="0" w:line="276" w:lineRule="auto"/>
        <w:jc w:val="both"/>
        <w:rPr>
          <w:rFonts w:ascii="Times New Roman" w:hAnsi="Times New Roman" w:eastAsia="Times New Roman" w:cs="Times New Roman"/>
          <w:sz w:val="24"/>
          <w:szCs w:val="24"/>
          <w:lang w:eastAsia="es-ES"/>
        </w:rPr>
      </w:pPr>
    </w:p>
    <w:p>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The model checks the </w:t>
      </w:r>
      <w:r>
        <w:rPr>
          <w:rFonts w:ascii="Times New Roman" w:hAnsi="Times New Roman" w:cs="Times New Roman"/>
          <w:b/>
          <w:sz w:val="24"/>
          <w:szCs w:val="24"/>
        </w:rPr>
        <w:t>Peak Time</w:t>
      </w:r>
      <w:r>
        <w:rPr>
          <w:rFonts w:ascii="Times New Roman" w:hAnsi="Times New Roman" w:cs="Times New Roman"/>
          <w:sz w:val="24"/>
          <w:szCs w:val="24"/>
        </w:rPr>
        <w:t xml:space="preserve">. If a high tide episode occurs between 6:00 AM and 4:00 PM, both population groups are affected by the high tide and are expected to need special assistance. The young people face the </w:t>
      </w:r>
      <w:r>
        <w:rPr>
          <w:rFonts w:ascii="Times New Roman" w:hAnsi="Times New Roman" w:cs="Times New Roman"/>
          <w:b/>
          <w:sz w:val="24"/>
          <w:szCs w:val="24"/>
        </w:rPr>
        <w:t>Baby Sitter Unitary Cost</w:t>
      </w:r>
      <w:r>
        <w:rPr>
          <w:rFonts w:ascii="Times New Roman" w:hAnsi="Times New Roman" w:cs="Times New Roman"/>
          <w:sz w:val="24"/>
          <w:szCs w:val="24"/>
        </w:rPr>
        <w:t xml:space="preserve"> and the old people face the </w:t>
      </w:r>
      <w:r>
        <w:rPr>
          <w:rFonts w:ascii="Times New Roman" w:hAnsi="Times New Roman" w:cs="Times New Roman"/>
          <w:b/>
          <w:sz w:val="24"/>
          <w:szCs w:val="24"/>
        </w:rPr>
        <w:t>Care Giver Unitary Cost</w:t>
      </w:r>
      <w:r>
        <w:rPr>
          <w:rFonts w:ascii="Times New Roman" w:hAnsi="Times New Roman" w:cs="Times New Roman"/>
          <w:sz w:val="24"/>
          <w:szCs w:val="24"/>
        </w:rPr>
        <w:t xml:space="preserve">. These costs are due to the fact that </w:t>
      </w:r>
      <w:r>
        <w:rPr>
          <w:rFonts w:ascii="Times New Roman" w:hAnsi="Times New Roman" w:cs="Times New Roman"/>
          <w:b/>
          <w:sz w:val="24"/>
          <w:szCs w:val="24"/>
        </w:rPr>
        <w:t>Children Population</w:t>
      </w:r>
      <w:r>
        <w:rPr>
          <w:rFonts w:ascii="Times New Roman" w:hAnsi="Times New Roman" w:cs="Times New Roman"/>
          <w:sz w:val="24"/>
          <w:szCs w:val="24"/>
        </w:rPr>
        <w:t xml:space="preserve"> is prevented to go to school and </w:t>
      </w:r>
      <w:r>
        <w:rPr>
          <w:rFonts w:ascii="Times New Roman" w:hAnsi="Times New Roman" w:cs="Times New Roman"/>
          <w:b/>
          <w:sz w:val="24"/>
          <w:szCs w:val="24"/>
        </w:rPr>
        <w:t>Elderly Population</w:t>
      </w:r>
      <w:r>
        <w:rPr>
          <w:rFonts w:ascii="Times New Roman" w:hAnsi="Times New Roman" w:cs="Times New Roman"/>
          <w:sz w:val="24"/>
          <w:szCs w:val="24"/>
        </w:rPr>
        <w:t xml:space="preserve"> is prevented to shop for its daily needs because of the flooding.</w:t>
      </w:r>
    </w:p>
    <w:p>
      <w:pPr>
        <w:pStyle w:val="31"/>
        <w:widowControl w:val="0"/>
        <w:jc w:val="both"/>
        <w:rPr>
          <w:rFonts w:ascii="Times New Roman" w:hAnsi="Times New Roman" w:cs="Times New Roman"/>
          <w:sz w:val="24"/>
          <w:szCs w:val="24"/>
        </w:rPr>
      </w:pPr>
    </w:p>
    <w:p>
      <w:pPr>
        <w:pStyle w:val="4"/>
        <w:keepNext w:val="0"/>
        <w:keepLines w:val="0"/>
        <w:widowControl w:val="0"/>
        <w:numPr>
          <w:ilvl w:val="1"/>
          <w:numId w:val="9"/>
        </w:numPr>
      </w:pPr>
      <w:bookmarkStart w:id="20" w:name="_Toc121130336"/>
      <w:bookmarkStart w:id="21" w:name="_Toc156227482"/>
      <w:r>
        <w:t>BUILDINGS</w:t>
      </w:r>
      <w:bookmarkEnd w:id="20"/>
      <w:bookmarkEnd w:id="21"/>
    </w:p>
    <w:p>
      <w:pPr>
        <w:widowControl w:val="0"/>
        <w:spacing w:line="276" w:lineRule="auto"/>
        <w:jc w:val="both"/>
        <w:rPr>
          <w:rFonts w:ascii="Times New Roman" w:hAnsi="Times New Roman" w:cs="Times New Roman"/>
          <w:sz w:val="24"/>
          <w:szCs w:val="24"/>
        </w:rPr>
      </w:pPr>
      <w:r>
        <w:rPr>
          <w:rFonts w:ascii="Times New Roman" w:hAnsi="Times New Roman" w:cs="Times New Roman"/>
          <w:bCs/>
          <w:sz w:val="24"/>
          <w:szCs w:val="24"/>
        </w:rPr>
        <w:t>The</w:t>
      </w:r>
      <w:r>
        <w:rPr>
          <w:rFonts w:ascii="Times New Roman" w:hAnsi="Times New Roman" w:cs="Times New Roman"/>
          <w:b/>
          <w:bCs/>
          <w:sz w:val="24"/>
          <w:szCs w:val="24"/>
        </w:rPr>
        <w:t xml:space="preserve"> </w:t>
      </w:r>
      <w:r>
        <w:rPr>
          <w:rFonts w:ascii="Times New Roman" w:hAnsi="Times New Roman" w:cs="Times New Roman"/>
          <w:bCs/>
          <w:i/>
          <w:sz w:val="24"/>
          <w:szCs w:val="24"/>
        </w:rPr>
        <w:t xml:space="preserve">Cumulated </w:t>
      </w:r>
      <w:r>
        <w:rPr>
          <w:rFonts w:ascii="Times New Roman" w:hAnsi="Times New Roman" w:cs="Times New Roman"/>
          <w:i/>
          <w:iCs/>
          <w:sz w:val="24"/>
          <w:szCs w:val="24"/>
        </w:rPr>
        <w:t xml:space="preserve">Residential Costs </w:t>
      </w:r>
      <w:r>
        <w:rPr>
          <w:rFonts w:ascii="Times New Roman" w:hAnsi="Times New Roman" w:cs="Times New Roman"/>
          <w:iCs/>
          <w:sz w:val="24"/>
          <w:szCs w:val="24"/>
        </w:rPr>
        <w:t xml:space="preserve">and </w:t>
      </w:r>
      <w:r>
        <w:rPr>
          <w:rFonts w:ascii="Times New Roman" w:hAnsi="Times New Roman" w:cs="Times New Roman"/>
          <w:i/>
          <w:iCs/>
          <w:sz w:val="24"/>
          <w:szCs w:val="24"/>
        </w:rPr>
        <w:t>Cumulated Commercial Costs</w:t>
      </w:r>
      <w:r>
        <w:rPr>
          <w:rFonts w:ascii="Times New Roman" w:hAnsi="Times New Roman" w:cs="Times New Roman"/>
          <w:sz w:val="24"/>
          <w:szCs w:val="24"/>
        </w:rPr>
        <w:t xml:space="preserve"> include estimated damages on walls (internal and external), doors (internal and external), and floors of commercial and residential buildings. The number of </w:t>
      </w:r>
      <w:r>
        <w:rPr>
          <w:rFonts w:ascii="Times New Roman" w:hAnsi="Times New Roman" w:cs="Times New Roman"/>
          <w:bCs/>
          <w:sz w:val="24"/>
          <w:szCs w:val="24"/>
        </w:rPr>
        <w:t>residential and</w:t>
      </w:r>
      <w:r>
        <w:rPr>
          <w:rFonts w:ascii="Times New Roman" w:hAnsi="Times New Roman" w:cs="Times New Roman"/>
          <w:sz w:val="24"/>
          <w:szCs w:val="24"/>
        </w:rPr>
        <w:t xml:space="preserve"> commercial</w:t>
      </w:r>
      <w:r>
        <w:rPr>
          <w:rFonts w:ascii="Times New Roman" w:hAnsi="Times New Roman" w:cs="Times New Roman"/>
          <w:b/>
          <w:bCs/>
          <w:sz w:val="24"/>
          <w:szCs w:val="24"/>
        </w:rPr>
        <w:t xml:space="preserve"> </w:t>
      </w:r>
      <w:r>
        <w:rPr>
          <w:rFonts w:ascii="Times New Roman" w:hAnsi="Times New Roman" w:cs="Times New Roman"/>
          <w:sz w:val="24"/>
          <w:szCs w:val="24"/>
        </w:rPr>
        <w:t xml:space="preserve">units affected by flooding at a certain tide level, are multiplied by the average unitary cost per typology (e.g. </w:t>
      </w:r>
      <w:r>
        <w:rPr>
          <w:rFonts w:ascii="Times New Roman" w:hAnsi="Times New Roman" w:cs="Times New Roman"/>
          <w:i/>
          <w:iCs/>
          <w:sz w:val="24"/>
          <w:szCs w:val="24"/>
        </w:rPr>
        <w:t>Residential Internal Walls Costs</w:t>
      </w:r>
      <w:r>
        <w:rPr>
          <w:rFonts w:ascii="Times New Roman" w:hAnsi="Times New Roman" w:cs="Times New Roman"/>
          <w:sz w:val="24"/>
          <w:szCs w:val="24"/>
        </w:rPr>
        <w:t>). The module for calculating potential damages to buildings is presented in Figure A.4.</w:t>
      </w:r>
    </w:p>
    <w:p>
      <w:pPr>
        <w:widowControl w:val="0"/>
        <w:jc w:val="both"/>
        <w:rPr>
          <w:rFonts w:ascii="Times New Roman" w:hAnsi="Times New Roman" w:cs="Times New Roman"/>
          <w:sz w:val="24"/>
          <w:szCs w:val="24"/>
        </w:rPr>
      </w:pPr>
      <w:r>
        <w:rPr>
          <w:rFonts w:ascii="Times New Roman" w:hAnsi="Times New Roman" w:cs="Times New Roman"/>
          <w:sz w:val="24"/>
          <w:szCs w:val="24"/>
        </w:rPr>
        <w:t>Damages to buildings caused by floods have been estimated using a database with information on the physical conditions of ground floor units of the historic center of Venice, and the elevation database of public spaces (RAMSES project</w:t>
      </w:r>
      <w:r>
        <w:rPr>
          <w:rStyle w:val="17"/>
          <w:rFonts w:ascii="Times New Roman" w:hAnsi="Times New Roman"/>
          <w:sz w:val="24"/>
          <w:szCs w:val="24"/>
        </w:rPr>
        <w:footnoteReference w:id="11"/>
      </w:r>
      <w:r>
        <w:rPr>
          <w:rFonts w:ascii="Times New Roman" w:hAnsi="Times New Roman" w:cs="Times New Roman"/>
          <w:sz w:val="24"/>
          <w:szCs w:val="24"/>
        </w:rPr>
        <w:t>), allowing to merge the information regarding the ground floor units with the information concerning ground and water levels and to apply the specific damage functions.</w:t>
      </w:r>
    </w:p>
    <w:p>
      <w:pPr>
        <w:widowControl w:val="0"/>
        <w:jc w:val="both"/>
        <w:rPr>
          <w:rFonts w:ascii="Times New Roman" w:hAnsi="Times New Roman" w:cs="Times New Roman"/>
          <w:sz w:val="24"/>
          <w:szCs w:val="24"/>
        </w:rPr>
      </w:pPr>
      <w:r>
        <w:rPr>
          <w:rFonts w:ascii="Times New Roman" w:hAnsi="Times New Roman" w:cs="Times New Roman"/>
          <w:sz w:val="24"/>
          <w:szCs w:val="24"/>
        </w:rPr>
        <w:t>The computation of each component of the building costs is straightforward: we multiplied the estimated average cost per unit (according to the damage-cost function, based upon the difference between water and ground levels) by the number of flooded units.</w:t>
      </w:r>
    </w:p>
    <w:p>
      <w:pPr>
        <w:widowControl w:val="0"/>
        <w:jc w:val="both"/>
        <w:rPr>
          <w:rFonts w:ascii="Times New Roman" w:hAnsi="Times New Roman" w:cs="Times New Roman"/>
          <w:sz w:val="24"/>
          <w:szCs w:val="24"/>
        </w:rPr>
      </w:pPr>
      <w:r>
        <w:rPr>
          <w:rStyle w:val="33"/>
          <w:rFonts w:ascii="Times New Roman" w:hAnsi="Times New Roman" w:cs="Times New Roman"/>
          <w:sz w:val="24"/>
          <w:szCs w:val="24"/>
        </w:rPr>
        <w:t xml:space="preserve">The ground floor database has been </w:t>
      </w:r>
      <w:r>
        <w:rPr>
          <w:rFonts w:ascii="Times New Roman" w:hAnsi="Times New Roman" w:cs="Times New Roman"/>
          <w:sz w:val="24"/>
          <w:szCs w:val="24"/>
        </w:rPr>
        <w:t>created on the initiative of the City of Venice by COSES in two successive surveys initiated in 1999 and 2001. It considers doorways, courtyards, entrance halls, and several other components of the buildings.</w:t>
      </w:r>
      <w:r>
        <w:rPr>
          <w:rStyle w:val="17"/>
          <w:rFonts w:ascii="Times New Roman" w:hAnsi="Times New Roman"/>
          <w:sz w:val="24"/>
          <w:szCs w:val="24"/>
        </w:rPr>
        <w:footnoteReference w:id="12"/>
      </w:r>
      <w:r>
        <w:rPr>
          <w:rFonts w:ascii="Times New Roman" w:hAnsi="Times New Roman" w:cs="Times New Roman"/>
          <w:sz w:val="24"/>
          <w:szCs w:val="24"/>
        </w:rPr>
        <w:t xml:space="preserve"> We extracted from this dataset a sample of residential and commercial units with detailed information on indoor characteristics (surface, indoor floor levels, no. of rooms, existence of protection measures). We used the sample for our estimates of the damages caused by tide to building structures. </w:t>
      </w:r>
      <w:r>
        <w:rPr>
          <w:rStyle w:val="33"/>
          <w:rFonts w:ascii="Times New Roman" w:hAnsi="Times New Roman" w:cs="Times New Roman"/>
          <w:sz w:val="24"/>
          <w:szCs w:val="24"/>
        </w:rPr>
        <w:t>The</w:t>
      </w:r>
      <w:r>
        <w:rPr>
          <w:rFonts w:ascii="Times New Roman" w:hAnsi="Times New Roman" w:cs="Times New Roman"/>
          <w:sz w:val="24"/>
          <w:szCs w:val="24"/>
        </w:rPr>
        <w:t xml:space="preserve"> </w:t>
      </w:r>
      <w:r>
        <w:rPr>
          <w:rStyle w:val="33"/>
          <w:rFonts w:ascii="Times New Roman" w:hAnsi="Times New Roman" w:cs="Times New Roman"/>
          <w:sz w:val="24"/>
          <w:szCs w:val="24"/>
        </w:rPr>
        <w:t>sample</w:t>
      </w:r>
      <w:r>
        <w:rPr>
          <w:rFonts w:ascii="Times New Roman" w:hAnsi="Times New Roman" w:cs="Times New Roman"/>
          <w:sz w:val="24"/>
          <w:szCs w:val="24"/>
        </w:rPr>
        <w:t xml:space="preserve"> </w:t>
      </w:r>
      <w:r>
        <w:rPr>
          <w:rStyle w:val="33"/>
          <w:rFonts w:ascii="Times New Roman" w:hAnsi="Times New Roman" w:cs="Times New Roman"/>
          <w:sz w:val="24"/>
          <w:szCs w:val="24"/>
        </w:rPr>
        <w:t>created</w:t>
      </w:r>
      <w:r>
        <w:rPr>
          <w:rFonts w:ascii="Times New Roman" w:hAnsi="Times New Roman" w:cs="Times New Roman"/>
          <w:sz w:val="24"/>
          <w:szCs w:val="24"/>
        </w:rPr>
        <w:t xml:space="preserve"> </w:t>
      </w:r>
      <w:r>
        <w:rPr>
          <w:rStyle w:val="33"/>
          <w:rFonts w:ascii="Times New Roman" w:hAnsi="Times New Roman" w:cs="Times New Roman"/>
          <w:sz w:val="24"/>
          <w:szCs w:val="24"/>
        </w:rPr>
        <w:t>consists of</w:t>
      </w:r>
      <w:r>
        <w:rPr>
          <w:rFonts w:ascii="Times New Roman" w:hAnsi="Times New Roman" w:cs="Times New Roman"/>
          <w:sz w:val="24"/>
          <w:szCs w:val="24"/>
        </w:rPr>
        <w:t xml:space="preserve"> </w:t>
      </w:r>
      <w:r>
        <w:rPr>
          <w:rStyle w:val="33"/>
          <w:rFonts w:ascii="Times New Roman" w:hAnsi="Times New Roman" w:cs="Times New Roman"/>
          <w:sz w:val="24"/>
          <w:szCs w:val="24"/>
        </w:rPr>
        <w:t>a total of</w:t>
      </w:r>
      <w:r>
        <w:rPr>
          <w:rFonts w:ascii="Times New Roman" w:hAnsi="Times New Roman" w:cs="Times New Roman"/>
          <w:sz w:val="24"/>
          <w:szCs w:val="24"/>
        </w:rPr>
        <w:t xml:space="preserve"> </w:t>
      </w:r>
      <w:r>
        <w:rPr>
          <w:rStyle w:val="33"/>
          <w:rFonts w:ascii="Times New Roman" w:hAnsi="Times New Roman" w:cs="Times New Roman"/>
          <w:sz w:val="24"/>
          <w:szCs w:val="24"/>
        </w:rPr>
        <w:t>2,598</w:t>
      </w:r>
      <w:r>
        <w:rPr>
          <w:rFonts w:ascii="Times New Roman" w:hAnsi="Times New Roman" w:cs="Times New Roman"/>
          <w:sz w:val="24"/>
          <w:szCs w:val="24"/>
        </w:rPr>
        <w:t xml:space="preserve"> </w:t>
      </w:r>
      <w:r>
        <w:rPr>
          <w:rStyle w:val="33"/>
          <w:rFonts w:ascii="Times New Roman" w:hAnsi="Times New Roman" w:cs="Times New Roman"/>
          <w:sz w:val="24"/>
          <w:szCs w:val="24"/>
        </w:rPr>
        <w:t>observations</w:t>
      </w:r>
      <w:r>
        <w:rPr>
          <w:rFonts w:ascii="Times New Roman" w:hAnsi="Times New Roman" w:cs="Times New Roman"/>
          <w:sz w:val="24"/>
          <w:szCs w:val="24"/>
        </w:rPr>
        <w:t xml:space="preserve"> </w:t>
      </w:r>
      <w:r>
        <w:rPr>
          <w:rStyle w:val="33"/>
          <w:rFonts w:ascii="Times New Roman" w:hAnsi="Times New Roman" w:cs="Times New Roman"/>
          <w:sz w:val="24"/>
          <w:szCs w:val="24"/>
        </w:rPr>
        <w:t>regarding</w:t>
      </w:r>
      <w:r>
        <w:rPr>
          <w:rFonts w:ascii="Times New Roman" w:hAnsi="Times New Roman" w:cs="Times New Roman"/>
          <w:sz w:val="24"/>
          <w:szCs w:val="24"/>
        </w:rPr>
        <w:t xml:space="preserve"> </w:t>
      </w:r>
      <w:r>
        <w:rPr>
          <w:rStyle w:val="33"/>
          <w:rFonts w:ascii="Times New Roman" w:hAnsi="Times New Roman" w:cs="Times New Roman"/>
          <w:sz w:val="24"/>
          <w:szCs w:val="24"/>
        </w:rPr>
        <w:t>commercial units</w:t>
      </w:r>
      <w:r>
        <w:rPr>
          <w:rFonts w:ascii="Times New Roman" w:hAnsi="Times New Roman" w:cs="Times New Roman"/>
          <w:sz w:val="24"/>
          <w:szCs w:val="24"/>
        </w:rPr>
        <w:t xml:space="preserve"> </w:t>
      </w:r>
      <w:r>
        <w:rPr>
          <w:rStyle w:val="33"/>
          <w:rFonts w:ascii="Times New Roman" w:hAnsi="Times New Roman" w:cs="Times New Roman"/>
          <w:sz w:val="24"/>
          <w:szCs w:val="24"/>
        </w:rPr>
        <w:t>and</w:t>
      </w:r>
      <w:r>
        <w:rPr>
          <w:rFonts w:ascii="Times New Roman" w:hAnsi="Times New Roman" w:cs="Times New Roman"/>
          <w:sz w:val="24"/>
          <w:szCs w:val="24"/>
        </w:rPr>
        <w:t xml:space="preserve"> </w:t>
      </w:r>
      <w:r>
        <w:rPr>
          <w:rStyle w:val="33"/>
          <w:rFonts w:ascii="Times New Roman" w:hAnsi="Times New Roman" w:cs="Times New Roman"/>
          <w:sz w:val="24"/>
          <w:szCs w:val="24"/>
        </w:rPr>
        <w:t>2,425</w:t>
      </w:r>
      <w:r>
        <w:rPr>
          <w:rFonts w:ascii="Times New Roman" w:hAnsi="Times New Roman" w:cs="Times New Roman"/>
          <w:sz w:val="24"/>
          <w:szCs w:val="24"/>
        </w:rPr>
        <w:t xml:space="preserve"> </w:t>
      </w:r>
      <w:r>
        <w:rPr>
          <w:rStyle w:val="33"/>
          <w:rFonts w:ascii="Times New Roman" w:hAnsi="Times New Roman" w:cs="Times New Roman"/>
          <w:sz w:val="24"/>
          <w:szCs w:val="24"/>
        </w:rPr>
        <w:t>residential</w:t>
      </w:r>
      <w:r>
        <w:rPr>
          <w:rFonts w:ascii="Times New Roman" w:hAnsi="Times New Roman" w:cs="Times New Roman"/>
          <w:sz w:val="24"/>
          <w:szCs w:val="24"/>
        </w:rPr>
        <w:t xml:space="preserve"> </w:t>
      </w:r>
      <w:r>
        <w:rPr>
          <w:rStyle w:val="33"/>
          <w:rFonts w:ascii="Times New Roman" w:hAnsi="Times New Roman" w:cs="Times New Roman"/>
          <w:sz w:val="24"/>
          <w:szCs w:val="24"/>
        </w:rPr>
        <w:t>units</w:t>
      </w:r>
      <w:r>
        <w:rPr>
          <w:rFonts w:ascii="Times New Roman" w:hAnsi="Times New Roman" w:cs="Times New Roman"/>
          <w:sz w:val="24"/>
          <w:szCs w:val="24"/>
        </w:rPr>
        <w:t xml:space="preserve"> </w:t>
      </w:r>
      <w:r>
        <w:rPr>
          <w:rStyle w:val="33"/>
          <w:rFonts w:ascii="Times New Roman" w:hAnsi="Times New Roman" w:cs="Times New Roman"/>
          <w:sz w:val="24"/>
          <w:szCs w:val="24"/>
        </w:rPr>
        <w:t>surveyed</w:t>
      </w:r>
      <w:r>
        <w:rPr>
          <w:rFonts w:ascii="Times New Roman" w:hAnsi="Times New Roman" w:cs="Times New Roman"/>
          <w:sz w:val="24"/>
          <w:szCs w:val="24"/>
        </w:rPr>
        <w:t xml:space="preserve"> </w:t>
      </w:r>
      <w:r>
        <w:rPr>
          <w:rStyle w:val="33"/>
          <w:rFonts w:ascii="Times New Roman" w:hAnsi="Times New Roman" w:cs="Times New Roman"/>
          <w:sz w:val="24"/>
          <w:szCs w:val="24"/>
        </w:rPr>
        <w:t>(</w:t>
      </w:r>
      <w:r>
        <w:rPr>
          <w:rFonts w:ascii="Times New Roman" w:hAnsi="Times New Roman" w:cs="Times New Roman"/>
          <w:sz w:val="24"/>
          <w:szCs w:val="24"/>
        </w:rPr>
        <w:t xml:space="preserve">see Table A.3). </w:t>
      </w:r>
      <w:r>
        <w:rPr>
          <w:rStyle w:val="33"/>
          <w:rFonts w:ascii="Times New Roman" w:hAnsi="Times New Roman" w:cs="Times New Roman"/>
          <w:sz w:val="24"/>
          <w:szCs w:val="24"/>
        </w:rPr>
        <w:t>For all</w:t>
      </w:r>
      <w:r>
        <w:rPr>
          <w:rFonts w:ascii="Times New Roman" w:hAnsi="Times New Roman" w:cs="Times New Roman"/>
          <w:sz w:val="24"/>
          <w:szCs w:val="24"/>
        </w:rPr>
        <w:t xml:space="preserve"> </w:t>
      </w:r>
      <w:r>
        <w:rPr>
          <w:rStyle w:val="33"/>
          <w:rFonts w:ascii="Times New Roman" w:hAnsi="Times New Roman" w:cs="Times New Roman"/>
          <w:sz w:val="24"/>
          <w:szCs w:val="24"/>
        </w:rPr>
        <w:t>units in the sample,</w:t>
      </w:r>
      <w:r>
        <w:rPr>
          <w:rFonts w:ascii="Times New Roman" w:hAnsi="Times New Roman" w:cs="Times New Roman"/>
          <w:sz w:val="24"/>
          <w:szCs w:val="24"/>
        </w:rPr>
        <w:t xml:space="preserve"> information is available for </w:t>
      </w:r>
      <w:r>
        <w:rPr>
          <w:rStyle w:val="33"/>
          <w:rFonts w:ascii="Times New Roman" w:hAnsi="Times New Roman" w:cs="Times New Roman"/>
          <w:sz w:val="24"/>
          <w:szCs w:val="24"/>
        </w:rPr>
        <w:t>physical parameters such as</w:t>
      </w:r>
      <w:r>
        <w:rPr>
          <w:rFonts w:ascii="Times New Roman" w:hAnsi="Times New Roman" w:cs="Times New Roman"/>
          <w:sz w:val="24"/>
          <w:szCs w:val="24"/>
        </w:rPr>
        <w:t xml:space="preserve"> </w:t>
      </w:r>
      <w:r>
        <w:rPr>
          <w:rStyle w:val="33"/>
          <w:rFonts w:ascii="Times New Roman" w:hAnsi="Times New Roman" w:cs="Times New Roman"/>
          <w:sz w:val="24"/>
          <w:szCs w:val="24"/>
        </w:rPr>
        <w:t>size</w:t>
      </w:r>
      <w:r>
        <w:rPr>
          <w:rFonts w:ascii="Times New Roman" w:hAnsi="Times New Roman" w:cs="Times New Roman"/>
          <w:sz w:val="24"/>
          <w:szCs w:val="24"/>
        </w:rPr>
        <w:t xml:space="preserve">, </w:t>
      </w:r>
      <w:r>
        <w:rPr>
          <w:rStyle w:val="33"/>
          <w:rFonts w:ascii="Times New Roman" w:hAnsi="Times New Roman" w:cs="Times New Roman"/>
          <w:sz w:val="24"/>
          <w:szCs w:val="24"/>
        </w:rPr>
        <w:t>material</w:t>
      </w:r>
      <w:r>
        <w:rPr>
          <w:rFonts w:ascii="Times New Roman" w:hAnsi="Times New Roman" w:cs="Times New Roman"/>
          <w:sz w:val="24"/>
          <w:szCs w:val="24"/>
        </w:rPr>
        <w:t xml:space="preserve">, </w:t>
      </w:r>
      <w:r>
        <w:rPr>
          <w:rStyle w:val="33"/>
          <w:rFonts w:ascii="Times New Roman" w:hAnsi="Times New Roman" w:cs="Times New Roman"/>
          <w:sz w:val="24"/>
          <w:szCs w:val="24"/>
        </w:rPr>
        <w:t>and</w:t>
      </w:r>
      <w:r>
        <w:rPr>
          <w:rFonts w:ascii="Times New Roman" w:hAnsi="Times New Roman" w:cs="Times New Roman"/>
          <w:sz w:val="24"/>
          <w:szCs w:val="24"/>
        </w:rPr>
        <w:t xml:space="preserve"> </w:t>
      </w:r>
      <w:r>
        <w:rPr>
          <w:rStyle w:val="33"/>
          <w:rFonts w:ascii="Times New Roman" w:hAnsi="Times New Roman" w:cs="Times New Roman"/>
          <w:sz w:val="24"/>
          <w:szCs w:val="24"/>
        </w:rPr>
        <w:t>floor levels concerning the local tidal reference point.</w:t>
      </w:r>
      <w:r>
        <w:rPr>
          <w:rFonts w:ascii="Times New Roman" w:hAnsi="Times New Roman" w:cs="Times New Roman"/>
          <w:sz w:val="24"/>
          <w:szCs w:val="24"/>
        </w:rPr>
        <w:t xml:space="preserve"> </w:t>
      </w:r>
    </w:p>
    <w:tbl>
      <w:tblPr>
        <w:tblStyle w:val="50"/>
        <w:tblW w:w="0" w:type="auto"/>
        <w:jc w:val="center"/>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Layout w:type="autofit"/>
        <w:tblCellMar>
          <w:top w:w="0" w:type="dxa"/>
          <w:left w:w="108" w:type="dxa"/>
          <w:bottom w:w="0" w:type="dxa"/>
          <w:right w:w="108" w:type="dxa"/>
        </w:tblCellMar>
      </w:tblPr>
      <w:tblGrid>
        <w:gridCol w:w="3397"/>
        <w:gridCol w:w="1023"/>
        <w:gridCol w:w="1560"/>
        <w:gridCol w:w="992"/>
      </w:tblGrid>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jc w:val="center"/>
        </w:trPr>
        <w:tc>
          <w:tcPr>
            <w:tcW w:w="3397" w:type="dxa"/>
            <w:tcBorders>
              <w:top w:val="single" w:color="A5A5A5" w:themeColor="accent3" w:sz="4" w:space="0"/>
              <w:left w:val="single" w:color="A5A5A5" w:themeColor="accent3" w:sz="4" w:space="0"/>
              <w:bottom w:val="single" w:color="A5A5A5" w:themeColor="accent3" w:sz="4" w:space="0"/>
              <w:insideH w:val="single" w:sz="4" w:space="0"/>
            </w:tcBorders>
            <w:shd w:val="clear" w:color="auto" w:fill="A5A5A5" w:themeFill="accent3"/>
          </w:tcPr>
          <w:p>
            <w:pPr>
              <w:widowControl w:val="0"/>
              <w:spacing w:after="0" w:line="240" w:lineRule="auto"/>
              <w:jc w:val="center"/>
              <w:rPr>
                <w:rFonts w:ascii="Times New Roman" w:hAnsi="Times New Roman" w:eastAsia="Times New Roman" w:cs="Times New Roman"/>
                <w:b w:val="0"/>
                <w:bCs/>
                <w:color w:val="000000"/>
                <w:lang w:eastAsia="it-IT"/>
              </w:rPr>
            </w:pPr>
            <w:r>
              <w:rPr>
                <w:rFonts w:ascii="Times New Roman" w:hAnsi="Times New Roman" w:eastAsia="Times New Roman" w:cs="Times New Roman"/>
                <w:b w:val="0"/>
                <w:bCs/>
                <w:color w:val="000000"/>
                <w:lang w:eastAsia="it-IT"/>
              </w:rPr>
              <w:tab/>
            </w:r>
            <w:r>
              <w:rPr>
                <w:rFonts w:ascii="Times New Roman" w:hAnsi="Times New Roman" w:eastAsia="Times New Roman" w:cs="Times New Roman"/>
                <w:b w:val="0"/>
                <w:bCs/>
                <w:color w:val="000000"/>
                <w:lang w:eastAsia="it-IT"/>
              </w:rPr>
              <w:t xml:space="preserve">Type of units </w:t>
            </w:r>
          </w:p>
        </w:tc>
        <w:tc>
          <w:tcPr>
            <w:tcW w:w="1023" w:type="dxa"/>
            <w:tcBorders>
              <w:top w:val="single" w:color="A5A5A5" w:themeColor="accent3" w:sz="4" w:space="0"/>
              <w:bottom w:val="single" w:color="A5A5A5" w:themeColor="accent3" w:sz="4" w:space="0"/>
              <w:insideH w:val="single" w:sz="4" w:space="0"/>
            </w:tcBorders>
            <w:shd w:val="clear" w:color="auto" w:fill="A5A5A5" w:themeFill="accent3"/>
          </w:tcPr>
          <w:p>
            <w:pPr>
              <w:widowControl w:val="0"/>
              <w:spacing w:after="0" w:line="240" w:lineRule="auto"/>
              <w:jc w:val="center"/>
              <w:rPr>
                <w:rFonts w:ascii="Times New Roman" w:hAnsi="Times New Roman" w:eastAsia="Times New Roman" w:cs="Times New Roman"/>
                <w:b w:val="0"/>
                <w:bCs/>
                <w:color w:val="000000"/>
                <w:lang w:eastAsia="it-IT"/>
              </w:rPr>
            </w:pPr>
            <w:r>
              <w:rPr>
                <w:rFonts w:ascii="Times New Roman" w:hAnsi="Times New Roman" w:eastAsia="Times New Roman" w:cs="Times New Roman"/>
                <w:b w:val="0"/>
                <w:bCs/>
                <w:color w:val="000000"/>
                <w:lang w:eastAsia="it-IT"/>
              </w:rPr>
              <w:t xml:space="preserve">Database </w:t>
            </w:r>
          </w:p>
        </w:tc>
        <w:tc>
          <w:tcPr>
            <w:tcW w:w="1560" w:type="dxa"/>
            <w:tcBorders>
              <w:top w:val="single" w:color="A5A5A5" w:themeColor="accent3" w:sz="4" w:space="0"/>
              <w:bottom w:val="single" w:color="A5A5A5" w:themeColor="accent3" w:sz="4" w:space="0"/>
              <w:insideH w:val="single" w:sz="4" w:space="0"/>
            </w:tcBorders>
            <w:shd w:val="clear" w:color="auto" w:fill="A5A5A5" w:themeFill="accent3"/>
          </w:tcPr>
          <w:p>
            <w:pPr>
              <w:widowControl w:val="0"/>
              <w:spacing w:after="0" w:line="240" w:lineRule="auto"/>
              <w:jc w:val="center"/>
              <w:rPr>
                <w:rFonts w:ascii="Times New Roman" w:hAnsi="Times New Roman" w:eastAsia="Times New Roman" w:cs="Times New Roman"/>
                <w:b w:val="0"/>
                <w:bCs/>
                <w:color w:val="000000"/>
                <w:lang w:eastAsia="it-IT"/>
              </w:rPr>
            </w:pPr>
            <w:r>
              <w:rPr>
                <w:rFonts w:ascii="Times New Roman" w:hAnsi="Times New Roman" w:eastAsia="Times New Roman" w:cs="Times New Roman"/>
                <w:b w:val="0"/>
                <w:bCs/>
                <w:color w:val="000000"/>
                <w:lang w:eastAsia="it-IT"/>
              </w:rPr>
              <w:t>Sample</w:t>
            </w:r>
          </w:p>
        </w:tc>
        <w:tc>
          <w:tcPr>
            <w:tcW w:w="992" w:type="dxa"/>
            <w:tcBorders>
              <w:top w:val="single" w:color="A5A5A5" w:themeColor="accent3" w:sz="4" w:space="0"/>
              <w:bottom w:val="single" w:color="A5A5A5" w:themeColor="accent3" w:sz="4" w:space="0"/>
              <w:right w:val="single" w:color="A5A5A5" w:themeColor="accent3" w:sz="4" w:space="0"/>
              <w:insideH w:val="single" w:sz="4" w:space="0"/>
            </w:tcBorders>
            <w:shd w:val="clear" w:color="auto" w:fill="A5A5A5" w:themeFill="accent3"/>
          </w:tcPr>
          <w:p>
            <w:pPr>
              <w:widowControl w:val="0"/>
              <w:spacing w:after="0" w:line="240" w:lineRule="auto"/>
              <w:jc w:val="center"/>
              <w:rPr>
                <w:rFonts w:ascii="Times New Roman" w:hAnsi="Times New Roman" w:eastAsia="Times New Roman" w:cs="Times New Roman"/>
                <w:b w:val="0"/>
                <w:bCs/>
                <w:color w:val="000000"/>
                <w:lang w:eastAsia="it-IT"/>
              </w:rPr>
            </w:pPr>
            <w:r>
              <w:rPr>
                <w:rFonts w:ascii="Times New Roman" w:hAnsi="Times New Roman" w:eastAsia="Times New Roman" w:cs="Times New Roman"/>
                <w:b w:val="0"/>
                <w:bCs/>
                <w:color w:val="000000"/>
                <w:lang w:eastAsia="it-IT"/>
              </w:rPr>
              <w:t>%</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60" w:hRule="atLeast"/>
          <w:jc w:val="center"/>
        </w:trPr>
        <w:tc>
          <w:tcPr>
            <w:tcW w:w="3397" w:type="dxa"/>
            <w:shd w:val="clear" w:color="auto" w:fill="ECECEC" w:themeFill="accent3" w:themeFillTint="33"/>
          </w:tcPr>
          <w:p>
            <w:pPr>
              <w:widowControl w:val="0"/>
              <w:spacing w:after="0" w:line="240" w:lineRule="auto"/>
              <w:jc w:val="center"/>
              <w:rPr>
                <w:rFonts w:ascii="Times New Roman" w:hAnsi="Times New Roman" w:eastAsia="Times New Roman" w:cs="Times New Roman"/>
                <w:b w:val="0"/>
                <w:bCs/>
                <w:color w:val="000000"/>
                <w:lang w:eastAsia="it-IT"/>
              </w:rPr>
            </w:pPr>
            <w:r>
              <w:rPr>
                <w:rFonts w:ascii="Times New Roman" w:hAnsi="Times New Roman" w:eastAsia="Times New Roman" w:cs="Times New Roman"/>
                <w:b w:val="0"/>
                <w:bCs/>
                <w:color w:val="000000"/>
                <w:lang w:eastAsia="it-IT"/>
              </w:rPr>
              <w:t>Residential use</w:t>
            </w:r>
          </w:p>
        </w:tc>
        <w:tc>
          <w:tcPr>
            <w:tcW w:w="1023" w:type="dxa"/>
            <w:shd w:val="clear" w:color="auto" w:fill="ECECEC" w:themeFill="accent3" w:themeFillTint="33"/>
          </w:tcPr>
          <w:p>
            <w:pPr>
              <w:widowControl w:val="0"/>
              <w:spacing w:after="0" w:line="240" w:lineRule="auto"/>
              <w:jc w:val="center"/>
              <w:rPr>
                <w:rFonts w:ascii="Times New Roman" w:hAnsi="Times New Roman" w:eastAsia="Times New Roman" w:cs="Times New Roman"/>
                <w:color w:val="000000"/>
                <w:lang w:eastAsia="it-IT"/>
              </w:rPr>
            </w:pPr>
            <w:r>
              <w:rPr>
                <w:rFonts w:ascii="Times New Roman" w:hAnsi="Times New Roman" w:eastAsia="Times New Roman" w:cs="Times New Roman"/>
                <w:color w:val="000000"/>
                <w:lang w:eastAsia="it-IT"/>
              </w:rPr>
              <w:t>3140</w:t>
            </w:r>
          </w:p>
        </w:tc>
        <w:tc>
          <w:tcPr>
            <w:tcW w:w="1560" w:type="dxa"/>
            <w:shd w:val="clear" w:color="auto" w:fill="ECECEC" w:themeFill="accent3" w:themeFillTint="33"/>
          </w:tcPr>
          <w:p>
            <w:pPr>
              <w:widowControl w:val="0"/>
              <w:spacing w:after="0" w:line="240" w:lineRule="auto"/>
              <w:jc w:val="center"/>
              <w:rPr>
                <w:rFonts w:ascii="Times New Roman" w:hAnsi="Times New Roman" w:eastAsia="Times New Roman" w:cs="Times New Roman"/>
                <w:color w:val="000000"/>
                <w:lang w:eastAsia="it-IT"/>
              </w:rPr>
            </w:pPr>
            <w:r>
              <w:rPr>
                <w:rFonts w:ascii="Times New Roman" w:hAnsi="Times New Roman" w:eastAsia="Times New Roman" w:cs="Times New Roman"/>
                <w:color w:val="000000"/>
                <w:lang w:eastAsia="it-IT"/>
              </w:rPr>
              <w:t>2425</w:t>
            </w:r>
          </w:p>
        </w:tc>
        <w:tc>
          <w:tcPr>
            <w:tcW w:w="992" w:type="dxa"/>
            <w:shd w:val="clear" w:color="auto" w:fill="ECECEC" w:themeFill="accent3" w:themeFillTint="33"/>
          </w:tcPr>
          <w:p>
            <w:pPr>
              <w:widowControl w:val="0"/>
              <w:spacing w:after="0" w:line="240" w:lineRule="auto"/>
              <w:jc w:val="center"/>
              <w:rPr>
                <w:rFonts w:ascii="Times New Roman" w:hAnsi="Times New Roman" w:eastAsia="Times New Roman" w:cs="Times New Roman"/>
                <w:color w:val="000000"/>
                <w:lang w:eastAsia="it-IT"/>
              </w:rPr>
            </w:pPr>
            <w:r>
              <w:rPr>
                <w:rFonts w:ascii="Times New Roman" w:hAnsi="Times New Roman" w:eastAsia="Times New Roman" w:cs="Times New Roman"/>
                <w:color w:val="000000"/>
                <w:lang w:eastAsia="it-IT"/>
              </w:rPr>
              <w:t>77.2%</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jc w:val="center"/>
        </w:trPr>
        <w:tc>
          <w:tcPr>
            <w:tcW w:w="3397" w:type="dxa"/>
          </w:tcPr>
          <w:p>
            <w:pPr>
              <w:widowControl w:val="0"/>
              <w:spacing w:after="0" w:line="240" w:lineRule="auto"/>
              <w:jc w:val="center"/>
              <w:rPr>
                <w:rFonts w:ascii="Times New Roman" w:hAnsi="Times New Roman" w:eastAsia="Times New Roman" w:cs="Times New Roman"/>
                <w:b w:val="0"/>
                <w:bCs/>
                <w:color w:val="000000"/>
                <w:lang w:eastAsia="it-IT"/>
              </w:rPr>
            </w:pPr>
            <w:r>
              <w:rPr>
                <w:rFonts w:ascii="Times New Roman" w:hAnsi="Times New Roman" w:eastAsia="Times New Roman" w:cs="Times New Roman"/>
                <w:b w:val="0"/>
                <w:bCs/>
                <w:color w:val="000000"/>
                <w:lang w:eastAsia="it-IT"/>
              </w:rPr>
              <w:t xml:space="preserve">Commercial use  </w:t>
            </w:r>
          </w:p>
        </w:tc>
        <w:tc>
          <w:tcPr>
            <w:tcW w:w="1023" w:type="dxa"/>
          </w:tcPr>
          <w:p>
            <w:pPr>
              <w:widowControl w:val="0"/>
              <w:spacing w:after="0" w:line="240" w:lineRule="auto"/>
              <w:jc w:val="center"/>
              <w:rPr>
                <w:rFonts w:ascii="Times New Roman" w:hAnsi="Times New Roman" w:eastAsia="Times New Roman" w:cs="Times New Roman"/>
                <w:color w:val="000000"/>
                <w:lang w:eastAsia="it-IT"/>
              </w:rPr>
            </w:pPr>
            <w:r>
              <w:rPr>
                <w:rFonts w:ascii="Times New Roman" w:hAnsi="Times New Roman" w:eastAsia="Times New Roman" w:cs="Times New Roman"/>
                <w:color w:val="000000"/>
                <w:lang w:eastAsia="it-IT"/>
              </w:rPr>
              <w:t xml:space="preserve">4709 </w:t>
            </w:r>
          </w:p>
        </w:tc>
        <w:tc>
          <w:tcPr>
            <w:tcW w:w="1560" w:type="dxa"/>
          </w:tcPr>
          <w:p>
            <w:pPr>
              <w:widowControl w:val="0"/>
              <w:spacing w:after="0" w:line="240" w:lineRule="auto"/>
              <w:jc w:val="center"/>
              <w:rPr>
                <w:rFonts w:ascii="Times New Roman" w:hAnsi="Times New Roman" w:eastAsia="Times New Roman" w:cs="Times New Roman"/>
                <w:color w:val="000000"/>
                <w:lang w:eastAsia="it-IT"/>
              </w:rPr>
            </w:pPr>
            <w:r>
              <w:rPr>
                <w:rFonts w:ascii="Times New Roman" w:hAnsi="Times New Roman" w:eastAsia="Times New Roman" w:cs="Times New Roman"/>
                <w:color w:val="000000"/>
                <w:lang w:eastAsia="it-IT"/>
              </w:rPr>
              <w:t>2598</w:t>
            </w:r>
          </w:p>
        </w:tc>
        <w:tc>
          <w:tcPr>
            <w:tcW w:w="992" w:type="dxa"/>
          </w:tcPr>
          <w:p>
            <w:pPr>
              <w:widowControl w:val="0"/>
              <w:spacing w:after="0" w:line="240" w:lineRule="auto"/>
              <w:jc w:val="center"/>
              <w:rPr>
                <w:rFonts w:ascii="Times New Roman" w:hAnsi="Times New Roman" w:eastAsia="Times New Roman" w:cs="Times New Roman"/>
                <w:color w:val="000000"/>
                <w:lang w:eastAsia="it-IT"/>
              </w:rPr>
            </w:pPr>
            <w:r>
              <w:rPr>
                <w:rFonts w:ascii="Times New Roman" w:hAnsi="Times New Roman" w:eastAsia="Times New Roman" w:cs="Times New Roman"/>
                <w:color w:val="000000"/>
                <w:lang w:eastAsia="it-IT"/>
              </w:rPr>
              <w:t>55.2%</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jc w:val="center"/>
        </w:trPr>
        <w:tc>
          <w:tcPr>
            <w:tcW w:w="3397" w:type="dxa"/>
            <w:shd w:val="clear" w:color="auto" w:fill="ECECEC" w:themeFill="accent3" w:themeFillTint="33"/>
          </w:tcPr>
          <w:p>
            <w:pPr>
              <w:widowControl w:val="0"/>
              <w:spacing w:after="0" w:line="240" w:lineRule="auto"/>
              <w:jc w:val="center"/>
              <w:rPr>
                <w:rFonts w:ascii="Times New Roman" w:hAnsi="Times New Roman" w:eastAsia="Times New Roman" w:cs="Times New Roman"/>
                <w:b w:val="0"/>
                <w:bCs/>
                <w:color w:val="000000"/>
                <w:lang w:eastAsia="it-IT"/>
              </w:rPr>
            </w:pPr>
            <w:r>
              <w:rPr>
                <w:rFonts w:ascii="Times New Roman" w:hAnsi="Times New Roman" w:eastAsia="Times New Roman" w:cs="Times New Roman"/>
                <w:b w:val="0"/>
                <w:bCs/>
                <w:color w:val="000000"/>
                <w:lang w:eastAsia="it-IT"/>
              </w:rPr>
              <w:t>Total number of units surveyed</w:t>
            </w:r>
          </w:p>
        </w:tc>
        <w:tc>
          <w:tcPr>
            <w:tcW w:w="1023" w:type="dxa"/>
            <w:shd w:val="clear" w:color="auto" w:fill="ECECEC" w:themeFill="accent3" w:themeFillTint="33"/>
          </w:tcPr>
          <w:p>
            <w:pPr>
              <w:widowControl w:val="0"/>
              <w:spacing w:after="0" w:line="240" w:lineRule="auto"/>
              <w:jc w:val="center"/>
              <w:rPr>
                <w:rFonts w:ascii="Times New Roman" w:hAnsi="Times New Roman" w:eastAsia="Times New Roman" w:cs="Times New Roman"/>
                <w:color w:val="000000"/>
                <w:lang w:eastAsia="it-IT"/>
              </w:rPr>
            </w:pPr>
            <w:r>
              <w:rPr>
                <w:rFonts w:ascii="Times New Roman" w:hAnsi="Times New Roman" w:eastAsia="Times New Roman" w:cs="Times New Roman"/>
                <w:color w:val="000000"/>
                <w:lang w:eastAsia="it-IT"/>
              </w:rPr>
              <w:t>7849</w:t>
            </w:r>
          </w:p>
        </w:tc>
        <w:tc>
          <w:tcPr>
            <w:tcW w:w="1560" w:type="dxa"/>
            <w:shd w:val="clear" w:color="auto" w:fill="ECECEC" w:themeFill="accent3" w:themeFillTint="33"/>
          </w:tcPr>
          <w:p>
            <w:pPr>
              <w:widowControl w:val="0"/>
              <w:spacing w:after="0" w:line="240" w:lineRule="auto"/>
              <w:jc w:val="center"/>
              <w:rPr>
                <w:rFonts w:ascii="Times New Roman" w:hAnsi="Times New Roman" w:eastAsia="Times New Roman" w:cs="Times New Roman"/>
                <w:color w:val="000000"/>
                <w:lang w:eastAsia="it-IT"/>
              </w:rPr>
            </w:pPr>
            <w:r>
              <w:rPr>
                <w:rFonts w:ascii="Times New Roman" w:hAnsi="Times New Roman" w:eastAsia="Times New Roman" w:cs="Times New Roman"/>
                <w:color w:val="000000"/>
                <w:lang w:eastAsia="it-IT"/>
              </w:rPr>
              <w:t>5023</w:t>
            </w:r>
          </w:p>
        </w:tc>
        <w:tc>
          <w:tcPr>
            <w:tcW w:w="992" w:type="dxa"/>
            <w:shd w:val="clear" w:color="auto" w:fill="ECECEC" w:themeFill="accent3" w:themeFillTint="33"/>
          </w:tcPr>
          <w:p>
            <w:pPr>
              <w:widowControl w:val="0"/>
              <w:spacing w:after="0" w:line="240" w:lineRule="auto"/>
              <w:jc w:val="center"/>
              <w:rPr>
                <w:rFonts w:ascii="Times New Roman" w:hAnsi="Times New Roman" w:eastAsia="Times New Roman" w:cs="Times New Roman"/>
                <w:color w:val="000000"/>
                <w:lang w:eastAsia="it-IT"/>
              </w:rPr>
            </w:pPr>
            <w:r>
              <w:rPr>
                <w:rFonts w:ascii="Times New Roman" w:hAnsi="Times New Roman" w:eastAsia="Times New Roman" w:cs="Times New Roman"/>
                <w:color w:val="000000"/>
                <w:lang w:eastAsia="it-IT"/>
              </w:rPr>
              <w:t>64.0 %</w:t>
            </w:r>
          </w:p>
        </w:tc>
      </w:tr>
    </w:tbl>
    <w:p>
      <w:pPr>
        <w:widowControl w:val="0"/>
        <w:tabs>
          <w:tab w:val="left" w:pos="2440"/>
        </w:tabs>
        <w:jc w:val="center"/>
        <w:rPr>
          <w:rFonts w:ascii="Times New Roman" w:hAnsi="Times New Roman" w:cs="Times New Roman"/>
          <w:i/>
          <w:iCs/>
          <w:sz w:val="20"/>
          <w:szCs w:val="20"/>
        </w:rPr>
      </w:pPr>
      <w:r>
        <w:rPr>
          <w:rFonts w:ascii="Times New Roman" w:hAnsi="Times New Roman"/>
          <w:b/>
          <w:i/>
          <w:iCs/>
        </w:rPr>
        <w:t>Tab A.3 Description of COSES survey sample.</w:t>
      </w:r>
      <w:r>
        <w:rPr>
          <w:rFonts w:ascii="Times New Roman" w:hAnsi="Times New Roman" w:cs="Times New Roman"/>
          <w:i/>
          <w:iCs/>
          <w:sz w:val="20"/>
          <w:szCs w:val="20"/>
        </w:rPr>
        <w:t xml:space="preserve"> </w:t>
      </w:r>
    </w:p>
    <w:p>
      <w:pPr>
        <w:widowControl w:val="0"/>
        <w:jc w:val="both"/>
        <w:rPr>
          <w:rFonts w:ascii="Times New Roman" w:hAnsi="Times New Roman" w:cs="Times New Roman"/>
          <w:sz w:val="24"/>
          <w:szCs w:val="24"/>
        </w:rPr>
        <w:sectPr>
          <w:headerReference r:id="rId5" w:type="default"/>
          <w:footerReference r:id="rId6" w:type="default"/>
          <w:pgSz w:w="11907" w:h="16839"/>
          <w:pgMar w:top="1417" w:right="1134" w:bottom="1134" w:left="1134" w:header="708" w:footer="708" w:gutter="0"/>
          <w:cols w:space="708" w:num="1"/>
          <w:docGrid w:linePitch="360" w:charSpace="0"/>
        </w:sectPr>
      </w:pPr>
    </w:p>
    <w:p>
      <w:pPr>
        <w:widowControl w:val="0"/>
        <w:jc w:val="both"/>
        <w:rPr>
          <w:rFonts w:ascii="Times New Roman" w:hAnsi="Times New Roman" w:cs="Times New Roman"/>
          <w:sz w:val="24"/>
          <w:szCs w:val="24"/>
        </w:rPr>
      </w:pPr>
      <w:r>
        <w:rPr>
          <w:lang w:val="it-IT" w:eastAsia="it-IT"/>
        </w:rPr>
        <w:drawing>
          <wp:inline distT="0" distB="0" distL="0" distR="0">
            <wp:extent cx="9392285" cy="2426335"/>
            <wp:effectExtent l="0" t="0" r="0" b="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magine 15"/>
                    <pic:cNvPicPr>
                      <a:picLocks noChangeAspect="1"/>
                    </pic:cNvPicPr>
                  </pic:nvPicPr>
                  <pic:blipFill>
                    <a:blip r:embed="rId12"/>
                    <a:stretch>
                      <a:fillRect/>
                    </a:stretch>
                  </pic:blipFill>
                  <pic:spPr>
                    <a:xfrm>
                      <a:off x="0" y="0"/>
                      <a:ext cx="9392400" cy="2426400"/>
                    </a:xfrm>
                    <a:prstGeom prst="rect">
                      <a:avLst/>
                    </a:prstGeom>
                  </pic:spPr>
                </pic:pic>
              </a:graphicData>
            </a:graphic>
          </wp:inline>
        </w:drawing>
      </w:r>
    </w:p>
    <w:p>
      <w:pPr>
        <w:pStyle w:val="9"/>
        <w:widowControl w:val="0"/>
        <w:jc w:val="center"/>
        <w:rPr>
          <w:rFonts w:ascii="Times New Roman" w:hAnsi="Times New Roman"/>
          <w:b w:val="0"/>
          <w:i/>
          <w:lang w:val="en-US"/>
        </w:rPr>
      </w:pPr>
      <w:r>
        <w:rPr>
          <w:rFonts w:ascii="Times New Roman" w:hAnsi="Times New Roman"/>
          <w:b w:val="0"/>
          <w:i/>
          <w:lang w:val="en-US"/>
        </w:rPr>
        <w:t>Fig A.4 Buildings stock and flow diagram</w:t>
      </w:r>
    </w:p>
    <w:p>
      <w:pPr>
        <w:rPr>
          <w:rFonts w:ascii="Times New Roman" w:hAnsi="Times New Roman"/>
          <w:i/>
          <w:iCs/>
        </w:rPr>
        <w:sectPr>
          <w:footerReference r:id="rId7" w:type="default"/>
          <w:pgSz w:w="16838" w:h="11906" w:orient="landscape"/>
          <w:pgMar w:top="1134" w:right="1417" w:bottom="1134" w:left="1134" w:header="708" w:footer="708" w:gutter="0"/>
          <w:cols w:space="708" w:num="1"/>
          <w:docGrid w:linePitch="360" w:charSpace="0"/>
        </w:sectPr>
      </w:pPr>
    </w:p>
    <w:p>
      <w:pPr>
        <w:widowControl w:val="0"/>
        <w:jc w:val="both"/>
        <w:rPr>
          <w:rFonts w:ascii="Times New Roman" w:hAnsi="Times New Roman" w:cs="Times New Roman"/>
          <w:sz w:val="24"/>
          <w:szCs w:val="24"/>
        </w:rPr>
      </w:pPr>
      <w:r>
        <w:rPr>
          <w:rFonts w:ascii="Times New Roman" w:hAnsi="Times New Roman" w:cs="Times New Roman"/>
          <w:sz w:val="24"/>
          <w:szCs w:val="24"/>
        </w:rPr>
        <w:t xml:space="preserve">Estimates of costs to repair walls (plastering after a certain number of floods), doors (replacement after a certain number of floods), and floors (rinsing and cleaning), as well as their repair needs as a function of flood events were collected from expert judgment in previous research projects. </w:t>
      </w:r>
    </w:p>
    <w:p>
      <w:pPr>
        <w:widowControl w:val="0"/>
        <w:jc w:val="both"/>
        <w:rPr>
          <w:rFonts w:ascii="Times New Roman" w:hAnsi="Times New Roman" w:cs="Times New Roman"/>
          <w:sz w:val="24"/>
          <w:szCs w:val="24"/>
        </w:rPr>
      </w:pPr>
      <w:r>
        <w:rPr>
          <w:rFonts w:ascii="Times New Roman" w:hAnsi="Times New Roman" w:cs="Times New Roman"/>
          <w:sz w:val="24"/>
          <w:szCs w:val="24"/>
        </w:rPr>
        <w:t>These costs depends on the frequencies of the contacts of the building elements with salt water</w:t>
      </w:r>
      <w:r>
        <w:rPr>
          <w:rStyle w:val="17"/>
          <w:rFonts w:ascii="Times New Roman" w:hAnsi="Times New Roman" w:cs="Times New Roman"/>
          <w:sz w:val="24"/>
          <w:szCs w:val="24"/>
        </w:rPr>
        <w:footnoteReference w:id="13"/>
      </w:r>
      <w:r>
        <w:rPr>
          <w:rFonts w:ascii="Times New Roman" w:hAnsi="Times New Roman" w:cs="Times New Roman"/>
          <w:sz w:val="24"/>
          <w:szCs w:val="24"/>
        </w:rPr>
        <w:t>. The survey of ground floor data provides also information about protection measures set in place to protect indoor spaces from flooding up to certain levels, depending on the flood level measured on the doorstep</w:t>
      </w:r>
      <w:r>
        <w:rPr>
          <w:rStyle w:val="17"/>
          <w:rFonts w:ascii="Times New Roman" w:hAnsi="Times New Roman"/>
          <w:sz w:val="24"/>
          <w:szCs w:val="24"/>
        </w:rPr>
        <w:footnoteReference w:id="14"/>
      </w:r>
      <w:r>
        <w:rPr>
          <w:rFonts w:ascii="Times New Roman" w:hAnsi="Times New Roman" w:cs="Times New Roman"/>
          <w:sz w:val="24"/>
          <w:szCs w:val="24"/>
        </w:rPr>
        <w:t>. In this work damage curves have been calculated per event, as a function of water lagoon levels and, hence, of the extension of the areas and of the number of the buildings flooded.</w:t>
      </w:r>
    </w:p>
    <w:p>
      <w:pPr>
        <w:widowControl w:val="0"/>
        <w:jc w:val="both"/>
        <w:rPr>
          <w:rFonts w:ascii="Times New Roman" w:hAnsi="Times New Roman" w:cs="Times New Roman"/>
          <w:sz w:val="24"/>
          <w:szCs w:val="24"/>
        </w:rPr>
      </w:pPr>
      <w:r>
        <w:rPr>
          <w:rFonts w:ascii="Times New Roman" w:hAnsi="Times New Roman" w:cs="Times New Roman"/>
          <w:sz w:val="24"/>
          <w:szCs w:val="24"/>
        </w:rPr>
        <w:t>Average values derived from previous studies were adopted (see Table A.4). Damaged internal and external doors are substituted on average every 7.5 and 15 events, respectively, and that re-plastering of internal and external walls occurs every 5.7.</w:t>
      </w:r>
    </w:p>
    <w:tbl>
      <w:tblPr>
        <w:tblStyle w:val="50"/>
        <w:tblW w:w="6658" w:type="dxa"/>
        <w:jc w:val="center"/>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Layout w:type="autofit"/>
        <w:tblCellMar>
          <w:top w:w="0" w:type="dxa"/>
          <w:left w:w="108" w:type="dxa"/>
          <w:bottom w:w="0" w:type="dxa"/>
          <w:right w:w="108" w:type="dxa"/>
        </w:tblCellMar>
      </w:tblPr>
      <w:tblGrid>
        <w:gridCol w:w="3256"/>
        <w:gridCol w:w="1701"/>
        <w:gridCol w:w="1701"/>
      </w:tblGrid>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290" w:hRule="atLeast"/>
          <w:jc w:val="center"/>
        </w:trPr>
        <w:tc>
          <w:tcPr>
            <w:tcW w:w="3256" w:type="dxa"/>
            <w:tcBorders>
              <w:top w:val="single" w:color="A5A5A5" w:themeColor="accent3" w:sz="4" w:space="0"/>
              <w:left w:val="single" w:color="A5A5A5" w:themeColor="accent3" w:sz="4" w:space="0"/>
              <w:bottom w:val="single" w:color="A5A5A5" w:themeColor="accent3" w:sz="4" w:space="0"/>
              <w:insideH w:val="single" w:sz="4" w:space="0"/>
            </w:tcBorders>
            <w:shd w:val="clear" w:color="auto" w:fill="A5A5A5" w:themeFill="accent3"/>
            <w:noWrap/>
          </w:tcPr>
          <w:p>
            <w:pPr>
              <w:widowControl w:val="0"/>
              <w:spacing w:after="0" w:line="240" w:lineRule="auto"/>
              <w:jc w:val="center"/>
              <w:rPr>
                <w:rFonts w:ascii="Times New Roman" w:hAnsi="Times New Roman" w:eastAsia="Times New Roman" w:cs="Times New Roman"/>
                <w:b w:val="0"/>
                <w:bCs/>
                <w:color w:val="000000"/>
                <w:lang w:eastAsia="it-IT"/>
              </w:rPr>
            </w:pPr>
            <w:r>
              <w:rPr>
                <w:rFonts w:ascii="Times New Roman" w:hAnsi="Times New Roman" w:eastAsia="Times New Roman" w:cs="Times New Roman"/>
                <w:b w:val="0"/>
                <w:bCs/>
                <w:color w:val="000000"/>
                <w:lang w:eastAsia="it-IT"/>
              </w:rPr>
              <w:t>Type of damage</w:t>
            </w:r>
          </w:p>
        </w:tc>
        <w:tc>
          <w:tcPr>
            <w:tcW w:w="1701" w:type="dxa"/>
            <w:tcBorders>
              <w:top w:val="single" w:color="A5A5A5" w:themeColor="accent3" w:sz="4" w:space="0"/>
              <w:bottom w:val="single" w:color="A5A5A5" w:themeColor="accent3" w:sz="4" w:space="0"/>
              <w:insideH w:val="single" w:sz="4" w:space="0"/>
            </w:tcBorders>
            <w:shd w:val="clear" w:color="auto" w:fill="A5A5A5" w:themeFill="accent3"/>
            <w:noWrap/>
          </w:tcPr>
          <w:p>
            <w:pPr>
              <w:widowControl w:val="0"/>
              <w:spacing w:after="0" w:line="240" w:lineRule="auto"/>
              <w:jc w:val="center"/>
              <w:rPr>
                <w:rFonts w:ascii="Times New Roman" w:hAnsi="Times New Roman" w:eastAsia="Times New Roman" w:cs="Times New Roman"/>
                <w:b w:val="0"/>
                <w:bCs/>
                <w:color w:val="000000"/>
                <w:lang w:eastAsia="it-IT"/>
              </w:rPr>
            </w:pPr>
            <w:r>
              <w:rPr>
                <w:rFonts w:ascii="Times New Roman" w:hAnsi="Times New Roman" w:eastAsia="Times New Roman" w:cs="Times New Roman"/>
                <w:b w:val="0"/>
                <w:bCs/>
                <w:color w:val="000000"/>
                <w:lang w:eastAsia="it-IT"/>
              </w:rPr>
              <w:t>Lower bound</w:t>
            </w:r>
          </w:p>
        </w:tc>
        <w:tc>
          <w:tcPr>
            <w:tcW w:w="1701" w:type="dxa"/>
            <w:tcBorders>
              <w:top w:val="single" w:color="A5A5A5" w:themeColor="accent3" w:sz="4" w:space="0"/>
              <w:bottom w:val="single" w:color="A5A5A5" w:themeColor="accent3" w:sz="4" w:space="0"/>
              <w:right w:val="single" w:color="A5A5A5" w:themeColor="accent3" w:sz="4" w:space="0"/>
              <w:insideH w:val="single" w:sz="4" w:space="0"/>
            </w:tcBorders>
            <w:shd w:val="clear" w:color="auto" w:fill="A5A5A5" w:themeFill="accent3"/>
            <w:noWrap/>
          </w:tcPr>
          <w:p>
            <w:pPr>
              <w:widowControl w:val="0"/>
              <w:spacing w:after="0" w:line="240" w:lineRule="auto"/>
              <w:jc w:val="center"/>
              <w:rPr>
                <w:rFonts w:ascii="Times New Roman" w:hAnsi="Times New Roman" w:eastAsia="Times New Roman" w:cs="Times New Roman"/>
                <w:b w:val="0"/>
                <w:bCs/>
                <w:color w:val="000000"/>
                <w:lang w:eastAsia="it-IT"/>
              </w:rPr>
            </w:pPr>
            <w:r>
              <w:rPr>
                <w:rFonts w:ascii="Times New Roman" w:hAnsi="Times New Roman" w:eastAsia="Times New Roman" w:cs="Times New Roman"/>
                <w:b w:val="0"/>
                <w:bCs/>
                <w:color w:val="000000"/>
                <w:lang w:eastAsia="it-IT"/>
              </w:rPr>
              <w:t>Upper bound</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290" w:hRule="atLeast"/>
          <w:jc w:val="center"/>
        </w:trPr>
        <w:tc>
          <w:tcPr>
            <w:tcW w:w="3256"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b w:val="0"/>
                <w:bCs/>
                <w:color w:val="000000"/>
                <w:lang w:eastAsia="it-IT"/>
              </w:rPr>
            </w:pPr>
            <w:r>
              <w:rPr>
                <w:rFonts w:ascii="Times New Roman" w:hAnsi="Times New Roman" w:eastAsia="Times New Roman" w:cs="Times New Roman"/>
                <w:b w:val="0"/>
                <w:bCs/>
                <w:color w:val="000000"/>
                <w:lang w:eastAsia="it-IT"/>
              </w:rPr>
              <w:t>Internal doors</w:t>
            </w:r>
          </w:p>
        </w:tc>
        <w:tc>
          <w:tcPr>
            <w:tcW w:w="1701"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lang w:eastAsia="it-IT"/>
              </w:rPr>
            </w:pPr>
            <w:r>
              <w:rPr>
                <w:rFonts w:ascii="Times New Roman" w:hAnsi="Times New Roman" w:eastAsia="Times New Roman" w:cs="Times New Roman"/>
                <w:color w:val="000000"/>
                <w:lang w:eastAsia="it-IT"/>
              </w:rPr>
              <w:t>5</w:t>
            </w:r>
          </w:p>
        </w:tc>
        <w:tc>
          <w:tcPr>
            <w:tcW w:w="1701"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lang w:eastAsia="it-IT"/>
              </w:rPr>
            </w:pPr>
            <w:r>
              <w:rPr>
                <w:rFonts w:ascii="Times New Roman" w:hAnsi="Times New Roman" w:eastAsia="Times New Roman" w:cs="Times New Roman"/>
                <w:color w:val="000000"/>
                <w:lang w:eastAsia="it-IT"/>
              </w:rPr>
              <w:t>10</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290" w:hRule="atLeast"/>
          <w:jc w:val="center"/>
        </w:trPr>
        <w:tc>
          <w:tcPr>
            <w:tcW w:w="3256" w:type="dxa"/>
            <w:noWrap/>
          </w:tcPr>
          <w:p>
            <w:pPr>
              <w:widowControl w:val="0"/>
              <w:spacing w:after="0" w:line="240" w:lineRule="auto"/>
              <w:jc w:val="center"/>
              <w:rPr>
                <w:rFonts w:ascii="Times New Roman" w:hAnsi="Times New Roman" w:eastAsia="Times New Roman" w:cs="Times New Roman"/>
                <w:b w:val="0"/>
                <w:bCs/>
                <w:color w:val="000000"/>
                <w:lang w:eastAsia="it-IT"/>
              </w:rPr>
            </w:pPr>
            <w:r>
              <w:rPr>
                <w:rFonts w:ascii="Times New Roman" w:hAnsi="Times New Roman" w:eastAsia="Times New Roman" w:cs="Times New Roman"/>
                <w:b w:val="0"/>
                <w:bCs/>
                <w:color w:val="000000"/>
                <w:lang w:eastAsia="it-IT"/>
              </w:rPr>
              <w:t>External doors</w:t>
            </w:r>
          </w:p>
        </w:tc>
        <w:tc>
          <w:tcPr>
            <w:tcW w:w="1701" w:type="dxa"/>
            <w:noWrap/>
          </w:tcPr>
          <w:p>
            <w:pPr>
              <w:widowControl w:val="0"/>
              <w:spacing w:after="0" w:line="240" w:lineRule="auto"/>
              <w:jc w:val="center"/>
              <w:rPr>
                <w:rFonts w:ascii="Times New Roman" w:hAnsi="Times New Roman" w:eastAsia="Times New Roman" w:cs="Times New Roman"/>
                <w:color w:val="000000"/>
                <w:lang w:eastAsia="it-IT"/>
              </w:rPr>
            </w:pPr>
            <w:r>
              <w:rPr>
                <w:rFonts w:ascii="Times New Roman" w:hAnsi="Times New Roman" w:eastAsia="Times New Roman" w:cs="Times New Roman"/>
                <w:color w:val="000000"/>
                <w:lang w:eastAsia="it-IT"/>
              </w:rPr>
              <w:t>10</w:t>
            </w:r>
          </w:p>
        </w:tc>
        <w:tc>
          <w:tcPr>
            <w:tcW w:w="1701" w:type="dxa"/>
            <w:noWrap/>
          </w:tcPr>
          <w:p>
            <w:pPr>
              <w:widowControl w:val="0"/>
              <w:spacing w:after="0" w:line="240" w:lineRule="auto"/>
              <w:jc w:val="center"/>
              <w:rPr>
                <w:rFonts w:ascii="Times New Roman" w:hAnsi="Times New Roman" w:eastAsia="Times New Roman" w:cs="Times New Roman"/>
                <w:color w:val="000000"/>
                <w:lang w:eastAsia="it-IT"/>
              </w:rPr>
            </w:pPr>
            <w:r>
              <w:rPr>
                <w:rFonts w:ascii="Times New Roman" w:hAnsi="Times New Roman" w:eastAsia="Times New Roman" w:cs="Times New Roman"/>
                <w:color w:val="000000"/>
                <w:lang w:eastAsia="it-IT"/>
              </w:rPr>
              <w:t>20</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290" w:hRule="atLeast"/>
          <w:jc w:val="center"/>
        </w:trPr>
        <w:tc>
          <w:tcPr>
            <w:tcW w:w="3256"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b w:val="0"/>
                <w:bCs/>
                <w:color w:val="000000"/>
                <w:lang w:eastAsia="it-IT"/>
              </w:rPr>
            </w:pPr>
            <w:r>
              <w:rPr>
                <w:rFonts w:ascii="Times New Roman" w:hAnsi="Times New Roman" w:eastAsia="Times New Roman" w:cs="Times New Roman"/>
                <w:b w:val="0"/>
                <w:bCs/>
                <w:color w:val="000000"/>
                <w:lang w:eastAsia="it-IT"/>
              </w:rPr>
              <w:t>Internal walls commercial</w:t>
            </w:r>
          </w:p>
        </w:tc>
        <w:tc>
          <w:tcPr>
            <w:tcW w:w="1701"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lang w:eastAsia="it-IT"/>
              </w:rPr>
            </w:pPr>
            <w:r>
              <w:rPr>
                <w:rFonts w:ascii="Times New Roman" w:hAnsi="Times New Roman" w:eastAsia="Times New Roman" w:cs="Times New Roman"/>
                <w:color w:val="000000"/>
                <w:lang w:eastAsia="it-IT"/>
              </w:rPr>
              <w:t>3</w:t>
            </w:r>
          </w:p>
        </w:tc>
        <w:tc>
          <w:tcPr>
            <w:tcW w:w="1701"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lang w:eastAsia="it-IT"/>
              </w:rPr>
            </w:pPr>
            <w:r>
              <w:rPr>
                <w:rFonts w:ascii="Times New Roman" w:hAnsi="Times New Roman" w:eastAsia="Times New Roman" w:cs="Times New Roman"/>
                <w:color w:val="000000"/>
                <w:lang w:eastAsia="it-IT"/>
              </w:rPr>
              <w:t>7</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290" w:hRule="atLeast"/>
          <w:jc w:val="center"/>
        </w:trPr>
        <w:tc>
          <w:tcPr>
            <w:tcW w:w="3256" w:type="dxa"/>
            <w:noWrap/>
          </w:tcPr>
          <w:p>
            <w:pPr>
              <w:widowControl w:val="0"/>
              <w:spacing w:after="0" w:line="240" w:lineRule="auto"/>
              <w:jc w:val="center"/>
              <w:rPr>
                <w:rFonts w:ascii="Times New Roman" w:hAnsi="Times New Roman" w:eastAsia="Times New Roman" w:cs="Times New Roman"/>
                <w:b w:val="0"/>
                <w:bCs/>
                <w:color w:val="000000"/>
                <w:lang w:eastAsia="it-IT"/>
              </w:rPr>
            </w:pPr>
            <w:r>
              <w:rPr>
                <w:rFonts w:ascii="Times New Roman" w:hAnsi="Times New Roman" w:eastAsia="Times New Roman" w:cs="Times New Roman"/>
                <w:b w:val="0"/>
                <w:bCs/>
                <w:color w:val="000000"/>
                <w:lang w:eastAsia="it-IT"/>
              </w:rPr>
              <w:t>External walls commercial</w:t>
            </w:r>
          </w:p>
        </w:tc>
        <w:tc>
          <w:tcPr>
            <w:tcW w:w="1701" w:type="dxa"/>
            <w:noWrap/>
          </w:tcPr>
          <w:p>
            <w:pPr>
              <w:widowControl w:val="0"/>
              <w:spacing w:after="0" w:line="240" w:lineRule="auto"/>
              <w:jc w:val="center"/>
              <w:rPr>
                <w:rFonts w:ascii="Times New Roman" w:hAnsi="Times New Roman" w:eastAsia="Times New Roman" w:cs="Times New Roman"/>
                <w:color w:val="000000"/>
                <w:lang w:eastAsia="it-IT"/>
              </w:rPr>
            </w:pPr>
            <w:r>
              <w:rPr>
                <w:rFonts w:ascii="Times New Roman" w:hAnsi="Times New Roman" w:eastAsia="Times New Roman" w:cs="Times New Roman"/>
                <w:color w:val="000000"/>
                <w:lang w:eastAsia="it-IT"/>
              </w:rPr>
              <w:t>3</w:t>
            </w:r>
          </w:p>
        </w:tc>
        <w:tc>
          <w:tcPr>
            <w:tcW w:w="1701" w:type="dxa"/>
            <w:noWrap/>
          </w:tcPr>
          <w:p>
            <w:pPr>
              <w:widowControl w:val="0"/>
              <w:spacing w:after="0" w:line="240" w:lineRule="auto"/>
              <w:jc w:val="center"/>
              <w:rPr>
                <w:rFonts w:ascii="Times New Roman" w:hAnsi="Times New Roman" w:eastAsia="Times New Roman" w:cs="Times New Roman"/>
                <w:color w:val="000000"/>
                <w:lang w:eastAsia="it-IT"/>
              </w:rPr>
            </w:pPr>
            <w:r>
              <w:rPr>
                <w:rFonts w:ascii="Times New Roman" w:hAnsi="Times New Roman" w:eastAsia="Times New Roman" w:cs="Times New Roman"/>
                <w:color w:val="000000"/>
                <w:lang w:eastAsia="it-IT"/>
              </w:rPr>
              <w:t>7</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290" w:hRule="atLeast"/>
          <w:jc w:val="center"/>
        </w:trPr>
        <w:tc>
          <w:tcPr>
            <w:tcW w:w="3256"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b w:val="0"/>
                <w:bCs/>
                <w:color w:val="000000"/>
                <w:lang w:eastAsia="it-IT"/>
              </w:rPr>
            </w:pPr>
            <w:r>
              <w:rPr>
                <w:rFonts w:ascii="Times New Roman" w:hAnsi="Times New Roman" w:eastAsia="Times New Roman" w:cs="Times New Roman"/>
                <w:b w:val="0"/>
                <w:bCs/>
                <w:color w:val="000000"/>
                <w:lang w:eastAsia="it-IT"/>
              </w:rPr>
              <w:t>Internal walls residential</w:t>
            </w:r>
          </w:p>
        </w:tc>
        <w:tc>
          <w:tcPr>
            <w:tcW w:w="1701"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lang w:eastAsia="it-IT"/>
              </w:rPr>
            </w:pPr>
            <w:r>
              <w:rPr>
                <w:rFonts w:ascii="Times New Roman" w:hAnsi="Times New Roman" w:eastAsia="Times New Roman" w:cs="Times New Roman"/>
                <w:color w:val="000000"/>
                <w:lang w:eastAsia="it-IT"/>
              </w:rPr>
              <w:t>3</w:t>
            </w:r>
          </w:p>
        </w:tc>
        <w:tc>
          <w:tcPr>
            <w:tcW w:w="1701"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lang w:eastAsia="it-IT"/>
              </w:rPr>
            </w:pPr>
            <w:r>
              <w:rPr>
                <w:rFonts w:ascii="Times New Roman" w:hAnsi="Times New Roman" w:eastAsia="Times New Roman" w:cs="Times New Roman"/>
                <w:color w:val="000000"/>
                <w:lang w:eastAsia="it-IT"/>
              </w:rPr>
              <w:t>10</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290" w:hRule="atLeast"/>
          <w:jc w:val="center"/>
        </w:trPr>
        <w:tc>
          <w:tcPr>
            <w:tcW w:w="3256" w:type="dxa"/>
            <w:noWrap/>
          </w:tcPr>
          <w:p>
            <w:pPr>
              <w:widowControl w:val="0"/>
              <w:spacing w:after="0" w:line="240" w:lineRule="auto"/>
              <w:jc w:val="center"/>
              <w:rPr>
                <w:rFonts w:ascii="Times New Roman" w:hAnsi="Times New Roman" w:eastAsia="Times New Roman" w:cs="Times New Roman"/>
                <w:b w:val="0"/>
                <w:bCs/>
                <w:color w:val="000000"/>
                <w:lang w:eastAsia="it-IT"/>
              </w:rPr>
            </w:pPr>
            <w:r>
              <w:rPr>
                <w:rFonts w:ascii="Times New Roman" w:hAnsi="Times New Roman" w:eastAsia="Times New Roman" w:cs="Times New Roman"/>
                <w:b w:val="0"/>
                <w:bCs/>
                <w:color w:val="000000"/>
                <w:lang w:eastAsia="it-IT"/>
              </w:rPr>
              <w:t>External wall residential</w:t>
            </w:r>
          </w:p>
        </w:tc>
        <w:tc>
          <w:tcPr>
            <w:tcW w:w="1701" w:type="dxa"/>
            <w:noWrap/>
          </w:tcPr>
          <w:p>
            <w:pPr>
              <w:widowControl w:val="0"/>
              <w:spacing w:after="0" w:line="240" w:lineRule="auto"/>
              <w:jc w:val="center"/>
              <w:rPr>
                <w:rFonts w:ascii="Times New Roman" w:hAnsi="Times New Roman" w:eastAsia="Times New Roman" w:cs="Times New Roman"/>
                <w:color w:val="000000"/>
                <w:lang w:eastAsia="it-IT"/>
              </w:rPr>
            </w:pPr>
            <w:r>
              <w:rPr>
                <w:rFonts w:ascii="Times New Roman" w:hAnsi="Times New Roman" w:eastAsia="Times New Roman" w:cs="Times New Roman"/>
                <w:color w:val="000000"/>
                <w:lang w:eastAsia="it-IT"/>
              </w:rPr>
              <w:t>3</w:t>
            </w:r>
          </w:p>
        </w:tc>
        <w:tc>
          <w:tcPr>
            <w:tcW w:w="1701" w:type="dxa"/>
            <w:noWrap/>
          </w:tcPr>
          <w:p>
            <w:pPr>
              <w:widowControl w:val="0"/>
              <w:spacing w:after="0" w:line="240" w:lineRule="auto"/>
              <w:jc w:val="center"/>
              <w:rPr>
                <w:rFonts w:ascii="Times New Roman" w:hAnsi="Times New Roman" w:eastAsia="Times New Roman" w:cs="Times New Roman"/>
                <w:color w:val="000000"/>
                <w:lang w:eastAsia="it-IT"/>
              </w:rPr>
            </w:pPr>
            <w:r>
              <w:rPr>
                <w:rFonts w:ascii="Times New Roman" w:hAnsi="Times New Roman" w:eastAsia="Times New Roman" w:cs="Times New Roman"/>
                <w:color w:val="000000"/>
                <w:lang w:eastAsia="it-IT"/>
              </w:rPr>
              <w:t>10</w:t>
            </w:r>
          </w:p>
        </w:tc>
      </w:tr>
    </w:tbl>
    <w:p>
      <w:pPr>
        <w:widowControl w:val="0"/>
        <w:jc w:val="center"/>
        <w:rPr>
          <w:rFonts w:ascii="Times New Roman" w:hAnsi="Times New Roman" w:cs="Times New Roman"/>
          <w:i/>
          <w:iCs/>
          <w:sz w:val="20"/>
          <w:szCs w:val="20"/>
        </w:rPr>
      </w:pPr>
      <w:r>
        <w:rPr>
          <w:rFonts w:ascii="Times New Roman" w:hAnsi="Times New Roman" w:cs="Times New Roman"/>
          <w:i/>
          <w:iCs/>
          <w:sz w:val="20"/>
          <w:szCs w:val="20"/>
        </w:rPr>
        <w:t>Tab A.4 Number of flood events after which substitution of the element is required</w:t>
      </w:r>
      <w:r>
        <w:rPr>
          <w:rStyle w:val="17"/>
          <w:rFonts w:ascii="Times New Roman" w:hAnsi="Times New Roman" w:eastAsia="Times New Roman" w:cs="Times New Roman"/>
          <w:bCs/>
          <w:i/>
          <w:color w:val="000000"/>
          <w:lang w:eastAsia="it-IT"/>
        </w:rPr>
        <w:footnoteReference w:id="15"/>
      </w:r>
      <w:r>
        <w:rPr>
          <w:rFonts w:ascii="Times New Roman" w:hAnsi="Times New Roman" w:cs="Times New Roman"/>
          <w:i/>
          <w:iCs/>
          <w:sz w:val="20"/>
          <w:szCs w:val="20"/>
        </w:rPr>
        <w:t>.</w:t>
      </w:r>
    </w:p>
    <w:p>
      <w:pPr>
        <w:widowControl w:val="0"/>
        <w:spacing w:after="0"/>
        <w:jc w:val="center"/>
        <w:rPr>
          <w:rFonts w:ascii="Times New Roman" w:hAnsi="Times New Roman" w:cs="Times New Roman"/>
          <w:i/>
          <w:iCs/>
          <w:sz w:val="20"/>
          <w:szCs w:val="20"/>
        </w:rPr>
      </w:pPr>
    </w:p>
    <w:p>
      <w:pPr>
        <w:widowControl w:val="0"/>
        <w:jc w:val="both"/>
        <w:rPr>
          <w:rFonts w:ascii="Times New Roman" w:hAnsi="Times New Roman" w:cs="Times New Roman"/>
          <w:sz w:val="24"/>
          <w:szCs w:val="24"/>
        </w:rPr>
      </w:pPr>
      <w:r>
        <w:rPr>
          <w:rFonts w:ascii="Times New Roman" w:hAnsi="Times New Roman" w:cs="Times New Roman"/>
          <w:sz w:val="24"/>
          <w:szCs w:val="24"/>
        </w:rPr>
        <w:t xml:space="preserve">The information regarding the indoor conditions of flood levels and in particular differences in floor levels inside single units allows us to compensate for the lack of information on private open surfaces that was deplored by Caporin and Fontini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QENEzAxq","properties":{"formattedCitation":"(2016)","plainCitation":"(2016)","noteIndex":0},"citationItems":[{"id":16348,"uris":["http://zotero.org/users/14981/items/47NJN7GD"],"uri":["http://zotero.org/users/14981/items/47NJN7GD"],"itemData":{"id":16348,"type":"chapter","container-title":"Handbook of Environmental and Sustainable Finance","ISBN":"978-0-12-803615-0","language":"en","note":"DOI: 10.1016/B978-0-12-803615-0.00005-4","page":"93-110","publisher":"Elsevier","source":"DOI.org (Crossref)","title":"Damages Evaluation, Periodic Floods, and Local Sea Level Rise","URL":"https://linkinghub.elsevier.com/retrieve/pii/B9780128036150000054","author":[{"family":"Caporin","given":"Massimiliano"},{"family":"Fontini","given":"Fulvio"}],"accessed":{"date-parts":[["2022",1,17]]},"issued":{"date-parts":[["2016"]]}},"suppress-author":true}],"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szCs w:val="24"/>
        </w:rPr>
        <w:t>(2016)</w:t>
      </w:r>
      <w:r>
        <w:rPr>
          <w:rFonts w:ascii="Times New Roman" w:hAnsi="Times New Roman" w:cs="Times New Roman"/>
          <w:sz w:val="24"/>
          <w:szCs w:val="24"/>
        </w:rPr>
        <w:fldChar w:fldCharType="end"/>
      </w:r>
      <w:r>
        <w:rPr>
          <w:rStyle w:val="17"/>
          <w:rFonts w:ascii="Times New Roman" w:hAnsi="Times New Roman" w:cs="Times New Roman"/>
          <w:sz w:val="24"/>
          <w:szCs w:val="24"/>
        </w:rPr>
        <w:footnoteReference w:id="16"/>
      </w:r>
      <w:r>
        <w:rPr>
          <w:rFonts w:ascii="Times New Roman" w:hAnsi="Times New Roman" w:cs="Times New Roman"/>
          <w:sz w:val="24"/>
          <w:szCs w:val="24"/>
        </w:rPr>
        <w:t xml:space="preserve"> with respect to the RAMSES database.  The costs for the interventions, originally expressed in Euro 2002, have been converted in euro 2017 to account for inflation. The index used in this conversion is ISTAT IPP (Construction cost index for residential buildings</w:t>
      </w:r>
      <w:r>
        <w:rPr>
          <w:rStyle w:val="17"/>
          <w:rFonts w:ascii="Times New Roman" w:hAnsi="Times New Roman"/>
          <w:sz w:val="24"/>
          <w:szCs w:val="24"/>
        </w:rPr>
        <w:footnoteReference w:id="17"/>
      </w:r>
      <w:r>
        <w:rPr>
          <w:rFonts w:ascii="Times New Roman" w:hAnsi="Times New Roman" w:cs="Times New Roman"/>
          <w:sz w:val="24"/>
          <w:szCs w:val="24"/>
        </w:rPr>
        <w:t>). This procedure provided a cumulative damage curve with number of buildings in the sample flooded according to the tide level. Using a proportion with the total number of buildings in the database it was possible to estimate the total number of units flooded and corresponding damage cost, and this procedure was repeated both for commercial and residential units (Table A.5 and A.6). Therefore, combining average costs and the cumulative number of units flooded it was possible to estimate a complete damage curve for each type of intervention</w:t>
      </w:r>
    </w:p>
    <w:tbl>
      <w:tblPr>
        <w:tblStyle w:val="50"/>
        <w:tblW w:w="5949" w:type="dxa"/>
        <w:jc w:val="center"/>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Layout w:type="autofit"/>
        <w:tblCellMar>
          <w:top w:w="0" w:type="dxa"/>
          <w:left w:w="108" w:type="dxa"/>
          <w:bottom w:w="0" w:type="dxa"/>
          <w:right w:w="108" w:type="dxa"/>
        </w:tblCellMar>
      </w:tblPr>
      <w:tblGrid>
        <w:gridCol w:w="2694"/>
        <w:gridCol w:w="1696"/>
        <w:gridCol w:w="1559"/>
      </w:tblGrid>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315" w:hRule="atLeast"/>
          <w:jc w:val="center"/>
        </w:trPr>
        <w:tc>
          <w:tcPr>
            <w:tcW w:w="2694" w:type="dxa"/>
            <w:tcBorders>
              <w:top w:val="single" w:color="A5A5A5" w:themeColor="accent3" w:sz="4" w:space="0"/>
              <w:left w:val="single" w:color="A5A5A5" w:themeColor="accent3" w:sz="4" w:space="0"/>
              <w:bottom w:val="single" w:color="A5A5A5" w:themeColor="accent3" w:sz="4" w:space="0"/>
              <w:insideH w:val="single" w:sz="4" w:space="0"/>
            </w:tcBorders>
            <w:shd w:val="clear" w:color="auto" w:fill="A5A5A5" w:themeFill="accent3"/>
            <w:noWrap/>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Building elements </w:t>
            </w:r>
          </w:p>
        </w:tc>
        <w:tc>
          <w:tcPr>
            <w:tcW w:w="1696" w:type="dxa"/>
            <w:tcBorders>
              <w:top w:val="single" w:color="A5A5A5" w:themeColor="accent3" w:sz="4" w:space="0"/>
              <w:bottom w:val="single" w:color="A5A5A5" w:themeColor="accent3" w:sz="4" w:space="0"/>
              <w:insideH w:val="single" w:sz="4" w:space="0"/>
            </w:tcBorders>
            <w:shd w:val="clear" w:color="auto" w:fill="A5A5A5" w:themeFill="accent3"/>
            <w:noWrap/>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Lower bound</w:t>
            </w:r>
          </w:p>
        </w:tc>
        <w:tc>
          <w:tcPr>
            <w:tcW w:w="1559" w:type="dxa"/>
            <w:tcBorders>
              <w:top w:val="single" w:color="A5A5A5" w:themeColor="accent3" w:sz="4" w:space="0"/>
              <w:bottom w:val="single" w:color="A5A5A5" w:themeColor="accent3" w:sz="4" w:space="0"/>
              <w:right w:val="single" w:color="A5A5A5" w:themeColor="accent3" w:sz="4" w:space="0"/>
              <w:insideH w:val="single" w:sz="4" w:space="0"/>
            </w:tcBorders>
            <w:shd w:val="clear" w:color="auto" w:fill="A5A5A5" w:themeFill="accent3"/>
            <w:noWrap/>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Upper bound</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315" w:hRule="atLeast"/>
          <w:jc w:val="center"/>
        </w:trPr>
        <w:tc>
          <w:tcPr>
            <w:tcW w:w="2694"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External doors</w:t>
            </w:r>
          </w:p>
        </w:tc>
        <w:tc>
          <w:tcPr>
            <w:tcW w:w="1696"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13.5</w:t>
            </w:r>
          </w:p>
        </w:tc>
        <w:tc>
          <w:tcPr>
            <w:tcW w:w="1559"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27.0</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315" w:hRule="atLeast"/>
          <w:jc w:val="center"/>
        </w:trPr>
        <w:tc>
          <w:tcPr>
            <w:tcW w:w="2694" w:type="dxa"/>
            <w:noWrap/>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Internal doors</w:t>
            </w:r>
          </w:p>
        </w:tc>
        <w:tc>
          <w:tcPr>
            <w:tcW w:w="1696" w:type="dxa"/>
            <w:noWrap/>
          </w:tcPr>
          <w:p>
            <w:pPr>
              <w:widowControl w:val="0"/>
              <w:spacing w:after="0" w:line="240"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149.7</w:t>
            </w:r>
          </w:p>
        </w:tc>
        <w:tc>
          <w:tcPr>
            <w:tcW w:w="1559" w:type="dxa"/>
            <w:noWrap/>
          </w:tcPr>
          <w:p>
            <w:pPr>
              <w:widowControl w:val="0"/>
              <w:spacing w:after="0" w:line="240"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299.3</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260" w:hRule="atLeast"/>
          <w:jc w:val="center"/>
        </w:trPr>
        <w:tc>
          <w:tcPr>
            <w:tcW w:w="2694"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Internal walls plastering</w:t>
            </w:r>
          </w:p>
        </w:tc>
        <w:tc>
          <w:tcPr>
            <w:tcW w:w="1696"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863.8</w:t>
            </w:r>
          </w:p>
        </w:tc>
        <w:tc>
          <w:tcPr>
            <w:tcW w:w="1559"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1803.5</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260" w:hRule="atLeast"/>
          <w:jc w:val="center"/>
        </w:trPr>
        <w:tc>
          <w:tcPr>
            <w:tcW w:w="2694" w:type="dxa"/>
            <w:noWrap/>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External walls plastering</w:t>
            </w:r>
          </w:p>
        </w:tc>
        <w:tc>
          <w:tcPr>
            <w:tcW w:w="1696" w:type="dxa"/>
            <w:noWrap/>
          </w:tcPr>
          <w:p>
            <w:pPr>
              <w:widowControl w:val="0"/>
              <w:spacing w:after="0" w:line="240"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331.8</w:t>
            </w:r>
          </w:p>
        </w:tc>
        <w:tc>
          <w:tcPr>
            <w:tcW w:w="1559" w:type="dxa"/>
            <w:noWrap/>
          </w:tcPr>
          <w:p>
            <w:pPr>
              <w:widowControl w:val="0"/>
              <w:spacing w:after="0" w:line="240"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623.3</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315" w:hRule="atLeast"/>
          <w:jc w:val="center"/>
        </w:trPr>
        <w:tc>
          <w:tcPr>
            <w:tcW w:w="2694"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Floors (per m2)</w:t>
            </w:r>
          </w:p>
        </w:tc>
        <w:tc>
          <w:tcPr>
            <w:tcW w:w="1696"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5.3</w:t>
            </w:r>
          </w:p>
        </w:tc>
        <w:tc>
          <w:tcPr>
            <w:tcW w:w="1559"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6.1</w:t>
            </w:r>
          </w:p>
        </w:tc>
      </w:tr>
    </w:tbl>
    <w:p>
      <w:pPr>
        <w:widowControl w:val="0"/>
        <w:jc w:val="center"/>
        <w:rPr>
          <w:rFonts w:ascii="Times New Roman" w:hAnsi="Times New Roman" w:cs="Times New Roman"/>
          <w:sz w:val="24"/>
          <w:szCs w:val="24"/>
        </w:rPr>
      </w:pPr>
      <w:r>
        <w:rPr>
          <w:rFonts w:ascii="Times New Roman" w:hAnsi="Times New Roman" w:cs="Times New Roman"/>
          <w:i/>
          <w:iCs/>
          <w:sz w:val="20"/>
          <w:szCs w:val="20"/>
        </w:rPr>
        <w:t>Tab A.5 Estimated costs per flood event and object of the damages for residential units (</w:t>
      </w:r>
      <w:r>
        <w:rPr>
          <w:rFonts w:ascii="Times New Roman" w:hAnsi="Times New Roman" w:cs="Times New Roman"/>
          <w:bCs/>
          <w:i/>
          <w:iCs/>
          <w:sz w:val="20"/>
          <w:szCs w:val="20"/>
        </w:rPr>
        <w:t>average costs per unit, euro 2017</w:t>
      </w:r>
      <w:r>
        <w:rPr>
          <w:rFonts w:ascii="Times New Roman" w:hAnsi="Times New Roman" w:cs="Times New Roman"/>
          <w:i/>
          <w:iCs/>
          <w:sz w:val="20"/>
          <w:szCs w:val="20"/>
        </w:rPr>
        <w:t>).</w:t>
      </w:r>
    </w:p>
    <w:tbl>
      <w:tblPr>
        <w:tblStyle w:val="50"/>
        <w:tblW w:w="5949" w:type="dxa"/>
        <w:jc w:val="center"/>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Layout w:type="autofit"/>
        <w:tblCellMar>
          <w:top w:w="0" w:type="dxa"/>
          <w:left w:w="108" w:type="dxa"/>
          <w:bottom w:w="0" w:type="dxa"/>
          <w:right w:w="108" w:type="dxa"/>
        </w:tblCellMar>
      </w:tblPr>
      <w:tblGrid>
        <w:gridCol w:w="2694"/>
        <w:gridCol w:w="1696"/>
        <w:gridCol w:w="1559"/>
      </w:tblGrid>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315" w:hRule="atLeast"/>
          <w:jc w:val="center"/>
        </w:trPr>
        <w:tc>
          <w:tcPr>
            <w:tcW w:w="2694" w:type="dxa"/>
            <w:tcBorders>
              <w:top w:val="single" w:color="A5A5A5" w:themeColor="accent3" w:sz="4" w:space="0"/>
              <w:left w:val="single" w:color="A5A5A5" w:themeColor="accent3" w:sz="4" w:space="0"/>
              <w:bottom w:val="single" w:color="A5A5A5" w:themeColor="accent3" w:sz="4" w:space="0"/>
              <w:insideH w:val="single" w:sz="4" w:space="0"/>
            </w:tcBorders>
            <w:shd w:val="clear" w:color="auto" w:fill="A5A5A5" w:themeFill="accent3"/>
            <w:noWrap/>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Building elements</w:t>
            </w:r>
          </w:p>
        </w:tc>
        <w:tc>
          <w:tcPr>
            <w:tcW w:w="1696" w:type="dxa"/>
            <w:tcBorders>
              <w:top w:val="single" w:color="A5A5A5" w:themeColor="accent3" w:sz="4" w:space="0"/>
              <w:bottom w:val="single" w:color="A5A5A5" w:themeColor="accent3" w:sz="4" w:space="0"/>
              <w:insideH w:val="single" w:sz="4" w:space="0"/>
            </w:tcBorders>
            <w:shd w:val="clear" w:color="auto" w:fill="A5A5A5" w:themeFill="accent3"/>
            <w:noWrap/>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Lower bound</w:t>
            </w:r>
          </w:p>
        </w:tc>
        <w:tc>
          <w:tcPr>
            <w:tcW w:w="1559" w:type="dxa"/>
            <w:tcBorders>
              <w:top w:val="single" w:color="A5A5A5" w:themeColor="accent3" w:sz="4" w:space="0"/>
              <w:bottom w:val="single" w:color="A5A5A5" w:themeColor="accent3" w:sz="4" w:space="0"/>
              <w:right w:val="single" w:color="A5A5A5" w:themeColor="accent3" w:sz="4" w:space="0"/>
              <w:insideH w:val="single" w:sz="4" w:space="0"/>
            </w:tcBorders>
            <w:shd w:val="clear" w:color="auto" w:fill="A5A5A5" w:themeFill="accent3"/>
            <w:noWrap/>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Upper bound</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315" w:hRule="atLeast"/>
          <w:jc w:val="center"/>
        </w:trPr>
        <w:tc>
          <w:tcPr>
            <w:tcW w:w="2694"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External doors</w:t>
            </w:r>
          </w:p>
        </w:tc>
        <w:tc>
          <w:tcPr>
            <w:tcW w:w="1696"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13.5</w:t>
            </w:r>
          </w:p>
        </w:tc>
        <w:tc>
          <w:tcPr>
            <w:tcW w:w="1559"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27.0</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315" w:hRule="atLeast"/>
          <w:jc w:val="center"/>
        </w:trPr>
        <w:tc>
          <w:tcPr>
            <w:tcW w:w="2694" w:type="dxa"/>
            <w:noWrap/>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Internal doors</w:t>
            </w:r>
          </w:p>
        </w:tc>
        <w:tc>
          <w:tcPr>
            <w:tcW w:w="1696" w:type="dxa"/>
            <w:noWrap/>
          </w:tcPr>
          <w:p>
            <w:pPr>
              <w:widowControl w:val="0"/>
              <w:spacing w:after="0" w:line="240"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225.2</w:t>
            </w:r>
          </w:p>
        </w:tc>
        <w:tc>
          <w:tcPr>
            <w:tcW w:w="1559" w:type="dxa"/>
            <w:noWrap/>
          </w:tcPr>
          <w:p>
            <w:pPr>
              <w:widowControl w:val="0"/>
              <w:spacing w:after="0" w:line="240"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737.5</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260" w:hRule="atLeast"/>
          <w:jc w:val="center"/>
        </w:trPr>
        <w:tc>
          <w:tcPr>
            <w:tcW w:w="2694"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Internal walls plastering</w:t>
            </w:r>
          </w:p>
        </w:tc>
        <w:tc>
          <w:tcPr>
            <w:tcW w:w="1696"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709.2</w:t>
            </w:r>
          </w:p>
        </w:tc>
        <w:tc>
          <w:tcPr>
            <w:tcW w:w="1559"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1409.6</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260" w:hRule="atLeast"/>
          <w:jc w:val="center"/>
        </w:trPr>
        <w:tc>
          <w:tcPr>
            <w:tcW w:w="2694" w:type="dxa"/>
            <w:noWrap/>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External walls plastering</w:t>
            </w:r>
          </w:p>
        </w:tc>
        <w:tc>
          <w:tcPr>
            <w:tcW w:w="1696" w:type="dxa"/>
            <w:noWrap/>
          </w:tcPr>
          <w:p>
            <w:pPr>
              <w:widowControl w:val="0"/>
              <w:spacing w:after="0" w:line="240"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345.5</w:t>
            </w:r>
          </w:p>
        </w:tc>
        <w:tc>
          <w:tcPr>
            <w:tcW w:w="1559" w:type="dxa"/>
            <w:noWrap/>
          </w:tcPr>
          <w:p>
            <w:pPr>
              <w:widowControl w:val="0"/>
              <w:spacing w:after="0" w:line="240"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454.4</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315" w:hRule="atLeast"/>
          <w:jc w:val="center"/>
        </w:trPr>
        <w:tc>
          <w:tcPr>
            <w:tcW w:w="2694"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Floors (per m2)</w:t>
            </w:r>
          </w:p>
        </w:tc>
        <w:tc>
          <w:tcPr>
            <w:tcW w:w="1696"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7.1</w:t>
            </w:r>
          </w:p>
        </w:tc>
        <w:tc>
          <w:tcPr>
            <w:tcW w:w="1559"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8.1</w:t>
            </w:r>
          </w:p>
        </w:tc>
      </w:tr>
    </w:tbl>
    <w:p>
      <w:pPr>
        <w:widowControl w:val="0"/>
        <w:tabs>
          <w:tab w:val="left" w:pos="2440"/>
        </w:tabs>
        <w:jc w:val="center"/>
        <w:rPr>
          <w:rFonts w:ascii="Times New Roman" w:hAnsi="Times New Roman" w:cs="Times New Roman"/>
          <w:i/>
          <w:iCs/>
          <w:sz w:val="20"/>
          <w:szCs w:val="20"/>
        </w:rPr>
      </w:pPr>
      <w:r>
        <w:rPr>
          <w:rFonts w:ascii="Times New Roman" w:hAnsi="Times New Roman" w:cs="Times New Roman"/>
          <w:i/>
          <w:iCs/>
          <w:sz w:val="20"/>
          <w:szCs w:val="20"/>
        </w:rPr>
        <w:t>Tab A.6 Estimated costs per flood event and object of the damages for commercial units (</w:t>
      </w:r>
      <w:r>
        <w:rPr>
          <w:rFonts w:ascii="Times New Roman" w:hAnsi="Times New Roman" w:cs="Times New Roman"/>
          <w:bCs/>
          <w:i/>
          <w:iCs/>
          <w:sz w:val="20"/>
          <w:szCs w:val="20"/>
        </w:rPr>
        <w:t>average costs per unit, euro 2017</w:t>
      </w:r>
      <w:r>
        <w:rPr>
          <w:rFonts w:ascii="Times New Roman" w:hAnsi="Times New Roman" w:cs="Times New Roman"/>
          <w:i/>
          <w:iCs/>
          <w:sz w:val="20"/>
          <w:szCs w:val="20"/>
        </w:rPr>
        <w:t>).</w:t>
      </w:r>
    </w:p>
    <w:p>
      <w:pPr>
        <w:widowControl w:val="0"/>
        <w:jc w:val="both"/>
        <w:rPr>
          <w:rFonts w:ascii="Times New Roman" w:hAnsi="Times New Roman" w:cs="Times New Roman"/>
          <w:sz w:val="24"/>
          <w:szCs w:val="24"/>
        </w:rPr>
      </w:pPr>
      <w:r>
        <w:rPr>
          <w:rFonts w:ascii="Times New Roman" w:hAnsi="Times New Roman" w:cs="Times New Roman"/>
          <w:sz w:val="24"/>
          <w:szCs w:val="24"/>
        </w:rPr>
        <w:t>Figure A.5 shows the overall City costs over time according to the four different scenarios considered.</w:t>
      </w:r>
    </w:p>
    <w:p>
      <w:pPr>
        <w:widowControl w:val="0"/>
        <w:jc w:val="center"/>
        <w:rPr>
          <w:rFonts w:ascii="Times New Roman" w:hAnsi="Times New Roman" w:cs="Times New Roman"/>
          <w:sz w:val="24"/>
          <w:szCs w:val="24"/>
        </w:rPr>
      </w:pPr>
      <w:r>
        <w:rPr>
          <w:rFonts w:ascii="Times New Roman" w:hAnsi="Times New Roman" w:cs="Times New Roman"/>
          <w:sz w:val="24"/>
          <w:szCs w:val="24"/>
          <w:lang w:val="it-IT" w:eastAsia="it-IT"/>
        </w:rPr>
        <w:drawing>
          <wp:inline distT="0" distB="0" distL="0" distR="0">
            <wp:extent cx="4572000" cy="2743200"/>
            <wp:effectExtent l="0" t="0" r="0" b="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magine 18"/>
                    <pic:cNvPicPr preferRelativeResize="0">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572000" cy="2743200"/>
                    </a:xfrm>
                    <a:prstGeom prst="rect">
                      <a:avLst/>
                    </a:prstGeom>
                    <a:noFill/>
                  </pic:spPr>
                </pic:pic>
              </a:graphicData>
            </a:graphic>
          </wp:inline>
        </w:drawing>
      </w:r>
    </w:p>
    <w:p>
      <w:pPr>
        <w:widowControl w:val="0"/>
        <w:jc w:val="center"/>
        <w:rPr>
          <w:i/>
          <w:iCs/>
          <w:sz w:val="18"/>
        </w:rPr>
      </w:pPr>
      <w:r>
        <w:rPr>
          <w:rFonts w:ascii="Times New Roman" w:hAnsi="Times New Roman" w:cs="Times New Roman"/>
          <w:i/>
          <w:iCs/>
          <w:sz w:val="20"/>
          <w:szCs w:val="24"/>
        </w:rPr>
        <w:t>Fig A.5 City costs according to four different scenarios</w:t>
      </w:r>
    </w:p>
    <w:p>
      <w:pPr>
        <w:widowControl w:val="0"/>
        <w:jc w:val="both"/>
        <w:rPr>
          <w:rFonts w:ascii="Times New Roman" w:hAnsi="Times New Roman" w:cs="Times New Roman"/>
          <w:sz w:val="24"/>
          <w:szCs w:val="24"/>
        </w:rPr>
      </w:pPr>
    </w:p>
    <w:bookmarkEnd w:id="17"/>
    <w:p>
      <w:pPr>
        <w:pStyle w:val="3"/>
        <w:keepNext w:val="0"/>
        <w:keepLines w:val="0"/>
        <w:widowControl w:val="0"/>
        <w:jc w:val="both"/>
        <w:rPr>
          <w:b/>
          <w:bCs/>
        </w:rPr>
      </w:pPr>
      <w:bookmarkStart w:id="22" w:name="_Toc121130337"/>
      <w:bookmarkStart w:id="23" w:name="_Toc156227483"/>
      <w:r>
        <w:rPr>
          <w:b/>
          <w:bCs/>
        </w:rPr>
        <w:t>THE PORT</w:t>
      </w:r>
      <w:bookmarkEnd w:id="22"/>
      <w:r>
        <w:rPr>
          <w:b/>
          <w:bCs/>
        </w:rPr>
        <w:t xml:space="preserve"> MODULE</w:t>
      </w:r>
      <w:bookmarkEnd w:id="23"/>
    </w:p>
    <w:p>
      <w:pPr>
        <w:widowControl w:val="0"/>
        <w:jc w:val="both"/>
        <w:rPr>
          <w:rFonts w:ascii="Times New Roman" w:hAnsi="Times New Roman" w:cs="Times New Roman"/>
          <w:sz w:val="24"/>
          <w:szCs w:val="24"/>
        </w:rPr>
      </w:pPr>
      <w:r>
        <w:rPr>
          <w:rFonts w:ascii="Times New Roman" w:hAnsi="Times New Roman" w:cs="Times New Roman"/>
          <w:sz w:val="24"/>
          <w:szCs w:val="24"/>
        </w:rPr>
        <w:t>The closure of the MoSE barriers causes losses of vessel calls and therefore of revenues for the port operators: Port Authority, agencies, workers\</w:t>
      </w:r>
      <w:r>
        <w:rPr>
          <w:rStyle w:val="17"/>
          <w:rFonts w:ascii="Times New Roman" w:hAnsi="Times New Roman" w:cs="Times New Roman"/>
          <w:sz w:val="24"/>
          <w:szCs w:val="24"/>
        </w:rPr>
        <w:footnoteReference w:id="18"/>
      </w:r>
      <w:r>
        <w:rPr>
          <w:rFonts w:ascii="Times New Roman" w:hAnsi="Times New Roman" w:cs="Times New Roman"/>
          <w:sz w:val="24"/>
          <w:szCs w:val="24"/>
        </w:rPr>
        <w:t xml:space="preserve">. </w:t>
      </w:r>
    </w:p>
    <w:p>
      <w:pPr>
        <w:widowControl w:val="0"/>
        <w:jc w:val="both"/>
        <w:rPr>
          <w:rFonts w:ascii="Times New Roman" w:hAnsi="Times New Roman" w:cs="Times New Roman"/>
          <w:sz w:val="24"/>
          <w:szCs w:val="24"/>
        </w:rPr>
      </w:pPr>
      <w:r>
        <w:rPr>
          <w:rFonts w:ascii="Times New Roman" w:hAnsi="Times New Roman" w:cs="Times New Roman"/>
          <w:sz w:val="24"/>
          <w:szCs w:val="24"/>
        </w:rPr>
        <w:t xml:space="preserve">The </w:t>
      </w:r>
      <w:r>
        <w:rPr>
          <w:rFonts w:ascii="Times New Roman" w:hAnsi="Times New Roman" w:cs="Times New Roman"/>
          <w:b/>
          <w:sz w:val="24"/>
          <w:szCs w:val="24"/>
        </w:rPr>
        <w:t>Average Revenues per Vessel</w:t>
      </w:r>
      <w:r>
        <w:rPr>
          <w:rFonts w:ascii="Times New Roman" w:hAnsi="Times New Roman" w:cs="Times New Roman"/>
          <w:sz w:val="24"/>
          <w:szCs w:val="24"/>
        </w:rPr>
        <w:t xml:space="preserve"> are estimated at roughly 70,000 euros according to the MTBS report provided by the Venice Port Authority</w:t>
      </w:r>
      <w:r>
        <w:rPr>
          <w:rStyle w:val="17"/>
          <w:rFonts w:ascii="Times New Roman" w:hAnsi="Times New Roman" w:cs="Times New Roman"/>
          <w:sz w:val="24"/>
          <w:szCs w:val="24"/>
        </w:rPr>
        <w:footnoteReference w:id="19"/>
      </w:r>
      <w:r>
        <w:rPr>
          <w:rFonts w:ascii="Times New Roman" w:hAnsi="Times New Roman" w:cs="Times New Roman"/>
          <w:sz w:val="24"/>
          <w:szCs w:val="24"/>
        </w:rPr>
        <w:t xml:space="preserve">. We also estimated the </w:t>
      </w:r>
      <w:r>
        <w:rPr>
          <w:rFonts w:ascii="Times New Roman" w:hAnsi="Times New Roman" w:cs="Times New Roman"/>
          <w:b/>
          <w:bCs/>
          <w:sz w:val="24"/>
          <w:szCs w:val="24"/>
        </w:rPr>
        <w:t xml:space="preserve">Daily *Vessels* </w:t>
      </w:r>
      <w:r>
        <w:rPr>
          <w:rFonts w:ascii="Times New Roman" w:hAnsi="Times New Roman" w:cs="Times New Roman"/>
          <w:bCs/>
          <w:sz w:val="24"/>
          <w:szCs w:val="24"/>
        </w:rPr>
        <w:t>parameter</w:t>
      </w:r>
      <w:r>
        <w:rPr>
          <w:rFonts w:ascii="Times New Roman" w:hAnsi="Times New Roman" w:cs="Times New Roman"/>
          <w:sz w:val="24"/>
          <w:szCs w:val="24"/>
        </w:rPr>
        <w:t xml:space="preserve"> for four main ship categories: container, RoRo, other freight vessels, and passenger ships. This task was carried out elaborating data available on the Port Authority website.</w:t>
      </w:r>
    </w:p>
    <w:p>
      <w:pPr>
        <w:widowControl w:val="0"/>
        <w:jc w:val="both"/>
        <w:rPr>
          <w:rFonts w:ascii="Times New Roman" w:hAnsi="Times New Roman" w:cs="Times New Roman"/>
          <w:sz w:val="24"/>
          <w:szCs w:val="24"/>
        </w:rPr>
      </w:pPr>
      <w:r>
        <w:rPr>
          <w:rFonts w:ascii="Times New Roman" w:hAnsi="Times New Roman" w:cs="Times New Roman"/>
          <w:sz w:val="24"/>
          <w:szCs w:val="24"/>
        </w:rPr>
        <w:t xml:space="preserve">We modelled these categories of ships taking into account that they are differentiated in the </w:t>
      </w:r>
      <w:r>
        <w:rPr>
          <w:rFonts w:ascii="Times New Roman" w:hAnsi="Times New Roman" w:cs="Times New Roman"/>
          <w:b/>
          <w:bCs/>
          <w:sz w:val="24"/>
          <w:szCs w:val="24"/>
        </w:rPr>
        <w:t xml:space="preserve">*Vessels* Lost per Closure </w:t>
      </w:r>
      <w:r>
        <w:rPr>
          <w:rFonts w:ascii="Times New Roman" w:hAnsi="Times New Roman" w:cs="Times New Roman"/>
          <w:bCs/>
          <w:sz w:val="24"/>
          <w:szCs w:val="24"/>
        </w:rPr>
        <w:t>parameter</w:t>
      </w:r>
      <w:r>
        <w:rPr>
          <w:rFonts w:ascii="Times New Roman" w:hAnsi="Times New Roman" w:cs="Times New Roman"/>
          <w:sz w:val="24"/>
          <w:szCs w:val="24"/>
        </w:rPr>
        <w:t xml:space="preserve"> and that memory effects can be disregarded for passenger ships.</w:t>
      </w:r>
    </w:p>
    <w:p>
      <w:pPr>
        <w:widowControl w:val="0"/>
        <w:jc w:val="both"/>
        <w:rPr>
          <w:rFonts w:ascii="Times New Roman" w:hAnsi="Times New Roman" w:cs="Times New Roman"/>
          <w:sz w:val="24"/>
          <w:szCs w:val="24"/>
        </w:rPr>
      </w:pPr>
      <w:r>
        <w:rPr>
          <w:rFonts w:ascii="Times New Roman" w:hAnsi="Times New Roman" w:cs="Times New Roman"/>
          <w:sz w:val="24"/>
          <w:szCs w:val="24"/>
        </w:rPr>
        <w:t xml:space="preserve">Once the </w:t>
      </w:r>
      <w:r>
        <w:rPr>
          <w:rFonts w:ascii="Times New Roman" w:hAnsi="Times New Roman" w:cs="Times New Roman"/>
          <w:i/>
          <w:iCs/>
          <w:sz w:val="24"/>
          <w:szCs w:val="24"/>
        </w:rPr>
        <w:t>Tide Forecast</w:t>
      </w:r>
      <w:r>
        <w:rPr>
          <w:rFonts w:ascii="Times New Roman" w:hAnsi="Times New Roman" w:cs="Times New Roman"/>
          <w:sz w:val="24"/>
          <w:szCs w:val="24"/>
        </w:rPr>
        <w:t xml:space="preserve"> is higher than the </w:t>
      </w:r>
      <w:r>
        <w:rPr>
          <w:rFonts w:ascii="Times New Roman" w:hAnsi="Times New Roman" w:cs="Times New Roman"/>
          <w:b/>
          <w:bCs/>
          <w:sz w:val="24"/>
          <w:szCs w:val="24"/>
        </w:rPr>
        <w:t>Closure level</w:t>
      </w:r>
      <w:r>
        <w:rPr>
          <w:rFonts w:ascii="Times New Roman" w:hAnsi="Times New Roman" w:cs="Times New Roman"/>
          <w:sz w:val="24"/>
          <w:szCs w:val="24"/>
        </w:rPr>
        <w:t xml:space="preserve">, MoSE is activated. If MoSE operates and the </w:t>
      </w:r>
      <w:r>
        <w:rPr>
          <w:rFonts w:ascii="Times New Roman" w:hAnsi="Times New Roman" w:cs="Times New Roman"/>
          <w:b/>
          <w:bCs/>
          <w:sz w:val="24"/>
          <w:szCs w:val="24"/>
        </w:rPr>
        <w:t>Peak Time</w:t>
      </w:r>
      <w:r>
        <w:rPr>
          <w:rFonts w:ascii="Times New Roman" w:hAnsi="Times New Roman" w:cs="Times New Roman"/>
          <w:sz w:val="24"/>
          <w:szCs w:val="24"/>
        </w:rPr>
        <w:t xml:space="preserve"> lies between 6:00 and 12:00 AM we compute the </w:t>
      </w:r>
      <w:r>
        <w:rPr>
          <w:rFonts w:ascii="Times New Roman" w:hAnsi="Times New Roman" w:cs="Times New Roman"/>
          <w:i/>
          <w:iCs/>
          <w:sz w:val="24"/>
          <w:szCs w:val="24"/>
        </w:rPr>
        <w:t xml:space="preserve">Port costs </w:t>
      </w:r>
      <w:r>
        <w:rPr>
          <w:rFonts w:ascii="Times New Roman" w:hAnsi="Times New Roman" w:cs="Times New Roman"/>
          <w:sz w:val="24"/>
          <w:szCs w:val="24"/>
        </w:rPr>
        <w:t>as the sum of the revenue losses of each category of *Vessels*. Figure A.6 shows the module developed for each of the four ship categories.</w:t>
      </w:r>
    </w:p>
    <w:p>
      <w:pPr>
        <w:widowControl w:val="0"/>
        <w:jc w:val="both"/>
      </w:pPr>
      <w:r>
        <w:rPr>
          <w:rFonts w:ascii="Times New Roman" w:hAnsi="Times New Roman" w:cs="Times New Roman"/>
          <w:sz w:val="24"/>
          <w:szCs w:val="24"/>
          <w:lang w:val="it-IT" w:eastAsia="it-IT"/>
        </w:rPr>
        <w:drawing>
          <wp:inline distT="0" distB="0" distL="0" distR="0">
            <wp:extent cx="6120130" cy="2054860"/>
            <wp:effectExtent l="0" t="0" r="0" b="2540"/>
            <wp:docPr id="16" name="Immagine 16" descr="Immagine che contiene cielo, mappa, gruppo, parecch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magine 16" descr="Immagine che contiene cielo, mappa, gruppo, parecchi&#10;&#10;Descrizione generata automaticamente"/>
                    <pic:cNvPicPr>
                      <a:picLocks noChangeAspect="1"/>
                    </pic:cNvPicPr>
                  </pic:nvPicPr>
                  <pic:blipFill>
                    <a:blip r:embed="rId14"/>
                    <a:stretch>
                      <a:fillRect/>
                    </a:stretch>
                  </pic:blipFill>
                  <pic:spPr>
                    <a:xfrm>
                      <a:off x="0" y="0"/>
                      <a:ext cx="6120130" cy="2054860"/>
                    </a:xfrm>
                    <a:prstGeom prst="rect">
                      <a:avLst/>
                    </a:prstGeom>
                  </pic:spPr>
                </pic:pic>
              </a:graphicData>
            </a:graphic>
          </wp:inline>
        </w:drawing>
      </w:r>
      <w:r>
        <w:t xml:space="preserve"> </w:t>
      </w:r>
    </w:p>
    <w:p>
      <w:pPr>
        <w:widowControl w:val="0"/>
        <w:spacing w:before="120" w:after="120" w:line="240" w:lineRule="auto"/>
        <w:jc w:val="center"/>
        <w:rPr>
          <w:rFonts w:ascii="Times New Roman" w:hAnsi="Times New Roman" w:eastAsia="Times New Roman" w:cs="Times New Roman"/>
          <w:bCs/>
          <w:i/>
          <w:sz w:val="20"/>
          <w:szCs w:val="20"/>
          <w:lang w:eastAsia="de-DE"/>
        </w:rPr>
      </w:pPr>
      <w:r>
        <w:rPr>
          <w:rFonts w:ascii="Times New Roman" w:hAnsi="Times New Roman" w:eastAsia="Times New Roman" w:cs="Times New Roman"/>
          <w:bCs/>
          <w:i/>
          <w:sz w:val="20"/>
          <w:szCs w:val="20"/>
          <w:lang w:eastAsia="de-DE"/>
        </w:rPr>
        <w:t>Fig A.6 Example of port stock and flow diagram: containers</w:t>
      </w:r>
    </w:p>
    <w:p>
      <w:pPr>
        <w:widowControl w:val="0"/>
        <w:spacing w:before="120" w:after="120" w:line="240" w:lineRule="auto"/>
        <w:jc w:val="center"/>
        <w:rPr>
          <w:rFonts w:ascii="Times New Roman" w:hAnsi="Times New Roman" w:eastAsia="Times New Roman" w:cs="Times New Roman"/>
          <w:bCs/>
          <w:i/>
          <w:sz w:val="20"/>
          <w:szCs w:val="20"/>
          <w:lang w:eastAsia="de-DE"/>
        </w:rPr>
      </w:pPr>
    </w:p>
    <w:p>
      <w:pPr>
        <w:widowControl w:val="0"/>
        <w:jc w:val="both"/>
        <w:rPr>
          <w:rFonts w:ascii="Times New Roman" w:hAnsi="Times New Roman" w:cs="Times New Roman"/>
          <w:sz w:val="24"/>
        </w:rPr>
      </w:pPr>
      <w:r>
        <w:rPr>
          <w:rFonts w:ascii="Times New Roman" w:hAnsi="Times New Roman" w:cs="Times New Roman"/>
          <w:sz w:val="24"/>
        </w:rPr>
        <w:t>We collected the data on monthly vessel movements (entries and exits) from 2009 to 2016, for specific types of vessels. Employing these information, it was possible to:</w:t>
      </w:r>
    </w:p>
    <w:p>
      <w:pPr>
        <w:pStyle w:val="31"/>
        <w:widowControl w:val="0"/>
        <w:numPr>
          <w:ilvl w:val="0"/>
          <w:numId w:val="10"/>
        </w:numPr>
        <w:jc w:val="both"/>
        <w:rPr>
          <w:rFonts w:ascii="Times New Roman" w:hAnsi="Times New Roman" w:cs="Times New Roman"/>
          <w:sz w:val="24"/>
        </w:rPr>
      </w:pPr>
      <w:r>
        <w:rPr>
          <w:rFonts w:ascii="Times New Roman" w:hAnsi="Times New Roman" w:cs="Times New Roman"/>
          <w:sz w:val="24"/>
        </w:rPr>
        <w:t>aggregate this data according to the (macro-)categories of interest:</w:t>
      </w:r>
    </w:p>
    <w:p>
      <w:pPr>
        <w:pStyle w:val="31"/>
        <w:widowControl w:val="0"/>
        <w:shd w:val="clear" w:color="auto" w:fill="FFFFFF"/>
        <w:spacing w:after="0" w:line="240" w:lineRule="auto"/>
        <w:jc w:val="both"/>
        <w:rPr>
          <w:rFonts w:ascii="Times New Roman" w:hAnsi="Times New Roman" w:eastAsia="Times New Roman" w:cs="Times New Roman"/>
          <w:color w:val="222222"/>
          <w:sz w:val="24"/>
          <w:szCs w:val="24"/>
          <w:lang w:eastAsia="it-IT"/>
        </w:rPr>
      </w:pPr>
      <w:r>
        <w:rPr>
          <w:rFonts w:ascii="Times New Roman" w:hAnsi="Times New Roman" w:eastAsia="Times New Roman" w:cs="Times New Roman"/>
          <w:color w:val="222222"/>
          <w:sz w:val="24"/>
          <w:szCs w:val="24"/>
          <w:lang w:eastAsia="it-IT"/>
        </w:rPr>
        <w:t>- Container vessels: Containership</w:t>
      </w:r>
    </w:p>
    <w:p>
      <w:pPr>
        <w:pStyle w:val="31"/>
        <w:widowControl w:val="0"/>
        <w:spacing w:after="0" w:line="240" w:lineRule="auto"/>
        <w:jc w:val="both"/>
        <w:rPr>
          <w:rFonts w:ascii="Times New Roman" w:hAnsi="Times New Roman" w:eastAsia="Times New Roman" w:cs="Times New Roman"/>
          <w:sz w:val="24"/>
          <w:szCs w:val="24"/>
          <w:lang w:eastAsia="it-IT"/>
        </w:rPr>
      </w:pPr>
      <w:r>
        <w:rPr>
          <w:rFonts w:ascii="Times New Roman" w:hAnsi="Times New Roman" w:eastAsia="Times New Roman" w:cs="Times New Roman"/>
          <w:color w:val="222222"/>
          <w:sz w:val="24"/>
          <w:szCs w:val="24"/>
          <w:shd w:val="clear" w:color="auto" w:fill="FFFFFF"/>
          <w:lang w:eastAsia="it-IT"/>
        </w:rPr>
        <w:t>- RoRo (freight) vessels: Ro-ro cargo ship</w:t>
      </w:r>
    </w:p>
    <w:p>
      <w:pPr>
        <w:pStyle w:val="31"/>
        <w:widowControl w:val="0"/>
        <w:shd w:val="clear" w:color="auto" w:fill="FFFFFF"/>
        <w:spacing w:after="0" w:line="240" w:lineRule="auto"/>
        <w:jc w:val="both"/>
        <w:rPr>
          <w:rFonts w:ascii="Times New Roman" w:hAnsi="Times New Roman" w:eastAsia="Times New Roman" w:cs="Times New Roman"/>
          <w:color w:val="222222"/>
          <w:sz w:val="24"/>
          <w:szCs w:val="24"/>
          <w:lang w:eastAsia="it-IT"/>
        </w:rPr>
      </w:pPr>
      <w:r>
        <w:rPr>
          <w:rFonts w:ascii="Times New Roman" w:hAnsi="Times New Roman" w:eastAsia="Times New Roman" w:cs="Times New Roman"/>
          <w:color w:val="222222"/>
          <w:sz w:val="24"/>
          <w:szCs w:val="24"/>
          <w:lang w:eastAsia="it-IT"/>
        </w:rPr>
        <w:t>- Other freight vessels: Barge, Bulk carrier, Chemical tankship, Gas carrier, General dry cargo ship, Heavy load carrier, Oil tankship, Tankship, Other types of ship</w:t>
      </w:r>
    </w:p>
    <w:p>
      <w:pPr>
        <w:pStyle w:val="31"/>
        <w:widowControl w:val="0"/>
        <w:shd w:val="clear" w:color="auto" w:fill="FFFFFF"/>
        <w:spacing w:after="0" w:line="240" w:lineRule="auto"/>
        <w:jc w:val="both"/>
        <w:rPr>
          <w:rFonts w:ascii="Times New Roman" w:hAnsi="Times New Roman" w:eastAsia="Times New Roman" w:cs="Times New Roman"/>
          <w:color w:val="222222"/>
          <w:sz w:val="24"/>
          <w:szCs w:val="24"/>
          <w:lang w:val="nb-NO" w:eastAsia="it-IT"/>
        </w:rPr>
      </w:pPr>
      <w:r>
        <w:rPr>
          <w:rFonts w:ascii="Times New Roman" w:hAnsi="Times New Roman" w:eastAsia="Times New Roman" w:cs="Times New Roman"/>
          <w:color w:val="222222"/>
          <w:sz w:val="24"/>
          <w:szCs w:val="24"/>
          <w:lang w:val="nb-NO" w:eastAsia="it-IT"/>
        </w:rPr>
        <w:t>- Ro-ro passenger vessel</w:t>
      </w:r>
    </w:p>
    <w:p>
      <w:pPr>
        <w:pStyle w:val="31"/>
        <w:widowControl w:val="0"/>
        <w:shd w:val="clear" w:color="auto" w:fill="FFFFFF"/>
        <w:spacing w:after="0" w:line="240" w:lineRule="auto"/>
        <w:jc w:val="both"/>
        <w:rPr>
          <w:rFonts w:ascii="Times New Roman" w:hAnsi="Times New Roman" w:eastAsia="Times New Roman" w:cs="Times New Roman"/>
          <w:color w:val="222222"/>
          <w:sz w:val="24"/>
          <w:szCs w:val="24"/>
          <w:lang w:val="nb-NO" w:eastAsia="it-IT"/>
        </w:rPr>
      </w:pPr>
      <w:r>
        <w:rPr>
          <w:rFonts w:ascii="Times New Roman" w:hAnsi="Times New Roman" w:eastAsia="Times New Roman" w:cs="Times New Roman"/>
          <w:color w:val="222222"/>
          <w:sz w:val="24"/>
          <w:szCs w:val="24"/>
          <w:lang w:val="nb-NO" w:eastAsia="it-IT"/>
        </w:rPr>
        <w:t xml:space="preserve">- Passenger ship </w:t>
      </w:r>
    </w:p>
    <w:p>
      <w:pPr>
        <w:pStyle w:val="31"/>
        <w:widowControl w:val="0"/>
        <w:shd w:val="clear" w:color="auto" w:fill="FFFFFF"/>
        <w:spacing w:after="0" w:line="240" w:lineRule="auto"/>
        <w:rPr>
          <w:rFonts w:ascii="Times New Roman" w:hAnsi="Times New Roman" w:eastAsia="Times New Roman" w:cs="Times New Roman"/>
          <w:color w:val="222222"/>
          <w:sz w:val="24"/>
          <w:szCs w:val="24"/>
          <w:lang w:eastAsia="it-IT"/>
        </w:rPr>
      </w:pPr>
      <w:r>
        <w:rPr>
          <w:rFonts w:ascii="Times New Roman" w:hAnsi="Times New Roman" w:eastAsia="Times New Roman" w:cs="Times New Roman"/>
          <w:color w:val="222222"/>
          <w:sz w:val="24"/>
          <w:szCs w:val="24"/>
          <w:lang w:eastAsia="it-IT"/>
        </w:rPr>
        <w:t>- Dynamically supported craft</w:t>
      </w:r>
    </w:p>
    <w:p>
      <w:pPr>
        <w:pStyle w:val="31"/>
        <w:widowControl w:val="0"/>
        <w:numPr>
          <w:ilvl w:val="0"/>
          <w:numId w:val="10"/>
        </w:numPr>
        <w:shd w:val="clear" w:color="auto" w:fill="FFFFFF"/>
        <w:spacing w:after="0" w:line="240" w:lineRule="auto"/>
        <w:rPr>
          <w:rFonts w:ascii="Times New Roman" w:hAnsi="Times New Roman" w:eastAsia="Times New Roman" w:cs="Times New Roman"/>
          <w:color w:val="222222"/>
          <w:sz w:val="24"/>
          <w:szCs w:val="24"/>
          <w:lang w:eastAsia="it-IT"/>
        </w:rPr>
      </w:pPr>
      <w:r>
        <w:rPr>
          <w:rFonts w:ascii="Times New Roman" w:hAnsi="Times New Roman" w:eastAsia="Times New Roman" w:cs="Times New Roman"/>
          <w:color w:val="222222"/>
          <w:sz w:val="24"/>
          <w:szCs w:val="24"/>
          <w:lang w:eastAsia="it-IT"/>
        </w:rPr>
        <w:t>compute, for each of these categories, the percentage of movements and the average monthly percentage movements.</w:t>
      </w:r>
    </w:p>
    <w:p>
      <w:pPr>
        <w:widowControl w:val="0"/>
        <w:shd w:val="clear" w:color="auto" w:fill="FFFFFF"/>
        <w:spacing w:after="0" w:line="240" w:lineRule="auto"/>
        <w:rPr>
          <w:rFonts w:ascii="Times New Roman" w:hAnsi="Times New Roman" w:eastAsia="Times New Roman" w:cs="Times New Roman"/>
          <w:color w:val="222222"/>
          <w:sz w:val="24"/>
          <w:szCs w:val="24"/>
          <w:lang w:eastAsia="it-IT"/>
        </w:rPr>
      </w:pPr>
    </w:p>
    <w:p>
      <w:pPr>
        <w:widowControl w:val="0"/>
        <w:shd w:val="clear" w:color="auto" w:fill="FFFFFF"/>
        <w:spacing w:after="0" w:line="240" w:lineRule="auto"/>
        <w:jc w:val="both"/>
        <w:rPr>
          <w:rFonts w:ascii="Times New Roman" w:hAnsi="Times New Roman" w:eastAsia="Times New Roman" w:cs="Times New Roman"/>
          <w:color w:val="222222"/>
          <w:sz w:val="24"/>
          <w:szCs w:val="24"/>
          <w:lang w:eastAsia="it-IT"/>
        </w:rPr>
      </w:pPr>
      <w:r>
        <w:rPr>
          <w:rFonts w:ascii="Times New Roman" w:hAnsi="Times New Roman" w:eastAsia="Times New Roman" w:cs="Times New Roman"/>
          <w:color w:val="222222"/>
          <w:sz w:val="24"/>
          <w:szCs w:val="24"/>
          <w:lang w:eastAsia="it-IT"/>
        </w:rPr>
        <w:t>The second step was to apply the category and monthly percentages of movements already computed on the average number of vessel calls, for which only yearly data was available. This had to be done because the focus was on the vessel calls lost as a result of MoSE operations, rather than on the vessel movements (for which monthly data was accessible).</w:t>
      </w:r>
    </w:p>
    <w:p>
      <w:pPr>
        <w:widowControl w:val="0"/>
        <w:shd w:val="clear" w:color="auto" w:fill="FFFFFF"/>
        <w:spacing w:after="0" w:line="240" w:lineRule="auto"/>
        <w:jc w:val="both"/>
        <w:rPr>
          <w:rFonts w:ascii="Times New Roman" w:hAnsi="Times New Roman" w:eastAsia="Times New Roman" w:cs="Times New Roman"/>
          <w:color w:val="222222"/>
          <w:sz w:val="24"/>
          <w:szCs w:val="24"/>
          <w:lang w:eastAsia="it-IT"/>
        </w:rPr>
      </w:pPr>
      <w:r>
        <w:rPr>
          <w:rFonts w:ascii="Times New Roman" w:hAnsi="Times New Roman" w:eastAsia="Times New Roman" w:cs="Times New Roman"/>
          <w:color w:val="222222"/>
          <w:sz w:val="24"/>
          <w:szCs w:val="24"/>
          <w:lang w:eastAsia="it-IT"/>
        </w:rPr>
        <w:t xml:space="preserve">By doing so, it was possible to estimate in detail the number of </w:t>
      </w:r>
      <w:r>
        <w:rPr>
          <w:rFonts w:ascii="Times New Roman" w:hAnsi="Times New Roman" w:cs="Times New Roman"/>
          <w:b/>
          <w:bCs/>
          <w:sz w:val="24"/>
          <w:szCs w:val="24"/>
        </w:rPr>
        <w:t>Daily *Vessels*</w:t>
      </w:r>
      <w:r>
        <w:rPr>
          <w:rFonts w:ascii="Times New Roman" w:hAnsi="Times New Roman" w:cs="Times New Roman"/>
          <w:sz w:val="24"/>
          <w:szCs w:val="24"/>
        </w:rPr>
        <w:t xml:space="preserve"> </w:t>
      </w:r>
      <w:r>
        <w:rPr>
          <w:rFonts w:ascii="Times New Roman" w:hAnsi="Times New Roman" w:eastAsia="Times New Roman" w:cs="Times New Roman"/>
          <w:color w:val="222222"/>
          <w:sz w:val="24"/>
          <w:szCs w:val="24"/>
          <w:lang w:eastAsia="it-IT"/>
        </w:rPr>
        <w:t>for every category and month.</w:t>
      </w:r>
    </w:p>
    <w:p>
      <w:pPr>
        <w:widowControl w:val="0"/>
        <w:shd w:val="clear" w:color="auto" w:fill="FFFFFF"/>
        <w:spacing w:after="0" w:line="240" w:lineRule="auto"/>
        <w:rPr>
          <w:rFonts w:ascii="Times New Roman" w:hAnsi="Times New Roman" w:eastAsia="Times New Roman" w:cs="Times New Roman"/>
          <w:color w:val="222222"/>
          <w:sz w:val="24"/>
          <w:szCs w:val="24"/>
          <w:lang w:eastAsia="it-IT"/>
        </w:rPr>
      </w:pPr>
    </w:p>
    <w:p>
      <w:pPr>
        <w:widowControl w:val="0"/>
        <w:jc w:val="both"/>
        <w:rPr>
          <w:rFonts w:ascii="Times New Roman" w:hAnsi="Times New Roman" w:eastAsia="Times New Roman" w:cs="Times New Roman"/>
          <w:color w:val="222222"/>
          <w:sz w:val="24"/>
          <w:szCs w:val="24"/>
          <w:lang w:eastAsia="it-IT"/>
        </w:rPr>
      </w:pPr>
      <w:r>
        <w:rPr>
          <w:rFonts w:ascii="Times New Roman" w:hAnsi="Times New Roman" w:eastAsia="Times New Roman" w:cs="Times New Roman"/>
          <w:color w:val="222222"/>
          <w:sz w:val="24"/>
          <w:szCs w:val="24"/>
          <w:lang w:eastAsia="it-IT"/>
        </w:rPr>
        <w:t xml:space="preserve">We used data from a collection of Venice port sailing </w:t>
      </w:r>
      <w:r>
        <w:rPr>
          <w:rFonts w:ascii="Times New Roman" w:hAnsi="Times New Roman" w:cs="Times New Roman"/>
          <w:sz w:val="24"/>
          <w:szCs w:val="24"/>
        </w:rPr>
        <w:t>lists</w:t>
      </w:r>
      <w:r>
        <w:rPr>
          <w:rFonts w:ascii="Times New Roman" w:hAnsi="Times New Roman" w:eastAsia="Times New Roman" w:cs="Times New Roman"/>
          <w:color w:val="222222"/>
          <w:sz w:val="24"/>
          <w:szCs w:val="24"/>
          <w:lang w:eastAsia="it-IT"/>
        </w:rPr>
        <w:t xml:space="preserve"> between 2018 and 2021</w:t>
      </w:r>
      <w:r>
        <w:rPr>
          <w:rStyle w:val="17"/>
          <w:rFonts w:ascii="Times New Roman" w:hAnsi="Times New Roman" w:eastAsia="Times New Roman" w:cs="Times New Roman"/>
          <w:color w:val="222222"/>
          <w:sz w:val="24"/>
          <w:szCs w:val="24"/>
          <w:lang w:eastAsia="it-IT"/>
        </w:rPr>
        <w:footnoteReference w:id="20"/>
      </w:r>
      <w:r>
        <w:rPr>
          <w:rFonts w:ascii="Times New Roman" w:hAnsi="Times New Roman" w:eastAsia="Times New Roman" w:cs="Times New Roman"/>
          <w:color w:val="222222"/>
          <w:sz w:val="24"/>
          <w:szCs w:val="24"/>
          <w:lang w:eastAsia="it-IT"/>
        </w:rPr>
        <w:t xml:space="preserve"> to compute the, </w:t>
      </w:r>
      <w:r>
        <w:rPr>
          <w:rFonts w:ascii="Times New Roman" w:hAnsi="Times New Roman" w:cs="Times New Roman"/>
          <w:b/>
          <w:bCs/>
          <w:sz w:val="24"/>
          <w:szCs w:val="24"/>
        </w:rPr>
        <w:t>*Vessel* Return Frequency</w:t>
      </w:r>
      <w:r>
        <w:rPr>
          <w:rFonts w:ascii="Times New Roman" w:hAnsi="Times New Roman" w:eastAsia="Times New Roman" w:cs="Times New Roman"/>
          <w:color w:val="222222"/>
          <w:sz w:val="24"/>
          <w:szCs w:val="24"/>
          <w:lang w:eastAsia="it-IT"/>
        </w:rPr>
        <w:t xml:space="preserve"> parameter.</w:t>
      </w:r>
    </w:p>
    <w:p>
      <w:pPr>
        <w:widowControl w:val="0"/>
        <w:jc w:val="both"/>
        <w:rPr>
          <w:rFonts w:ascii="Times New Roman" w:hAnsi="Times New Roman" w:cs="Times New Roman"/>
          <w:sz w:val="24"/>
          <w:szCs w:val="24"/>
        </w:rPr>
      </w:pPr>
      <w:r>
        <w:rPr>
          <w:rFonts w:ascii="Times New Roman" w:hAnsi="Times New Roman" w:cs="Times New Roman"/>
          <w:sz w:val="24"/>
          <w:szCs w:val="24"/>
        </w:rPr>
        <w:t xml:space="preserve">The </w:t>
      </w:r>
      <w:r>
        <w:rPr>
          <w:rFonts w:ascii="Times New Roman" w:hAnsi="Times New Roman" w:cs="Times New Roman"/>
          <w:b/>
          <w:bCs/>
          <w:sz w:val="24"/>
          <w:szCs w:val="24"/>
        </w:rPr>
        <w:t xml:space="preserve">Average Revenues per *Vessel* </w:t>
      </w:r>
      <w:r>
        <w:rPr>
          <w:rFonts w:ascii="Times New Roman" w:hAnsi="Times New Roman" w:cs="Times New Roman"/>
          <w:sz w:val="24"/>
          <w:szCs w:val="24"/>
        </w:rPr>
        <w:t xml:space="preserve">parameter for a passenger ship were </w:t>
      </w:r>
      <w:r>
        <w:rPr>
          <w:rStyle w:val="17"/>
          <w:rFonts w:ascii="Times New Roman" w:hAnsi="Times New Roman" w:cs="Times New Roman"/>
          <w:sz w:val="24"/>
          <w:szCs w:val="24"/>
        </w:rPr>
        <w:footnoteReference w:id="21"/>
      </w:r>
      <w:r>
        <w:rPr>
          <w:rFonts w:ascii="Times New Roman" w:hAnsi="Times New Roman" w:cs="Times New Roman"/>
          <w:sz w:val="24"/>
          <w:szCs w:val="24"/>
        </w:rPr>
        <w:t xml:space="preserve"> while for a freight vessel it was derived from the previously cited MTBS report</w:t>
      </w:r>
      <w:r>
        <w:rPr>
          <w:rStyle w:val="17"/>
          <w:rFonts w:ascii="Times New Roman" w:hAnsi="Times New Roman" w:cs="Times New Roman"/>
          <w:sz w:val="24"/>
          <w:szCs w:val="24"/>
        </w:rPr>
        <w:footnoteReference w:id="22"/>
      </w:r>
      <w:r>
        <w:rPr>
          <w:rFonts w:ascii="Times New Roman" w:hAnsi="Times New Roman" w:cs="Times New Roman"/>
          <w:sz w:val="24"/>
          <w:szCs w:val="24"/>
        </w:rPr>
        <w:t>. We computed an average between a lower and an upper bound for RoRo passenger and Passenger ships. Data is available in Table A.7.</w:t>
      </w:r>
    </w:p>
    <w:tbl>
      <w:tblPr>
        <w:tblStyle w:val="50"/>
        <w:tblW w:w="6374" w:type="dxa"/>
        <w:jc w:val="center"/>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Layout w:type="autofit"/>
        <w:tblCellMar>
          <w:top w:w="0" w:type="dxa"/>
          <w:left w:w="108" w:type="dxa"/>
          <w:bottom w:w="0" w:type="dxa"/>
          <w:right w:w="108" w:type="dxa"/>
        </w:tblCellMar>
      </w:tblPr>
      <w:tblGrid>
        <w:gridCol w:w="2960"/>
        <w:gridCol w:w="1713"/>
        <w:gridCol w:w="1701"/>
      </w:tblGrid>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315" w:hRule="atLeast"/>
          <w:jc w:val="center"/>
        </w:trPr>
        <w:tc>
          <w:tcPr>
            <w:tcW w:w="2960" w:type="dxa"/>
            <w:tcBorders>
              <w:top w:val="single" w:color="A5A5A5" w:themeColor="accent3" w:sz="4" w:space="0"/>
              <w:left w:val="single" w:color="A5A5A5" w:themeColor="accent3" w:sz="4" w:space="0"/>
              <w:bottom w:val="single" w:color="A5A5A5" w:themeColor="accent3" w:sz="4" w:space="0"/>
              <w:insideH w:val="single" w:sz="4" w:space="0"/>
            </w:tcBorders>
            <w:shd w:val="clear" w:color="auto" w:fill="A5A5A5" w:themeFill="accent3"/>
            <w:noWrap/>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Vessel category</w:t>
            </w:r>
          </w:p>
        </w:tc>
        <w:tc>
          <w:tcPr>
            <w:tcW w:w="1713" w:type="dxa"/>
            <w:tcBorders>
              <w:top w:val="single" w:color="A5A5A5" w:themeColor="accent3" w:sz="4" w:space="0"/>
              <w:bottom w:val="single" w:color="A5A5A5" w:themeColor="accent3" w:sz="4" w:space="0"/>
              <w:insideH w:val="single" w:sz="4" w:space="0"/>
            </w:tcBorders>
            <w:shd w:val="clear" w:color="auto" w:fill="A5A5A5" w:themeFill="accent3"/>
            <w:noWrap/>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Lower Bound</w:t>
            </w:r>
          </w:p>
        </w:tc>
        <w:tc>
          <w:tcPr>
            <w:tcW w:w="1701" w:type="dxa"/>
            <w:tcBorders>
              <w:top w:val="single" w:color="A5A5A5" w:themeColor="accent3" w:sz="4" w:space="0"/>
              <w:bottom w:val="single" w:color="A5A5A5" w:themeColor="accent3" w:sz="4" w:space="0"/>
              <w:right w:val="single" w:color="A5A5A5" w:themeColor="accent3" w:sz="4" w:space="0"/>
              <w:insideH w:val="single" w:sz="4" w:space="0"/>
            </w:tcBorders>
            <w:shd w:val="clear" w:color="auto" w:fill="A5A5A5" w:themeFill="accent3"/>
            <w:noWrap/>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Upper bound</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315" w:hRule="atLeast"/>
          <w:jc w:val="center"/>
        </w:trPr>
        <w:tc>
          <w:tcPr>
            <w:tcW w:w="2960"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b w:val="0"/>
                <w:bCs/>
                <w:color w:val="000000"/>
                <w:sz w:val="20"/>
                <w:szCs w:val="20"/>
                <w:lang w:eastAsia="it-IT"/>
              </w:rPr>
            </w:pPr>
            <w:r>
              <w:rPr>
                <w:rFonts w:ascii="Times New Roman" w:hAnsi="Times New Roman" w:eastAsia="Times New Roman" w:cs="Times New Roman"/>
                <w:b w:val="0"/>
                <w:bCs/>
                <w:color w:val="000000"/>
                <w:sz w:val="20"/>
                <w:szCs w:val="20"/>
                <w:lang w:eastAsia="it-IT"/>
              </w:rPr>
              <w:t>Freight vessel</w:t>
            </w:r>
          </w:p>
        </w:tc>
        <w:tc>
          <w:tcPr>
            <w:tcW w:w="1713"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sz w:val="20"/>
                <w:szCs w:val="20"/>
                <w:lang w:eastAsia="it-IT"/>
              </w:rPr>
            </w:pPr>
            <w:r>
              <w:rPr>
                <w:rFonts w:ascii="Times New Roman" w:hAnsi="Times New Roman" w:eastAsia="Times New Roman" w:cs="Times New Roman"/>
                <w:color w:val="000000"/>
                <w:sz w:val="20"/>
                <w:szCs w:val="20"/>
                <w:lang w:eastAsia="it-IT"/>
              </w:rPr>
              <w:t>72207</w:t>
            </w:r>
          </w:p>
        </w:tc>
        <w:tc>
          <w:tcPr>
            <w:tcW w:w="1701"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sz w:val="20"/>
                <w:szCs w:val="20"/>
                <w:lang w:eastAsia="it-IT"/>
              </w:rPr>
            </w:pPr>
            <w:r>
              <w:rPr>
                <w:rFonts w:ascii="Times New Roman" w:hAnsi="Times New Roman" w:eastAsia="Times New Roman" w:cs="Times New Roman"/>
                <w:color w:val="000000"/>
                <w:sz w:val="20"/>
                <w:szCs w:val="20"/>
                <w:lang w:eastAsia="it-IT"/>
              </w:rPr>
              <w:t>72207</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315" w:hRule="atLeast"/>
          <w:jc w:val="center"/>
        </w:trPr>
        <w:tc>
          <w:tcPr>
            <w:tcW w:w="2960" w:type="dxa"/>
            <w:noWrap/>
          </w:tcPr>
          <w:p>
            <w:pPr>
              <w:widowControl w:val="0"/>
              <w:spacing w:after="0" w:line="240" w:lineRule="auto"/>
              <w:jc w:val="center"/>
              <w:rPr>
                <w:rFonts w:ascii="Times New Roman" w:hAnsi="Times New Roman" w:eastAsia="Times New Roman" w:cs="Times New Roman"/>
                <w:b w:val="0"/>
                <w:bCs/>
                <w:color w:val="000000"/>
                <w:sz w:val="20"/>
                <w:szCs w:val="20"/>
                <w:lang w:eastAsia="it-IT"/>
              </w:rPr>
            </w:pPr>
            <w:r>
              <w:rPr>
                <w:rFonts w:ascii="Times New Roman" w:hAnsi="Times New Roman" w:eastAsia="Times New Roman" w:cs="Times New Roman"/>
                <w:b w:val="0"/>
                <w:bCs/>
                <w:color w:val="000000"/>
                <w:sz w:val="20"/>
                <w:szCs w:val="20"/>
                <w:lang w:eastAsia="it-IT"/>
              </w:rPr>
              <w:t>Passenger ship</w:t>
            </w:r>
          </w:p>
        </w:tc>
        <w:tc>
          <w:tcPr>
            <w:tcW w:w="1713" w:type="dxa"/>
            <w:noWrap/>
          </w:tcPr>
          <w:p>
            <w:pPr>
              <w:widowControl w:val="0"/>
              <w:spacing w:after="0" w:line="240" w:lineRule="auto"/>
              <w:jc w:val="center"/>
              <w:rPr>
                <w:rFonts w:ascii="Times New Roman" w:hAnsi="Times New Roman" w:eastAsia="Times New Roman" w:cs="Times New Roman"/>
                <w:color w:val="000000"/>
                <w:sz w:val="20"/>
                <w:szCs w:val="20"/>
                <w:lang w:eastAsia="it-IT"/>
              </w:rPr>
            </w:pPr>
            <w:r>
              <w:rPr>
                <w:rFonts w:ascii="Times New Roman" w:hAnsi="Times New Roman" w:eastAsia="Times New Roman" w:cs="Times New Roman"/>
                <w:color w:val="000000"/>
                <w:sz w:val="20"/>
                <w:szCs w:val="20"/>
                <w:lang w:eastAsia="it-IT"/>
              </w:rPr>
              <w:t>74434</w:t>
            </w:r>
          </w:p>
        </w:tc>
        <w:tc>
          <w:tcPr>
            <w:tcW w:w="1701" w:type="dxa"/>
            <w:noWrap/>
          </w:tcPr>
          <w:p>
            <w:pPr>
              <w:widowControl w:val="0"/>
              <w:spacing w:after="0" w:line="240" w:lineRule="auto"/>
              <w:jc w:val="center"/>
              <w:rPr>
                <w:rFonts w:ascii="Times New Roman" w:hAnsi="Times New Roman" w:eastAsia="Times New Roman" w:cs="Times New Roman"/>
                <w:color w:val="000000"/>
                <w:sz w:val="20"/>
                <w:szCs w:val="20"/>
                <w:lang w:eastAsia="it-IT"/>
              </w:rPr>
            </w:pPr>
            <w:r>
              <w:rPr>
                <w:rFonts w:ascii="Times New Roman" w:hAnsi="Times New Roman" w:eastAsia="Times New Roman" w:cs="Times New Roman"/>
                <w:color w:val="000000"/>
                <w:sz w:val="20"/>
                <w:szCs w:val="20"/>
                <w:lang w:eastAsia="it-IT"/>
              </w:rPr>
              <w:t>89321</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315" w:hRule="atLeast"/>
          <w:jc w:val="center"/>
        </w:trPr>
        <w:tc>
          <w:tcPr>
            <w:tcW w:w="2960"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b w:val="0"/>
                <w:bCs/>
                <w:color w:val="000000"/>
                <w:sz w:val="20"/>
                <w:szCs w:val="20"/>
                <w:lang w:eastAsia="it-IT"/>
              </w:rPr>
            </w:pPr>
            <w:r>
              <w:rPr>
                <w:rFonts w:ascii="Times New Roman" w:hAnsi="Times New Roman" w:eastAsia="Times New Roman" w:cs="Times New Roman"/>
                <w:b w:val="0"/>
                <w:bCs/>
                <w:color w:val="000000"/>
                <w:sz w:val="20"/>
                <w:szCs w:val="20"/>
                <w:lang w:eastAsia="it-IT"/>
              </w:rPr>
              <w:t>Ro-ro passenger vessel</w:t>
            </w:r>
          </w:p>
        </w:tc>
        <w:tc>
          <w:tcPr>
            <w:tcW w:w="1713"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sz w:val="20"/>
                <w:szCs w:val="20"/>
                <w:lang w:eastAsia="it-IT"/>
              </w:rPr>
            </w:pPr>
            <w:r>
              <w:rPr>
                <w:rFonts w:ascii="Times New Roman" w:hAnsi="Times New Roman" w:eastAsia="Times New Roman" w:cs="Times New Roman"/>
                <w:color w:val="000000"/>
                <w:sz w:val="20"/>
                <w:szCs w:val="20"/>
                <w:lang w:eastAsia="it-IT"/>
              </w:rPr>
              <w:t>7071</w:t>
            </w:r>
          </w:p>
        </w:tc>
        <w:tc>
          <w:tcPr>
            <w:tcW w:w="1701" w:type="dxa"/>
            <w:shd w:val="clear" w:color="auto" w:fill="ECECEC" w:themeFill="accent3" w:themeFillTint="33"/>
            <w:noWrap/>
          </w:tcPr>
          <w:p>
            <w:pPr>
              <w:widowControl w:val="0"/>
              <w:spacing w:after="0" w:line="240" w:lineRule="auto"/>
              <w:jc w:val="center"/>
              <w:rPr>
                <w:rFonts w:ascii="Times New Roman" w:hAnsi="Times New Roman" w:eastAsia="Times New Roman" w:cs="Times New Roman"/>
                <w:color w:val="000000"/>
                <w:sz w:val="20"/>
                <w:szCs w:val="20"/>
                <w:lang w:eastAsia="it-IT"/>
              </w:rPr>
            </w:pPr>
            <w:r>
              <w:rPr>
                <w:rFonts w:ascii="Times New Roman" w:hAnsi="Times New Roman" w:eastAsia="Times New Roman" w:cs="Times New Roman"/>
                <w:color w:val="000000"/>
                <w:sz w:val="20"/>
                <w:szCs w:val="20"/>
                <w:lang w:eastAsia="it-IT"/>
              </w:rPr>
              <w:t>8485</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rPr>
          <w:trHeight w:val="315" w:hRule="atLeast"/>
          <w:jc w:val="center"/>
        </w:trPr>
        <w:tc>
          <w:tcPr>
            <w:tcW w:w="2960" w:type="dxa"/>
            <w:noWrap/>
          </w:tcPr>
          <w:p>
            <w:pPr>
              <w:widowControl w:val="0"/>
              <w:spacing w:after="0" w:line="240" w:lineRule="auto"/>
              <w:jc w:val="center"/>
              <w:rPr>
                <w:rFonts w:ascii="Times New Roman" w:hAnsi="Times New Roman" w:eastAsia="Times New Roman" w:cs="Times New Roman"/>
                <w:b w:val="0"/>
                <w:bCs/>
                <w:color w:val="000000"/>
                <w:sz w:val="20"/>
                <w:szCs w:val="20"/>
                <w:lang w:eastAsia="it-IT"/>
              </w:rPr>
            </w:pPr>
            <w:r>
              <w:rPr>
                <w:rFonts w:ascii="Times New Roman" w:hAnsi="Times New Roman" w:eastAsia="Times New Roman" w:cs="Times New Roman"/>
                <w:b w:val="0"/>
                <w:bCs/>
                <w:color w:val="000000"/>
                <w:sz w:val="20"/>
                <w:szCs w:val="20"/>
                <w:lang w:eastAsia="it-IT"/>
              </w:rPr>
              <w:t>Dynamically supported craft</w:t>
            </w:r>
          </w:p>
        </w:tc>
        <w:tc>
          <w:tcPr>
            <w:tcW w:w="1713" w:type="dxa"/>
            <w:noWrap/>
          </w:tcPr>
          <w:p>
            <w:pPr>
              <w:widowControl w:val="0"/>
              <w:spacing w:after="0" w:line="240" w:lineRule="auto"/>
              <w:jc w:val="center"/>
              <w:rPr>
                <w:rFonts w:ascii="Times New Roman" w:hAnsi="Times New Roman" w:eastAsia="Times New Roman" w:cs="Times New Roman"/>
                <w:color w:val="000000"/>
                <w:sz w:val="20"/>
                <w:szCs w:val="20"/>
                <w:lang w:eastAsia="it-IT"/>
              </w:rPr>
            </w:pPr>
            <w:r>
              <w:rPr>
                <w:rFonts w:ascii="Times New Roman" w:hAnsi="Times New Roman" w:eastAsia="Times New Roman" w:cs="Times New Roman"/>
                <w:color w:val="000000"/>
                <w:sz w:val="20"/>
                <w:szCs w:val="20"/>
                <w:lang w:eastAsia="it-IT"/>
              </w:rPr>
              <w:t>1500</w:t>
            </w:r>
          </w:p>
        </w:tc>
        <w:tc>
          <w:tcPr>
            <w:tcW w:w="1701" w:type="dxa"/>
            <w:noWrap/>
          </w:tcPr>
          <w:p>
            <w:pPr>
              <w:widowControl w:val="0"/>
              <w:spacing w:after="0" w:line="240" w:lineRule="auto"/>
              <w:jc w:val="center"/>
              <w:rPr>
                <w:rFonts w:ascii="Times New Roman" w:hAnsi="Times New Roman" w:eastAsia="Times New Roman" w:cs="Times New Roman"/>
                <w:color w:val="000000"/>
                <w:sz w:val="20"/>
                <w:szCs w:val="20"/>
                <w:lang w:eastAsia="it-IT"/>
              </w:rPr>
            </w:pPr>
            <w:r>
              <w:rPr>
                <w:rFonts w:ascii="Times New Roman" w:hAnsi="Times New Roman" w:eastAsia="Times New Roman" w:cs="Times New Roman"/>
                <w:color w:val="000000"/>
                <w:sz w:val="20"/>
                <w:szCs w:val="20"/>
                <w:lang w:eastAsia="it-IT"/>
              </w:rPr>
              <w:t>1500</w:t>
            </w:r>
          </w:p>
        </w:tc>
      </w:tr>
    </w:tbl>
    <w:p>
      <w:pPr>
        <w:widowControl w:val="0"/>
        <w:jc w:val="center"/>
        <w:rPr>
          <w:rFonts w:ascii="Times New Roman" w:hAnsi="Times New Roman" w:cs="Times New Roman"/>
          <w:bCs/>
          <w:i/>
          <w:iCs/>
          <w:sz w:val="20"/>
          <w:szCs w:val="20"/>
        </w:rPr>
      </w:pPr>
      <w:r>
        <w:rPr>
          <w:rFonts w:ascii="Times New Roman" w:hAnsi="Times New Roman" w:cs="Times New Roman"/>
          <w:bCs/>
          <w:i/>
          <w:iCs/>
          <w:sz w:val="20"/>
          <w:szCs w:val="20"/>
        </w:rPr>
        <w:t>Tab A.7 Estimated cost for the loss of different vessel categories (average costs per vessel, euro 2017).</w:t>
      </w:r>
    </w:p>
    <w:p>
      <w:pPr>
        <w:widowControl w:val="0"/>
        <w:spacing w:after="0"/>
        <w:jc w:val="center"/>
        <w:rPr>
          <w:rFonts w:ascii="Times New Roman" w:hAnsi="Times New Roman" w:cs="Times New Roman"/>
          <w:bCs/>
          <w:i/>
          <w:iCs/>
          <w:sz w:val="20"/>
          <w:szCs w:val="20"/>
        </w:rPr>
      </w:pPr>
    </w:p>
    <w:p>
      <w:pPr>
        <w:widowControl w:val="0"/>
        <w:jc w:val="both"/>
        <w:rPr>
          <w:rFonts w:ascii="Times New Roman" w:hAnsi="Times New Roman" w:cs="Times New Roman"/>
          <w:sz w:val="24"/>
          <w:szCs w:val="24"/>
        </w:rPr>
      </w:pPr>
      <w:r>
        <w:rPr>
          <w:rFonts w:ascii="Times New Roman" w:hAnsi="Times New Roman" w:cs="Times New Roman"/>
          <w:sz w:val="24"/>
          <w:szCs w:val="24"/>
        </w:rPr>
        <w:t xml:space="preserve">In detail, the total losses of each of the 3 categories of freight vessels are given by the sum of: </w:t>
      </w:r>
    </w:p>
    <w:p>
      <w:pPr>
        <w:pStyle w:val="31"/>
        <w:widowControl w:val="0"/>
        <w:numPr>
          <w:ilvl w:val="0"/>
          <w:numId w:val="11"/>
        </w:numPr>
        <w:jc w:val="both"/>
        <w:rPr>
          <w:rFonts w:ascii="Times New Roman" w:hAnsi="Times New Roman" w:cs="Times New Roman"/>
          <w:sz w:val="24"/>
          <w:szCs w:val="24"/>
        </w:rPr>
      </w:pPr>
      <w:r>
        <w:rPr>
          <w:rFonts w:ascii="Times New Roman" w:hAnsi="Times New Roman" w:cs="Times New Roman"/>
          <w:b/>
          <w:bCs/>
          <w:sz w:val="24"/>
          <w:szCs w:val="24"/>
        </w:rPr>
        <w:t>*</w:t>
      </w:r>
      <w:r>
        <w:rPr>
          <w:rFonts w:ascii="Times New Roman" w:hAnsi="Times New Roman" w:cs="Times New Roman"/>
          <w:i/>
          <w:iCs/>
          <w:sz w:val="24"/>
          <w:szCs w:val="24"/>
        </w:rPr>
        <w:t>Vessel* Immediate Costs</w:t>
      </w:r>
      <w:r>
        <w:rPr>
          <w:rFonts w:ascii="Times New Roman" w:hAnsi="Times New Roman" w:cs="Times New Roman"/>
          <w:sz w:val="24"/>
          <w:szCs w:val="24"/>
        </w:rPr>
        <w:t xml:space="preserve">, calculated as the number of </w:t>
      </w:r>
      <w:r>
        <w:rPr>
          <w:rFonts w:ascii="Times New Roman" w:hAnsi="Times New Roman" w:cs="Times New Roman"/>
          <w:i/>
          <w:iCs/>
          <w:sz w:val="24"/>
          <w:szCs w:val="24"/>
        </w:rPr>
        <w:t>*Vessels* lost per day</w:t>
      </w:r>
      <w:r>
        <w:rPr>
          <w:rFonts w:ascii="Times New Roman" w:hAnsi="Times New Roman" w:cs="Times New Roman"/>
          <w:sz w:val="24"/>
          <w:szCs w:val="24"/>
        </w:rPr>
        <w:t xml:space="preserve"> multiplied by the</w:t>
      </w:r>
      <w:r>
        <w:rPr>
          <w:rFonts w:ascii="Times New Roman" w:hAnsi="Times New Roman" w:cs="Times New Roman"/>
          <w:b/>
          <w:bCs/>
          <w:sz w:val="24"/>
          <w:szCs w:val="24"/>
        </w:rPr>
        <w:t xml:space="preserve"> Average Revenues per Vessel</w:t>
      </w:r>
      <w:r>
        <w:rPr>
          <w:rFonts w:ascii="Times New Roman" w:hAnsi="Times New Roman" w:cs="Times New Roman"/>
          <w:sz w:val="24"/>
          <w:szCs w:val="24"/>
        </w:rPr>
        <w:t>. We indeed assumed that a percentage of vessels (</w:t>
      </w:r>
      <w:r>
        <w:rPr>
          <w:rFonts w:ascii="Times New Roman" w:hAnsi="Times New Roman" w:cs="Times New Roman"/>
          <w:b/>
          <w:bCs/>
          <w:sz w:val="24"/>
          <w:szCs w:val="24"/>
        </w:rPr>
        <w:t xml:space="preserve">*Vessels* Lost per Closure) </w:t>
      </w:r>
      <w:r>
        <w:rPr>
          <w:rFonts w:ascii="Times New Roman" w:hAnsi="Times New Roman" w:cs="Times New Roman"/>
          <w:sz w:val="24"/>
          <w:szCs w:val="24"/>
        </w:rPr>
        <w:t>decides not to wait until the MoSE gates are opened and moves to another port, thus generating a loss of potential revenues.</w:t>
      </w:r>
    </w:p>
    <w:p>
      <w:pPr>
        <w:pStyle w:val="31"/>
        <w:widowControl w:val="0"/>
        <w:jc w:val="both"/>
        <w:rPr>
          <w:rFonts w:ascii="Times New Roman" w:hAnsi="Times New Roman" w:cs="Times New Roman"/>
          <w:b/>
          <w:bCs/>
          <w:sz w:val="24"/>
          <w:szCs w:val="24"/>
        </w:rPr>
      </w:pPr>
    </w:p>
    <w:p>
      <w:pPr>
        <w:pStyle w:val="31"/>
        <w:widowControl w:val="0"/>
        <w:numPr>
          <w:ilvl w:val="0"/>
          <w:numId w:val="11"/>
        </w:numPr>
        <w:jc w:val="both"/>
        <w:rPr>
          <w:rFonts w:ascii="Times New Roman" w:hAnsi="Times New Roman" w:cs="Times New Roman"/>
          <w:bCs/>
          <w:sz w:val="24"/>
          <w:szCs w:val="24"/>
        </w:rPr>
      </w:pPr>
      <w:r>
        <w:rPr>
          <w:rFonts w:ascii="Times New Roman" w:hAnsi="Times New Roman" w:cs="Times New Roman"/>
          <w:bCs/>
          <w:i/>
          <w:sz w:val="24"/>
          <w:szCs w:val="24"/>
        </w:rPr>
        <w:t>*Vessel* Memory Costs</w:t>
      </w:r>
      <w:r>
        <w:rPr>
          <w:rFonts w:ascii="Times New Roman" w:hAnsi="Times New Roman" w:cs="Times New Roman"/>
          <w:bCs/>
          <w:iCs/>
          <w:sz w:val="24"/>
          <w:szCs w:val="24"/>
        </w:rPr>
        <w:t>,</w:t>
      </w:r>
      <w:r>
        <w:rPr>
          <w:rFonts w:ascii="Times New Roman" w:hAnsi="Times New Roman" w:cs="Times New Roman"/>
          <w:bCs/>
          <w:sz w:val="24"/>
          <w:szCs w:val="24"/>
        </w:rPr>
        <w:t xml:space="preserve"> added to account for the financial losses caused by memory effects. Certain vessels are anticipated to never return or only return after a year, having been compelled to redirect to another port due to MoSE operations. The quantity of permanently lost </w:t>
      </w:r>
      <w:bookmarkStart w:id="24" w:name="_Hlk139795792"/>
      <w:r>
        <w:rPr>
          <w:rFonts w:ascii="Times New Roman" w:hAnsi="Times New Roman" w:cs="Times New Roman"/>
          <w:bCs/>
          <w:sz w:val="24"/>
          <w:szCs w:val="24"/>
        </w:rPr>
        <w:t xml:space="preserve">*vessels* </w:t>
      </w:r>
      <w:bookmarkEnd w:id="24"/>
      <w:r>
        <w:rPr>
          <w:rFonts w:ascii="Times New Roman" w:hAnsi="Times New Roman" w:cs="Times New Roman"/>
          <w:bCs/>
          <w:sz w:val="24"/>
          <w:szCs w:val="24"/>
        </w:rPr>
        <w:t>and temporarily lost *vessels* is multiplied over time (either for all the simulation horizon or for one year) by the average revenues per vessel, taking into account the baseline parameters for vessel return frequency (i.e., the number of times a vessel would have returned under normal circumstances).</w:t>
      </w:r>
    </w:p>
    <w:p>
      <w:pPr>
        <w:widowControl w:val="0"/>
        <w:jc w:val="both"/>
        <w:rPr>
          <w:rFonts w:ascii="Times New Roman" w:hAnsi="Times New Roman" w:cs="Times New Roman"/>
          <w:bCs/>
          <w:sz w:val="24"/>
          <w:szCs w:val="24"/>
        </w:rPr>
      </w:pPr>
      <w:r>
        <w:rPr>
          <w:rFonts w:ascii="Times New Roman" w:hAnsi="Times New Roman" w:cs="Times New Roman"/>
          <w:bCs/>
          <w:sz w:val="24"/>
          <w:szCs w:val="24"/>
        </w:rPr>
        <w:t xml:space="preserve">Concerning the passenger ships macro-category, we considered in detail three different sub-classes: passenger ships in the strict sense, RoRo passenger ships, and dynamically supported crafts. We accounted only for the </w:t>
      </w:r>
      <w:r>
        <w:rPr>
          <w:rFonts w:ascii="Times New Roman" w:hAnsi="Times New Roman" w:cs="Times New Roman"/>
          <w:b/>
          <w:bCs/>
          <w:sz w:val="24"/>
          <w:szCs w:val="24"/>
        </w:rPr>
        <w:t>*</w:t>
      </w:r>
      <w:r>
        <w:rPr>
          <w:rFonts w:ascii="Times New Roman" w:hAnsi="Times New Roman" w:cs="Times New Roman"/>
          <w:bCs/>
          <w:i/>
          <w:sz w:val="24"/>
          <w:szCs w:val="24"/>
        </w:rPr>
        <w:t>Vessel* Immediate</w:t>
      </w:r>
      <w:r>
        <w:rPr>
          <w:rFonts w:ascii="Times New Roman" w:hAnsi="Times New Roman" w:cs="Times New Roman"/>
          <w:bCs/>
          <w:sz w:val="24"/>
          <w:szCs w:val="24"/>
        </w:rPr>
        <w:t xml:space="preserve"> </w:t>
      </w:r>
      <w:r>
        <w:rPr>
          <w:rFonts w:ascii="Times New Roman" w:hAnsi="Times New Roman" w:cs="Times New Roman"/>
          <w:bCs/>
          <w:i/>
          <w:sz w:val="24"/>
          <w:szCs w:val="24"/>
        </w:rPr>
        <w:t xml:space="preserve">Costs </w:t>
      </w:r>
      <w:r>
        <w:rPr>
          <w:rFonts w:ascii="Times New Roman" w:hAnsi="Times New Roman" w:cs="Times New Roman"/>
          <w:bCs/>
          <w:sz w:val="24"/>
          <w:szCs w:val="24"/>
        </w:rPr>
        <w:t>of passenger ships, because we assumed that Venice will maintain its attractiveness for passengers in the future, hence memory effect could be disregarded.</w:t>
      </w:r>
    </w:p>
    <w:p>
      <w:pPr>
        <w:widowControl w:val="0"/>
        <w:jc w:val="both"/>
        <w:rPr>
          <w:rFonts w:ascii="Times New Roman" w:hAnsi="Times New Roman" w:cs="Times New Roman"/>
          <w:sz w:val="24"/>
          <w:szCs w:val="24"/>
        </w:rPr>
      </w:pPr>
      <w:r>
        <w:rPr>
          <w:rFonts w:ascii="Times New Roman" w:hAnsi="Times New Roman" w:cs="Times New Roman"/>
          <w:sz w:val="24"/>
          <w:szCs w:val="24"/>
        </w:rPr>
        <w:t>Figure A.2 shows the overall costs that will have to be borne by the Port over time under the four different scenarios considered.</w:t>
      </w:r>
    </w:p>
    <w:p>
      <w:pPr>
        <w:widowControl w:val="0"/>
        <w:jc w:val="both"/>
        <w:rPr>
          <w:rFonts w:ascii="Times New Roman" w:hAnsi="Times New Roman" w:cs="Times New Roman"/>
          <w:bCs/>
          <w:sz w:val="24"/>
          <w:szCs w:val="24"/>
        </w:rPr>
      </w:pPr>
    </w:p>
    <w:p>
      <w:pPr>
        <w:widowControl w:val="0"/>
        <w:ind w:left="360"/>
        <w:jc w:val="center"/>
        <w:rPr>
          <w:rFonts w:ascii="Times New Roman" w:hAnsi="Times New Roman" w:cs="Times New Roman"/>
          <w:bCs/>
          <w:sz w:val="24"/>
          <w:szCs w:val="24"/>
        </w:rPr>
      </w:pPr>
      <w:r>
        <w:rPr>
          <w:rFonts w:ascii="Times New Roman" w:hAnsi="Times New Roman" w:cs="Times New Roman"/>
          <w:bCs/>
          <w:sz w:val="24"/>
          <w:szCs w:val="24"/>
          <w:lang w:val="it-IT" w:eastAsia="it-IT"/>
        </w:rPr>
        <w:drawing>
          <wp:inline distT="0" distB="0" distL="0" distR="0">
            <wp:extent cx="4572000" cy="2743200"/>
            <wp:effectExtent l="0" t="0" r="0"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magine 20"/>
                    <pic:cNvPicPr preferRelativeResize="0">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4572000" cy="2743200"/>
                    </a:xfrm>
                    <a:prstGeom prst="rect">
                      <a:avLst/>
                    </a:prstGeom>
                    <a:noFill/>
                  </pic:spPr>
                </pic:pic>
              </a:graphicData>
            </a:graphic>
          </wp:inline>
        </w:drawing>
      </w:r>
    </w:p>
    <w:p>
      <w:pPr>
        <w:widowControl w:val="0"/>
        <w:jc w:val="center"/>
        <w:rPr>
          <w:rFonts w:ascii="Times New Roman" w:hAnsi="Times New Roman" w:cs="Times New Roman"/>
          <w:bCs/>
          <w:i/>
          <w:iCs/>
          <w:sz w:val="20"/>
          <w:szCs w:val="24"/>
        </w:rPr>
      </w:pPr>
      <w:r>
        <w:rPr>
          <w:rFonts w:ascii="Times New Roman" w:hAnsi="Times New Roman" w:cs="Times New Roman"/>
          <w:bCs/>
          <w:i/>
          <w:iCs/>
          <w:sz w:val="20"/>
          <w:szCs w:val="24"/>
        </w:rPr>
        <w:t>Fig A.7 Port costs according to four different scenarios</w:t>
      </w:r>
    </w:p>
    <w:p>
      <w:pPr>
        <w:widowControl w:val="0"/>
        <w:rPr>
          <w:rFonts w:ascii="Times New Roman" w:hAnsi="Times New Roman" w:cs="Times New Roman"/>
          <w:bCs/>
          <w:i/>
          <w:iCs/>
          <w:sz w:val="20"/>
          <w:szCs w:val="20"/>
        </w:rPr>
      </w:pPr>
    </w:p>
    <w:p>
      <w:pPr>
        <w:pStyle w:val="3"/>
        <w:keepNext w:val="0"/>
        <w:keepLines w:val="0"/>
        <w:widowControl w:val="0"/>
        <w:rPr>
          <w:b/>
        </w:rPr>
      </w:pPr>
      <w:bookmarkStart w:id="25" w:name="_Toc156227484"/>
      <w:bookmarkStart w:id="26" w:name="_Toc121130343"/>
      <w:r>
        <w:rPr>
          <w:b/>
        </w:rPr>
        <w:t>SENSITIVITY ANALYSIS</w:t>
      </w:r>
      <w:bookmarkEnd w:id="25"/>
      <w:r>
        <w:rPr>
          <w:b/>
        </w:rPr>
        <w:t xml:space="preserve"> </w:t>
      </w:r>
      <w:bookmarkEnd w:id="26"/>
    </w:p>
    <w:p>
      <w:pPr>
        <w:pStyle w:val="4"/>
        <w:ind w:left="720"/>
      </w:pPr>
      <w:bookmarkStart w:id="27" w:name="_Toc156227485"/>
      <w:r>
        <w:t>HISTORICAL RECORDS</w:t>
      </w:r>
      <w:bookmarkEnd w:id="27"/>
    </w:p>
    <w:p>
      <w:pPr>
        <w:widowControl w:val="0"/>
        <w:jc w:val="both"/>
        <w:rPr>
          <w:rFonts w:ascii="Times New Roman" w:hAnsi="Times New Roman" w:cs="Times New Roman"/>
          <w:bCs/>
          <w:sz w:val="24"/>
          <w:szCs w:val="24"/>
        </w:rPr>
      </w:pPr>
      <w:r>
        <w:rPr>
          <w:rFonts w:ascii="Times New Roman" w:hAnsi="Times New Roman" w:cs="Times New Roman"/>
          <w:bCs/>
          <w:sz w:val="24"/>
          <w:szCs w:val="24"/>
        </w:rPr>
        <w:t>Monte Carlo Analysis provided by the Vensim</w:t>
      </w:r>
      <w:r>
        <w:rPr>
          <w:rFonts w:ascii="Times New Roman" w:hAnsi="Times New Roman" w:cs="Times New Roman"/>
          <w:bCs/>
          <w:sz w:val="24"/>
          <w:szCs w:val="24"/>
          <w:vertAlign w:val="superscript"/>
        </w:rPr>
        <w:t>TM</w:t>
      </w:r>
      <w:r>
        <w:rPr>
          <w:rFonts w:ascii="Times New Roman" w:hAnsi="Times New Roman" w:cs="Times New Roman"/>
          <w:bCs/>
          <w:sz w:val="24"/>
          <w:szCs w:val="24"/>
        </w:rPr>
        <w:t xml:space="preserve"> modelling software was used to explore the sensitivity of the model to varying values of key parameters. </w:t>
      </w:r>
    </w:p>
    <w:p>
      <w:pPr>
        <w:widowControl w:val="0"/>
        <w:jc w:val="both"/>
        <w:rPr>
          <w:rFonts w:ascii="Times New Roman" w:hAnsi="Times New Roman" w:cs="Times New Roman"/>
          <w:bCs/>
          <w:sz w:val="24"/>
          <w:szCs w:val="24"/>
        </w:rPr>
      </w:pPr>
      <w:r>
        <w:rPr>
          <w:rFonts w:ascii="Times New Roman" w:hAnsi="Times New Roman" w:cs="Times New Roman"/>
          <w:sz w:val="24"/>
          <w:szCs w:val="24"/>
        </w:rPr>
        <w:t xml:space="preserve">For this purpose, we concentrated on the +/- 25% variations of the values of the following parameters, adopted for the city cost module: </w:t>
      </w:r>
      <w:r>
        <w:rPr>
          <w:rFonts w:ascii="Times New Roman" w:hAnsi="Times New Roman" w:cs="Times New Roman"/>
          <w:b/>
          <w:bCs/>
          <w:sz w:val="24"/>
          <w:szCs w:val="24"/>
        </w:rPr>
        <w:t>Average Expense per Tourist</w:t>
      </w:r>
      <w:r>
        <w:rPr>
          <w:rFonts w:ascii="Times New Roman" w:hAnsi="Times New Roman" w:cs="Times New Roman"/>
          <w:sz w:val="24"/>
          <w:szCs w:val="24"/>
        </w:rPr>
        <w:t>,</w:t>
      </w:r>
      <w:r>
        <w:t xml:space="preserve"> </w:t>
      </w:r>
      <w:r>
        <w:rPr>
          <w:rFonts w:ascii="Times New Roman" w:hAnsi="Times New Roman" w:cs="Times New Roman"/>
          <w:b/>
          <w:bCs/>
          <w:sz w:val="24"/>
          <w:szCs w:val="24"/>
        </w:rPr>
        <w:t>Average Expense per Excursionist</w:t>
      </w:r>
      <w:r>
        <w:rPr>
          <w:rFonts w:ascii="Times New Roman" w:hAnsi="Times New Roman" w:cs="Times New Roman"/>
          <w:sz w:val="24"/>
          <w:szCs w:val="24"/>
        </w:rPr>
        <w:t xml:space="preserve">, </w:t>
      </w:r>
      <w:r>
        <w:rPr>
          <w:rFonts w:ascii="Times New Roman" w:hAnsi="Times New Roman" w:cs="Times New Roman"/>
          <w:b/>
          <w:bCs/>
          <w:sz w:val="24"/>
          <w:szCs w:val="24"/>
        </w:rPr>
        <w:t>Baby Sitter Unitary Cost</w:t>
      </w:r>
      <w:r>
        <w:rPr>
          <w:rFonts w:ascii="Times New Roman" w:hAnsi="Times New Roman" w:cs="Times New Roman"/>
          <w:sz w:val="24"/>
          <w:szCs w:val="24"/>
        </w:rPr>
        <w:t>,</w:t>
      </w:r>
      <w:r>
        <w:t xml:space="preserve"> </w:t>
      </w:r>
      <w:r>
        <w:rPr>
          <w:rFonts w:ascii="Times New Roman" w:hAnsi="Times New Roman" w:cs="Times New Roman"/>
          <w:b/>
          <w:bCs/>
          <w:sz w:val="24"/>
          <w:szCs w:val="24"/>
        </w:rPr>
        <w:t>Care Giver Unitary Cost</w:t>
      </w:r>
      <w:r>
        <w:rPr>
          <w:rFonts w:ascii="Times New Roman" w:hAnsi="Times New Roman" w:cs="Times New Roman"/>
          <w:sz w:val="24"/>
          <w:szCs w:val="24"/>
        </w:rPr>
        <w:t xml:space="preserve">, and </w:t>
      </w:r>
      <w:r>
        <w:rPr>
          <w:rFonts w:ascii="Times New Roman" w:hAnsi="Times New Roman" w:cs="Times New Roman"/>
          <w:b/>
          <w:bCs/>
          <w:sz w:val="24"/>
          <w:szCs w:val="24"/>
        </w:rPr>
        <w:t>Unitary Costs</w:t>
      </w:r>
      <w:r>
        <w:rPr>
          <w:rFonts w:ascii="Times New Roman" w:hAnsi="Times New Roman" w:cs="Times New Roman"/>
          <w:sz w:val="24"/>
          <w:szCs w:val="24"/>
        </w:rPr>
        <w:t xml:space="preserve"> related to the different parts of the Building Costs including residential and commercial sectors as reported in Table A.8.</w:t>
      </w:r>
    </w:p>
    <w:tbl>
      <w:tblPr>
        <w:tblStyle w:val="50"/>
        <w:tblW w:w="9351" w:type="dxa"/>
        <w:tblInd w:w="0" w:type="dxa"/>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Layout w:type="autofit"/>
        <w:tblCellMar>
          <w:top w:w="0" w:type="dxa"/>
          <w:left w:w="108" w:type="dxa"/>
          <w:bottom w:w="0" w:type="dxa"/>
          <w:right w:w="108" w:type="dxa"/>
        </w:tblCellMar>
      </w:tblPr>
      <w:tblGrid>
        <w:gridCol w:w="4957"/>
        <w:gridCol w:w="1417"/>
        <w:gridCol w:w="1559"/>
        <w:gridCol w:w="1418"/>
      </w:tblGrid>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c>
          <w:tcPr>
            <w:tcW w:w="4957" w:type="dxa"/>
            <w:tcBorders>
              <w:top w:val="single" w:color="A5A5A5" w:themeColor="accent3" w:sz="4" w:space="0"/>
              <w:left w:val="single" w:color="A5A5A5" w:themeColor="accent3" w:sz="4" w:space="0"/>
              <w:bottom w:val="single" w:color="A5A5A5" w:themeColor="accent3" w:sz="4" w:space="0"/>
              <w:insideH w:val="single" w:sz="4" w:space="0"/>
            </w:tcBorders>
            <w:shd w:val="clear" w:color="auto" w:fill="A5A5A5" w:themeFill="accent3"/>
            <w:noWrap/>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Parameters</w:t>
            </w:r>
          </w:p>
        </w:tc>
        <w:tc>
          <w:tcPr>
            <w:tcW w:w="1417" w:type="dxa"/>
            <w:tcBorders>
              <w:top w:val="single" w:color="A5A5A5" w:themeColor="accent3" w:sz="4" w:space="0"/>
              <w:bottom w:val="single" w:color="A5A5A5" w:themeColor="accent3" w:sz="4" w:space="0"/>
              <w:insideH w:val="single" w:sz="4" w:space="0"/>
            </w:tcBorders>
            <w:shd w:val="clear" w:color="auto" w:fill="A5A5A5" w:themeFill="accent3"/>
            <w:noWrap/>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actual level</w:t>
            </w:r>
          </w:p>
        </w:tc>
        <w:tc>
          <w:tcPr>
            <w:tcW w:w="1559" w:type="dxa"/>
            <w:tcBorders>
              <w:top w:val="single" w:color="A5A5A5" w:themeColor="accent3" w:sz="4" w:space="0"/>
              <w:bottom w:val="single" w:color="A5A5A5" w:themeColor="accent3" w:sz="4" w:space="0"/>
              <w:insideH w:val="single" w:sz="4" w:space="0"/>
            </w:tcBorders>
            <w:shd w:val="clear" w:color="auto" w:fill="A5A5A5" w:themeFill="accent3"/>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lower bound</w:t>
            </w:r>
          </w:p>
        </w:tc>
        <w:tc>
          <w:tcPr>
            <w:tcW w:w="1418" w:type="dxa"/>
            <w:tcBorders>
              <w:top w:val="single" w:color="A5A5A5" w:themeColor="accent3" w:sz="4" w:space="0"/>
              <w:bottom w:val="single" w:color="A5A5A5" w:themeColor="accent3" w:sz="4" w:space="0"/>
              <w:right w:val="single" w:color="A5A5A5" w:themeColor="accent3" w:sz="4" w:space="0"/>
              <w:insideH w:val="single" w:sz="4" w:space="0"/>
            </w:tcBorders>
            <w:shd w:val="clear" w:color="auto" w:fill="A5A5A5" w:themeFill="accent3"/>
          </w:tcPr>
          <w:p>
            <w:pPr>
              <w:widowControl w:val="0"/>
              <w:spacing w:after="0" w:line="240"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 xml:space="preserve">upper bound </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c>
          <w:tcPr>
            <w:tcW w:w="4957" w:type="dxa"/>
            <w:shd w:val="clear" w:color="auto" w:fill="ECECEC" w:themeFill="accent3" w:themeFillTint="33"/>
          </w:tcPr>
          <w:p>
            <w:pPr>
              <w:widowControl w:val="0"/>
              <w:spacing w:after="0" w:line="276"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Average Expense per Tourist</w:t>
            </w:r>
          </w:p>
        </w:tc>
        <w:tc>
          <w:tcPr>
            <w:tcW w:w="1417" w:type="dxa"/>
            <w:shd w:val="clear" w:color="auto" w:fill="ECECEC" w:themeFill="accent3" w:themeFillTint="33"/>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181.29</w:t>
            </w:r>
          </w:p>
        </w:tc>
        <w:tc>
          <w:tcPr>
            <w:tcW w:w="1559" w:type="dxa"/>
            <w:shd w:val="clear" w:color="auto" w:fill="ECECEC" w:themeFill="accent3" w:themeFillTint="33"/>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136.00</w:t>
            </w:r>
          </w:p>
        </w:tc>
        <w:tc>
          <w:tcPr>
            <w:tcW w:w="1418" w:type="dxa"/>
            <w:shd w:val="clear" w:color="auto" w:fill="ECECEC" w:themeFill="accent3" w:themeFillTint="33"/>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227.00</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c>
          <w:tcPr>
            <w:tcW w:w="4957" w:type="dxa"/>
          </w:tcPr>
          <w:p>
            <w:pPr>
              <w:widowControl w:val="0"/>
              <w:spacing w:after="0" w:line="276"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Average Expense per Excursionist</w:t>
            </w:r>
          </w:p>
        </w:tc>
        <w:tc>
          <w:tcPr>
            <w:tcW w:w="1417" w:type="dxa"/>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47.00</w:t>
            </w:r>
          </w:p>
        </w:tc>
        <w:tc>
          <w:tcPr>
            <w:tcW w:w="1559" w:type="dxa"/>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35.00</w:t>
            </w:r>
          </w:p>
        </w:tc>
        <w:tc>
          <w:tcPr>
            <w:tcW w:w="1418" w:type="dxa"/>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59.00</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c>
          <w:tcPr>
            <w:tcW w:w="4957" w:type="dxa"/>
            <w:shd w:val="clear" w:color="auto" w:fill="ECECEC" w:themeFill="accent3" w:themeFillTint="33"/>
          </w:tcPr>
          <w:p>
            <w:pPr>
              <w:widowControl w:val="0"/>
              <w:spacing w:after="0" w:line="276"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Baby Sitter Unitary Cost</w:t>
            </w:r>
          </w:p>
        </w:tc>
        <w:tc>
          <w:tcPr>
            <w:tcW w:w="1417" w:type="dxa"/>
            <w:shd w:val="clear" w:color="auto" w:fill="ECECEC" w:themeFill="accent3" w:themeFillTint="33"/>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55.70</w:t>
            </w:r>
          </w:p>
        </w:tc>
        <w:tc>
          <w:tcPr>
            <w:tcW w:w="1559" w:type="dxa"/>
            <w:shd w:val="clear" w:color="auto" w:fill="ECECEC" w:themeFill="accent3" w:themeFillTint="33"/>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42.00</w:t>
            </w:r>
          </w:p>
        </w:tc>
        <w:tc>
          <w:tcPr>
            <w:tcW w:w="1418" w:type="dxa"/>
            <w:shd w:val="clear" w:color="auto" w:fill="ECECEC" w:themeFill="accent3" w:themeFillTint="33"/>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70.00</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c>
          <w:tcPr>
            <w:tcW w:w="4957" w:type="dxa"/>
          </w:tcPr>
          <w:p>
            <w:pPr>
              <w:widowControl w:val="0"/>
              <w:spacing w:after="0" w:line="276"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Care Giver Unitary Cost</w:t>
            </w:r>
          </w:p>
        </w:tc>
        <w:tc>
          <w:tcPr>
            <w:tcW w:w="1417" w:type="dxa"/>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42.76</w:t>
            </w:r>
          </w:p>
        </w:tc>
        <w:tc>
          <w:tcPr>
            <w:tcW w:w="1559" w:type="dxa"/>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32.00</w:t>
            </w:r>
          </w:p>
        </w:tc>
        <w:tc>
          <w:tcPr>
            <w:tcW w:w="1418" w:type="dxa"/>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53.00</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c>
          <w:tcPr>
            <w:tcW w:w="4957" w:type="dxa"/>
            <w:shd w:val="clear" w:color="auto" w:fill="ECECEC" w:themeFill="accent3" w:themeFillTint="33"/>
          </w:tcPr>
          <w:p>
            <w:pPr>
              <w:widowControl w:val="0"/>
              <w:spacing w:after="0" w:line="276"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Commercial Internal walls plastering Unitary Costs</w:t>
            </w:r>
          </w:p>
        </w:tc>
        <w:tc>
          <w:tcPr>
            <w:tcW w:w="1417" w:type="dxa"/>
            <w:shd w:val="clear" w:color="auto" w:fill="ECECEC" w:themeFill="accent3" w:themeFillTint="33"/>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1059.40</w:t>
            </w:r>
          </w:p>
        </w:tc>
        <w:tc>
          <w:tcPr>
            <w:tcW w:w="1559" w:type="dxa"/>
            <w:shd w:val="clear" w:color="auto" w:fill="ECECEC" w:themeFill="accent3" w:themeFillTint="33"/>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795.00</w:t>
            </w:r>
          </w:p>
        </w:tc>
        <w:tc>
          <w:tcPr>
            <w:tcW w:w="1418" w:type="dxa"/>
            <w:shd w:val="clear" w:color="auto" w:fill="ECECEC" w:themeFill="accent3" w:themeFillTint="33"/>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1324.00</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c>
          <w:tcPr>
            <w:tcW w:w="4957" w:type="dxa"/>
          </w:tcPr>
          <w:p>
            <w:pPr>
              <w:widowControl w:val="0"/>
              <w:spacing w:after="0" w:line="276"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Commercial External walls plastering Unitary Costs</w:t>
            </w:r>
          </w:p>
        </w:tc>
        <w:tc>
          <w:tcPr>
            <w:tcW w:w="1417" w:type="dxa"/>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399.94</w:t>
            </w:r>
          </w:p>
        </w:tc>
        <w:tc>
          <w:tcPr>
            <w:tcW w:w="1559" w:type="dxa"/>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300.00</w:t>
            </w:r>
          </w:p>
        </w:tc>
        <w:tc>
          <w:tcPr>
            <w:tcW w:w="1418" w:type="dxa"/>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500.00</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c>
          <w:tcPr>
            <w:tcW w:w="4957" w:type="dxa"/>
            <w:shd w:val="clear" w:color="auto" w:fill="ECECEC" w:themeFill="accent3" w:themeFillTint="33"/>
          </w:tcPr>
          <w:p>
            <w:pPr>
              <w:widowControl w:val="0"/>
              <w:spacing w:after="0" w:line="276"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Commercial External doors Unitary Costs</w:t>
            </w:r>
          </w:p>
        </w:tc>
        <w:tc>
          <w:tcPr>
            <w:tcW w:w="1417" w:type="dxa"/>
            <w:shd w:val="clear" w:color="auto" w:fill="ECECEC" w:themeFill="accent3" w:themeFillTint="33"/>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20.23</w:t>
            </w:r>
          </w:p>
        </w:tc>
        <w:tc>
          <w:tcPr>
            <w:tcW w:w="1559" w:type="dxa"/>
            <w:shd w:val="clear" w:color="auto" w:fill="ECECEC" w:themeFill="accent3" w:themeFillTint="33"/>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15.00</w:t>
            </w:r>
          </w:p>
        </w:tc>
        <w:tc>
          <w:tcPr>
            <w:tcW w:w="1418" w:type="dxa"/>
            <w:shd w:val="clear" w:color="auto" w:fill="ECECEC" w:themeFill="accent3" w:themeFillTint="33"/>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25.00</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c>
          <w:tcPr>
            <w:tcW w:w="4957" w:type="dxa"/>
          </w:tcPr>
          <w:p>
            <w:pPr>
              <w:widowControl w:val="0"/>
              <w:spacing w:after="0" w:line="276"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Commercial Internal doors Unitary Costs</w:t>
            </w:r>
          </w:p>
        </w:tc>
        <w:tc>
          <w:tcPr>
            <w:tcW w:w="1417" w:type="dxa"/>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481.35</w:t>
            </w:r>
          </w:p>
        </w:tc>
        <w:tc>
          <w:tcPr>
            <w:tcW w:w="1559" w:type="dxa"/>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361.00</w:t>
            </w:r>
          </w:p>
        </w:tc>
        <w:tc>
          <w:tcPr>
            <w:tcW w:w="1418" w:type="dxa"/>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602.00</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c>
          <w:tcPr>
            <w:tcW w:w="4957" w:type="dxa"/>
            <w:shd w:val="clear" w:color="auto" w:fill="ECECEC" w:themeFill="accent3" w:themeFillTint="33"/>
          </w:tcPr>
          <w:p>
            <w:pPr>
              <w:widowControl w:val="0"/>
              <w:spacing w:after="0" w:line="276"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Commercial Floor Unitary Costs</w:t>
            </w:r>
          </w:p>
        </w:tc>
        <w:tc>
          <w:tcPr>
            <w:tcW w:w="1417" w:type="dxa"/>
            <w:shd w:val="clear" w:color="auto" w:fill="ECECEC" w:themeFill="accent3" w:themeFillTint="33"/>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7.62</w:t>
            </w:r>
          </w:p>
        </w:tc>
        <w:tc>
          <w:tcPr>
            <w:tcW w:w="1559" w:type="dxa"/>
            <w:shd w:val="clear" w:color="auto" w:fill="ECECEC" w:themeFill="accent3" w:themeFillTint="33"/>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6.00</w:t>
            </w:r>
          </w:p>
        </w:tc>
        <w:tc>
          <w:tcPr>
            <w:tcW w:w="1418" w:type="dxa"/>
            <w:shd w:val="clear" w:color="auto" w:fill="ECECEC" w:themeFill="accent3" w:themeFillTint="33"/>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10.00</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c>
          <w:tcPr>
            <w:tcW w:w="4957" w:type="dxa"/>
          </w:tcPr>
          <w:p>
            <w:pPr>
              <w:widowControl w:val="0"/>
              <w:spacing w:after="0" w:line="276"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Residential Internal walls plastering Unitary Costs</w:t>
            </w:r>
          </w:p>
        </w:tc>
        <w:tc>
          <w:tcPr>
            <w:tcW w:w="1417" w:type="dxa"/>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1333.63</w:t>
            </w:r>
          </w:p>
        </w:tc>
        <w:tc>
          <w:tcPr>
            <w:tcW w:w="1559" w:type="dxa"/>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1000.00</w:t>
            </w:r>
          </w:p>
        </w:tc>
        <w:tc>
          <w:tcPr>
            <w:tcW w:w="1418" w:type="dxa"/>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1667.00</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c>
          <w:tcPr>
            <w:tcW w:w="4957" w:type="dxa"/>
            <w:shd w:val="clear" w:color="auto" w:fill="ECECEC" w:themeFill="accent3" w:themeFillTint="33"/>
          </w:tcPr>
          <w:p>
            <w:pPr>
              <w:widowControl w:val="0"/>
              <w:spacing w:after="0" w:line="276"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Residential External walls plastering Unitary Costs</w:t>
            </w:r>
          </w:p>
        </w:tc>
        <w:tc>
          <w:tcPr>
            <w:tcW w:w="1417" w:type="dxa"/>
            <w:shd w:val="clear" w:color="auto" w:fill="ECECEC" w:themeFill="accent3" w:themeFillTint="33"/>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477.56</w:t>
            </w:r>
          </w:p>
        </w:tc>
        <w:tc>
          <w:tcPr>
            <w:tcW w:w="1559" w:type="dxa"/>
            <w:shd w:val="clear" w:color="auto" w:fill="ECECEC" w:themeFill="accent3" w:themeFillTint="33"/>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358.00</w:t>
            </w:r>
          </w:p>
        </w:tc>
        <w:tc>
          <w:tcPr>
            <w:tcW w:w="1418" w:type="dxa"/>
            <w:shd w:val="clear" w:color="auto" w:fill="ECECEC" w:themeFill="accent3" w:themeFillTint="33"/>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597.00</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c>
          <w:tcPr>
            <w:tcW w:w="4957" w:type="dxa"/>
          </w:tcPr>
          <w:p>
            <w:pPr>
              <w:widowControl w:val="0"/>
              <w:spacing w:after="0" w:line="276"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Residential External doors Unitary Costs</w:t>
            </w:r>
          </w:p>
        </w:tc>
        <w:tc>
          <w:tcPr>
            <w:tcW w:w="1417" w:type="dxa"/>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20.23</w:t>
            </w:r>
          </w:p>
        </w:tc>
        <w:tc>
          <w:tcPr>
            <w:tcW w:w="1559" w:type="dxa"/>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15.00</w:t>
            </w:r>
          </w:p>
        </w:tc>
        <w:tc>
          <w:tcPr>
            <w:tcW w:w="1418" w:type="dxa"/>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25.00</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c>
          <w:tcPr>
            <w:tcW w:w="4957" w:type="dxa"/>
            <w:shd w:val="clear" w:color="auto" w:fill="ECECEC" w:themeFill="accent3" w:themeFillTint="33"/>
          </w:tcPr>
          <w:p>
            <w:pPr>
              <w:widowControl w:val="0"/>
              <w:spacing w:after="0" w:line="276"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Residential Internal doors Unitary Costs</w:t>
            </w:r>
          </w:p>
        </w:tc>
        <w:tc>
          <w:tcPr>
            <w:tcW w:w="1417" w:type="dxa"/>
            <w:shd w:val="clear" w:color="auto" w:fill="ECECEC" w:themeFill="accent3" w:themeFillTint="33"/>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224.49</w:t>
            </w:r>
          </w:p>
        </w:tc>
        <w:tc>
          <w:tcPr>
            <w:tcW w:w="1559" w:type="dxa"/>
            <w:shd w:val="clear" w:color="auto" w:fill="ECECEC" w:themeFill="accent3" w:themeFillTint="33"/>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168.00</w:t>
            </w:r>
          </w:p>
        </w:tc>
        <w:tc>
          <w:tcPr>
            <w:tcW w:w="1418" w:type="dxa"/>
            <w:shd w:val="clear" w:color="auto" w:fill="ECECEC" w:themeFill="accent3" w:themeFillTint="33"/>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281.00</w:t>
            </w:r>
          </w:p>
        </w:tc>
      </w:tr>
      <w:tr>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none" w:color="auto" w:sz="0" w:space="0"/>
          </w:tblBorders>
          <w:tblCellMar>
            <w:top w:w="0" w:type="dxa"/>
            <w:left w:w="108" w:type="dxa"/>
            <w:bottom w:w="0" w:type="dxa"/>
            <w:right w:w="108" w:type="dxa"/>
          </w:tblCellMar>
        </w:tblPrEx>
        <w:tc>
          <w:tcPr>
            <w:tcW w:w="4957" w:type="dxa"/>
          </w:tcPr>
          <w:p>
            <w:pPr>
              <w:widowControl w:val="0"/>
              <w:spacing w:after="0" w:line="276" w:lineRule="auto"/>
              <w:jc w:val="center"/>
              <w:rPr>
                <w:rFonts w:ascii="Times New Roman" w:hAnsi="Times New Roman" w:eastAsia="Times New Roman" w:cs="Times New Roman"/>
                <w:b w:val="0"/>
                <w:bCs/>
                <w:color w:val="000000"/>
                <w:lang w:eastAsia="en-GB"/>
              </w:rPr>
            </w:pPr>
            <w:r>
              <w:rPr>
                <w:rFonts w:ascii="Times New Roman" w:hAnsi="Times New Roman" w:eastAsia="Times New Roman" w:cs="Times New Roman"/>
                <w:b w:val="0"/>
                <w:bCs/>
                <w:color w:val="000000"/>
                <w:lang w:eastAsia="en-GB"/>
              </w:rPr>
              <w:t>Residential Floor Unitary Costs</w:t>
            </w:r>
          </w:p>
        </w:tc>
        <w:tc>
          <w:tcPr>
            <w:tcW w:w="1417" w:type="dxa"/>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5.69</w:t>
            </w:r>
          </w:p>
        </w:tc>
        <w:tc>
          <w:tcPr>
            <w:tcW w:w="1559" w:type="dxa"/>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4.00</w:t>
            </w:r>
          </w:p>
        </w:tc>
        <w:tc>
          <w:tcPr>
            <w:tcW w:w="1418" w:type="dxa"/>
            <w:noWrap/>
          </w:tcPr>
          <w:p>
            <w:pPr>
              <w:widowControl w:val="0"/>
              <w:spacing w:after="0" w:line="276" w:lineRule="auto"/>
              <w:jc w:val="center"/>
              <w:rPr>
                <w:rFonts w:ascii="Times New Roman" w:hAnsi="Times New Roman" w:eastAsia="Times New Roman" w:cs="Times New Roman"/>
                <w:color w:val="000000"/>
                <w:lang w:eastAsia="en-GB"/>
              </w:rPr>
            </w:pPr>
            <w:r>
              <w:rPr>
                <w:rFonts w:ascii="Times New Roman" w:hAnsi="Times New Roman" w:eastAsia="Times New Roman" w:cs="Times New Roman"/>
                <w:color w:val="000000"/>
                <w:lang w:eastAsia="en-GB"/>
              </w:rPr>
              <w:t>7.00</w:t>
            </w:r>
          </w:p>
        </w:tc>
      </w:tr>
    </w:tbl>
    <w:p>
      <w:pPr>
        <w:widowControl w:val="0"/>
        <w:jc w:val="center"/>
        <w:rPr>
          <w:rFonts w:ascii="Times New Roman" w:hAnsi="Times New Roman" w:cs="Times New Roman"/>
          <w:bCs/>
          <w:i/>
          <w:iCs/>
        </w:rPr>
      </w:pPr>
      <w:r>
        <w:rPr>
          <w:rFonts w:ascii="Times New Roman" w:hAnsi="Times New Roman" w:cs="Times New Roman"/>
          <w:bCs/>
          <w:i/>
          <w:iCs/>
        </w:rPr>
        <w:t>Tab A.8 Estimated parameters and related range of variation for sensitivity analysis.</w:t>
      </w:r>
    </w:p>
    <w:p>
      <w:pPr>
        <w:widowControl w:val="0"/>
        <w:jc w:val="center"/>
        <w:rPr>
          <w:rFonts w:ascii="Times New Roman" w:hAnsi="Times New Roman" w:cs="Times New Roman"/>
          <w:bCs/>
          <w:i/>
          <w:iCs/>
        </w:rPr>
      </w:pPr>
    </w:p>
    <w:p>
      <w:pPr>
        <w:widowControl w:val="0"/>
        <w:jc w:val="both"/>
        <w:rPr>
          <w:rFonts w:ascii="Times New Roman" w:hAnsi="Times New Roman" w:cs="Times New Roman"/>
          <w:bCs/>
          <w:sz w:val="24"/>
          <w:szCs w:val="24"/>
        </w:rPr>
      </w:pPr>
      <w:r>
        <w:rPr>
          <w:rFonts w:ascii="Times New Roman" w:hAnsi="Times New Roman" w:cs="Times New Roman"/>
          <w:bCs/>
          <w:sz w:val="24"/>
          <w:szCs w:val="24"/>
        </w:rPr>
        <w:t xml:space="preserve">We performed 200 simulations using a uniform random distribution of the parameters. Figures A.8, A.9 and A.10 report the results of the sensitivity analysis for changes in the parameters related to the building costs, tourism costs and population costs are considered separately. </w:t>
      </w:r>
    </w:p>
    <w:p>
      <w:pPr>
        <w:widowControl w:val="0"/>
        <w:jc w:val="center"/>
        <w:rPr>
          <w:rFonts w:ascii="Times New Roman" w:hAnsi="Times New Roman" w:cs="Times New Roman"/>
          <w:bCs/>
          <w:sz w:val="24"/>
          <w:szCs w:val="24"/>
        </w:rPr>
      </w:pPr>
      <w:r>
        <w:rPr>
          <w:lang w:val="it-IT" w:eastAsia="it-IT"/>
        </w:rPr>
        <w:drawing>
          <wp:inline distT="0" distB="0" distL="0" distR="0">
            <wp:extent cx="3286760" cy="2037080"/>
            <wp:effectExtent l="0" t="0" r="0"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6"/>
                    <a:stretch>
                      <a:fillRect/>
                    </a:stretch>
                  </pic:blipFill>
                  <pic:spPr>
                    <a:xfrm>
                      <a:off x="0" y="0"/>
                      <a:ext cx="3286800" cy="2037600"/>
                    </a:xfrm>
                    <a:prstGeom prst="rect">
                      <a:avLst/>
                    </a:prstGeom>
                  </pic:spPr>
                </pic:pic>
              </a:graphicData>
            </a:graphic>
          </wp:inline>
        </w:drawing>
      </w:r>
    </w:p>
    <w:p>
      <w:pPr>
        <w:widowControl w:val="0"/>
        <w:jc w:val="center"/>
        <w:rPr>
          <w:rFonts w:ascii="Times New Roman" w:hAnsi="Times New Roman" w:cs="Times New Roman"/>
          <w:bCs/>
          <w:i/>
          <w:iCs/>
          <w:sz w:val="20"/>
          <w:szCs w:val="20"/>
        </w:rPr>
      </w:pPr>
      <w:r>
        <w:rPr>
          <w:rFonts w:ascii="Times New Roman" w:hAnsi="Times New Roman" w:cs="Times New Roman"/>
          <w:bCs/>
          <w:i/>
          <w:iCs/>
          <w:sz w:val="20"/>
          <w:szCs w:val="20"/>
        </w:rPr>
        <w:t>Fig A.8 Sensitivity analysis for change in parameters related to buildings (costs in billions of euros)</w:t>
      </w:r>
    </w:p>
    <w:p>
      <w:pPr>
        <w:widowControl w:val="0"/>
        <w:jc w:val="center"/>
        <w:rPr>
          <w:rFonts w:ascii="Times New Roman" w:hAnsi="Times New Roman" w:cs="Times New Roman"/>
          <w:bCs/>
          <w:sz w:val="24"/>
          <w:szCs w:val="24"/>
        </w:rPr>
      </w:pPr>
      <w:r>
        <w:rPr>
          <w:lang w:val="it-IT" w:eastAsia="it-IT"/>
        </w:rPr>
        <w:drawing>
          <wp:inline distT="0" distB="0" distL="0" distR="0">
            <wp:extent cx="3286760" cy="2037080"/>
            <wp:effectExtent l="0" t="0" r="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17"/>
                    <a:stretch>
                      <a:fillRect/>
                    </a:stretch>
                  </pic:blipFill>
                  <pic:spPr>
                    <a:xfrm>
                      <a:off x="0" y="0"/>
                      <a:ext cx="3286800" cy="2037600"/>
                    </a:xfrm>
                    <a:prstGeom prst="rect">
                      <a:avLst/>
                    </a:prstGeom>
                  </pic:spPr>
                </pic:pic>
              </a:graphicData>
            </a:graphic>
          </wp:inline>
        </w:drawing>
      </w:r>
    </w:p>
    <w:p>
      <w:pPr>
        <w:widowControl w:val="0"/>
        <w:jc w:val="center"/>
        <w:rPr>
          <w:rFonts w:ascii="Times New Roman" w:hAnsi="Times New Roman" w:cs="Times New Roman"/>
          <w:bCs/>
          <w:i/>
          <w:iCs/>
          <w:sz w:val="20"/>
          <w:szCs w:val="20"/>
        </w:rPr>
      </w:pPr>
      <w:r>
        <w:rPr>
          <w:rFonts w:ascii="Times New Roman" w:hAnsi="Times New Roman" w:cs="Times New Roman"/>
          <w:bCs/>
          <w:i/>
          <w:iCs/>
          <w:sz w:val="20"/>
          <w:szCs w:val="20"/>
        </w:rPr>
        <w:t>Fig A.9 Sensitivity analysis for change in parameters related to tourism (costs in billions of euros)</w:t>
      </w:r>
    </w:p>
    <w:p>
      <w:pPr>
        <w:widowControl w:val="0"/>
        <w:jc w:val="center"/>
        <w:rPr>
          <w:rFonts w:ascii="Times New Roman" w:hAnsi="Times New Roman" w:cs="Times New Roman"/>
          <w:bCs/>
          <w:sz w:val="24"/>
          <w:szCs w:val="24"/>
        </w:rPr>
      </w:pPr>
      <w:r>
        <w:rPr>
          <w:lang w:val="it-IT" w:eastAsia="it-IT"/>
        </w:rPr>
        <w:drawing>
          <wp:inline distT="0" distB="0" distL="0" distR="0">
            <wp:extent cx="3286760" cy="2037080"/>
            <wp:effectExtent l="0" t="0" r="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18"/>
                    <a:stretch>
                      <a:fillRect/>
                    </a:stretch>
                  </pic:blipFill>
                  <pic:spPr>
                    <a:xfrm>
                      <a:off x="0" y="0"/>
                      <a:ext cx="3286800" cy="2037600"/>
                    </a:xfrm>
                    <a:prstGeom prst="rect">
                      <a:avLst/>
                    </a:prstGeom>
                  </pic:spPr>
                </pic:pic>
              </a:graphicData>
            </a:graphic>
          </wp:inline>
        </w:drawing>
      </w:r>
    </w:p>
    <w:p>
      <w:pPr>
        <w:widowControl w:val="0"/>
        <w:jc w:val="center"/>
        <w:rPr>
          <w:rFonts w:ascii="Times New Roman" w:hAnsi="Times New Roman" w:cs="Times New Roman"/>
          <w:bCs/>
          <w:i/>
          <w:iCs/>
          <w:sz w:val="20"/>
          <w:szCs w:val="20"/>
        </w:rPr>
      </w:pPr>
      <w:r>
        <w:rPr>
          <w:rFonts w:ascii="Times New Roman" w:hAnsi="Times New Roman" w:cs="Times New Roman"/>
          <w:bCs/>
          <w:i/>
          <w:iCs/>
          <w:sz w:val="20"/>
          <w:szCs w:val="20"/>
        </w:rPr>
        <w:t>Fig A.10 Sensitivity analysis for change in parameters related to population (costs in billions of euros)</w:t>
      </w:r>
    </w:p>
    <w:p>
      <w:pPr>
        <w:widowControl w:val="0"/>
        <w:jc w:val="both"/>
        <w:rPr>
          <w:rFonts w:ascii="Times New Roman" w:hAnsi="Times New Roman" w:cs="Times New Roman"/>
          <w:sz w:val="24"/>
          <w:szCs w:val="24"/>
        </w:rPr>
      </w:pPr>
      <w:r>
        <w:rPr>
          <w:rFonts w:ascii="Times New Roman" w:hAnsi="Times New Roman" w:cs="Times New Roman"/>
          <w:sz w:val="24"/>
          <w:szCs w:val="24"/>
        </w:rPr>
        <w:t>Finally, Figure A.11 shows that the results of the sensitivity analysis considering all the above parameters show robustness qualitatively, and their variabilities are observed within reasonable limits.</w:t>
      </w:r>
    </w:p>
    <w:p>
      <w:pPr>
        <w:widowControl w:val="0"/>
        <w:jc w:val="center"/>
        <w:rPr>
          <w:rFonts w:ascii="Times New Roman" w:hAnsi="Times New Roman" w:eastAsia="Times New Roman" w:cs="Times New Roman"/>
          <w:sz w:val="26"/>
          <w:szCs w:val="26"/>
        </w:rPr>
      </w:pPr>
      <w:r>
        <w:rPr>
          <w:lang w:val="it-IT" w:eastAsia="it-IT"/>
        </w:rPr>
        <w:drawing>
          <wp:inline distT="0" distB="0" distL="0" distR="0">
            <wp:extent cx="3286760" cy="2037080"/>
            <wp:effectExtent l="0" t="0" r="0" b="127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pic:cNvPicPr>
                  </pic:nvPicPr>
                  <pic:blipFill>
                    <a:blip r:embed="rId19"/>
                    <a:stretch>
                      <a:fillRect/>
                    </a:stretch>
                  </pic:blipFill>
                  <pic:spPr>
                    <a:xfrm>
                      <a:off x="0" y="0"/>
                      <a:ext cx="3286800" cy="2037600"/>
                    </a:xfrm>
                    <a:prstGeom prst="rect">
                      <a:avLst/>
                    </a:prstGeom>
                  </pic:spPr>
                </pic:pic>
              </a:graphicData>
            </a:graphic>
          </wp:inline>
        </w:drawing>
      </w:r>
    </w:p>
    <w:p>
      <w:pPr>
        <w:widowControl w:val="0"/>
        <w:jc w:val="center"/>
        <w:rPr>
          <w:rFonts w:ascii="Times New Roman" w:hAnsi="Times New Roman" w:cs="Times New Roman"/>
          <w:bCs/>
          <w:i/>
          <w:iCs/>
          <w:sz w:val="20"/>
          <w:szCs w:val="20"/>
        </w:rPr>
      </w:pPr>
      <w:r>
        <w:rPr>
          <w:rFonts w:ascii="Times New Roman" w:hAnsi="Times New Roman" w:cs="Times New Roman"/>
          <w:bCs/>
          <w:i/>
          <w:iCs/>
          <w:sz w:val="20"/>
          <w:szCs w:val="20"/>
        </w:rPr>
        <w:t>Fig A.11 Sensitivity analysis for change in all the analyzed parameters</w:t>
      </w:r>
    </w:p>
    <w:p>
      <w:pPr>
        <w:widowControl w:val="0"/>
        <w:jc w:val="center"/>
        <w:rPr>
          <w:rFonts w:ascii="Times New Roman" w:hAnsi="Times New Roman" w:cs="Times New Roman"/>
          <w:bCs/>
          <w:i/>
          <w:iCs/>
          <w:sz w:val="24"/>
          <w:szCs w:val="24"/>
        </w:rPr>
      </w:pPr>
    </w:p>
    <w:p>
      <w:pPr>
        <w:pStyle w:val="4"/>
      </w:pPr>
      <w:bookmarkStart w:id="28" w:name="_Toc156227486"/>
      <w:r>
        <w:t>FUTURE SCENARIOS</w:t>
      </w:r>
      <w:bookmarkEnd w:id="28"/>
    </w:p>
    <w:p>
      <w:pPr>
        <w:widowControl w:val="0"/>
        <w:rPr>
          <w:rFonts w:ascii="Times New Roman" w:hAnsi="Times New Roman" w:cs="Times New Roman"/>
          <w:bCs/>
          <w:sz w:val="24"/>
          <w:szCs w:val="24"/>
        </w:rPr>
      </w:pPr>
      <w:r>
        <w:rPr>
          <w:rFonts w:ascii="Times New Roman" w:hAnsi="Times New Roman" w:cs="Times New Roman"/>
          <w:bCs/>
          <w:sz w:val="24"/>
          <w:szCs w:val="24"/>
        </w:rPr>
        <w:t>In this section, we investigate the sensitivity of city and port costs when Cost per closure and Closure level are varied considering RPC 2.6 and 8.5 scenarios.</w:t>
      </w:r>
    </w:p>
    <w:p>
      <w:pPr>
        <w:widowControl w:val="0"/>
        <w:jc w:val="both"/>
        <w:rPr>
          <w:rFonts w:ascii="Times New Roman" w:hAnsi="Times New Roman" w:cs="Times New Roman"/>
          <w:bCs/>
          <w:sz w:val="24"/>
          <w:szCs w:val="24"/>
        </w:rPr>
      </w:pPr>
      <w:r>
        <w:rPr>
          <w:rFonts w:ascii="Times New Roman" w:hAnsi="Times New Roman" w:cs="Times New Roman"/>
          <w:bCs/>
          <w:sz w:val="24"/>
          <w:szCs w:val="24"/>
        </w:rPr>
        <w:t xml:space="preserve">For this purpose, in the first step, we set the lower bound of the parameter of </w:t>
      </w:r>
      <w:r>
        <w:rPr>
          <w:rFonts w:ascii="Times New Roman" w:hAnsi="Times New Roman" w:cs="Times New Roman"/>
          <w:b/>
          <w:sz w:val="24"/>
          <w:szCs w:val="24"/>
        </w:rPr>
        <w:t>Cost per closure</w:t>
      </w:r>
      <w:r>
        <w:rPr>
          <w:rFonts w:ascii="Times New Roman" w:hAnsi="Times New Roman" w:cs="Times New Roman"/>
          <w:bCs/>
          <w:sz w:val="24"/>
          <w:szCs w:val="24"/>
        </w:rPr>
        <w:t xml:space="preserve">, respectively the upper bound, equal to 30,000 euro, respectively 300,000 euro. The </w:t>
      </w:r>
      <w:r>
        <w:rPr>
          <w:rFonts w:ascii="Times New Roman" w:hAnsi="Times New Roman" w:cs="Times New Roman"/>
          <w:b/>
          <w:sz w:val="24"/>
          <w:szCs w:val="24"/>
        </w:rPr>
        <w:t>Cost per closure</w:t>
      </w:r>
      <w:r>
        <w:rPr>
          <w:rFonts w:ascii="Times New Roman" w:hAnsi="Times New Roman" w:cs="Times New Roman"/>
          <w:bCs/>
          <w:sz w:val="24"/>
          <w:szCs w:val="24"/>
        </w:rPr>
        <w:t xml:space="preserve"> is set to 60,000 in the model</w:t>
      </w:r>
    </w:p>
    <w:p>
      <w:pPr>
        <w:widowControl w:val="0"/>
        <w:rPr>
          <w:rFonts w:ascii="Times New Roman" w:hAnsi="Times New Roman" w:cs="Times New Roman"/>
          <w:bCs/>
          <w:sz w:val="24"/>
          <w:szCs w:val="24"/>
        </w:rPr>
      </w:pPr>
      <w:r>
        <w:rPr>
          <w:rFonts w:ascii="Times New Roman" w:hAnsi="Times New Roman" w:cs="Times New Roman"/>
          <w:bCs/>
          <w:sz w:val="24"/>
          <w:szCs w:val="24"/>
        </w:rPr>
        <w:t xml:space="preserve">Results are illustrated in figures A.12 and A.13 for RCP 2.6 and 8.5. </w:t>
      </w:r>
    </w:p>
    <w:p>
      <w:pPr>
        <w:widowControl w:val="0"/>
        <w:jc w:val="center"/>
      </w:pPr>
      <w:r>
        <w:rPr>
          <w:lang w:val="it-IT" w:eastAsia="it-IT"/>
        </w:rPr>
        <w:drawing>
          <wp:inline distT="0" distB="0" distL="0" distR="0">
            <wp:extent cx="3286760" cy="2037080"/>
            <wp:effectExtent l="0" t="0" r="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pic:cNvPicPr>
                  </pic:nvPicPr>
                  <pic:blipFill>
                    <a:blip r:embed="rId20"/>
                    <a:stretch>
                      <a:fillRect/>
                    </a:stretch>
                  </pic:blipFill>
                  <pic:spPr>
                    <a:xfrm>
                      <a:off x="0" y="0"/>
                      <a:ext cx="3286800" cy="2037600"/>
                    </a:xfrm>
                    <a:prstGeom prst="rect">
                      <a:avLst/>
                    </a:prstGeom>
                  </pic:spPr>
                </pic:pic>
              </a:graphicData>
            </a:graphic>
          </wp:inline>
        </w:drawing>
      </w:r>
    </w:p>
    <w:p>
      <w:pPr>
        <w:widowControl w:val="0"/>
        <w:jc w:val="center"/>
        <w:rPr>
          <w:rFonts w:ascii="Times New Roman" w:hAnsi="Times New Roman" w:cs="Times New Roman"/>
          <w:bCs/>
          <w:i/>
          <w:iCs/>
          <w:sz w:val="20"/>
          <w:szCs w:val="20"/>
        </w:rPr>
      </w:pPr>
      <w:r>
        <w:rPr>
          <w:rFonts w:ascii="Times New Roman" w:hAnsi="Times New Roman" w:cs="Times New Roman"/>
          <w:bCs/>
          <w:i/>
          <w:iCs/>
          <w:sz w:val="20"/>
          <w:szCs w:val="20"/>
        </w:rPr>
        <w:t>Fig A.12 Sensitivity analysis for change in Cost per closure RCP 2.6</w:t>
      </w:r>
    </w:p>
    <w:p>
      <w:pPr>
        <w:widowControl w:val="0"/>
        <w:jc w:val="center"/>
        <w:rPr>
          <w:rFonts w:ascii="Times New Roman" w:hAnsi="Times New Roman" w:cs="Times New Roman"/>
          <w:bCs/>
          <w:i/>
          <w:iCs/>
          <w:sz w:val="24"/>
          <w:szCs w:val="24"/>
        </w:rPr>
      </w:pPr>
      <w:r>
        <w:rPr>
          <w:lang w:val="it-IT" w:eastAsia="it-IT"/>
        </w:rPr>
        <w:drawing>
          <wp:inline distT="0" distB="0" distL="0" distR="0">
            <wp:extent cx="3286760" cy="2037080"/>
            <wp:effectExtent l="0" t="0" r="0" b="127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pic:cNvPicPr>
                  </pic:nvPicPr>
                  <pic:blipFill>
                    <a:blip r:embed="rId21"/>
                    <a:stretch>
                      <a:fillRect/>
                    </a:stretch>
                  </pic:blipFill>
                  <pic:spPr>
                    <a:xfrm>
                      <a:off x="0" y="0"/>
                      <a:ext cx="3286800" cy="2037600"/>
                    </a:xfrm>
                    <a:prstGeom prst="rect">
                      <a:avLst/>
                    </a:prstGeom>
                  </pic:spPr>
                </pic:pic>
              </a:graphicData>
            </a:graphic>
          </wp:inline>
        </w:drawing>
      </w:r>
    </w:p>
    <w:p>
      <w:pPr>
        <w:widowControl w:val="0"/>
        <w:jc w:val="center"/>
        <w:rPr>
          <w:rFonts w:ascii="Times New Roman" w:hAnsi="Times New Roman" w:cs="Times New Roman"/>
          <w:bCs/>
          <w:i/>
          <w:iCs/>
          <w:sz w:val="20"/>
          <w:szCs w:val="20"/>
        </w:rPr>
      </w:pPr>
      <w:r>
        <w:rPr>
          <w:rFonts w:ascii="Times New Roman" w:hAnsi="Times New Roman" w:cs="Times New Roman"/>
          <w:bCs/>
          <w:i/>
          <w:iCs/>
          <w:sz w:val="20"/>
          <w:szCs w:val="20"/>
        </w:rPr>
        <w:t>Fig A.13 Sensitivity analysis for change in Cost per closure RCP 8.5</w:t>
      </w:r>
    </w:p>
    <w:p>
      <w:pPr>
        <w:widowControl w:val="0"/>
        <w:jc w:val="center"/>
        <w:rPr>
          <w:rFonts w:ascii="Times New Roman" w:hAnsi="Times New Roman" w:cs="Times New Roman"/>
          <w:bCs/>
          <w:i/>
          <w:iCs/>
          <w:sz w:val="24"/>
          <w:szCs w:val="24"/>
        </w:rPr>
      </w:pPr>
    </w:p>
    <w:p>
      <w:pPr>
        <w:widowControl w:val="0"/>
        <w:jc w:val="both"/>
        <w:rPr>
          <w:rFonts w:ascii="Times New Roman" w:hAnsi="Times New Roman" w:cs="Times New Roman"/>
          <w:bCs/>
          <w:sz w:val="24"/>
          <w:szCs w:val="24"/>
        </w:rPr>
      </w:pPr>
      <w:r>
        <w:rPr>
          <w:rFonts w:ascii="Times New Roman" w:hAnsi="Times New Roman" w:cs="Times New Roman"/>
          <w:bCs/>
          <w:sz w:val="24"/>
          <w:szCs w:val="24"/>
        </w:rPr>
        <w:t>The variability of outputs in terms of City costs in both scenarios are within reasonable limits.</w:t>
      </w:r>
    </w:p>
    <w:p>
      <w:pPr>
        <w:widowControl w:val="0"/>
        <w:jc w:val="both"/>
        <w:rPr>
          <w:rFonts w:ascii="Times New Roman" w:hAnsi="Times New Roman" w:cs="Times New Roman"/>
          <w:bCs/>
          <w:sz w:val="24"/>
          <w:szCs w:val="24"/>
        </w:rPr>
      </w:pPr>
      <w:r>
        <w:rPr>
          <w:rFonts w:ascii="Times New Roman" w:hAnsi="Times New Roman" w:cs="Times New Roman"/>
          <w:bCs/>
          <w:sz w:val="24"/>
          <w:szCs w:val="24"/>
        </w:rPr>
        <w:t>In order to assess how city cost and port cost are sensitive to the Closure level, we set a range between 90 - 130 cm to run the test. Results are depicted in Figures A.14 to A.17.</w:t>
      </w:r>
    </w:p>
    <w:p>
      <w:pPr>
        <w:widowControl w:val="0"/>
        <w:jc w:val="both"/>
        <w:rPr>
          <w:rFonts w:ascii="Times New Roman" w:hAnsi="Times New Roman" w:cs="Times New Roman"/>
          <w:bCs/>
          <w:sz w:val="24"/>
          <w:szCs w:val="24"/>
        </w:rPr>
      </w:pPr>
      <w:r>
        <w:rPr>
          <w:rFonts w:ascii="Times New Roman" w:hAnsi="Times New Roman" w:cs="Times New Roman"/>
          <w:bCs/>
          <w:sz w:val="24"/>
          <w:szCs w:val="24"/>
        </w:rPr>
        <w:t xml:space="preserve">Considering the significant effect of closure level on our results, Figures show confidence bounds for City costs and Port costs when the closure level is varied in both scenarios.  </w:t>
      </w:r>
    </w:p>
    <w:p>
      <w:pPr>
        <w:widowControl w:val="0"/>
        <w:jc w:val="center"/>
        <w:rPr>
          <w:rFonts w:ascii="Times New Roman" w:hAnsi="Times New Roman" w:cs="Times New Roman"/>
          <w:bCs/>
          <w:sz w:val="24"/>
          <w:szCs w:val="24"/>
        </w:rPr>
      </w:pPr>
      <w:r>
        <w:rPr>
          <w:lang w:val="it-IT" w:eastAsia="it-IT"/>
        </w:rPr>
        <w:drawing>
          <wp:inline distT="0" distB="0" distL="0" distR="0">
            <wp:extent cx="3286760" cy="2037080"/>
            <wp:effectExtent l="0" t="0" r="0" b="127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pic:cNvPicPr>
                  </pic:nvPicPr>
                  <pic:blipFill>
                    <a:blip r:embed="rId22"/>
                    <a:stretch>
                      <a:fillRect/>
                    </a:stretch>
                  </pic:blipFill>
                  <pic:spPr>
                    <a:xfrm>
                      <a:off x="0" y="0"/>
                      <a:ext cx="3286800" cy="2037600"/>
                    </a:xfrm>
                    <a:prstGeom prst="rect">
                      <a:avLst/>
                    </a:prstGeom>
                  </pic:spPr>
                </pic:pic>
              </a:graphicData>
            </a:graphic>
          </wp:inline>
        </w:drawing>
      </w:r>
    </w:p>
    <w:p>
      <w:pPr>
        <w:widowControl w:val="0"/>
        <w:jc w:val="center"/>
        <w:rPr>
          <w:rFonts w:ascii="Times New Roman" w:hAnsi="Times New Roman" w:cs="Times New Roman"/>
          <w:bCs/>
          <w:i/>
          <w:iCs/>
          <w:sz w:val="20"/>
          <w:szCs w:val="20"/>
        </w:rPr>
      </w:pPr>
      <w:r>
        <w:rPr>
          <w:rFonts w:ascii="Times New Roman" w:hAnsi="Times New Roman" w:cs="Times New Roman"/>
          <w:bCs/>
          <w:i/>
          <w:iCs/>
          <w:sz w:val="20"/>
          <w:szCs w:val="20"/>
        </w:rPr>
        <w:t>Fig A.14 Sensitivity analysis (City costs) for change in closure level RCP 2.6</w:t>
      </w:r>
    </w:p>
    <w:p>
      <w:pPr>
        <w:widowControl w:val="0"/>
        <w:jc w:val="center"/>
        <w:rPr>
          <w:rFonts w:ascii="Times New Roman" w:hAnsi="Times New Roman" w:cs="Times New Roman"/>
          <w:bCs/>
          <w:i/>
          <w:iCs/>
          <w:sz w:val="24"/>
          <w:szCs w:val="24"/>
        </w:rPr>
      </w:pPr>
    </w:p>
    <w:p>
      <w:pPr>
        <w:widowControl w:val="0"/>
        <w:jc w:val="center"/>
        <w:rPr>
          <w:rFonts w:ascii="Times New Roman" w:hAnsi="Times New Roman" w:cs="Times New Roman"/>
          <w:bCs/>
          <w:i/>
          <w:iCs/>
          <w:sz w:val="24"/>
          <w:szCs w:val="24"/>
        </w:rPr>
      </w:pPr>
      <w:r>
        <w:rPr>
          <w:lang w:val="it-IT" w:eastAsia="it-IT"/>
        </w:rPr>
        <w:drawing>
          <wp:inline distT="0" distB="0" distL="0" distR="0">
            <wp:extent cx="3286760" cy="2037080"/>
            <wp:effectExtent l="0" t="0" r="0" b="127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23"/>
                    <a:stretch>
                      <a:fillRect/>
                    </a:stretch>
                  </pic:blipFill>
                  <pic:spPr>
                    <a:xfrm>
                      <a:off x="0" y="0"/>
                      <a:ext cx="3286800" cy="2037600"/>
                    </a:xfrm>
                    <a:prstGeom prst="rect">
                      <a:avLst/>
                    </a:prstGeom>
                  </pic:spPr>
                </pic:pic>
              </a:graphicData>
            </a:graphic>
          </wp:inline>
        </w:drawing>
      </w:r>
    </w:p>
    <w:p>
      <w:pPr>
        <w:widowControl w:val="0"/>
        <w:jc w:val="center"/>
        <w:rPr>
          <w:rFonts w:ascii="Times New Roman" w:hAnsi="Times New Roman" w:cs="Times New Roman"/>
          <w:bCs/>
          <w:i/>
          <w:iCs/>
          <w:sz w:val="20"/>
          <w:szCs w:val="20"/>
        </w:rPr>
      </w:pPr>
      <w:r>
        <w:rPr>
          <w:rFonts w:ascii="Times New Roman" w:hAnsi="Times New Roman" w:cs="Times New Roman"/>
          <w:bCs/>
          <w:i/>
          <w:iCs/>
          <w:sz w:val="20"/>
          <w:szCs w:val="20"/>
        </w:rPr>
        <w:t>Fig A.15 Sensitivity analysis (Port costs) for change in closure level RCP 2.6</w:t>
      </w:r>
    </w:p>
    <w:p>
      <w:pPr>
        <w:widowControl w:val="0"/>
        <w:jc w:val="center"/>
        <w:rPr>
          <w:rFonts w:ascii="Times New Roman" w:hAnsi="Times New Roman" w:cs="Times New Roman"/>
          <w:bCs/>
          <w:i/>
          <w:iCs/>
          <w:sz w:val="24"/>
          <w:szCs w:val="24"/>
        </w:rPr>
      </w:pPr>
    </w:p>
    <w:p>
      <w:pPr>
        <w:widowControl w:val="0"/>
        <w:jc w:val="center"/>
        <w:rPr>
          <w:rFonts w:ascii="Times New Roman" w:hAnsi="Times New Roman" w:cs="Times New Roman"/>
          <w:bCs/>
          <w:i/>
          <w:iCs/>
          <w:sz w:val="24"/>
          <w:szCs w:val="24"/>
        </w:rPr>
      </w:pPr>
      <w:r>
        <w:rPr>
          <w:lang w:val="it-IT" w:eastAsia="it-IT"/>
        </w:rPr>
        <w:drawing>
          <wp:inline distT="0" distB="0" distL="0" distR="0">
            <wp:extent cx="3286760" cy="2037080"/>
            <wp:effectExtent l="0" t="0" r="0" b="12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pic:cNvPicPr>
                  </pic:nvPicPr>
                  <pic:blipFill>
                    <a:blip r:embed="rId24"/>
                    <a:stretch>
                      <a:fillRect/>
                    </a:stretch>
                  </pic:blipFill>
                  <pic:spPr>
                    <a:xfrm>
                      <a:off x="0" y="0"/>
                      <a:ext cx="3286800" cy="2037600"/>
                    </a:xfrm>
                    <a:prstGeom prst="rect">
                      <a:avLst/>
                    </a:prstGeom>
                  </pic:spPr>
                </pic:pic>
              </a:graphicData>
            </a:graphic>
          </wp:inline>
        </w:drawing>
      </w:r>
    </w:p>
    <w:p>
      <w:pPr>
        <w:widowControl w:val="0"/>
        <w:jc w:val="center"/>
        <w:rPr>
          <w:rFonts w:ascii="Times New Roman" w:hAnsi="Times New Roman" w:cs="Times New Roman"/>
          <w:bCs/>
          <w:i/>
          <w:iCs/>
          <w:sz w:val="20"/>
          <w:szCs w:val="20"/>
        </w:rPr>
      </w:pPr>
      <w:r>
        <w:rPr>
          <w:rFonts w:ascii="Times New Roman" w:hAnsi="Times New Roman" w:cs="Times New Roman"/>
          <w:bCs/>
          <w:i/>
          <w:iCs/>
          <w:sz w:val="20"/>
          <w:szCs w:val="20"/>
        </w:rPr>
        <w:t>Fig A.16 Sensitivity analysis (City costs) for change in closure level RCP 8.5</w:t>
      </w:r>
    </w:p>
    <w:p>
      <w:pPr>
        <w:widowControl w:val="0"/>
        <w:jc w:val="center"/>
        <w:rPr>
          <w:rFonts w:ascii="Times New Roman" w:hAnsi="Times New Roman" w:cs="Times New Roman"/>
          <w:bCs/>
          <w:i/>
          <w:iCs/>
          <w:sz w:val="20"/>
          <w:szCs w:val="20"/>
        </w:rPr>
      </w:pPr>
    </w:p>
    <w:p>
      <w:pPr>
        <w:widowControl w:val="0"/>
        <w:jc w:val="center"/>
        <w:rPr>
          <w:rFonts w:ascii="Times New Roman" w:hAnsi="Times New Roman" w:cs="Times New Roman"/>
          <w:bCs/>
          <w:i/>
          <w:iCs/>
          <w:sz w:val="24"/>
          <w:szCs w:val="24"/>
        </w:rPr>
      </w:pPr>
      <w:r>
        <w:rPr>
          <w:lang w:val="it-IT" w:eastAsia="it-IT"/>
        </w:rPr>
        <w:drawing>
          <wp:inline distT="0" distB="0" distL="0" distR="0">
            <wp:extent cx="3286760" cy="2037080"/>
            <wp:effectExtent l="0" t="0" r="0" b="127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pic:cNvPicPr>
                  </pic:nvPicPr>
                  <pic:blipFill>
                    <a:blip r:embed="rId25"/>
                    <a:stretch>
                      <a:fillRect/>
                    </a:stretch>
                  </pic:blipFill>
                  <pic:spPr>
                    <a:xfrm>
                      <a:off x="0" y="0"/>
                      <a:ext cx="3286800" cy="2037600"/>
                    </a:xfrm>
                    <a:prstGeom prst="rect">
                      <a:avLst/>
                    </a:prstGeom>
                  </pic:spPr>
                </pic:pic>
              </a:graphicData>
            </a:graphic>
          </wp:inline>
        </w:drawing>
      </w:r>
    </w:p>
    <w:p>
      <w:pPr>
        <w:widowControl w:val="0"/>
        <w:jc w:val="center"/>
        <w:rPr>
          <w:rFonts w:ascii="Times New Roman" w:hAnsi="Times New Roman" w:cs="Times New Roman"/>
          <w:bCs/>
          <w:i/>
          <w:iCs/>
          <w:sz w:val="20"/>
          <w:szCs w:val="20"/>
        </w:rPr>
      </w:pPr>
      <w:r>
        <w:rPr>
          <w:rFonts w:ascii="Times New Roman" w:hAnsi="Times New Roman" w:cs="Times New Roman"/>
          <w:bCs/>
          <w:i/>
          <w:iCs/>
          <w:sz w:val="20"/>
          <w:szCs w:val="20"/>
        </w:rPr>
        <w:t>Fig A.17 Sensitivity analysis (Port costs) for change in closure level RCP 8.5</w:t>
      </w:r>
    </w:p>
    <w:sectPr>
      <w:pgSz w:w="11906" w:h="16838"/>
      <w:pgMar w:top="1417" w:right="1134" w:bottom="1134" w:left="1134"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Noto Sans Symbols">
    <w:altName w:val="Calibri"/>
    <w:panose1 w:val="00000000000000000000"/>
    <w:charset w:val="00"/>
    <w:family w:val="auto"/>
    <w:pitch w:val="default"/>
    <w:sig w:usb0="00000000" w:usb1="00000000" w:usb2="00000000" w:usb3="00000000" w:csb0="00000000" w:csb1="00000000"/>
  </w:font>
  <w:font w:name="Segoe UI">
    <w:panose1 w:val="020B0502040204020203"/>
    <w:charset w:val="00"/>
    <w:family w:val="swiss"/>
    <w:pitch w:val="default"/>
    <w:sig w:usb0="E4002EFF" w:usb1="C000E47F" w:usb2="00000009" w:usb3="00000000" w:csb0="200001FF" w:csb1="00000000"/>
  </w:font>
  <w:font w:name="Consolas">
    <w:panose1 w:val="020B0609020204030204"/>
    <w:charset w:val="00"/>
    <w:family w:val="modern"/>
    <w:pitch w:val="default"/>
    <w:sig w:usb0="E00006FF" w:usb1="0000FCFF" w:usb2="00000001" w:usb3="00000000" w:csb0="6000019F" w:csb1="DFD70000"/>
  </w:font>
  <w:font w:name="Segoe UI Symbol">
    <w:panose1 w:val="020B0502040204020203"/>
    <w:charset w:val="00"/>
    <w:family w:val="swiss"/>
    <w:pitch w:val="default"/>
    <w:sig w:usb0="800001E3" w:usb1="1200FFEF" w:usb2="00040000" w:usb3="04000000" w:csb0="00000001" w:csb1="40000000"/>
  </w:font>
  <w:font w:name="等线">
    <w:altName w:val="Arial Unicode MS"/>
    <w:panose1 w:val="00000000000000000000"/>
    <w:charset w:val="00"/>
    <w:family w:val="auto"/>
    <w:pitch w:val="default"/>
    <w:sig w:usb0="00000000" w:usb1="00000000" w:usb2="00000000" w:usb3="00000000" w:csb0="00000000" w:csb1="00000000"/>
  </w:font>
  <w:font w:name="Symbol">
    <w:panose1 w:val="05050102010706020507"/>
    <w:charset w:val="02"/>
    <w:family w:val="roman"/>
    <w:pitch w:val="default"/>
    <w:sig w:usb0="00000000" w:usb1="00000000" w:usb2="00000000" w:usb3="00000000" w:csb0="80000000" w:csb1="00000000"/>
  </w:font>
  <w:font w:name="Cambria Math">
    <w:panose1 w:val="02040503050406030204"/>
    <w:charset w:val="00"/>
    <w:family w:val="roman"/>
    <w:pitch w:val="default"/>
    <w:sig w:usb0="E00006FF" w:usb1="420024FF" w:usb2="02000000" w:usb3="00000000" w:csb0="2000019F" w:csb1="00000000"/>
  </w:font>
  <w:font w:name="Microsoft YaHei">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tabs>
        <w:tab w:val="left" w:pos="9180"/>
      </w:tabs>
      <w:rPr>
        <w:rFonts w:ascii="Times New Roman" w:hAnsi="Times New Roman" w:cs="Times New Roman"/>
      </w:rPr>
    </w:pPr>
    <w:r>
      <w:tab/>
    </w:r>
    <w:sdt>
      <w:sdtPr>
        <w:id w:val="-600871962"/>
        <w:docPartObj>
          <w:docPartGallery w:val="AutoText"/>
        </w:docPartObj>
      </w:sdtPr>
      <w:sdtEndPr>
        <w:rPr>
          <w:rFonts w:ascii="Times New Roman" w:hAnsi="Times New Roman" w:cs="Times New Roman"/>
        </w:rPr>
      </w:sdtEndPr>
      <w:sdtContent>
        <w:r>
          <w:rPr>
            <w:rFonts w:ascii="Times New Roman" w:hAnsi="Times New Roman" w:cs="Times New Roman"/>
          </w:rPr>
          <w:fldChar w:fldCharType="begin"/>
        </w:r>
        <w:r>
          <w:rPr>
            <w:rFonts w:ascii="Times New Roman" w:hAnsi="Times New Roman" w:cs="Times New Roman"/>
          </w:rPr>
          <w:instrText xml:space="preserve"> PAGE   \* MERGEFORMAT </w:instrText>
        </w:r>
        <w:r>
          <w:rPr>
            <w:rFonts w:ascii="Times New Roman" w:hAnsi="Times New Roman" w:cs="Times New Roman"/>
          </w:rPr>
          <w:fldChar w:fldCharType="separate"/>
        </w:r>
        <w:r>
          <w:rPr>
            <w:rFonts w:ascii="Times New Roman" w:hAnsi="Times New Roman" w:cs="Times New Roman"/>
          </w:rPr>
          <w:t>4</w:t>
        </w:r>
        <w:r>
          <w:rPr>
            <w:rFonts w:ascii="Times New Roman" w:hAnsi="Times New Roman" w:cs="Times New Roman"/>
          </w:rPr>
          <w:fldChar w:fldCharType="end"/>
        </w:r>
      </w:sdtContent>
    </w:sdt>
    <w:r>
      <w:rPr>
        <w:rFonts w:ascii="Times New Roman" w:hAnsi="Times New Roman" w:cs="Times New Roman"/>
      </w:rPr>
      <w:tab/>
    </w:r>
    <w:r>
      <w:rPr>
        <w:rFonts w:ascii="Times New Roman" w:hAnsi="Times New Roman" w:cs="Times New Roman"/>
      </w:rPr>
      <w:tab/>
    </w:r>
  </w:p>
  <w:p>
    <w:pPr>
      <w:pStyle w:val="16"/>
      <w:rPr>
        <w:rFonts w:ascii="Times New Roman" w:hAnsi="Times New Roman" w:cs="Times New Roman"/>
      </w:rPr>
    </w:pP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tabs>
        <w:tab w:val="left" w:pos="9180"/>
      </w:tabs>
      <w:rPr>
        <w:rFonts w:ascii="Times New Roman" w:hAnsi="Times New Roman" w:cs="Times New Roman"/>
      </w:rPr>
    </w:pPr>
    <w:r>
      <w:tab/>
    </w:r>
    <w:sdt>
      <w:sdtPr>
        <w:id w:val="-966661428"/>
        <w:docPartObj>
          <w:docPartGallery w:val="AutoText"/>
        </w:docPartObj>
      </w:sdtPr>
      <w:sdtEndPr>
        <w:rPr>
          <w:rFonts w:ascii="Times New Roman" w:hAnsi="Times New Roman" w:cs="Times New Roman"/>
        </w:rPr>
      </w:sdtEndPr>
      <w:sdtContent>
        <w:r>
          <w:rPr>
            <w:rFonts w:ascii="Times New Roman" w:hAnsi="Times New Roman" w:cs="Times New Roman"/>
          </w:rPr>
          <w:fldChar w:fldCharType="begin"/>
        </w:r>
        <w:r>
          <w:rPr>
            <w:rFonts w:ascii="Times New Roman" w:hAnsi="Times New Roman" w:cs="Times New Roman"/>
          </w:rPr>
          <w:instrText xml:space="preserve"> PAGE   \* MERGEFORMAT </w:instrText>
        </w:r>
        <w:r>
          <w:rPr>
            <w:rFonts w:ascii="Times New Roman" w:hAnsi="Times New Roman" w:cs="Times New Roman"/>
          </w:rPr>
          <w:fldChar w:fldCharType="separate"/>
        </w:r>
        <w:r>
          <w:rPr>
            <w:rFonts w:ascii="Times New Roman" w:hAnsi="Times New Roman" w:cs="Times New Roman"/>
          </w:rPr>
          <w:t>21</w:t>
        </w:r>
        <w:r>
          <w:rPr>
            <w:rFonts w:ascii="Times New Roman" w:hAnsi="Times New Roman" w:cs="Times New Roman"/>
          </w:rPr>
          <w:fldChar w:fldCharType="end"/>
        </w:r>
      </w:sdtContent>
    </w:sdt>
    <w:r>
      <w:rPr>
        <w:rFonts w:ascii="Times New Roman" w:hAnsi="Times New Roman" w:cs="Times New Roman"/>
      </w:rPr>
      <w:tab/>
    </w:r>
    <w:r>
      <w:rPr>
        <w:rFonts w:ascii="Times New Roman" w:hAnsi="Times New Roman" w:cs="Times New Roman"/>
      </w:rPr>
      <w:tab/>
    </w:r>
  </w:p>
  <w:p>
    <w:pPr>
      <w:pStyle w:val="16"/>
      <w:rPr>
        <w:rFonts w:ascii="Times New Roman" w:hAnsi="Times New Roman" w:cs="Times New Roman"/>
      </w:rPr>
    </w:pPr>
  </w:p>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6">
    <w:p>
      <w:pPr>
        <w:spacing w:before="0" w:after="0" w:line="259" w:lineRule="auto"/>
      </w:pPr>
      <w:r>
        <w:separator/>
      </w:r>
    </w:p>
  </w:footnote>
  <w:footnote w:type="continuationSeparator" w:id="47">
    <w:p>
      <w:pPr>
        <w:spacing w:before="0" w:after="0" w:line="259" w:lineRule="auto"/>
      </w:pPr>
      <w:r>
        <w:continuationSeparator/>
      </w:r>
    </w:p>
  </w:footnote>
  <w:footnote w:id="0">
    <w:p>
      <w:pPr>
        <w:pStyle w:val="18"/>
        <w:rPr>
          <w:lang w:val="it-IT"/>
        </w:rPr>
      </w:pPr>
      <w:r>
        <w:rPr>
          <w:rStyle w:val="17"/>
        </w:rPr>
        <w:footnoteRef/>
      </w:r>
      <w:r>
        <w:rPr>
          <w:lang w:val="it-IT"/>
        </w:rPr>
        <w:t xml:space="preserve"> </w:t>
      </w:r>
      <w:r>
        <w:rPr>
          <w:rFonts w:ascii="Times New Roman" w:hAnsi="Times New Roman"/>
          <w:lang w:val="it-IT"/>
        </w:rPr>
        <w:t>De Marchi, D., Manente, M., Mingotto, E. &amp; Montaguti, F. Le Venezie turistiche. in Quattro Venezie per un Nordest. Rapporto su Venezia civitas metropolitana 2019, 171-208 (Fondazione di Venezia, Marsilio, 2019).</w:t>
      </w:r>
    </w:p>
  </w:footnote>
  <w:footnote w:id="1">
    <w:p>
      <w:pPr>
        <w:pStyle w:val="18"/>
        <w:jc w:val="both"/>
        <w:rPr>
          <w:rFonts w:ascii="Times New Roman" w:hAnsi="Times New Roman"/>
          <w:lang w:val="it-IT"/>
        </w:rPr>
      </w:pPr>
      <w:r>
        <w:rPr>
          <w:rStyle w:val="17"/>
          <w:rFonts w:ascii="Times New Roman" w:hAnsi="Times New Roman"/>
        </w:rPr>
        <w:footnoteRef/>
      </w:r>
      <w:r>
        <w:rPr>
          <w:rFonts w:ascii="Times New Roman" w:hAnsi="Times New Roman"/>
          <w:lang w:val="it-IT"/>
        </w:rPr>
        <w:t xml:space="preserve"> https://www.comune.venezia.it/node/6214.</w:t>
      </w:r>
    </w:p>
  </w:footnote>
  <w:footnote w:id="2">
    <w:p>
      <w:pPr>
        <w:pStyle w:val="18"/>
        <w:jc w:val="both"/>
        <w:rPr>
          <w:rFonts w:ascii="Times New Roman" w:hAnsi="Times New Roman"/>
          <w:lang w:val="en-GB"/>
        </w:rPr>
      </w:pPr>
      <w:r>
        <w:rPr>
          <w:rStyle w:val="17"/>
          <w:rFonts w:ascii="Times New Roman" w:hAnsi="Times New Roman"/>
          <w:lang w:val="en-GB"/>
        </w:rPr>
        <w:footnoteRef/>
      </w:r>
      <w:r>
        <w:rPr>
          <w:rFonts w:ascii="Times New Roman" w:hAnsi="Times New Roman"/>
          <w:lang w:val="en-GB"/>
        </w:rPr>
        <w:t xml:space="preserve"> The unit of measure is always centimetres in the following descriptions, sea levels are measured with respect to Punta della Salute tide gauge zero reference.</w:t>
      </w:r>
    </w:p>
  </w:footnote>
  <w:footnote w:id="3">
    <w:p>
      <w:pPr>
        <w:pStyle w:val="18"/>
        <w:jc w:val="both"/>
        <w:rPr>
          <w:rFonts w:ascii="Times New Roman" w:hAnsi="Times New Roman"/>
        </w:rPr>
      </w:pPr>
      <w:r>
        <w:rPr>
          <w:rStyle w:val="17"/>
          <w:rFonts w:ascii="Times New Roman" w:hAnsi="Times New Roman"/>
        </w:rPr>
        <w:footnoteRef/>
      </w:r>
      <w:r>
        <w:rPr>
          <w:rFonts w:ascii="Times New Roman" w:hAnsi="Times New Roman"/>
        </w:rPr>
        <w:t xml:space="preserve"> Lionello P, Nicholls RJ, Umgiesser G, Zanchettin D (2021) Venice flooding and sea level: past evolution, present issues, and future projections (introduction to the special issue). Nat Hazards Earth Syst Sci 21 (8):2633-2641. doi:10.5194/nhess-21-2633-2021.</w:t>
      </w:r>
    </w:p>
  </w:footnote>
  <w:footnote w:id="4">
    <w:p>
      <w:pPr>
        <w:pStyle w:val="18"/>
        <w:jc w:val="both"/>
        <w:rPr>
          <w:rFonts w:ascii="Times New Roman" w:hAnsi="Times New Roman" w:eastAsiaTheme="minorEastAsia"/>
          <w:lang w:val="en-GB"/>
        </w:rPr>
      </w:pPr>
      <w:r>
        <w:rPr>
          <w:rStyle w:val="17"/>
          <w:rFonts w:ascii="Times New Roman" w:hAnsi="Times New Roman"/>
          <w:lang w:val="en-GB"/>
        </w:rPr>
        <w:footnoteRef/>
      </w:r>
      <w:r>
        <w:rPr>
          <w:rFonts w:ascii="Times New Roman" w:hAnsi="Times New Roman"/>
          <w:lang w:val="en-GB"/>
        </w:rPr>
        <w:t xml:space="preserve"> For RCP 2.6 we considered an increase from 32 cm to 72 cm between 2023 and 2100 (with estimated parameters: </w:t>
      </w:r>
      <m:oMath>
        <m:r>
          <m:rPr/>
          <w:rPr>
            <w:rFonts w:ascii="Cambria Math" w:hAnsi="Cambria Math"/>
            <w:lang w:val="en-GB"/>
          </w:rPr>
          <m:t>a=6.67</m:t>
        </m:r>
      </m:oMath>
      <w:r>
        <w:rPr>
          <w:rFonts w:ascii="Times New Roman" w:hAnsi="Times New Roman" w:eastAsiaTheme="minorEastAsia"/>
          <w:lang w:val="en-GB"/>
        </w:rPr>
        <w:t xml:space="preserve">, </w:t>
      </w:r>
      <m:oMath>
        <m:r>
          <m:rPr/>
          <w:rPr>
            <w:rFonts w:ascii="Cambria Math" w:hAnsi="Cambria Math" w:eastAsiaTheme="minorEastAsia"/>
            <w:lang w:val="en-GB"/>
          </w:rPr>
          <m:t>b=25.33,</m:t>
        </m:r>
      </m:oMath>
      <w:r>
        <w:rPr>
          <w:rFonts w:ascii="Times New Roman" w:hAnsi="Times New Roman" w:eastAsiaTheme="minorEastAsia"/>
          <w:lang w:val="en-GB"/>
        </w:rPr>
        <w:t xml:space="preserve"> </w:t>
      </w:r>
      <m:oMath>
        <m:r>
          <m:rPr/>
          <w:rPr>
            <w:rFonts w:ascii="Cambria Math" w:hAnsi="Cambria Math" w:eastAsiaTheme="minorEastAsia"/>
            <w:lang w:val="en-GB"/>
          </w:rPr>
          <m:t>r</m:t>
        </m:r>
      </m:oMath>
      <w:r>
        <w:rPr>
          <w:rFonts w:ascii="Times New Roman" w:hAnsi="Times New Roman" w:eastAsiaTheme="minorEastAsia"/>
          <w:lang w:val="en-GB"/>
        </w:rPr>
        <w:t xml:space="preserve"> = 1.18e-002) and for RCP 8.5 an increase from 32 cm to 107 cm centimetres during the same period (</w:t>
      </w:r>
      <m:oMath>
        <m:r>
          <m:rPr/>
          <w:rPr>
            <w:rFonts w:ascii="Cambria Math" w:hAnsi="Cambria Math"/>
            <w:lang w:val="en-GB"/>
          </w:rPr>
          <m:t>a=19.79</m:t>
        </m:r>
      </m:oMath>
      <w:r>
        <w:rPr>
          <w:rFonts w:ascii="Times New Roman" w:hAnsi="Times New Roman" w:eastAsiaTheme="minorEastAsia"/>
          <w:lang w:val="en-GB"/>
        </w:rPr>
        <w:t xml:space="preserve">, </w:t>
      </w:r>
      <m:oMath>
        <m:r>
          <m:rPr/>
          <w:rPr>
            <w:rFonts w:ascii="Cambria Math" w:hAnsi="Cambria Math" w:eastAsiaTheme="minorEastAsia"/>
            <w:lang w:val="en-GB"/>
          </w:rPr>
          <m:t>b=12.2,</m:t>
        </m:r>
      </m:oMath>
      <w:r>
        <w:rPr>
          <w:rFonts w:ascii="Times New Roman" w:hAnsi="Times New Roman" w:eastAsiaTheme="minorEastAsia"/>
          <w:lang w:val="en-GB"/>
        </w:rPr>
        <w:t xml:space="preserve"> </w:t>
      </w:r>
      <m:oMath>
        <m:r>
          <m:rPr/>
          <w:rPr>
            <w:rFonts w:ascii="Cambria Math" w:hAnsi="Cambria Math" w:eastAsiaTheme="minorEastAsia"/>
            <w:lang w:val="en-GB"/>
          </w:rPr>
          <m:t>r</m:t>
        </m:r>
      </m:oMath>
      <w:r>
        <w:rPr>
          <w:rFonts w:ascii="Times New Roman" w:hAnsi="Times New Roman" w:eastAsiaTheme="minorEastAsia"/>
          <w:lang w:val="en-GB"/>
        </w:rPr>
        <w:t xml:space="preserve"> = 2.46e-002)</w:t>
      </w:r>
    </w:p>
  </w:footnote>
  <w:footnote w:id="5">
    <w:p>
      <w:pPr>
        <w:pStyle w:val="18"/>
        <w:rPr>
          <w:lang w:val="en-GB"/>
        </w:rPr>
      </w:pPr>
      <w:r>
        <w:rPr>
          <w:rStyle w:val="17"/>
          <w:lang w:val="en-GB"/>
        </w:rPr>
        <w:footnoteRef/>
      </w:r>
      <w:r>
        <w:rPr>
          <w:lang w:val="en-GB"/>
        </w:rPr>
        <w:t xml:space="preserve"> </w:t>
      </w:r>
      <w:r>
        <w:rPr>
          <w:rFonts w:ascii="Times New Roman" w:hAnsi="Times New Roman"/>
          <w:lang w:val="en-GB"/>
        </w:rPr>
        <w:t>Fontini F, Umgiesser G, Vergano L. The Role of Ambiguity in the Evaluation of the Net Benefits of the MOSE System in the Venice Lagoon. Ecological Economics 69(10); 2010. p. 1964-1972. JRC56676</w:t>
      </w:r>
    </w:p>
  </w:footnote>
  <w:footnote w:id="6">
    <w:p>
      <w:pPr>
        <w:pStyle w:val="18"/>
        <w:rPr>
          <w:lang w:val="en-GB"/>
        </w:rPr>
      </w:pPr>
      <w:r>
        <w:rPr>
          <w:rStyle w:val="17"/>
          <w:lang w:val="en-GB"/>
        </w:rPr>
        <w:footnoteRef/>
      </w:r>
      <w:r>
        <w:rPr>
          <w:lang w:val="en-GB"/>
        </w:rPr>
        <w:t xml:space="preserve"> </w:t>
      </w:r>
      <w:r>
        <w:fldChar w:fldCharType="begin"/>
      </w:r>
      <w:r>
        <w:instrText xml:space="preserve"> HYPERLINK "https://www.comune.venezia.it/it/content/grafici-e-statistiche" </w:instrText>
      </w:r>
      <w:r>
        <w:fldChar w:fldCharType="separate"/>
      </w:r>
      <w:r>
        <w:rPr>
          <w:rStyle w:val="21"/>
          <w:rFonts w:ascii="Times New Roman" w:hAnsi="Times New Roman"/>
          <w:lang w:val="en-GB"/>
        </w:rPr>
        <w:t>https://www.comune.venezia.it/it/content/grafici-e-statistiche</w:t>
      </w:r>
      <w:r>
        <w:rPr>
          <w:rStyle w:val="21"/>
          <w:rFonts w:ascii="Times New Roman" w:hAnsi="Times New Roman"/>
          <w:lang w:val="en-GB"/>
        </w:rPr>
        <w:fldChar w:fldCharType="end"/>
      </w:r>
      <w:r>
        <w:rPr>
          <w:rFonts w:ascii="Times New Roman" w:hAnsi="Times New Roman"/>
          <w:lang w:val="en-GB"/>
        </w:rPr>
        <w:t xml:space="preserve"> </w:t>
      </w:r>
    </w:p>
  </w:footnote>
  <w:footnote w:id="7">
    <w:p>
      <w:pPr>
        <w:pStyle w:val="18"/>
        <w:jc w:val="both"/>
        <w:rPr>
          <w:rFonts w:ascii="Times New Roman" w:hAnsi="Times New Roman"/>
          <w:lang w:val="en-GB"/>
        </w:rPr>
      </w:pPr>
      <w:r>
        <w:rPr>
          <w:rStyle w:val="17"/>
          <w:rFonts w:ascii="Times New Roman" w:hAnsi="Times New Roman"/>
          <w:lang w:val="en-GB"/>
        </w:rPr>
        <w:footnoteRef/>
      </w:r>
      <w:r>
        <w:rPr>
          <w:rFonts w:ascii="Times New Roman" w:hAnsi="Times New Roman"/>
          <w:lang w:val="en-GB"/>
        </w:rPr>
        <w:t xml:space="preserve"> </w:t>
      </w:r>
      <w:r>
        <w:fldChar w:fldCharType="begin"/>
      </w:r>
      <w:r>
        <w:instrText xml:space="preserve"> HYPERLINK "https://statistica.regione.veneto.it/banche_dati_economia_turismo_turismo6.jsp" </w:instrText>
      </w:r>
      <w:r>
        <w:fldChar w:fldCharType="separate"/>
      </w:r>
      <w:r>
        <w:rPr>
          <w:rStyle w:val="21"/>
          <w:rFonts w:ascii="Times New Roman" w:hAnsi="Times New Roman"/>
          <w:lang w:val="en-GB"/>
        </w:rPr>
        <w:t>https://statistica.regione.veneto.it/banche_dati_economia_turismo_turismo6.jsp</w:t>
      </w:r>
      <w:r>
        <w:rPr>
          <w:rStyle w:val="21"/>
          <w:rFonts w:ascii="Times New Roman" w:hAnsi="Times New Roman"/>
          <w:lang w:val="en-GB"/>
        </w:rPr>
        <w:fldChar w:fldCharType="end"/>
      </w:r>
      <w:r>
        <w:rPr>
          <w:rFonts w:ascii="Times New Roman" w:hAnsi="Times New Roman"/>
          <w:lang w:val="en-GB"/>
        </w:rPr>
        <w:t xml:space="preserve">  </w:t>
      </w:r>
    </w:p>
  </w:footnote>
  <w:footnote w:id="8">
    <w:p>
      <w:pPr>
        <w:pStyle w:val="18"/>
        <w:jc w:val="both"/>
        <w:rPr>
          <w:rFonts w:ascii="Times New Roman" w:hAnsi="Times New Roman"/>
          <w:lang w:val="en-GB"/>
        </w:rPr>
      </w:pPr>
      <w:r>
        <w:rPr>
          <w:rStyle w:val="17"/>
          <w:rFonts w:ascii="Times New Roman" w:hAnsi="Times New Roman"/>
          <w:lang w:val="en-GB"/>
        </w:rPr>
        <w:footnoteRef/>
      </w:r>
      <w:r>
        <w:rPr>
          <w:rFonts w:ascii="Times New Roman" w:hAnsi="Times New Roman"/>
          <w:lang w:val="en-GB"/>
        </w:rPr>
        <w:t xml:space="preserve"> </w:t>
      </w:r>
      <w:r>
        <w:fldChar w:fldCharType="begin"/>
      </w:r>
      <w:r>
        <w:instrText xml:space="preserve"> HYPERLINK "https://www.comune.venezia.it/node/6145" </w:instrText>
      </w:r>
      <w:r>
        <w:fldChar w:fldCharType="separate"/>
      </w:r>
      <w:r>
        <w:rPr>
          <w:rStyle w:val="21"/>
          <w:rFonts w:ascii="Times New Roman" w:hAnsi="Times New Roman"/>
          <w:lang w:val="en-GB"/>
        </w:rPr>
        <w:t>https://www.comune.venezia.it/node/6145</w:t>
      </w:r>
      <w:r>
        <w:rPr>
          <w:rStyle w:val="21"/>
          <w:rFonts w:ascii="Times New Roman" w:hAnsi="Times New Roman"/>
          <w:lang w:val="en-GB"/>
        </w:rPr>
        <w:fldChar w:fldCharType="end"/>
      </w:r>
      <w:r>
        <w:rPr>
          <w:rFonts w:ascii="Times New Roman" w:hAnsi="Times New Roman"/>
          <w:lang w:val="en-GB"/>
        </w:rPr>
        <w:t xml:space="preserve"> </w:t>
      </w:r>
    </w:p>
  </w:footnote>
  <w:footnote w:id="9">
    <w:p>
      <w:pPr>
        <w:pStyle w:val="18"/>
        <w:jc w:val="both"/>
        <w:rPr>
          <w:rFonts w:ascii="Times New Roman" w:hAnsi="Times New Roman"/>
          <w:lang w:val="en-GB"/>
        </w:rPr>
      </w:pPr>
      <w:r>
        <w:rPr>
          <w:rStyle w:val="17"/>
          <w:rFonts w:ascii="Times New Roman" w:hAnsi="Times New Roman"/>
          <w:lang w:val="en-GB"/>
        </w:rPr>
        <w:footnoteRef/>
      </w:r>
      <w:r>
        <w:rPr>
          <w:rFonts w:ascii="Times New Roman" w:hAnsi="Times New Roman"/>
          <w:lang w:val="en-GB"/>
        </w:rPr>
        <w:t xml:space="preserve"> Intercept captures year = 2005 and season = 1, season start from winter = 1 to autumn = 4</w:t>
      </w:r>
    </w:p>
  </w:footnote>
  <w:footnote w:id="10">
    <w:p>
      <w:pPr>
        <w:pStyle w:val="18"/>
        <w:rPr>
          <w:rFonts w:ascii="Times New Roman" w:hAnsi="Times New Roman"/>
          <w:lang w:val="it-IT"/>
        </w:rPr>
      </w:pPr>
      <w:r>
        <w:rPr>
          <w:rStyle w:val="17"/>
          <w:rFonts w:ascii="Times New Roman" w:hAnsi="Times New Roman"/>
          <w:lang w:val="en-GB"/>
        </w:rPr>
        <w:footnoteRef/>
      </w:r>
      <w:r>
        <w:rPr>
          <w:rFonts w:ascii="Times New Roman" w:hAnsi="Times New Roman"/>
          <w:lang w:val="it-IT"/>
        </w:rPr>
        <w:t xml:space="preserve"> Cellerino, R., 1998. Venezia Atlantide: L’impatto Economico Delle Acque Alte. Franco Angeli, Milan</w:t>
      </w:r>
    </w:p>
  </w:footnote>
  <w:footnote w:id="11">
    <w:p>
      <w:pPr>
        <w:pStyle w:val="18"/>
        <w:jc w:val="both"/>
        <w:rPr>
          <w:rFonts w:ascii="Times New Roman" w:hAnsi="Times New Roman"/>
          <w:lang w:val="it-IT"/>
        </w:rPr>
      </w:pPr>
      <w:r>
        <w:rPr>
          <w:rStyle w:val="17"/>
          <w:rFonts w:ascii="Times New Roman" w:hAnsi="Times New Roman"/>
          <w:lang w:val="en-GB"/>
        </w:rPr>
        <w:footnoteRef/>
      </w:r>
      <w:r>
        <w:rPr>
          <w:rFonts w:ascii="Times New Roman" w:hAnsi="Times New Roman"/>
          <w:lang w:val="it-IT"/>
        </w:rPr>
        <w:t xml:space="preserve"> </w:t>
      </w:r>
      <w:r>
        <w:fldChar w:fldCharType="begin"/>
      </w:r>
      <w:r>
        <w:instrText xml:space="preserve"> HYPERLINK "http://smu.insula.it/index.php@option=com_content&amp;view=article&amp;id=15&amp;Itemid=111.html" </w:instrText>
      </w:r>
      <w:r>
        <w:fldChar w:fldCharType="separate"/>
      </w:r>
      <w:r>
        <w:rPr>
          <w:rStyle w:val="21"/>
          <w:rFonts w:ascii="Times New Roman" w:hAnsi="Times New Roman"/>
          <w:lang w:val="it-IT"/>
        </w:rPr>
        <w:t>http://smu.insula.it/index.php@option=com_content&amp;view=article&amp;id=15&amp;Itemid=111.html</w:t>
      </w:r>
      <w:r>
        <w:rPr>
          <w:rStyle w:val="21"/>
          <w:rFonts w:ascii="Times New Roman" w:hAnsi="Times New Roman"/>
          <w:lang w:val="it-IT"/>
        </w:rPr>
        <w:fldChar w:fldCharType="end"/>
      </w:r>
      <w:r>
        <w:rPr>
          <w:rFonts w:ascii="Times New Roman" w:hAnsi="Times New Roman"/>
          <w:lang w:val="it-IT"/>
        </w:rPr>
        <w:t xml:space="preserve"> </w:t>
      </w:r>
    </w:p>
  </w:footnote>
  <w:footnote w:id="12">
    <w:p>
      <w:pPr>
        <w:pStyle w:val="18"/>
        <w:jc w:val="both"/>
        <w:rPr>
          <w:rStyle w:val="17"/>
          <w:rFonts w:ascii="Times New Roman" w:hAnsi="Times New Roman"/>
          <w:vertAlign w:val="baseline"/>
          <w:lang w:val="en-GB"/>
        </w:rPr>
      </w:pPr>
      <w:r>
        <w:rPr>
          <w:rStyle w:val="17"/>
          <w:rFonts w:ascii="Times New Roman" w:hAnsi="Times New Roman"/>
          <w:lang w:val="en-GB"/>
        </w:rPr>
        <w:footnoteRef/>
      </w:r>
      <w:r>
        <w:rPr>
          <w:rStyle w:val="17"/>
          <w:rFonts w:ascii="Times New Roman" w:hAnsi="Times New Roman"/>
          <w:lang w:val="en-GB"/>
        </w:rPr>
        <w:t xml:space="preserve"> </w:t>
      </w:r>
      <w:r>
        <w:rPr>
          <w:rStyle w:val="17"/>
          <w:rFonts w:ascii="Times New Roman" w:hAnsi="Times New Roman"/>
          <w:vertAlign w:val="baseline"/>
          <w:lang w:val="en-GB"/>
        </w:rPr>
        <w:t>http://coses.comune.venezia.it/fondaci/f_venezia10.html</w:t>
      </w:r>
    </w:p>
  </w:footnote>
  <w:footnote w:id="13">
    <w:p>
      <w:pPr>
        <w:pStyle w:val="18"/>
        <w:jc w:val="both"/>
        <w:rPr>
          <w:rFonts w:ascii="Times New Roman" w:hAnsi="Times New Roman"/>
          <w:lang w:val="en-GB"/>
        </w:rPr>
      </w:pPr>
      <w:r>
        <w:rPr>
          <w:rStyle w:val="17"/>
          <w:rFonts w:ascii="Times New Roman" w:hAnsi="Times New Roman"/>
          <w:lang w:val="en-GB"/>
        </w:rPr>
        <w:footnoteRef/>
      </w:r>
      <w:r>
        <w:rPr>
          <w:rFonts w:ascii="Times New Roman" w:hAnsi="Times New Roman"/>
          <w:lang w:val="en-GB"/>
        </w:rPr>
        <w:t xml:space="preserve"> Nunes, P.A.D.S., Breil, M. and Gambarelli, G., Economic Valuation of on Site Material Damages of High Water on Economic Activities Based in the City of Venice: Results from a Dose-Response-Expert-Based Valuation Approach (April 2005).</w:t>
      </w:r>
    </w:p>
  </w:footnote>
  <w:footnote w:id="14">
    <w:p>
      <w:pPr>
        <w:pStyle w:val="18"/>
        <w:jc w:val="both"/>
        <w:rPr>
          <w:rStyle w:val="17"/>
          <w:rFonts w:ascii="Times New Roman" w:hAnsi="Times New Roman"/>
          <w:vertAlign w:val="baseline"/>
          <w:lang w:val="en-GB"/>
        </w:rPr>
      </w:pPr>
      <w:r>
        <w:rPr>
          <w:rStyle w:val="17"/>
          <w:rFonts w:ascii="Times New Roman" w:hAnsi="Times New Roman"/>
          <w:lang w:val="en-GB"/>
        </w:rPr>
        <w:footnoteRef/>
      </w:r>
      <w:r>
        <w:rPr>
          <w:rStyle w:val="17"/>
          <w:rFonts w:ascii="Times New Roman" w:hAnsi="Times New Roman"/>
          <w:lang w:val="en-GB"/>
        </w:rPr>
        <w:t xml:space="preserve"> </w:t>
      </w:r>
      <w:r>
        <w:rPr>
          <w:rStyle w:val="17"/>
          <w:rFonts w:ascii="Times New Roman" w:hAnsi="Times New Roman"/>
          <w:vertAlign w:val="baseline"/>
          <w:lang w:val="en-GB"/>
        </w:rPr>
        <w:t>A limitation to protection levels has been assumed also in case of protection measures consisting of a complete w</w:t>
      </w:r>
      <w:r>
        <w:rPr>
          <w:rFonts w:ascii="Times New Roman" w:hAnsi="Times New Roman"/>
          <w:lang w:val="en-GB"/>
        </w:rPr>
        <w:t>ater proofing</w:t>
      </w:r>
      <w:r>
        <w:rPr>
          <w:rStyle w:val="17"/>
          <w:rFonts w:ascii="Times New Roman" w:hAnsi="Times New Roman"/>
          <w:vertAlign w:val="baseline"/>
          <w:lang w:val="en-GB"/>
        </w:rPr>
        <w:t xml:space="preserve"> of the ground floor, including the static enforcement of the floor, as the barrier to be inserted in the doorway cannot exceed a certain level of above the doorstep; otherwise the unit would remain inaccessible during the flood. </w:t>
      </w:r>
      <w:r>
        <w:rPr>
          <w:rFonts w:ascii="Times New Roman" w:hAnsi="Times New Roman"/>
          <w:lang w:val="en-GB"/>
        </w:rPr>
        <w:t>I</w:t>
      </w:r>
      <w:r>
        <w:rPr>
          <w:rStyle w:val="17"/>
          <w:rFonts w:ascii="Times New Roman" w:hAnsi="Times New Roman"/>
          <w:vertAlign w:val="baseline"/>
          <w:lang w:val="en-GB"/>
        </w:rPr>
        <w:t>n this case</w:t>
      </w:r>
      <w:r>
        <w:rPr>
          <w:rFonts w:ascii="Times New Roman" w:hAnsi="Times New Roman"/>
          <w:lang w:val="en-GB"/>
        </w:rPr>
        <w:t>,</w:t>
      </w:r>
      <w:r>
        <w:rPr>
          <w:rStyle w:val="17"/>
          <w:rFonts w:ascii="Times New Roman" w:hAnsi="Times New Roman"/>
          <w:vertAlign w:val="baseline"/>
          <w:lang w:val="en-GB"/>
        </w:rPr>
        <w:t xml:space="preserve"> a maximum level of 50cm for a mobile barrier has been ad</w:t>
      </w:r>
      <w:r>
        <w:rPr>
          <w:rFonts w:ascii="Times New Roman" w:hAnsi="Times New Roman"/>
          <w:lang w:val="en-GB"/>
        </w:rPr>
        <w:t>opt</w:t>
      </w:r>
      <w:r>
        <w:rPr>
          <w:rStyle w:val="17"/>
          <w:rFonts w:ascii="Times New Roman" w:hAnsi="Times New Roman"/>
          <w:vertAlign w:val="baseline"/>
          <w:lang w:val="en-GB"/>
        </w:rPr>
        <w:t>ed.</w:t>
      </w:r>
    </w:p>
  </w:footnote>
  <w:footnote w:id="15">
    <w:p>
      <w:pPr>
        <w:pStyle w:val="18"/>
        <w:jc w:val="both"/>
        <w:rPr>
          <w:rFonts w:ascii="Times New Roman" w:hAnsi="Times New Roman"/>
          <w:lang w:val="en-GB"/>
        </w:rPr>
      </w:pPr>
      <w:r>
        <w:rPr>
          <w:rStyle w:val="17"/>
          <w:rFonts w:ascii="Times New Roman" w:hAnsi="Times New Roman"/>
          <w:lang w:val="en-GB"/>
        </w:rPr>
        <w:footnoteRef/>
      </w:r>
      <w:r>
        <w:rPr>
          <w:rFonts w:ascii="Times New Roman" w:hAnsi="Times New Roman"/>
          <w:lang w:val="en-GB"/>
        </w:rPr>
        <w:t xml:space="preserve"> Notice that here lower and upper bound refers only to the number of events; it could be that different types of plastering results both in different number of events after which re-plastering is required and in different average costs.</w:t>
      </w:r>
    </w:p>
  </w:footnote>
  <w:footnote w:id="16">
    <w:p>
      <w:pPr>
        <w:pStyle w:val="18"/>
        <w:jc w:val="both"/>
        <w:rPr>
          <w:rFonts w:ascii="Times New Roman" w:hAnsi="Times New Roman"/>
          <w:lang w:val="en-GB"/>
        </w:rPr>
      </w:pPr>
      <w:r>
        <w:rPr>
          <w:rStyle w:val="17"/>
          <w:rFonts w:ascii="Times New Roman" w:hAnsi="Times New Roman"/>
          <w:lang w:val="en-GB"/>
        </w:rPr>
        <w:footnoteRef/>
      </w:r>
      <w:r>
        <w:rPr>
          <w:rFonts w:ascii="Times New Roman" w:hAnsi="Times New Roman"/>
          <w:lang w:val="en-GB"/>
        </w:rPr>
        <w:t xml:space="preserve"> Caporin, M. and Fontini, F.: Damages Evaluation, Periodic Floods, and Local Sea Level Rise: The Case of Venice, Italy, Handbook of Environmental and Sustainable Finance, Academic Press, 93–110, 2016. </w:t>
      </w:r>
    </w:p>
  </w:footnote>
  <w:footnote w:id="17">
    <w:p>
      <w:pPr>
        <w:pStyle w:val="18"/>
        <w:jc w:val="both"/>
        <w:rPr>
          <w:rFonts w:ascii="Times New Roman" w:hAnsi="Times New Roman"/>
          <w:lang w:val="en-GB"/>
        </w:rPr>
      </w:pPr>
      <w:r>
        <w:rPr>
          <w:rStyle w:val="17"/>
          <w:rFonts w:ascii="Times New Roman" w:hAnsi="Times New Roman"/>
          <w:lang w:val="en-GB"/>
        </w:rPr>
        <w:footnoteRef/>
      </w:r>
      <w:r>
        <w:rPr>
          <w:rStyle w:val="17"/>
          <w:rFonts w:ascii="Times New Roman" w:hAnsi="Times New Roman"/>
          <w:lang w:val="en-GB"/>
        </w:rPr>
        <w:t xml:space="preserve"> </w:t>
      </w:r>
      <w:r>
        <w:rPr>
          <w:rStyle w:val="17"/>
          <w:rFonts w:ascii="Times New Roman" w:hAnsi="Times New Roman"/>
          <w:vertAlign w:val="baseline"/>
          <w:lang w:val="en-GB"/>
        </w:rPr>
        <w:t>http://dati.istat.it/Index.aspx?lang=en&amp;SubSessionId=5f850764-96ef-4dbe-8a9e-2ae09a0ca208</w:t>
      </w:r>
      <w:r>
        <w:rPr>
          <w:rFonts w:ascii="Times New Roman" w:hAnsi="Times New Roman"/>
          <w:lang w:val="en-GB"/>
        </w:rPr>
        <w:t>.</w:t>
      </w:r>
    </w:p>
  </w:footnote>
  <w:footnote w:id="18">
    <w:p>
      <w:pPr>
        <w:pStyle w:val="18"/>
        <w:rPr>
          <w:lang w:val="en-US"/>
        </w:rPr>
      </w:pPr>
      <w:r>
        <w:rPr>
          <w:rStyle w:val="17"/>
          <w:lang w:val="en-US"/>
        </w:rPr>
        <w:footnoteRef/>
      </w:r>
      <w:r>
        <w:rPr>
          <w:lang w:val="en-US"/>
        </w:rPr>
        <w:t xml:space="preserve"> </w:t>
      </w:r>
      <w:r>
        <w:rPr>
          <w:rFonts w:ascii="Times New Roman" w:hAnsi="Times New Roman"/>
          <w:sz w:val="24"/>
          <w:szCs w:val="24"/>
          <w:lang w:val="en-US"/>
        </w:rPr>
        <w:t>In this study we focus only on the costs of the operators of the port of Venice and we do not consider the losses faced by the shipping companies.</w:t>
      </w:r>
    </w:p>
  </w:footnote>
  <w:footnote w:id="19">
    <w:p>
      <w:pPr>
        <w:pStyle w:val="18"/>
        <w:jc w:val="both"/>
        <w:rPr>
          <w:lang w:val="en-GB"/>
        </w:rPr>
      </w:pPr>
      <w:r>
        <w:rPr>
          <w:rStyle w:val="17"/>
          <w:lang w:val="en-GB"/>
        </w:rPr>
        <w:footnoteRef/>
      </w:r>
      <w:r>
        <w:rPr>
          <w:lang w:val="en-GB"/>
        </w:rPr>
        <w:t xml:space="preserve"> </w:t>
      </w:r>
      <w:r>
        <w:rPr>
          <w:rFonts w:ascii="Times New Roman" w:hAnsi="Times New Roman"/>
          <w:lang w:val="en-GB"/>
        </w:rPr>
        <w:t>Final Report-Impact Assessment MOSE Project-Financial Impact During Construction Phase, Maritime &amp; Transport Business Solutions B.V</w:t>
      </w:r>
    </w:p>
  </w:footnote>
  <w:footnote w:id="20">
    <w:p>
      <w:pPr>
        <w:pStyle w:val="18"/>
        <w:jc w:val="both"/>
        <w:rPr>
          <w:rFonts w:ascii="Times New Roman" w:hAnsi="Times New Roman"/>
          <w:lang w:val="en-GB"/>
        </w:rPr>
      </w:pPr>
      <w:r>
        <w:rPr>
          <w:rStyle w:val="17"/>
          <w:rFonts w:ascii="Times New Roman" w:hAnsi="Times New Roman"/>
          <w:lang w:val="en-GB"/>
        </w:rPr>
        <w:footnoteRef/>
      </w:r>
      <w:r>
        <w:rPr>
          <w:rFonts w:ascii="Times New Roman" w:hAnsi="Times New Roman"/>
          <w:lang w:val="en-GB"/>
        </w:rPr>
        <w:t xml:space="preserve"> </w:t>
      </w:r>
      <w:r>
        <w:fldChar w:fldCharType="begin"/>
      </w:r>
      <w:r>
        <w:instrText xml:space="preserve"> HYPERLINK "https://www.port.venice.it/it/sailing-list.html" </w:instrText>
      </w:r>
      <w:r>
        <w:fldChar w:fldCharType="separate"/>
      </w:r>
      <w:r>
        <w:rPr>
          <w:rStyle w:val="21"/>
          <w:rFonts w:ascii="Times New Roman" w:hAnsi="Times New Roman"/>
          <w:lang w:val="en-GB"/>
        </w:rPr>
        <w:t>https://www.port.venice.it/it/sailing-list.html</w:t>
      </w:r>
      <w:r>
        <w:rPr>
          <w:rStyle w:val="21"/>
          <w:rFonts w:ascii="Times New Roman" w:hAnsi="Times New Roman"/>
          <w:lang w:val="en-GB"/>
        </w:rPr>
        <w:fldChar w:fldCharType="end"/>
      </w:r>
      <w:r>
        <w:rPr>
          <w:rFonts w:ascii="Times New Roman" w:hAnsi="Times New Roman"/>
          <w:lang w:val="en-GB"/>
        </w:rPr>
        <w:t xml:space="preserve"> </w:t>
      </w:r>
    </w:p>
  </w:footnote>
  <w:footnote w:id="21">
    <w:p>
      <w:pPr>
        <w:pStyle w:val="18"/>
        <w:rPr>
          <w:rFonts w:ascii="Times New Roman" w:hAnsi="Times New Roman"/>
          <w:lang w:val="it-IT"/>
        </w:rPr>
      </w:pPr>
      <w:r>
        <w:rPr>
          <w:rStyle w:val="17"/>
          <w:rFonts w:ascii="Times New Roman" w:hAnsi="Times New Roman"/>
          <w:lang w:val="en-GB"/>
        </w:rPr>
        <w:footnoteRef/>
      </w:r>
      <w:r>
        <w:rPr>
          <w:rFonts w:ascii="Times New Roman" w:hAnsi="Times New Roman"/>
          <w:lang w:val="it-IT"/>
        </w:rPr>
        <w:t xml:space="preserve"> Tariffa generale 2019, edizione 0.1, Venezia Terminal Passeggeri s.p.a, 2019 and Tariffa generale 2020 per i servizi terminalistici, Venice Ro-Port MoS.</w:t>
      </w:r>
    </w:p>
  </w:footnote>
  <w:footnote w:id="22">
    <w:p>
      <w:pPr>
        <w:pStyle w:val="18"/>
        <w:jc w:val="both"/>
        <w:rPr>
          <w:rFonts w:ascii="Times New Roman" w:hAnsi="Times New Roman"/>
          <w:lang w:val="en-GB"/>
        </w:rPr>
      </w:pPr>
      <w:r>
        <w:rPr>
          <w:rStyle w:val="17"/>
          <w:rFonts w:ascii="Times New Roman" w:hAnsi="Times New Roman"/>
          <w:lang w:val="en-GB"/>
        </w:rPr>
        <w:footnoteRef/>
      </w:r>
      <w:r>
        <w:rPr>
          <w:rFonts w:ascii="Times New Roman" w:hAnsi="Times New Roman"/>
          <w:lang w:val="en-GB"/>
        </w:rPr>
        <w:t xml:space="preserve"> The MTBS report estimated the number of vessel calls lost due to MoSE construction works and the related economic values, under different scenarios, in 2014. Therefore, it was easy to compute the average economic loss per vessel lost under the baseline scenarios.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7772AD"/>
    <w:multiLevelType w:val="multilevel"/>
    <w:tmpl w:val="017772AD"/>
    <w:lvl w:ilvl="0" w:tentative="0">
      <w:start w:val="1"/>
      <w:numFmt w:val="bullet"/>
      <w:lvlText w:val="-"/>
      <w:lvlJc w:val="left"/>
      <w:pPr>
        <w:ind w:left="1080" w:hanging="360"/>
      </w:pPr>
      <w:rPr>
        <w:rFonts w:hint="default" w:ascii="Calibri" w:hAnsi="Calibri" w:cs="Calibri" w:eastAsiaTheme="minorHAnsi"/>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1">
    <w:nsid w:val="0EED430D"/>
    <w:multiLevelType w:val="multilevel"/>
    <w:tmpl w:val="0EED430D"/>
    <w:lvl w:ilvl="0" w:tentative="0">
      <w:start w:val="1"/>
      <w:numFmt w:val="decimal"/>
      <w:lvlText w:val="(%1)"/>
      <w:lvlJc w:val="left"/>
      <w:pPr>
        <w:ind w:left="720" w:hanging="360"/>
      </w:pPr>
      <w:rPr>
        <w:rFonts w:hint="default" w:ascii="Times New Roman" w:hAnsi="Times New Roman" w:cs="Times New Roman" w:eastAsiaTheme="minorEastAsia"/>
        <w:sz w:val="22"/>
        <w:szCs w:val="22"/>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18400863"/>
    <w:multiLevelType w:val="multilevel"/>
    <w:tmpl w:val="18400863"/>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3">
    <w:nsid w:val="2100448E"/>
    <w:multiLevelType w:val="multilevel"/>
    <w:tmpl w:val="2100448E"/>
    <w:lvl w:ilvl="0" w:tentative="0">
      <w:start w:val="1"/>
      <w:numFmt w:val="bullet"/>
      <w:lvlText w:val="-"/>
      <w:lvlJc w:val="left"/>
      <w:pPr>
        <w:ind w:left="1080" w:hanging="360"/>
      </w:pPr>
      <w:rPr>
        <w:rFonts w:hint="default" w:ascii="Calibri" w:hAnsi="Calibri" w:cs="Calibri" w:eastAsiaTheme="minorHAnsi"/>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4">
    <w:nsid w:val="3A935BBE"/>
    <w:multiLevelType w:val="multilevel"/>
    <w:tmpl w:val="3A935BBE"/>
    <w:lvl w:ilvl="0" w:tentative="0">
      <w:start w:val="1"/>
      <w:numFmt w:val="bullet"/>
      <w:lvlText w:val=""/>
      <w:lvlJc w:val="left"/>
      <w:pPr>
        <w:ind w:left="780" w:hanging="360"/>
      </w:pPr>
      <w:rPr>
        <w:rFonts w:hint="default" w:ascii="Symbol" w:hAnsi="Symbol"/>
      </w:rPr>
    </w:lvl>
    <w:lvl w:ilvl="1" w:tentative="0">
      <w:start w:val="1"/>
      <w:numFmt w:val="bullet"/>
      <w:lvlText w:val="o"/>
      <w:lvlJc w:val="left"/>
      <w:pPr>
        <w:ind w:left="1500" w:hanging="360"/>
      </w:pPr>
      <w:rPr>
        <w:rFonts w:hint="default" w:ascii="Courier New" w:hAnsi="Courier New" w:cs="Courier New"/>
      </w:rPr>
    </w:lvl>
    <w:lvl w:ilvl="2" w:tentative="0">
      <w:start w:val="1"/>
      <w:numFmt w:val="bullet"/>
      <w:lvlText w:val=""/>
      <w:lvlJc w:val="left"/>
      <w:pPr>
        <w:ind w:left="2220" w:hanging="360"/>
      </w:pPr>
      <w:rPr>
        <w:rFonts w:hint="default" w:ascii="Wingdings" w:hAnsi="Wingdings"/>
      </w:rPr>
    </w:lvl>
    <w:lvl w:ilvl="3" w:tentative="0">
      <w:start w:val="1"/>
      <w:numFmt w:val="bullet"/>
      <w:lvlText w:val=""/>
      <w:lvlJc w:val="left"/>
      <w:pPr>
        <w:ind w:left="2940" w:hanging="360"/>
      </w:pPr>
      <w:rPr>
        <w:rFonts w:hint="default" w:ascii="Symbol" w:hAnsi="Symbol"/>
      </w:rPr>
    </w:lvl>
    <w:lvl w:ilvl="4" w:tentative="0">
      <w:start w:val="1"/>
      <w:numFmt w:val="bullet"/>
      <w:lvlText w:val="o"/>
      <w:lvlJc w:val="left"/>
      <w:pPr>
        <w:ind w:left="3660" w:hanging="360"/>
      </w:pPr>
      <w:rPr>
        <w:rFonts w:hint="default" w:ascii="Courier New" w:hAnsi="Courier New" w:cs="Courier New"/>
      </w:rPr>
    </w:lvl>
    <w:lvl w:ilvl="5" w:tentative="0">
      <w:start w:val="1"/>
      <w:numFmt w:val="bullet"/>
      <w:lvlText w:val=""/>
      <w:lvlJc w:val="left"/>
      <w:pPr>
        <w:ind w:left="4380" w:hanging="360"/>
      </w:pPr>
      <w:rPr>
        <w:rFonts w:hint="default" w:ascii="Wingdings" w:hAnsi="Wingdings"/>
      </w:rPr>
    </w:lvl>
    <w:lvl w:ilvl="6" w:tentative="0">
      <w:start w:val="1"/>
      <w:numFmt w:val="bullet"/>
      <w:lvlText w:val=""/>
      <w:lvlJc w:val="left"/>
      <w:pPr>
        <w:ind w:left="5100" w:hanging="360"/>
      </w:pPr>
      <w:rPr>
        <w:rFonts w:hint="default" w:ascii="Symbol" w:hAnsi="Symbol"/>
      </w:rPr>
    </w:lvl>
    <w:lvl w:ilvl="7" w:tentative="0">
      <w:start w:val="1"/>
      <w:numFmt w:val="bullet"/>
      <w:lvlText w:val="o"/>
      <w:lvlJc w:val="left"/>
      <w:pPr>
        <w:ind w:left="5820" w:hanging="360"/>
      </w:pPr>
      <w:rPr>
        <w:rFonts w:hint="default" w:ascii="Courier New" w:hAnsi="Courier New" w:cs="Courier New"/>
      </w:rPr>
    </w:lvl>
    <w:lvl w:ilvl="8" w:tentative="0">
      <w:start w:val="1"/>
      <w:numFmt w:val="bullet"/>
      <w:lvlText w:val=""/>
      <w:lvlJc w:val="left"/>
      <w:pPr>
        <w:ind w:left="6540" w:hanging="360"/>
      </w:pPr>
      <w:rPr>
        <w:rFonts w:hint="default" w:ascii="Wingdings" w:hAnsi="Wingdings"/>
      </w:rPr>
    </w:lvl>
  </w:abstractNum>
  <w:abstractNum w:abstractNumId="5">
    <w:nsid w:val="3E684AEF"/>
    <w:multiLevelType w:val="multilevel"/>
    <w:tmpl w:val="3E684AEF"/>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44302C4E"/>
    <w:multiLevelType w:val="multilevel"/>
    <w:tmpl w:val="44302C4E"/>
    <w:lvl w:ilvl="0" w:tentative="0">
      <w:start w:val="1"/>
      <w:numFmt w:val="decimal"/>
      <w:pStyle w:val="3"/>
      <w:lvlText w:val="%1."/>
      <w:lvlJc w:val="left"/>
      <w:pPr>
        <w:ind w:left="720" w:hanging="360"/>
      </w:pPr>
    </w:lvl>
    <w:lvl w:ilvl="1" w:tentative="0">
      <w:start w:val="1"/>
      <w:numFmt w:val="decimal"/>
      <w:pStyle w:val="4"/>
      <w:isLgl/>
      <w:lvlText w:val="%1.%2"/>
      <w:lvlJc w:val="left"/>
      <w:pPr>
        <w:ind w:left="4897" w:hanging="360"/>
      </w:pPr>
      <w:rPr>
        <w:rFonts w:hint="default"/>
      </w:rPr>
    </w:lvl>
    <w:lvl w:ilvl="2" w:tentative="0">
      <w:start w:val="1"/>
      <w:numFmt w:val="decimal"/>
      <w:isLgl/>
      <w:lvlText w:val="%1.%2.%3"/>
      <w:lvlJc w:val="left"/>
      <w:pPr>
        <w:ind w:left="1080" w:hanging="720"/>
      </w:pPr>
      <w:rPr>
        <w:rFonts w:hint="default"/>
      </w:rPr>
    </w:lvl>
    <w:lvl w:ilvl="3" w:tentative="0">
      <w:start w:val="1"/>
      <w:numFmt w:val="decimal"/>
      <w:isLgl/>
      <w:lvlText w:val="%1.%2.%3.%4"/>
      <w:lvlJc w:val="left"/>
      <w:pPr>
        <w:ind w:left="1080" w:hanging="720"/>
      </w:pPr>
      <w:rPr>
        <w:rFonts w:hint="default"/>
      </w:rPr>
    </w:lvl>
    <w:lvl w:ilvl="4" w:tentative="0">
      <w:start w:val="1"/>
      <w:numFmt w:val="decimal"/>
      <w:isLgl/>
      <w:lvlText w:val="%1.%2.%3.%4.%5"/>
      <w:lvlJc w:val="left"/>
      <w:pPr>
        <w:ind w:left="1440" w:hanging="1080"/>
      </w:pPr>
      <w:rPr>
        <w:rFonts w:hint="default"/>
      </w:rPr>
    </w:lvl>
    <w:lvl w:ilvl="5" w:tentative="0">
      <w:start w:val="1"/>
      <w:numFmt w:val="decimal"/>
      <w:isLgl/>
      <w:lvlText w:val="%1.%2.%3.%4.%5.%6"/>
      <w:lvlJc w:val="left"/>
      <w:pPr>
        <w:ind w:left="1440" w:hanging="1080"/>
      </w:pPr>
      <w:rPr>
        <w:rFonts w:hint="default"/>
      </w:rPr>
    </w:lvl>
    <w:lvl w:ilvl="6" w:tentative="0">
      <w:start w:val="1"/>
      <w:numFmt w:val="decimal"/>
      <w:isLgl/>
      <w:lvlText w:val="%1.%2.%3.%4.%5.%6.%7"/>
      <w:lvlJc w:val="left"/>
      <w:pPr>
        <w:ind w:left="1800" w:hanging="1440"/>
      </w:pPr>
      <w:rPr>
        <w:rFonts w:hint="default"/>
      </w:rPr>
    </w:lvl>
    <w:lvl w:ilvl="7" w:tentative="0">
      <w:start w:val="1"/>
      <w:numFmt w:val="decimal"/>
      <w:isLgl/>
      <w:lvlText w:val="%1.%2.%3.%4.%5.%6.%7.%8"/>
      <w:lvlJc w:val="left"/>
      <w:pPr>
        <w:ind w:left="1800" w:hanging="1440"/>
      </w:pPr>
      <w:rPr>
        <w:rFonts w:hint="default"/>
      </w:rPr>
    </w:lvl>
    <w:lvl w:ilvl="8" w:tentative="0">
      <w:start w:val="1"/>
      <w:numFmt w:val="decimal"/>
      <w:isLgl/>
      <w:lvlText w:val="%1.%2.%3.%4.%5.%6.%7.%8.%9"/>
      <w:lvlJc w:val="left"/>
      <w:pPr>
        <w:ind w:left="2160" w:hanging="1800"/>
      </w:pPr>
      <w:rPr>
        <w:rFonts w:hint="default"/>
      </w:rPr>
    </w:lvl>
  </w:abstractNum>
  <w:abstractNum w:abstractNumId="7">
    <w:nsid w:val="4DCF31CA"/>
    <w:multiLevelType w:val="multilevel"/>
    <w:tmpl w:val="4DCF31CA"/>
    <w:lvl w:ilvl="0" w:tentative="0">
      <w:start w:val="1"/>
      <w:numFmt w:val="decimal"/>
      <w:lvlText w:val="%1."/>
      <w:lvlJc w:val="left"/>
      <w:pPr>
        <w:ind w:left="720" w:hanging="360"/>
      </w:pPr>
      <w:rPr>
        <w:rFonts w:ascii="Times New Roman" w:hAnsi="Times New Roman" w:cs="Times New Roman" w:eastAsiaTheme="minorHAnsi"/>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8">
    <w:nsid w:val="5B9A69DF"/>
    <w:multiLevelType w:val="multilevel"/>
    <w:tmpl w:val="5B9A69DF"/>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9">
    <w:nsid w:val="68F95A4A"/>
    <w:multiLevelType w:val="multilevel"/>
    <w:tmpl w:val="68F95A4A"/>
    <w:lvl w:ilvl="0" w:tentative="0">
      <w:start w:val="1"/>
      <w:numFmt w:val="bullet"/>
      <w:pStyle w:val="22"/>
      <w:lvlText w:val="o"/>
      <w:lvlJc w:val="left"/>
      <w:pPr>
        <w:ind w:left="720" w:hanging="360"/>
      </w:pPr>
      <w:rPr>
        <w:rFonts w:ascii="Courier New" w:hAnsi="Courier New" w:eastAsia="Courier New" w:cs="Courier New"/>
      </w:rPr>
    </w:lvl>
    <w:lvl w:ilvl="1" w:tentative="0">
      <w:start w:val="1"/>
      <w:numFmt w:val="bullet"/>
      <w:lvlText w:val="o"/>
      <w:lvlJc w:val="left"/>
      <w:pPr>
        <w:ind w:left="1440" w:hanging="360"/>
      </w:pPr>
      <w:rPr>
        <w:rFonts w:ascii="Courier New" w:hAnsi="Courier New" w:eastAsia="Courier New" w:cs="Courier New"/>
      </w:rPr>
    </w:lvl>
    <w:lvl w:ilvl="2" w:tentative="0">
      <w:start w:val="1"/>
      <w:numFmt w:val="bullet"/>
      <w:lvlText w:val="▪"/>
      <w:lvlJc w:val="left"/>
      <w:pPr>
        <w:ind w:left="2160" w:hanging="360"/>
      </w:pPr>
      <w:rPr>
        <w:rFonts w:ascii="Noto Sans Symbols" w:hAnsi="Noto Sans Symbols" w:eastAsia="Noto Sans Symbols" w:cs="Noto Sans Symbols"/>
      </w:rPr>
    </w:lvl>
    <w:lvl w:ilvl="3" w:tentative="0">
      <w:start w:val="1"/>
      <w:numFmt w:val="bullet"/>
      <w:lvlText w:val="●"/>
      <w:lvlJc w:val="left"/>
      <w:pPr>
        <w:ind w:left="2880" w:hanging="360"/>
      </w:pPr>
      <w:rPr>
        <w:rFonts w:ascii="Noto Sans Symbols" w:hAnsi="Noto Sans Symbols" w:eastAsia="Noto Sans Symbols" w:cs="Noto Sans Symbols"/>
      </w:rPr>
    </w:lvl>
    <w:lvl w:ilvl="4" w:tentative="0">
      <w:start w:val="1"/>
      <w:numFmt w:val="bullet"/>
      <w:lvlText w:val="o"/>
      <w:lvlJc w:val="left"/>
      <w:pPr>
        <w:ind w:left="3600" w:hanging="360"/>
      </w:pPr>
      <w:rPr>
        <w:rFonts w:ascii="Courier New" w:hAnsi="Courier New" w:eastAsia="Courier New" w:cs="Courier New"/>
      </w:rPr>
    </w:lvl>
    <w:lvl w:ilvl="5" w:tentative="0">
      <w:start w:val="1"/>
      <w:numFmt w:val="bullet"/>
      <w:lvlText w:val="▪"/>
      <w:lvlJc w:val="left"/>
      <w:pPr>
        <w:ind w:left="4320" w:hanging="360"/>
      </w:pPr>
      <w:rPr>
        <w:rFonts w:ascii="Noto Sans Symbols" w:hAnsi="Noto Sans Symbols" w:eastAsia="Noto Sans Symbols" w:cs="Noto Sans Symbols"/>
      </w:rPr>
    </w:lvl>
    <w:lvl w:ilvl="6" w:tentative="0">
      <w:start w:val="1"/>
      <w:numFmt w:val="bullet"/>
      <w:lvlText w:val="●"/>
      <w:lvlJc w:val="left"/>
      <w:pPr>
        <w:ind w:left="5040" w:hanging="360"/>
      </w:pPr>
      <w:rPr>
        <w:rFonts w:ascii="Noto Sans Symbols" w:hAnsi="Noto Sans Symbols" w:eastAsia="Noto Sans Symbols" w:cs="Noto Sans Symbols"/>
      </w:rPr>
    </w:lvl>
    <w:lvl w:ilvl="7" w:tentative="0">
      <w:start w:val="1"/>
      <w:numFmt w:val="bullet"/>
      <w:lvlText w:val="o"/>
      <w:lvlJc w:val="left"/>
      <w:pPr>
        <w:ind w:left="5760" w:hanging="360"/>
      </w:pPr>
      <w:rPr>
        <w:rFonts w:ascii="Courier New" w:hAnsi="Courier New" w:eastAsia="Courier New" w:cs="Courier New"/>
      </w:rPr>
    </w:lvl>
    <w:lvl w:ilvl="8" w:tentative="0">
      <w:start w:val="1"/>
      <w:numFmt w:val="bullet"/>
      <w:lvlText w:val="▪"/>
      <w:lvlJc w:val="left"/>
      <w:pPr>
        <w:ind w:left="6480" w:hanging="360"/>
      </w:pPr>
      <w:rPr>
        <w:rFonts w:ascii="Noto Sans Symbols" w:hAnsi="Noto Sans Symbols" w:eastAsia="Noto Sans Symbols" w:cs="Noto Sans Symbols"/>
      </w:rPr>
    </w:lvl>
  </w:abstractNum>
  <w:num w:numId="1">
    <w:abstractNumId w:val="6"/>
  </w:num>
  <w:num w:numId="2">
    <w:abstractNumId w:val="9"/>
  </w:num>
  <w:num w:numId="3">
    <w:abstractNumId w:val="4"/>
  </w:num>
  <w:num w:numId="4">
    <w:abstractNumId w:val="8"/>
  </w:num>
  <w:num w:numId="5">
    <w:abstractNumId w:val="2"/>
  </w:num>
  <w:num w:numId="6">
    <w:abstractNumId w:val="3"/>
  </w:num>
  <w:num w:numId="7">
    <w:abstractNumId w:val="0"/>
  </w:num>
  <w:num w:numId="8">
    <w:abstractNumId w:val="1"/>
  </w:num>
  <w:num w:numId="9">
    <w:abstractNumId w:val="6"/>
    <w:lvlOverride w:ilvl="0">
      <w:startOverride w:val="1"/>
    </w:lvlOverride>
    <w:lvlOverride w:ilvl="1">
      <w:startOverride w:val="3"/>
    </w:lvlOverride>
  </w:num>
  <w:num w:numId="10">
    <w:abstractNumId w:val="5"/>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trackRevisions w:val="1"/>
  <w:documentProtection w:enforcement="0"/>
  <w:defaultTabStop w:val="720"/>
  <w:hyphenationZone w:val="283"/>
  <w:characterSpacingControl w:val="doNotCompress"/>
  <w:footnotePr>
    <w:footnote w:id="46"/>
    <w:footnote w:id="47"/>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4108"/>
    <w:rsid w:val="000119FF"/>
    <w:rsid w:val="00030B2F"/>
    <w:rsid w:val="000350AA"/>
    <w:rsid w:val="0003598C"/>
    <w:rsid w:val="000376E6"/>
    <w:rsid w:val="000439CE"/>
    <w:rsid w:val="0005099F"/>
    <w:rsid w:val="0005287D"/>
    <w:rsid w:val="00054759"/>
    <w:rsid w:val="00057FF9"/>
    <w:rsid w:val="000608C9"/>
    <w:rsid w:val="00061EBF"/>
    <w:rsid w:val="00064E56"/>
    <w:rsid w:val="00074120"/>
    <w:rsid w:val="000A160F"/>
    <w:rsid w:val="000A25C5"/>
    <w:rsid w:val="000A43AE"/>
    <w:rsid w:val="000A6C9A"/>
    <w:rsid w:val="000B2D04"/>
    <w:rsid w:val="000B4FE3"/>
    <w:rsid w:val="000B56D6"/>
    <w:rsid w:val="000C2D6F"/>
    <w:rsid w:val="000D07FB"/>
    <w:rsid w:val="000E27CA"/>
    <w:rsid w:val="000E44A5"/>
    <w:rsid w:val="000F2DF2"/>
    <w:rsid w:val="000F49D2"/>
    <w:rsid w:val="000F7D38"/>
    <w:rsid w:val="001005A3"/>
    <w:rsid w:val="001021B5"/>
    <w:rsid w:val="0011092A"/>
    <w:rsid w:val="00117086"/>
    <w:rsid w:val="00117954"/>
    <w:rsid w:val="00121771"/>
    <w:rsid w:val="00121D28"/>
    <w:rsid w:val="00124677"/>
    <w:rsid w:val="001365C5"/>
    <w:rsid w:val="001425BB"/>
    <w:rsid w:val="00143C3C"/>
    <w:rsid w:val="00145635"/>
    <w:rsid w:val="001610BC"/>
    <w:rsid w:val="001655B4"/>
    <w:rsid w:val="00166F52"/>
    <w:rsid w:val="001724B6"/>
    <w:rsid w:val="0018253B"/>
    <w:rsid w:val="00184965"/>
    <w:rsid w:val="00193A2E"/>
    <w:rsid w:val="0019586D"/>
    <w:rsid w:val="001A17A5"/>
    <w:rsid w:val="001B34D9"/>
    <w:rsid w:val="001B3C60"/>
    <w:rsid w:val="001B5F06"/>
    <w:rsid w:val="001C3171"/>
    <w:rsid w:val="001C416D"/>
    <w:rsid w:val="001D03E6"/>
    <w:rsid w:val="001D43AB"/>
    <w:rsid w:val="001D5E61"/>
    <w:rsid w:val="001E1DD3"/>
    <w:rsid w:val="001E2499"/>
    <w:rsid w:val="001E4750"/>
    <w:rsid w:val="001F331B"/>
    <w:rsid w:val="00200458"/>
    <w:rsid w:val="00203CC1"/>
    <w:rsid w:val="00207ECD"/>
    <w:rsid w:val="0021416E"/>
    <w:rsid w:val="00214D59"/>
    <w:rsid w:val="00214FF9"/>
    <w:rsid w:val="00216763"/>
    <w:rsid w:val="0021688A"/>
    <w:rsid w:val="00220759"/>
    <w:rsid w:val="0022222E"/>
    <w:rsid w:val="00223600"/>
    <w:rsid w:val="00231C20"/>
    <w:rsid w:val="002332A2"/>
    <w:rsid w:val="00250118"/>
    <w:rsid w:val="00257014"/>
    <w:rsid w:val="00257D6F"/>
    <w:rsid w:val="00267523"/>
    <w:rsid w:val="00270618"/>
    <w:rsid w:val="00271A5C"/>
    <w:rsid w:val="0027614D"/>
    <w:rsid w:val="00277467"/>
    <w:rsid w:val="0028409C"/>
    <w:rsid w:val="0029534B"/>
    <w:rsid w:val="002A305C"/>
    <w:rsid w:val="002B05F6"/>
    <w:rsid w:val="002B73FA"/>
    <w:rsid w:val="002B74ED"/>
    <w:rsid w:val="002C51FE"/>
    <w:rsid w:val="002E1CBC"/>
    <w:rsid w:val="002E5B20"/>
    <w:rsid w:val="002E6FE3"/>
    <w:rsid w:val="002F4B52"/>
    <w:rsid w:val="00301208"/>
    <w:rsid w:val="0032201C"/>
    <w:rsid w:val="0032584B"/>
    <w:rsid w:val="0032764B"/>
    <w:rsid w:val="00330565"/>
    <w:rsid w:val="003354FD"/>
    <w:rsid w:val="00340706"/>
    <w:rsid w:val="00341640"/>
    <w:rsid w:val="003519D8"/>
    <w:rsid w:val="00352DAB"/>
    <w:rsid w:val="00360094"/>
    <w:rsid w:val="003627FB"/>
    <w:rsid w:val="003674F0"/>
    <w:rsid w:val="00375D19"/>
    <w:rsid w:val="003809B2"/>
    <w:rsid w:val="003845EC"/>
    <w:rsid w:val="00397BCF"/>
    <w:rsid w:val="003A3C46"/>
    <w:rsid w:val="003A7399"/>
    <w:rsid w:val="003C7F1C"/>
    <w:rsid w:val="003E359D"/>
    <w:rsid w:val="003F1303"/>
    <w:rsid w:val="003F3B90"/>
    <w:rsid w:val="003F3FB8"/>
    <w:rsid w:val="003F68A5"/>
    <w:rsid w:val="00405003"/>
    <w:rsid w:val="00406C82"/>
    <w:rsid w:val="00410904"/>
    <w:rsid w:val="00412408"/>
    <w:rsid w:val="00423A82"/>
    <w:rsid w:val="004251EB"/>
    <w:rsid w:val="004333E3"/>
    <w:rsid w:val="00433EEF"/>
    <w:rsid w:val="0043735C"/>
    <w:rsid w:val="0044161F"/>
    <w:rsid w:val="00443582"/>
    <w:rsid w:val="00450C0E"/>
    <w:rsid w:val="00450DEC"/>
    <w:rsid w:val="0045693C"/>
    <w:rsid w:val="00464D9E"/>
    <w:rsid w:val="004670BA"/>
    <w:rsid w:val="00467F42"/>
    <w:rsid w:val="00470867"/>
    <w:rsid w:val="004755BC"/>
    <w:rsid w:val="00481BC6"/>
    <w:rsid w:val="004844A5"/>
    <w:rsid w:val="004A0F70"/>
    <w:rsid w:val="004A4B4B"/>
    <w:rsid w:val="004A6BCF"/>
    <w:rsid w:val="004B74D1"/>
    <w:rsid w:val="004C748C"/>
    <w:rsid w:val="004D4D0A"/>
    <w:rsid w:val="004D52AB"/>
    <w:rsid w:val="004D572E"/>
    <w:rsid w:val="004E074E"/>
    <w:rsid w:val="004E3B3D"/>
    <w:rsid w:val="004E5069"/>
    <w:rsid w:val="005018F6"/>
    <w:rsid w:val="00503023"/>
    <w:rsid w:val="00504E01"/>
    <w:rsid w:val="00511F64"/>
    <w:rsid w:val="00515681"/>
    <w:rsid w:val="00515FD9"/>
    <w:rsid w:val="005229E6"/>
    <w:rsid w:val="00527785"/>
    <w:rsid w:val="005335D8"/>
    <w:rsid w:val="0053667E"/>
    <w:rsid w:val="00542D3A"/>
    <w:rsid w:val="00543576"/>
    <w:rsid w:val="00545197"/>
    <w:rsid w:val="00546329"/>
    <w:rsid w:val="00554C67"/>
    <w:rsid w:val="00560BDA"/>
    <w:rsid w:val="0056145E"/>
    <w:rsid w:val="005620FF"/>
    <w:rsid w:val="0056227E"/>
    <w:rsid w:val="005647E1"/>
    <w:rsid w:val="005702A9"/>
    <w:rsid w:val="00586C82"/>
    <w:rsid w:val="005900FD"/>
    <w:rsid w:val="00593670"/>
    <w:rsid w:val="00595A05"/>
    <w:rsid w:val="005974F7"/>
    <w:rsid w:val="005A07AA"/>
    <w:rsid w:val="005A2958"/>
    <w:rsid w:val="005A6575"/>
    <w:rsid w:val="005B1199"/>
    <w:rsid w:val="005B3E8D"/>
    <w:rsid w:val="005B69D4"/>
    <w:rsid w:val="005C2085"/>
    <w:rsid w:val="005C50DD"/>
    <w:rsid w:val="005D026F"/>
    <w:rsid w:val="005D3E93"/>
    <w:rsid w:val="005D6553"/>
    <w:rsid w:val="005D77BE"/>
    <w:rsid w:val="005E4B0A"/>
    <w:rsid w:val="005F63A5"/>
    <w:rsid w:val="005F65FB"/>
    <w:rsid w:val="005F7CFF"/>
    <w:rsid w:val="00600DD1"/>
    <w:rsid w:val="00605FA6"/>
    <w:rsid w:val="00606430"/>
    <w:rsid w:val="006209E6"/>
    <w:rsid w:val="0062541A"/>
    <w:rsid w:val="006255AB"/>
    <w:rsid w:val="00627051"/>
    <w:rsid w:val="00630816"/>
    <w:rsid w:val="006319BD"/>
    <w:rsid w:val="00634108"/>
    <w:rsid w:val="00634D03"/>
    <w:rsid w:val="00635B20"/>
    <w:rsid w:val="00637476"/>
    <w:rsid w:val="00643DEF"/>
    <w:rsid w:val="006563CA"/>
    <w:rsid w:val="00661D56"/>
    <w:rsid w:val="0066687D"/>
    <w:rsid w:val="00671221"/>
    <w:rsid w:val="0067221C"/>
    <w:rsid w:val="006730FC"/>
    <w:rsid w:val="0068208B"/>
    <w:rsid w:val="0068651B"/>
    <w:rsid w:val="006872B9"/>
    <w:rsid w:val="006938E0"/>
    <w:rsid w:val="006976C0"/>
    <w:rsid w:val="006B28BE"/>
    <w:rsid w:val="006C1E9A"/>
    <w:rsid w:val="006C3347"/>
    <w:rsid w:val="006C7E9E"/>
    <w:rsid w:val="006D185D"/>
    <w:rsid w:val="006D6D7C"/>
    <w:rsid w:val="006E2954"/>
    <w:rsid w:val="006E2C88"/>
    <w:rsid w:val="006E5A15"/>
    <w:rsid w:val="006F40C2"/>
    <w:rsid w:val="006F44AF"/>
    <w:rsid w:val="00702621"/>
    <w:rsid w:val="0070396C"/>
    <w:rsid w:val="00706447"/>
    <w:rsid w:val="00707FBE"/>
    <w:rsid w:val="00714D38"/>
    <w:rsid w:val="00724C70"/>
    <w:rsid w:val="007407CA"/>
    <w:rsid w:val="00740E35"/>
    <w:rsid w:val="00743C88"/>
    <w:rsid w:val="00756898"/>
    <w:rsid w:val="00757436"/>
    <w:rsid w:val="007620FA"/>
    <w:rsid w:val="00774DB8"/>
    <w:rsid w:val="0077624E"/>
    <w:rsid w:val="00790326"/>
    <w:rsid w:val="007923AF"/>
    <w:rsid w:val="007932E7"/>
    <w:rsid w:val="00796473"/>
    <w:rsid w:val="007A1F74"/>
    <w:rsid w:val="007B2AB7"/>
    <w:rsid w:val="007B4AAC"/>
    <w:rsid w:val="007C2FF5"/>
    <w:rsid w:val="007C4902"/>
    <w:rsid w:val="007D0866"/>
    <w:rsid w:val="007D128A"/>
    <w:rsid w:val="007D1AD7"/>
    <w:rsid w:val="007D2171"/>
    <w:rsid w:val="007D41D2"/>
    <w:rsid w:val="007D4DA7"/>
    <w:rsid w:val="007E17DA"/>
    <w:rsid w:val="007E3090"/>
    <w:rsid w:val="007E3BC1"/>
    <w:rsid w:val="007E3F07"/>
    <w:rsid w:val="007E5C35"/>
    <w:rsid w:val="007F0893"/>
    <w:rsid w:val="007F1887"/>
    <w:rsid w:val="007F334C"/>
    <w:rsid w:val="007F4658"/>
    <w:rsid w:val="007F6453"/>
    <w:rsid w:val="0080199A"/>
    <w:rsid w:val="00810193"/>
    <w:rsid w:val="00814BA3"/>
    <w:rsid w:val="0081514E"/>
    <w:rsid w:val="008158A0"/>
    <w:rsid w:val="00815EB3"/>
    <w:rsid w:val="008216D4"/>
    <w:rsid w:val="008277F8"/>
    <w:rsid w:val="00827F05"/>
    <w:rsid w:val="0083227B"/>
    <w:rsid w:val="00836A99"/>
    <w:rsid w:val="0084156F"/>
    <w:rsid w:val="0084514F"/>
    <w:rsid w:val="008502F8"/>
    <w:rsid w:val="008539CE"/>
    <w:rsid w:val="00854879"/>
    <w:rsid w:val="0086040C"/>
    <w:rsid w:val="00870305"/>
    <w:rsid w:val="00870919"/>
    <w:rsid w:val="008726C1"/>
    <w:rsid w:val="0087516C"/>
    <w:rsid w:val="00875432"/>
    <w:rsid w:val="00875873"/>
    <w:rsid w:val="00880DEA"/>
    <w:rsid w:val="00881561"/>
    <w:rsid w:val="00881733"/>
    <w:rsid w:val="00883B38"/>
    <w:rsid w:val="00885B8D"/>
    <w:rsid w:val="00886D04"/>
    <w:rsid w:val="00892C66"/>
    <w:rsid w:val="00894008"/>
    <w:rsid w:val="00897916"/>
    <w:rsid w:val="008A1ADD"/>
    <w:rsid w:val="008A32A3"/>
    <w:rsid w:val="008A5DEC"/>
    <w:rsid w:val="008B1786"/>
    <w:rsid w:val="008B2EE4"/>
    <w:rsid w:val="008B2FB0"/>
    <w:rsid w:val="008B7DEE"/>
    <w:rsid w:val="008C095B"/>
    <w:rsid w:val="008C4535"/>
    <w:rsid w:val="008D77C2"/>
    <w:rsid w:val="008E01AF"/>
    <w:rsid w:val="008E325B"/>
    <w:rsid w:val="008E4559"/>
    <w:rsid w:val="008F7922"/>
    <w:rsid w:val="00905B67"/>
    <w:rsid w:val="00905C5F"/>
    <w:rsid w:val="00916C12"/>
    <w:rsid w:val="00922698"/>
    <w:rsid w:val="0093403F"/>
    <w:rsid w:val="00936EFB"/>
    <w:rsid w:val="0094365F"/>
    <w:rsid w:val="00953C8C"/>
    <w:rsid w:val="0095567F"/>
    <w:rsid w:val="0095659C"/>
    <w:rsid w:val="00967814"/>
    <w:rsid w:val="00970AE8"/>
    <w:rsid w:val="00975368"/>
    <w:rsid w:val="00977D23"/>
    <w:rsid w:val="009845C2"/>
    <w:rsid w:val="00985886"/>
    <w:rsid w:val="009860D5"/>
    <w:rsid w:val="0098746E"/>
    <w:rsid w:val="00991381"/>
    <w:rsid w:val="009925F2"/>
    <w:rsid w:val="00993FF0"/>
    <w:rsid w:val="00995AEE"/>
    <w:rsid w:val="00995EC9"/>
    <w:rsid w:val="009977AC"/>
    <w:rsid w:val="009A1182"/>
    <w:rsid w:val="009B731D"/>
    <w:rsid w:val="009B7D91"/>
    <w:rsid w:val="009C54F3"/>
    <w:rsid w:val="009C6205"/>
    <w:rsid w:val="009C7033"/>
    <w:rsid w:val="009C7B19"/>
    <w:rsid w:val="009D05BB"/>
    <w:rsid w:val="009E06E3"/>
    <w:rsid w:val="009E3463"/>
    <w:rsid w:val="009E50A2"/>
    <w:rsid w:val="009F4F93"/>
    <w:rsid w:val="00A0016D"/>
    <w:rsid w:val="00A0130F"/>
    <w:rsid w:val="00A017C2"/>
    <w:rsid w:val="00A0427B"/>
    <w:rsid w:val="00A153E5"/>
    <w:rsid w:val="00A16D2B"/>
    <w:rsid w:val="00A24FF4"/>
    <w:rsid w:val="00A25A58"/>
    <w:rsid w:val="00A27EBD"/>
    <w:rsid w:val="00A316AB"/>
    <w:rsid w:val="00A34118"/>
    <w:rsid w:val="00A34D0B"/>
    <w:rsid w:val="00A46381"/>
    <w:rsid w:val="00A530A8"/>
    <w:rsid w:val="00A60DAD"/>
    <w:rsid w:val="00A7269F"/>
    <w:rsid w:val="00A778F1"/>
    <w:rsid w:val="00A92895"/>
    <w:rsid w:val="00A954F1"/>
    <w:rsid w:val="00AC2670"/>
    <w:rsid w:val="00AC5447"/>
    <w:rsid w:val="00AD2FA4"/>
    <w:rsid w:val="00AE0FE6"/>
    <w:rsid w:val="00AE25E4"/>
    <w:rsid w:val="00AF0704"/>
    <w:rsid w:val="00AF2D14"/>
    <w:rsid w:val="00AF2F6A"/>
    <w:rsid w:val="00AF43D6"/>
    <w:rsid w:val="00B00B9B"/>
    <w:rsid w:val="00B05672"/>
    <w:rsid w:val="00B07272"/>
    <w:rsid w:val="00B2099E"/>
    <w:rsid w:val="00B20E83"/>
    <w:rsid w:val="00B236F9"/>
    <w:rsid w:val="00B3031F"/>
    <w:rsid w:val="00B35208"/>
    <w:rsid w:val="00B463ED"/>
    <w:rsid w:val="00B52018"/>
    <w:rsid w:val="00B55A18"/>
    <w:rsid w:val="00B55BEC"/>
    <w:rsid w:val="00B5637A"/>
    <w:rsid w:val="00B61AB1"/>
    <w:rsid w:val="00B63DB1"/>
    <w:rsid w:val="00B651D8"/>
    <w:rsid w:val="00B67189"/>
    <w:rsid w:val="00B7472D"/>
    <w:rsid w:val="00B778EA"/>
    <w:rsid w:val="00B8597E"/>
    <w:rsid w:val="00B87189"/>
    <w:rsid w:val="00B976C9"/>
    <w:rsid w:val="00BA2643"/>
    <w:rsid w:val="00BA2C23"/>
    <w:rsid w:val="00BA5382"/>
    <w:rsid w:val="00BA6D3F"/>
    <w:rsid w:val="00BB38C4"/>
    <w:rsid w:val="00BB47D5"/>
    <w:rsid w:val="00BC0DB1"/>
    <w:rsid w:val="00BC2CE6"/>
    <w:rsid w:val="00BC2CF8"/>
    <w:rsid w:val="00BD269E"/>
    <w:rsid w:val="00BD5B46"/>
    <w:rsid w:val="00BD7FA2"/>
    <w:rsid w:val="00BE22F6"/>
    <w:rsid w:val="00BF0DA2"/>
    <w:rsid w:val="00BF54F4"/>
    <w:rsid w:val="00BF5D44"/>
    <w:rsid w:val="00BF7E3A"/>
    <w:rsid w:val="00C00A14"/>
    <w:rsid w:val="00C010F7"/>
    <w:rsid w:val="00C03434"/>
    <w:rsid w:val="00C06133"/>
    <w:rsid w:val="00C267DD"/>
    <w:rsid w:val="00C26DCE"/>
    <w:rsid w:val="00C30E53"/>
    <w:rsid w:val="00C30EC4"/>
    <w:rsid w:val="00C34033"/>
    <w:rsid w:val="00C34A28"/>
    <w:rsid w:val="00C4460B"/>
    <w:rsid w:val="00C45AE5"/>
    <w:rsid w:val="00C5393B"/>
    <w:rsid w:val="00C632B4"/>
    <w:rsid w:val="00C6438A"/>
    <w:rsid w:val="00C7631F"/>
    <w:rsid w:val="00C77A27"/>
    <w:rsid w:val="00C82956"/>
    <w:rsid w:val="00C87030"/>
    <w:rsid w:val="00C94B63"/>
    <w:rsid w:val="00C95FB8"/>
    <w:rsid w:val="00CA1DBC"/>
    <w:rsid w:val="00CA24E9"/>
    <w:rsid w:val="00CB1427"/>
    <w:rsid w:val="00CB16F0"/>
    <w:rsid w:val="00CB1902"/>
    <w:rsid w:val="00CB1B44"/>
    <w:rsid w:val="00CC203F"/>
    <w:rsid w:val="00CC614D"/>
    <w:rsid w:val="00CC7083"/>
    <w:rsid w:val="00CD0FEA"/>
    <w:rsid w:val="00CD2183"/>
    <w:rsid w:val="00CE2E5E"/>
    <w:rsid w:val="00CF2A87"/>
    <w:rsid w:val="00CF55E9"/>
    <w:rsid w:val="00CF578B"/>
    <w:rsid w:val="00CF60A1"/>
    <w:rsid w:val="00D21151"/>
    <w:rsid w:val="00D21603"/>
    <w:rsid w:val="00D24A42"/>
    <w:rsid w:val="00D34731"/>
    <w:rsid w:val="00D34A88"/>
    <w:rsid w:val="00D41659"/>
    <w:rsid w:val="00D42C41"/>
    <w:rsid w:val="00D47D88"/>
    <w:rsid w:val="00D564A8"/>
    <w:rsid w:val="00D56AD6"/>
    <w:rsid w:val="00D57CE9"/>
    <w:rsid w:val="00D71A31"/>
    <w:rsid w:val="00D81E6D"/>
    <w:rsid w:val="00D875BC"/>
    <w:rsid w:val="00D87C37"/>
    <w:rsid w:val="00D91499"/>
    <w:rsid w:val="00D92A67"/>
    <w:rsid w:val="00D97060"/>
    <w:rsid w:val="00DA0021"/>
    <w:rsid w:val="00DA09FF"/>
    <w:rsid w:val="00DB2A0A"/>
    <w:rsid w:val="00DB6D17"/>
    <w:rsid w:val="00DC09D1"/>
    <w:rsid w:val="00DC6647"/>
    <w:rsid w:val="00DD04E7"/>
    <w:rsid w:val="00DD1E4A"/>
    <w:rsid w:val="00DD2AA3"/>
    <w:rsid w:val="00DD2DA1"/>
    <w:rsid w:val="00DE12E6"/>
    <w:rsid w:val="00DE53A0"/>
    <w:rsid w:val="00DF0DAB"/>
    <w:rsid w:val="00DF48F0"/>
    <w:rsid w:val="00DF4935"/>
    <w:rsid w:val="00DF6BB8"/>
    <w:rsid w:val="00E00E71"/>
    <w:rsid w:val="00E0352A"/>
    <w:rsid w:val="00E05786"/>
    <w:rsid w:val="00E13B2B"/>
    <w:rsid w:val="00E14076"/>
    <w:rsid w:val="00E163FD"/>
    <w:rsid w:val="00E22AD6"/>
    <w:rsid w:val="00E30751"/>
    <w:rsid w:val="00E30DEF"/>
    <w:rsid w:val="00E35182"/>
    <w:rsid w:val="00E37F45"/>
    <w:rsid w:val="00E407A4"/>
    <w:rsid w:val="00E51223"/>
    <w:rsid w:val="00E51B09"/>
    <w:rsid w:val="00E53C62"/>
    <w:rsid w:val="00E55DC9"/>
    <w:rsid w:val="00E602C9"/>
    <w:rsid w:val="00E64A63"/>
    <w:rsid w:val="00E64D0D"/>
    <w:rsid w:val="00E67942"/>
    <w:rsid w:val="00E73D93"/>
    <w:rsid w:val="00E934BE"/>
    <w:rsid w:val="00EA5B23"/>
    <w:rsid w:val="00EB3AD5"/>
    <w:rsid w:val="00EB62B0"/>
    <w:rsid w:val="00EB77E2"/>
    <w:rsid w:val="00EC1B68"/>
    <w:rsid w:val="00EC2084"/>
    <w:rsid w:val="00EC54C2"/>
    <w:rsid w:val="00EC6B5F"/>
    <w:rsid w:val="00EC7AB1"/>
    <w:rsid w:val="00ED29B7"/>
    <w:rsid w:val="00ED5334"/>
    <w:rsid w:val="00EE1DD2"/>
    <w:rsid w:val="00EE2A37"/>
    <w:rsid w:val="00EE3A14"/>
    <w:rsid w:val="00EE402F"/>
    <w:rsid w:val="00EF4FC9"/>
    <w:rsid w:val="00EF593B"/>
    <w:rsid w:val="00EF711C"/>
    <w:rsid w:val="00EF7482"/>
    <w:rsid w:val="00F01318"/>
    <w:rsid w:val="00F04F1B"/>
    <w:rsid w:val="00F06D62"/>
    <w:rsid w:val="00F104C2"/>
    <w:rsid w:val="00F1424A"/>
    <w:rsid w:val="00F20183"/>
    <w:rsid w:val="00F22C13"/>
    <w:rsid w:val="00F23AF4"/>
    <w:rsid w:val="00F268A4"/>
    <w:rsid w:val="00F30F72"/>
    <w:rsid w:val="00F31642"/>
    <w:rsid w:val="00F417DF"/>
    <w:rsid w:val="00F41807"/>
    <w:rsid w:val="00F51295"/>
    <w:rsid w:val="00F55175"/>
    <w:rsid w:val="00F5742A"/>
    <w:rsid w:val="00F65011"/>
    <w:rsid w:val="00F65CAE"/>
    <w:rsid w:val="00F75312"/>
    <w:rsid w:val="00F8625A"/>
    <w:rsid w:val="00F86D86"/>
    <w:rsid w:val="00F9171D"/>
    <w:rsid w:val="00F9419A"/>
    <w:rsid w:val="00FA3EF1"/>
    <w:rsid w:val="00FA72A5"/>
    <w:rsid w:val="00FB366B"/>
    <w:rsid w:val="00FB565F"/>
    <w:rsid w:val="00FB79ED"/>
    <w:rsid w:val="00FC1B37"/>
    <w:rsid w:val="00FD0A28"/>
    <w:rsid w:val="00FD3E20"/>
    <w:rsid w:val="00FE4508"/>
    <w:rsid w:val="00FF0986"/>
    <w:rsid w:val="00FF1C27"/>
    <w:rsid w:val="00FF22C3"/>
    <w:rsid w:val="00FF4D03"/>
    <w:rsid w:val="00FF5CA8"/>
    <w:rsid w:val="00FF63A0"/>
    <w:rsid w:val="0158FB07"/>
    <w:rsid w:val="01B0CAA8"/>
    <w:rsid w:val="02FFAA3A"/>
    <w:rsid w:val="06CE7E44"/>
    <w:rsid w:val="07F3E236"/>
    <w:rsid w:val="0C82EAF3"/>
    <w:rsid w:val="121F65C7"/>
    <w:rsid w:val="1249B967"/>
    <w:rsid w:val="15815A29"/>
    <w:rsid w:val="16155D69"/>
    <w:rsid w:val="1716B1F6"/>
    <w:rsid w:val="1806E260"/>
    <w:rsid w:val="188F893E"/>
    <w:rsid w:val="18D22348"/>
    <w:rsid w:val="1A575BC4"/>
    <w:rsid w:val="1C7FE660"/>
    <w:rsid w:val="1F283C6F"/>
    <w:rsid w:val="22C6FFC8"/>
    <w:rsid w:val="23233E0B"/>
    <w:rsid w:val="2840BC51"/>
    <w:rsid w:val="2AB6736A"/>
    <w:rsid w:val="2EAC4397"/>
    <w:rsid w:val="3022DEA4"/>
    <w:rsid w:val="327DEE81"/>
    <w:rsid w:val="35FE3A2A"/>
    <w:rsid w:val="360542E6"/>
    <w:rsid w:val="369E65CC"/>
    <w:rsid w:val="37515FA4"/>
    <w:rsid w:val="38739B2C"/>
    <w:rsid w:val="3DD8FDAA"/>
    <w:rsid w:val="3EC4D4A9"/>
    <w:rsid w:val="4060A50A"/>
    <w:rsid w:val="41D13BC8"/>
    <w:rsid w:val="47265D7C"/>
    <w:rsid w:val="4837D22C"/>
    <w:rsid w:val="4874785B"/>
    <w:rsid w:val="4ABF8914"/>
    <w:rsid w:val="4B82A586"/>
    <w:rsid w:val="4C090979"/>
    <w:rsid w:val="4EB15F88"/>
    <w:rsid w:val="511CDE04"/>
    <w:rsid w:val="51466513"/>
    <w:rsid w:val="5186053B"/>
    <w:rsid w:val="51CFD7ED"/>
    <w:rsid w:val="57970C03"/>
    <w:rsid w:val="581FF4AD"/>
    <w:rsid w:val="5AEB93C2"/>
    <w:rsid w:val="5B7EA7B9"/>
    <w:rsid w:val="61EDE93D"/>
    <w:rsid w:val="62178228"/>
    <w:rsid w:val="62D9BEAA"/>
    <w:rsid w:val="689FB028"/>
    <w:rsid w:val="6BF7C5BF"/>
    <w:rsid w:val="6F84B86B"/>
    <w:rsid w:val="6FA27696"/>
    <w:rsid w:val="7209EE96"/>
    <w:rsid w:val="7616485F"/>
    <w:rsid w:val="76BEBB6F"/>
    <w:rsid w:val="76E35BF0"/>
    <w:rsid w:val="792D38E0"/>
    <w:rsid w:val="7999918D"/>
    <w:rsid w:val="7B922C92"/>
    <w:rsid w:val="7CAF22CE"/>
    <w:rsid w:val="7E215A44"/>
    <w:rsid w:val="7E89912A"/>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qFormat="1" w:uiPriority="0" w:name="footnote reference"/>
    <w:lsdException w:qFormat="1" w:uiPriority="99" w:semiHidden="0" w:name="annotation reference"/>
    <w:lsdException w:uiPriority="99" w:name="line number"/>
    <w:lsdException w:uiPriority="99" w:name="page number"/>
    <w:lsdException w:qFormat="1" w:uiPriority="99" w:name="endnote reference"/>
    <w:lsdException w:qFormat="1" w:uiPriority="99" w:name="endnote text"/>
    <w:lsdException w:uiPriority="99" w:name="table of authorities"/>
    <w:lsdException w:uiPriority="99" w:name="macro"/>
    <w:lsdException w:uiPriority="99" w:name="toa heading"/>
    <w:lsdException w:uiPriority="99" w:name="List"/>
    <w:lsdException w:qFormat="1" w:unhideWhenUsed="0" w:uiPriority="10" w:semiHidden="0"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27"/>
    <w:qFormat/>
    <w:uiPriority w:val="9"/>
    <w:pPr>
      <w:keepNext/>
      <w:keepLines/>
      <w:spacing w:before="240" w:after="0"/>
      <w:outlineLvl w:val="0"/>
    </w:pPr>
    <w:rPr>
      <w:rFonts w:asciiTheme="majorHAnsi" w:hAnsiTheme="majorHAnsi" w:eastAsiaTheme="majorEastAsia" w:cstheme="majorBidi"/>
      <w:color w:val="2F5597" w:themeColor="accent1" w:themeShade="BF"/>
      <w:sz w:val="40"/>
      <w:szCs w:val="32"/>
    </w:rPr>
  </w:style>
  <w:style w:type="paragraph" w:styleId="3">
    <w:name w:val="heading 2"/>
    <w:basedOn w:val="1"/>
    <w:next w:val="1"/>
    <w:link w:val="28"/>
    <w:unhideWhenUsed/>
    <w:qFormat/>
    <w:uiPriority w:val="9"/>
    <w:pPr>
      <w:keepNext/>
      <w:keepLines/>
      <w:numPr>
        <w:ilvl w:val="0"/>
        <w:numId w:val="1"/>
      </w:numPr>
      <w:spacing w:before="40" w:after="0"/>
      <w:outlineLvl w:val="1"/>
    </w:pPr>
    <w:rPr>
      <w:rFonts w:asciiTheme="majorHAnsi" w:hAnsiTheme="majorHAnsi" w:eastAsiaTheme="majorEastAsia" w:cstheme="majorBidi"/>
      <w:color w:val="2F5597" w:themeColor="accent1" w:themeShade="BF"/>
      <w:sz w:val="32"/>
      <w:szCs w:val="26"/>
    </w:rPr>
  </w:style>
  <w:style w:type="paragraph" w:styleId="4">
    <w:name w:val="heading 3"/>
    <w:basedOn w:val="1"/>
    <w:next w:val="1"/>
    <w:link w:val="29"/>
    <w:unhideWhenUsed/>
    <w:qFormat/>
    <w:uiPriority w:val="9"/>
    <w:pPr>
      <w:keepNext/>
      <w:keepLines/>
      <w:numPr>
        <w:ilvl w:val="1"/>
        <w:numId w:val="1"/>
      </w:numPr>
      <w:spacing w:before="40" w:after="0"/>
      <w:jc w:val="both"/>
      <w:outlineLvl w:val="2"/>
    </w:pPr>
    <w:rPr>
      <w:rFonts w:asciiTheme="majorHAnsi" w:hAnsiTheme="majorHAnsi" w:eastAsiaTheme="majorEastAsia" w:cstheme="majorBidi"/>
      <w:color w:val="203864" w:themeColor="accent1" w:themeShade="80"/>
      <w:sz w:val="24"/>
      <w:szCs w:val="24"/>
    </w:rPr>
  </w:style>
  <w:style w:type="paragraph" w:styleId="5">
    <w:name w:val="heading 4"/>
    <w:basedOn w:val="1"/>
    <w:next w:val="1"/>
    <w:link w:val="30"/>
    <w:semiHidden/>
    <w:unhideWhenUsed/>
    <w:qFormat/>
    <w:uiPriority w:val="9"/>
    <w:pPr>
      <w:keepNext/>
      <w:keepLines/>
      <w:spacing w:before="40" w:after="0"/>
      <w:outlineLvl w:val="3"/>
    </w:pPr>
    <w:rPr>
      <w:rFonts w:asciiTheme="majorHAnsi" w:hAnsiTheme="majorHAnsi" w:eastAsiaTheme="majorEastAsia" w:cstheme="majorBidi"/>
      <w:i/>
      <w:iCs/>
      <w:color w:val="2F5597" w:themeColor="accent1" w:themeShade="BF"/>
    </w:rPr>
  </w:style>
  <w:style w:type="character" w:default="1" w:styleId="6">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8">
    <w:name w:val="Balloon Text"/>
    <w:basedOn w:val="1"/>
    <w:link w:val="38"/>
    <w:semiHidden/>
    <w:unhideWhenUsed/>
    <w:qFormat/>
    <w:uiPriority w:val="99"/>
    <w:pPr>
      <w:spacing w:after="0" w:line="240" w:lineRule="auto"/>
    </w:pPr>
    <w:rPr>
      <w:rFonts w:ascii="Segoe UI" w:hAnsi="Segoe UI" w:cs="Segoe UI"/>
      <w:sz w:val="18"/>
      <w:szCs w:val="18"/>
    </w:rPr>
  </w:style>
  <w:style w:type="paragraph" w:styleId="9">
    <w:name w:val="caption"/>
    <w:basedOn w:val="1"/>
    <w:next w:val="1"/>
    <w:link w:val="32"/>
    <w:qFormat/>
    <w:uiPriority w:val="35"/>
    <w:pPr>
      <w:spacing w:before="120" w:after="120" w:line="240" w:lineRule="auto"/>
    </w:pPr>
    <w:rPr>
      <w:rFonts w:ascii="Arial" w:hAnsi="Arial" w:eastAsia="Times New Roman" w:cs="Times New Roman"/>
      <w:b/>
      <w:bCs/>
      <w:sz w:val="20"/>
      <w:szCs w:val="20"/>
      <w:lang w:val="de-DE" w:eastAsia="de-DE"/>
    </w:rPr>
  </w:style>
  <w:style w:type="character" w:styleId="10">
    <w:name w:val="annotation reference"/>
    <w:basedOn w:val="6"/>
    <w:unhideWhenUsed/>
    <w:qFormat/>
    <w:uiPriority w:val="99"/>
    <w:rPr>
      <w:sz w:val="16"/>
      <w:szCs w:val="16"/>
    </w:rPr>
  </w:style>
  <w:style w:type="paragraph" w:styleId="11">
    <w:name w:val="annotation text"/>
    <w:basedOn w:val="1"/>
    <w:link w:val="36"/>
    <w:unhideWhenUsed/>
    <w:qFormat/>
    <w:uiPriority w:val="99"/>
    <w:pPr>
      <w:spacing w:line="240" w:lineRule="auto"/>
    </w:pPr>
    <w:rPr>
      <w:sz w:val="20"/>
      <w:szCs w:val="20"/>
    </w:rPr>
  </w:style>
  <w:style w:type="paragraph" w:styleId="12">
    <w:name w:val="annotation subject"/>
    <w:basedOn w:val="11"/>
    <w:next w:val="11"/>
    <w:link w:val="37"/>
    <w:semiHidden/>
    <w:unhideWhenUsed/>
    <w:qFormat/>
    <w:uiPriority w:val="99"/>
    <w:rPr>
      <w:b/>
      <w:bCs/>
    </w:rPr>
  </w:style>
  <w:style w:type="character" w:styleId="13">
    <w:name w:val="endnote reference"/>
    <w:basedOn w:val="6"/>
    <w:semiHidden/>
    <w:unhideWhenUsed/>
    <w:qFormat/>
    <w:uiPriority w:val="99"/>
    <w:rPr>
      <w:vertAlign w:val="superscript"/>
    </w:rPr>
  </w:style>
  <w:style w:type="paragraph" w:styleId="14">
    <w:name w:val="endnote text"/>
    <w:basedOn w:val="1"/>
    <w:link w:val="45"/>
    <w:semiHidden/>
    <w:unhideWhenUsed/>
    <w:qFormat/>
    <w:uiPriority w:val="99"/>
    <w:pPr>
      <w:spacing w:after="0" w:line="240" w:lineRule="auto"/>
    </w:pPr>
    <w:rPr>
      <w:sz w:val="20"/>
      <w:szCs w:val="20"/>
    </w:rPr>
  </w:style>
  <w:style w:type="character" w:styleId="15">
    <w:name w:val="FollowedHyperlink"/>
    <w:basedOn w:val="6"/>
    <w:semiHidden/>
    <w:unhideWhenUsed/>
    <w:qFormat/>
    <w:uiPriority w:val="99"/>
    <w:rPr>
      <w:color w:val="954F72" w:themeColor="followedHyperlink"/>
      <w:u w:val="single"/>
      <w14:textFill>
        <w14:solidFill>
          <w14:schemeClr w14:val="folHlink"/>
        </w14:solidFill>
      </w14:textFill>
    </w:rPr>
  </w:style>
  <w:style w:type="paragraph" w:styleId="16">
    <w:name w:val="footer"/>
    <w:basedOn w:val="1"/>
    <w:link w:val="42"/>
    <w:unhideWhenUsed/>
    <w:qFormat/>
    <w:uiPriority w:val="99"/>
    <w:pPr>
      <w:tabs>
        <w:tab w:val="center" w:pos="4819"/>
        <w:tab w:val="right" w:pos="9638"/>
      </w:tabs>
      <w:spacing w:after="0" w:line="240" w:lineRule="auto"/>
    </w:pPr>
  </w:style>
  <w:style w:type="character" w:styleId="17">
    <w:name w:val="footnote reference"/>
    <w:basedOn w:val="6"/>
    <w:semiHidden/>
    <w:unhideWhenUsed/>
    <w:qFormat/>
    <w:uiPriority w:val="0"/>
    <w:rPr>
      <w:vertAlign w:val="superscript"/>
    </w:rPr>
  </w:style>
  <w:style w:type="paragraph" w:styleId="18">
    <w:name w:val="footnote text"/>
    <w:basedOn w:val="1"/>
    <w:link w:val="34"/>
    <w:semiHidden/>
    <w:unhideWhenUsed/>
    <w:qFormat/>
    <w:uiPriority w:val="99"/>
    <w:pPr>
      <w:spacing w:after="0" w:line="240" w:lineRule="auto"/>
    </w:pPr>
    <w:rPr>
      <w:rFonts w:ascii="Arial" w:hAnsi="Arial" w:eastAsia="Times New Roman" w:cs="Times New Roman"/>
      <w:sz w:val="20"/>
      <w:szCs w:val="20"/>
      <w:lang w:val="de-DE" w:eastAsia="de-DE"/>
    </w:rPr>
  </w:style>
  <w:style w:type="paragraph" w:styleId="19">
    <w:name w:val="header"/>
    <w:basedOn w:val="1"/>
    <w:link w:val="41"/>
    <w:unhideWhenUsed/>
    <w:qFormat/>
    <w:uiPriority w:val="99"/>
    <w:pPr>
      <w:tabs>
        <w:tab w:val="center" w:pos="4819"/>
        <w:tab w:val="right" w:pos="9638"/>
      </w:tabs>
      <w:spacing w:after="0" w:line="240" w:lineRule="auto"/>
    </w:pPr>
  </w:style>
  <w:style w:type="paragraph" w:styleId="20">
    <w:name w:val="HTML Preformatted"/>
    <w:basedOn w:val="1"/>
    <w:link w:val="40"/>
    <w:semiHidden/>
    <w:unhideWhenUsed/>
    <w:qFormat/>
    <w:uiPriority w:val="99"/>
    <w:pPr>
      <w:spacing w:after="0" w:line="240" w:lineRule="auto"/>
    </w:pPr>
    <w:rPr>
      <w:rFonts w:ascii="Consolas" w:hAnsi="Consolas"/>
      <w:sz w:val="20"/>
      <w:szCs w:val="20"/>
    </w:rPr>
  </w:style>
  <w:style w:type="character" w:styleId="21">
    <w:name w:val="Hyperlink"/>
    <w:basedOn w:val="6"/>
    <w:unhideWhenUsed/>
    <w:qFormat/>
    <w:uiPriority w:val="99"/>
    <w:rPr>
      <w:color w:val="0563C1" w:themeColor="hyperlink"/>
      <w:u w:val="single"/>
      <w14:textFill>
        <w14:solidFill>
          <w14:schemeClr w14:val="hlink"/>
        </w14:solidFill>
      </w14:textFill>
    </w:rPr>
  </w:style>
  <w:style w:type="paragraph" w:styleId="22">
    <w:name w:val="List Bullet"/>
    <w:basedOn w:val="1"/>
    <w:qFormat/>
    <w:uiPriority w:val="10"/>
    <w:pPr>
      <w:numPr>
        <w:ilvl w:val="0"/>
        <w:numId w:val="2"/>
      </w:numPr>
      <w:spacing w:before="80" w:after="80" w:line="240" w:lineRule="auto"/>
      <w:contextualSpacing/>
    </w:pPr>
    <w:rPr>
      <w:rFonts w:ascii="Arial" w:hAnsi="Arial" w:eastAsia="Arial" w:cs="Arial"/>
      <w:sz w:val="19"/>
      <w:szCs w:val="19"/>
      <w:lang w:eastAsia="it-IT"/>
    </w:rPr>
  </w:style>
  <w:style w:type="table" w:styleId="23">
    <w:name w:val="Table Grid"/>
    <w:basedOn w:val="7"/>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24">
    <w:name w:val="toc 1"/>
    <w:basedOn w:val="1"/>
    <w:next w:val="1"/>
    <w:unhideWhenUsed/>
    <w:uiPriority w:val="39"/>
    <w:pPr>
      <w:spacing w:after="100"/>
    </w:pPr>
  </w:style>
  <w:style w:type="paragraph" w:styleId="25">
    <w:name w:val="toc 2"/>
    <w:basedOn w:val="1"/>
    <w:next w:val="1"/>
    <w:unhideWhenUsed/>
    <w:uiPriority w:val="39"/>
    <w:pPr>
      <w:widowControl w:val="0"/>
      <w:tabs>
        <w:tab w:val="left" w:pos="660"/>
        <w:tab w:val="right" w:leader="dot" w:pos="9628"/>
      </w:tabs>
      <w:spacing w:after="100"/>
      <w:ind w:left="220"/>
    </w:pPr>
  </w:style>
  <w:style w:type="paragraph" w:styleId="26">
    <w:name w:val="toc 3"/>
    <w:basedOn w:val="1"/>
    <w:next w:val="1"/>
    <w:unhideWhenUsed/>
    <w:uiPriority w:val="39"/>
    <w:pPr>
      <w:tabs>
        <w:tab w:val="left" w:pos="1100"/>
        <w:tab w:val="right" w:leader="dot" w:pos="9629"/>
      </w:tabs>
      <w:spacing w:after="100"/>
      <w:ind w:left="440"/>
    </w:pPr>
  </w:style>
  <w:style w:type="character" w:customStyle="1" w:styleId="27">
    <w:name w:val="Titolo 1 Carattere"/>
    <w:basedOn w:val="6"/>
    <w:link w:val="2"/>
    <w:qFormat/>
    <w:uiPriority w:val="9"/>
    <w:rPr>
      <w:rFonts w:asciiTheme="majorHAnsi" w:hAnsiTheme="majorHAnsi" w:eastAsiaTheme="majorEastAsia" w:cstheme="majorBidi"/>
      <w:color w:val="2F5597" w:themeColor="accent1" w:themeShade="BF"/>
      <w:sz w:val="40"/>
      <w:szCs w:val="32"/>
    </w:rPr>
  </w:style>
  <w:style w:type="character" w:customStyle="1" w:styleId="28">
    <w:name w:val="Titolo 2 Carattere"/>
    <w:basedOn w:val="6"/>
    <w:link w:val="3"/>
    <w:uiPriority w:val="9"/>
    <w:rPr>
      <w:rFonts w:asciiTheme="majorHAnsi" w:hAnsiTheme="majorHAnsi" w:eastAsiaTheme="majorEastAsia" w:cstheme="majorBidi"/>
      <w:color w:val="2F5597" w:themeColor="accent1" w:themeShade="BF"/>
      <w:sz w:val="32"/>
      <w:szCs w:val="26"/>
    </w:rPr>
  </w:style>
  <w:style w:type="character" w:customStyle="1" w:styleId="29">
    <w:name w:val="Titolo 3 Carattere"/>
    <w:basedOn w:val="6"/>
    <w:link w:val="4"/>
    <w:qFormat/>
    <w:uiPriority w:val="9"/>
    <w:rPr>
      <w:rFonts w:asciiTheme="majorHAnsi" w:hAnsiTheme="majorHAnsi" w:eastAsiaTheme="majorEastAsia" w:cstheme="majorBidi"/>
      <w:color w:val="203864" w:themeColor="accent1" w:themeShade="80"/>
      <w:sz w:val="24"/>
      <w:szCs w:val="24"/>
    </w:rPr>
  </w:style>
  <w:style w:type="character" w:customStyle="1" w:styleId="30">
    <w:name w:val="Titolo 4 Carattere"/>
    <w:basedOn w:val="6"/>
    <w:link w:val="5"/>
    <w:semiHidden/>
    <w:qFormat/>
    <w:uiPriority w:val="9"/>
    <w:rPr>
      <w:rFonts w:asciiTheme="majorHAnsi" w:hAnsiTheme="majorHAnsi" w:eastAsiaTheme="majorEastAsia" w:cstheme="majorBidi"/>
      <w:i/>
      <w:iCs/>
      <w:color w:val="2F5597" w:themeColor="accent1" w:themeShade="BF"/>
    </w:rPr>
  </w:style>
  <w:style w:type="paragraph" w:styleId="31">
    <w:name w:val="List Paragraph"/>
    <w:basedOn w:val="1"/>
    <w:qFormat/>
    <w:uiPriority w:val="34"/>
    <w:pPr>
      <w:ind w:left="720"/>
      <w:contextualSpacing/>
    </w:pPr>
  </w:style>
  <w:style w:type="character" w:customStyle="1" w:styleId="32">
    <w:name w:val="Didascalia Carattere"/>
    <w:link w:val="9"/>
    <w:locked/>
    <w:uiPriority w:val="35"/>
    <w:rPr>
      <w:rFonts w:ascii="Arial" w:hAnsi="Arial" w:eastAsia="Times New Roman" w:cs="Times New Roman"/>
      <w:b/>
      <w:bCs/>
      <w:sz w:val="20"/>
      <w:szCs w:val="20"/>
      <w:lang w:val="de-DE" w:eastAsia="de-DE"/>
    </w:rPr>
  </w:style>
  <w:style w:type="character" w:customStyle="1" w:styleId="33">
    <w:name w:val="hps"/>
    <w:basedOn w:val="6"/>
    <w:qFormat/>
    <w:uiPriority w:val="0"/>
  </w:style>
  <w:style w:type="character" w:customStyle="1" w:styleId="34">
    <w:name w:val="Testo nota a piè di pagina Carattere"/>
    <w:basedOn w:val="6"/>
    <w:link w:val="18"/>
    <w:semiHidden/>
    <w:qFormat/>
    <w:uiPriority w:val="99"/>
    <w:rPr>
      <w:rFonts w:ascii="Arial" w:hAnsi="Arial" w:eastAsia="Times New Roman" w:cs="Times New Roman"/>
      <w:sz w:val="20"/>
      <w:szCs w:val="20"/>
      <w:lang w:val="de-DE" w:eastAsia="de-DE"/>
    </w:rPr>
  </w:style>
  <w:style w:type="character" w:customStyle="1" w:styleId="35">
    <w:name w:val="Unresolved Mention1"/>
    <w:basedOn w:val="6"/>
    <w:semiHidden/>
    <w:unhideWhenUsed/>
    <w:qFormat/>
    <w:uiPriority w:val="99"/>
    <w:rPr>
      <w:color w:val="605E5C"/>
      <w:shd w:val="clear" w:color="auto" w:fill="E1DFDD"/>
    </w:rPr>
  </w:style>
  <w:style w:type="character" w:customStyle="1" w:styleId="36">
    <w:name w:val="Testo commento Carattere"/>
    <w:basedOn w:val="6"/>
    <w:link w:val="11"/>
    <w:qFormat/>
    <w:uiPriority w:val="99"/>
    <w:rPr>
      <w:sz w:val="20"/>
      <w:szCs w:val="20"/>
    </w:rPr>
  </w:style>
  <w:style w:type="character" w:customStyle="1" w:styleId="37">
    <w:name w:val="Soggetto commento Carattere"/>
    <w:basedOn w:val="36"/>
    <w:link w:val="12"/>
    <w:semiHidden/>
    <w:qFormat/>
    <w:uiPriority w:val="99"/>
    <w:rPr>
      <w:b/>
      <w:bCs/>
      <w:sz w:val="20"/>
      <w:szCs w:val="20"/>
    </w:rPr>
  </w:style>
  <w:style w:type="character" w:customStyle="1" w:styleId="38">
    <w:name w:val="Testo fumetto Carattere"/>
    <w:basedOn w:val="6"/>
    <w:link w:val="8"/>
    <w:semiHidden/>
    <w:qFormat/>
    <w:uiPriority w:val="99"/>
    <w:rPr>
      <w:rFonts w:ascii="Segoe UI" w:hAnsi="Segoe UI" w:cs="Segoe UI"/>
      <w:sz w:val="18"/>
      <w:szCs w:val="18"/>
    </w:rPr>
  </w:style>
  <w:style w:type="character" w:styleId="39">
    <w:name w:val="Placeholder Text"/>
    <w:basedOn w:val="6"/>
    <w:semiHidden/>
    <w:qFormat/>
    <w:uiPriority w:val="99"/>
    <w:rPr>
      <w:color w:val="808080"/>
    </w:rPr>
  </w:style>
  <w:style w:type="character" w:customStyle="1" w:styleId="40">
    <w:name w:val="Preformattato HTML Carattere"/>
    <w:basedOn w:val="6"/>
    <w:link w:val="20"/>
    <w:semiHidden/>
    <w:qFormat/>
    <w:uiPriority w:val="99"/>
    <w:rPr>
      <w:rFonts w:ascii="Consolas" w:hAnsi="Consolas"/>
      <w:sz w:val="20"/>
      <w:szCs w:val="20"/>
    </w:rPr>
  </w:style>
  <w:style w:type="character" w:customStyle="1" w:styleId="41">
    <w:name w:val="Intestazione Carattere"/>
    <w:basedOn w:val="6"/>
    <w:link w:val="19"/>
    <w:qFormat/>
    <w:uiPriority w:val="99"/>
  </w:style>
  <w:style w:type="character" w:customStyle="1" w:styleId="42">
    <w:name w:val="Piè di pagina Carattere"/>
    <w:basedOn w:val="6"/>
    <w:link w:val="16"/>
    <w:qFormat/>
    <w:uiPriority w:val="99"/>
  </w:style>
  <w:style w:type="table" w:customStyle="1" w:styleId="43">
    <w:name w:val="Grid Table Light"/>
    <w:basedOn w:val="7"/>
    <w:qFormat/>
    <w:uiPriority w:val="40"/>
    <w:pPr>
      <w:spacing w:after="0" w:line="240" w:lineRule="auto"/>
    </w:pPr>
    <w:tblPr>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Pr>
  </w:style>
  <w:style w:type="character" w:customStyle="1" w:styleId="44">
    <w:name w:val="Unresolved Mention2"/>
    <w:basedOn w:val="6"/>
    <w:semiHidden/>
    <w:unhideWhenUsed/>
    <w:qFormat/>
    <w:uiPriority w:val="99"/>
    <w:rPr>
      <w:color w:val="605E5C"/>
      <w:shd w:val="clear" w:color="auto" w:fill="E1DFDD"/>
    </w:rPr>
  </w:style>
  <w:style w:type="character" w:customStyle="1" w:styleId="45">
    <w:name w:val="Testo nota di chiusura Carattere"/>
    <w:basedOn w:val="6"/>
    <w:link w:val="14"/>
    <w:semiHidden/>
    <w:qFormat/>
    <w:uiPriority w:val="99"/>
    <w:rPr>
      <w:sz w:val="20"/>
      <w:szCs w:val="20"/>
    </w:rPr>
  </w:style>
  <w:style w:type="paragraph" w:customStyle="1" w:styleId="46">
    <w:name w:val="Revision"/>
    <w:hidden/>
    <w:semiHidden/>
    <w:uiPriority w:val="99"/>
    <w:pPr>
      <w:spacing w:after="0" w:line="240" w:lineRule="auto"/>
    </w:pPr>
    <w:rPr>
      <w:rFonts w:asciiTheme="minorHAnsi" w:hAnsiTheme="minorHAnsi" w:eastAsiaTheme="minorHAnsi" w:cstheme="minorBidi"/>
      <w:sz w:val="22"/>
      <w:szCs w:val="22"/>
      <w:lang w:val="en-GB" w:eastAsia="en-US" w:bidi="ar-SA"/>
    </w:rPr>
  </w:style>
  <w:style w:type="paragraph" w:customStyle="1" w:styleId="47">
    <w:name w:val="Paragraph"/>
    <w:basedOn w:val="1"/>
    <w:link w:val="48"/>
    <w:uiPriority w:val="0"/>
    <w:pPr>
      <w:spacing w:before="120" w:after="0" w:line="240" w:lineRule="auto"/>
      <w:ind w:firstLine="720"/>
    </w:pPr>
    <w:rPr>
      <w:rFonts w:ascii="Times New Roman" w:hAnsi="Times New Roman" w:eastAsia="Times New Roman" w:cs="Times New Roman"/>
      <w:sz w:val="24"/>
      <w:szCs w:val="24"/>
    </w:rPr>
  </w:style>
  <w:style w:type="character" w:customStyle="1" w:styleId="48">
    <w:name w:val="Paragraph Char"/>
    <w:basedOn w:val="6"/>
    <w:link w:val="47"/>
    <w:uiPriority w:val="0"/>
    <w:rPr>
      <w:rFonts w:ascii="Times New Roman" w:hAnsi="Times New Roman" w:eastAsia="Times New Roman" w:cs="Times New Roman"/>
      <w:sz w:val="24"/>
      <w:szCs w:val="24"/>
      <w:lang w:val="en-US"/>
    </w:rPr>
  </w:style>
  <w:style w:type="table" w:customStyle="1" w:styleId="49">
    <w:name w:val="Grid Table 5 Dark Accent 3"/>
    <w:basedOn w:val="7"/>
    <w:uiPriority w:val="50"/>
    <w:pPr>
      <w:spacing w:after="0" w:line="240" w:lineRule="auto"/>
    </w:pPr>
    <w:tblPr>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ECECEC" w:themeFill="accent3" w:themeFillTint="33"/>
    </w:tcPr>
    <w:tblStylePr w:type="firstRow">
      <w:rPr>
        <w:b/>
        <w:bCs/>
        <w:color w:val="FFFFFF" w:themeColor="background1"/>
        <w14:textFill>
          <w14:solidFill>
            <w14:schemeClr w14:val="bg1"/>
          </w14:solidFill>
        </w14:textFill>
      </w:r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A5A5A5" w:themeFill="accent3"/>
      </w:tcPr>
    </w:tblStylePr>
    <w:tblStylePr w:type="lastRow">
      <w:rPr>
        <w:b/>
        <w:bCs/>
        <w:color w:val="FFFFFF" w:themeColor="background1"/>
        <w14:textFill>
          <w14:solidFill>
            <w14:schemeClr w14:val="bg1"/>
          </w14:solidFill>
        </w14:textFill>
      </w:r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A5A5A5" w:themeFill="accent3"/>
      </w:tcPr>
    </w:tblStylePr>
    <w:tblStylePr w:type="firstCol">
      <w:rPr>
        <w:b/>
        <w:bCs/>
        <w:color w:val="FFFFFF" w:themeColor="background1"/>
        <w14:textFill>
          <w14:solidFill>
            <w14:schemeClr w14:val="bg1"/>
          </w14:solidFill>
        </w14:textFill>
      </w:rPr>
      <w:tcPr>
        <w:tcBorders>
          <w:top w:val="single" w:color="FFFFFF" w:themeColor="background1" w:sz="4" w:space="0"/>
          <w:left w:val="single" w:color="FFFFFF" w:themeColor="background1" w:sz="4" w:space="0"/>
          <w:bottom w:val="single" w:color="FFFFFF" w:themeColor="background1" w:sz="4" w:space="0"/>
          <w:insideV w:val="nil"/>
        </w:tcBorders>
        <w:shd w:val="clear" w:color="auto" w:fill="A5A5A5" w:themeFill="accent3"/>
      </w:tcPr>
    </w:tblStylePr>
    <w:tblStylePr w:type="lastCol">
      <w:rPr>
        <w:b/>
        <w:bCs/>
        <w:color w:val="FFFFFF" w:themeColor="background1"/>
        <w14:textFill>
          <w14:solidFill>
            <w14:schemeClr w14:val="bg1"/>
          </w14:solidFill>
        </w14:textFill>
      </w:rPr>
      <w:tcPr>
        <w:tcBorders>
          <w:top w:val="single" w:color="FFFFFF" w:themeColor="background1" w:sz="4" w:space="0"/>
          <w:bottom w:val="single" w:color="FFFFFF" w:themeColor="background1" w:sz="4" w:space="0"/>
          <w:right w:val="single" w:color="FFFFFF" w:themeColor="background1" w:sz="4" w:space="0"/>
          <w:insideV w:val="nil"/>
        </w:tcBorders>
        <w:shd w:val="clear" w:color="auto" w:fill="A5A5A5" w:themeFill="accent3"/>
      </w:tcPr>
    </w:tblStylePr>
    <w:tblStylePr w:type="band1Vert">
      <w:tcPr>
        <w:shd w:val="clear" w:color="auto" w:fill="DADADA" w:themeFill="accent3" w:themeFillTint="66"/>
      </w:tcPr>
    </w:tblStylePr>
    <w:tblStylePr w:type="band1Horz">
      <w:tcPr>
        <w:shd w:val="clear" w:color="auto" w:fill="DADADA" w:themeFill="accent3" w:themeFillTint="66"/>
      </w:tcPr>
    </w:tblStylePr>
  </w:style>
  <w:style w:type="table" w:customStyle="1" w:styleId="50">
    <w:name w:val="List Table 4 Accent 3"/>
    <w:basedOn w:val="7"/>
    <w:uiPriority w:val="49"/>
    <w:pPr>
      <w:spacing w:after="0" w:line="240" w:lineRule="auto"/>
    </w:pPr>
    <w:tblPr>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tblBorders>
    </w:tblPr>
    <w:tblStylePr w:type="firstRow">
      <w:rPr>
        <w:b/>
        <w:bCs/>
        <w:color w:val="FFFFFF" w:themeColor="background1"/>
        <w14:textFill>
          <w14:solidFill>
            <w14:schemeClr w14:val="bg1"/>
          </w14:solidFill>
        </w14:textFill>
      </w:rPr>
      <w:tcPr>
        <w:tcBorders>
          <w:top w:val="single" w:color="A5A5A5" w:themeColor="accent3" w:sz="4" w:space="0"/>
          <w:left w:val="single" w:color="A5A5A5" w:themeColor="accent3" w:sz="4" w:space="0"/>
          <w:bottom w:val="single" w:color="A5A5A5" w:themeColor="accent3" w:sz="4" w:space="0"/>
          <w:right w:val="single" w:color="A5A5A5" w:themeColor="accent3" w:sz="4" w:space="0"/>
          <w:insideH w:val="nil"/>
        </w:tcBorders>
        <w:shd w:val="clear" w:color="auto" w:fill="A5A5A5" w:themeFill="accent3"/>
      </w:tcPr>
    </w:tblStylePr>
    <w:tblStylePr w:type="lastRow">
      <w:rPr>
        <w:b/>
        <w:bCs/>
      </w:rPr>
      <w:tcPr>
        <w:tcBorders>
          <w:top w:val="double" w:color="C8C8C8" w:themeColor="accent3" w:themeTint="99" w:sz="4" w:space="0"/>
        </w:tcBorders>
      </w:tcPr>
    </w:tblStylePr>
    <w:tblStylePr w:type="firstCol">
      <w:rPr>
        <w:b/>
        <w:bCs/>
      </w:rPr>
    </w:tblStylePr>
    <w:tblStylePr w:type="lastCol">
      <w:rPr>
        <w:b/>
        <w:bCs/>
      </w:rPr>
    </w:tblStylePr>
    <w:tblStylePr w:type="band1Vert">
      <w:tcPr>
        <w:shd w:val="clear" w:color="auto" w:fill="ECECEC" w:themeFill="accent3" w:themeFillTint="33"/>
      </w:tcPr>
    </w:tblStylePr>
    <w:tblStylePr w:type="band1Horz">
      <w:tcPr>
        <w:shd w:val="clear" w:color="auto" w:fill="ECECEC" w:themeFill="accent3" w:themeFillTint="33"/>
      </w:tcPr>
    </w:tblStylePr>
  </w:style>
  <w:style w:type="paragraph" w:customStyle="1" w:styleId="51">
    <w:name w:val="TOC Heading"/>
    <w:basedOn w:val="2"/>
    <w:next w:val="1"/>
    <w:unhideWhenUsed/>
    <w:qFormat/>
    <w:uiPriority w:val="39"/>
    <w:pPr>
      <w:outlineLvl w:val="9"/>
    </w:pPr>
    <w:rPr>
      <w:sz w:val="32"/>
      <w:lang w:val="it-IT" w:eastAsia="it-IT"/>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8" Type="http://schemas.openxmlformats.org/officeDocument/2006/relationships/fontTable" Target="fontTable.xml"/><Relationship Id="rId27" Type="http://schemas.openxmlformats.org/officeDocument/2006/relationships/customXml" Target="../customXml/item1.xml"/><Relationship Id="rId26" Type="http://schemas.openxmlformats.org/officeDocument/2006/relationships/numbering" Target="numbering.xml"/><Relationship Id="rId25" Type="http://schemas.openxmlformats.org/officeDocument/2006/relationships/image" Target="media/image17.png"/><Relationship Id="rId24" Type="http://schemas.openxmlformats.org/officeDocument/2006/relationships/image" Target="media/image16.png"/><Relationship Id="rId23" Type="http://schemas.openxmlformats.org/officeDocument/2006/relationships/image" Target="media/image15.png"/><Relationship Id="rId22" Type="http://schemas.openxmlformats.org/officeDocument/2006/relationships/image" Target="media/image14.png"/><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85AC46-E13C-48F4-BB83-2886E94EA28F}">
  <ds:schemaRefs/>
</ds:datastoreItem>
</file>

<file path=docProps/app.xml><?xml version="1.0" encoding="utf-8"?>
<Properties xmlns="http://schemas.openxmlformats.org/officeDocument/2006/extended-properties" xmlns:vt="http://schemas.openxmlformats.org/officeDocument/2006/docPropsVTypes">
  <Template>Normal.dotm</Template>
  <Pages>21</Pages>
  <Words>5799</Words>
  <Characters>33055</Characters>
  <Lines>275</Lines>
  <Paragraphs>77</Paragraphs>
  <TotalTime>3</TotalTime>
  <ScaleCrop>false</ScaleCrop>
  <LinksUpToDate>false</LinksUpToDate>
  <CharactersWithSpaces>38777</CharactersWithSpaces>
  <Application>WPS Office_12.2.0.13431_F1E327BC-269C-435d-A152-05C5408002CA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2024-02-14T16:54:00Z</dcterms:created>
  <dc:creator>Behnaz</dc:creator>
  <cp:lastModifiedBy>e729773</cp:lastModifiedBy>
  <cp:lastPrinted>2023-12-18T13:15:00Z</cp:lastPrinted>
  <dcterms:modified xsi:type="dcterms:W3CDTF">2024-02-16T04:18:33Z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1033-12.2.0.13431</vt:lpwstr>
  </property>
  <property fmtid="{D5CDD505-2E9C-101B-9397-08002B2CF9AE}" pid="3" name="ICV">
    <vt:lpwstr>93497B1ED16D4B8983DD6B430D14BA8F_12</vt:lpwstr>
  </property>
</Properties>
</file>