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02FE15" w14:textId="77777777" w:rsidR="00F7709C" w:rsidRPr="00F7709C" w:rsidRDefault="00F7709C" w:rsidP="00F7709C">
      <w:pPr>
        <w:pStyle w:val="AralkYok"/>
        <w:jc w:val="both"/>
        <w:rPr>
          <w:rFonts w:ascii="Times New Roman" w:hAnsi="Times New Roman" w:cs="Times New Roman"/>
          <w:u w:val="single"/>
        </w:rPr>
      </w:pPr>
      <w:r w:rsidRPr="00F7709C">
        <w:rPr>
          <w:rStyle w:val="Gl"/>
          <w:rFonts w:ascii="Times New Roman" w:hAnsi="Times New Roman" w:cs="Times New Roman"/>
          <w:u w:val="single"/>
        </w:rPr>
        <w:t xml:space="preserve">Accepted for publication in the </w:t>
      </w:r>
      <w:r w:rsidRPr="00F7709C">
        <w:rPr>
          <w:rStyle w:val="Gl"/>
          <w:rFonts w:ascii="Times New Roman" w:hAnsi="Times New Roman" w:cs="Times New Roman"/>
          <w:i/>
          <w:iCs/>
          <w:u w:val="single"/>
        </w:rPr>
        <w:t>British Journal for the History of Science</w:t>
      </w:r>
      <w:r w:rsidRPr="00F7709C">
        <w:rPr>
          <w:rStyle w:val="Gl"/>
          <w:rFonts w:ascii="Times New Roman" w:hAnsi="Times New Roman" w:cs="Times New Roman"/>
          <w:u w:val="single"/>
        </w:rPr>
        <w:t>. The article examines the cross-cultural reception of al-Ghazālī and Averroes across Islamic and European intellectual traditions.</w:t>
      </w:r>
    </w:p>
    <w:p w14:paraId="7B95CE84" w14:textId="77777777" w:rsidR="00F7709C" w:rsidRDefault="00F7709C" w:rsidP="004249A3">
      <w:pPr>
        <w:pStyle w:val="AralkYok"/>
        <w:jc w:val="center"/>
        <w:rPr>
          <w:rFonts w:ascii="Times New Roman" w:hAnsi="Times New Roman" w:cs="Times New Roman"/>
          <w:b/>
          <w:bCs/>
          <w:color w:val="000000" w:themeColor="text1"/>
        </w:rPr>
      </w:pPr>
    </w:p>
    <w:p w14:paraId="1650BE4E" w14:textId="23B4C138" w:rsidR="00987B88" w:rsidRPr="00D62CC3" w:rsidRDefault="00203A1E" w:rsidP="004249A3">
      <w:pPr>
        <w:pStyle w:val="AralkYok"/>
        <w:jc w:val="center"/>
        <w:rPr>
          <w:rFonts w:ascii="Times New Roman" w:hAnsi="Times New Roman" w:cs="Times New Roman"/>
          <w:b/>
          <w:bCs/>
          <w:color w:val="000000" w:themeColor="text1"/>
        </w:rPr>
      </w:pPr>
      <w:r w:rsidRPr="00D62CC3">
        <w:rPr>
          <w:rFonts w:ascii="Times New Roman" w:hAnsi="Times New Roman" w:cs="Times New Roman"/>
          <w:b/>
          <w:bCs/>
          <w:color w:val="000000" w:themeColor="text1"/>
        </w:rPr>
        <w:t>Constructing</w:t>
      </w:r>
      <w:r w:rsidR="00E10FAC" w:rsidRPr="00D62CC3">
        <w:rPr>
          <w:rFonts w:ascii="Times New Roman" w:hAnsi="Times New Roman" w:cs="Times New Roman"/>
          <w:b/>
          <w:bCs/>
          <w:color w:val="000000" w:themeColor="text1"/>
        </w:rPr>
        <w:t xml:space="preserve"> </w:t>
      </w:r>
      <w:r w:rsidR="00206E86">
        <w:rPr>
          <w:rFonts w:ascii="Times New Roman" w:hAnsi="Times New Roman" w:cs="Times New Roman"/>
          <w:b/>
          <w:bCs/>
          <w:color w:val="000000" w:themeColor="text1"/>
        </w:rPr>
        <w:t>c</w:t>
      </w:r>
      <w:r w:rsidR="00E10FAC" w:rsidRPr="00D62CC3">
        <w:rPr>
          <w:rFonts w:ascii="Times New Roman" w:hAnsi="Times New Roman" w:cs="Times New Roman"/>
          <w:b/>
          <w:bCs/>
          <w:color w:val="000000" w:themeColor="text1"/>
        </w:rPr>
        <w:t xml:space="preserve">ongruence </w:t>
      </w:r>
      <w:r w:rsidRPr="00D62CC3">
        <w:rPr>
          <w:rFonts w:ascii="Times New Roman" w:hAnsi="Times New Roman" w:cs="Times New Roman"/>
          <w:b/>
          <w:bCs/>
          <w:color w:val="000000" w:themeColor="text1"/>
        </w:rPr>
        <w:t>between</w:t>
      </w:r>
      <w:r w:rsidR="00E10FAC" w:rsidRPr="00D62CC3">
        <w:rPr>
          <w:rFonts w:ascii="Times New Roman" w:hAnsi="Times New Roman" w:cs="Times New Roman"/>
          <w:b/>
          <w:bCs/>
          <w:color w:val="000000" w:themeColor="text1"/>
        </w:rPr>
        <w:t xml:space="preserve"> Ghazālī and Ibn Rushd</w:t>
      </w:r>
      <w:r w:rsidR="0052415F" w:rsidRPr="00D62CC3">
        <w:rPr>
          <w:rFonts w:ascii="Times New Roman" w:hAnsi="Times New Roman" w:cs="Times New Roman"/>
          <w:b/>
          <w:bCs/>
          <w:color w:val="000000" w:themeColor="text1"/>
        </w:rPr>
        <w:t xml:space="preserve">: </w:t>
      </w:r>
    </w:p>
    <w:p w14:paraId="782282AD" w14:textId="30F5EBCC" w:rsidR="00754BD5" w:rsidRPr="00D62CC3" w:rsidRDefault="00206E86" w:rsidP="004249A3">
      <w:pPr>
        <w:pStyle w:val="AralkYok"/>
        <w:jc w:val="center"/>
        <w:rPr>
          <w:rFonts w:ascii="Times New Roman" w:hAnsi="Times New Roman" w:cs="Times New Roman"/>
          <w:b/>
          <w:bCs/>
          <w:color w:val="000000" w:themeColor="text1"/>
        </w:rPr>
      </w:pPr>
      <w:r>
        <w:rPr>
          <w:rFonts w:ascii="Times New Roman" w:hAnsi="Times New Roman" w:cs="Times New Roman"/>
          <w:b/>
          <w:bCs/>
          <w:color w:val="000000" w:themeColor="text1"/>
        </w:rPr>
        <w:t>l</w:t>
      </w:r>
      <w:r w:rsidR="00E10FAC" w:rsidRPr="00D62CC3">
        <w:rPr>
          <w:rFonts w:ascii="Times New Roman" w:hAnsi="Times New Roman" w:cs="Times New Roman"/>
          <w:b/>
          <w:bCs/>
          <w:color w:val="000000" w:themeColor="text1"/>
        </w:rPr>
        <w:t>ate Ottoman</w:t>
      </w:r>
      <w:r w:rsidR="0052415F" w:rsidRPr="00D62CC3">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r</w:t>
      </w:r>
      <w:r w:rsidR="00E10FAC" w:rsidRPr="00D62CC3">
        <w:rPr>
          <w:rFonts w:ascii="Times New Roman" w:hAnsi="Times New Roman" w:cs="Times New Roman"/>
          <w:b/>
          <w:bCs/>
          <w:color w:val="000000" w:themeColor="text1"/>
        </w:rPr>
        <w:t>esponses to</w:t>
      </w:r>
      <w:r w:rsidR="0052415F" w:rsidRPr="00D62CC3">
        <w:rPr>
          <w:rFonts w:ascii="Times New Roman" w:hAnsi="Times New Roman" w:cs="Times New Roman"/>
          <w:b/>
          <w:bCs/>
          <w:color w:val="000000" w:themeColor="text1"/>
        </w:rPr>
        <w:t xml:space="preserve"> </w:t>
      </w:r>
      <w:r w:rsidR="00F904CF" w:rsidRPr="00D62CC3">
        <w:rPr>
          <w:rFonts w:ascii="Times New Roman" w:hAnsi="Times New Roman" w:cs="Times New Roman"/>
          <w:b/>
          <w:bCs/>
          <w:color w:val="000000" w:themeColor="text1"/>
        </w:rPr>
        <w:t xml:space="preserve">Islamic </w:t>
      </w:r>
      <w:r>
        <w:rPr>
          <w:rFonts w:ascii="Times New Roman" w:hAnsi="Times New Roman" w:cs="Times New Roman"/>
          <w:b/>
          <w:bCs/>
          <w:color w:val="000000" w:themeColor="text1"/>
        </w:rPr>
        <w:t>d</w:t>
      </w:r>
      <w:r w:rsidR="00F904CF" w:rsidRPr="00D62CC3">
        <w:rPr>
          <w:rFonts w:ascii="Times New Roman" w:hAnsi="Times New Roman" w:cs="Times New Roman"/>
          <w:b/>
          <w:bCs/>
          <w:color w:val="000000" w:themeColor="text1"/>
        </w:rPr>
        <w:t>ecline</w:t>
      </w:r>
      <w:r w:rsidR="00754BD5" w:rsidRPr="00D62CC3">
        <w:rPr>
          <w:rFonts w:ascii="Times New Roman" w:hAnsi="Times New Roman" w:cs="Times New Roman"/>
          <w:b/>
          <w:bCs/>
          <w:color w:val="000000" w:themeColor="text1"/>
        </w:rPr>
        <w:t xml:space="preserve"> </w:t>
      </w:r>
      <w:r w:rsidR="00F904CF" w:rsidRPr="00D62CC3">
        <w:rPr>
          <w:rFonts w:ascii="Times New Roman" w:hAnsi="Times New Roman" w:cs="Times New Roman"/>
          <w:b/>
          <w:bCs/>
          <w:color w:val="000000" w:themeColor="text1"/>
        </w:rPr>
        <w:t xml:space="preserve">and </w:t>
      </w:r>
      <w:r w:rsidR="00E10FAC" w:rsidRPr="00D62CC3">
        <w:rPr>
          <w:rFonts w:ascii="Times New Roman" w:hAnsi="Times New Roman" w:cs="Times New Roman"/>
          <w:b/>
          <w:bCs/>
          <w:color w:val="000000" w:themeColor="text1"/>
        </w:rPr>
        <w:t xml:space="preserve">the </w:t>
      </w:r>
      <w:r>
        <w:rPr>
          <w:rFonts w:ascii="Times New Roman" w:hAnsi="Times New Roman" w:cs="Times New Roman"/>
          <w:b/>
          <w:bCs/>
          <w:color w:val="000000" w:themeColor="text1"/>
        </w:rPr>
        <w:t>s</w:t>
      </w:r>
      <w:r w:rsidR="00E10FAC" w:rsidRPr="00D62CC3">
        <w:rPr>
          <w:rFonts w:ascii="Times New Roman" w:hAnsi="Times New Roman" w:cs="Times New Roman"/>
          <w:b/>
          <w:bCs/>
          <w:color w:val="000000" w:themeColor="text1"/>
        </w:rPr>
        <w:t>cience–</w:t>
      </w:r>
      <w:r>
        <w:rPr>
          <w:rFonts w:ascii="Times New Roman" w:hAnsi="Times New Roman" w:cs="Times New Roman"/>
          <w:b/>
          <w:bCs/>
          <w:color w:val="000000" w:themeColor="text1"/>
        </w:rPr>
        <w:t>r</w:t>
      </w:r>
      <w:r w:rsidR="00E10FAC" w:rsidRPr="00D62CC3">
        <w:rPr>
          <w:rFonts w:ascii="Times New Roman" w:hAnsi="Times New Roman" w:cs="Times New Roman"/>
          <w:b/>
          <w:bCs/>
          <w:color w:val="000000" w:themeColor="text1"/>
        </w:rPr>
        <w:t xml:space="preserve">eligion </w:t>
      </w:r>
      <w:r>
        <w:rPr>
          <w:rFonts w:ascii="Times New Roman" w:hAnsi="Times New Roman" w:cs="Times New Roman"/>
          <w:b/>
          <w:bCs/>
          <w:color w:val="000000" w:themeColor="text1"/>
        </w:rPr>
        <w:t>c</w:t>
      </w:r>
      <w:r w:rsidR="00E10FAC" w:rsidRPr="00D62CC3">
        <w:rPr>
          <w:rFonts w:ascii="Times New Roman" w:hAnsi="Times New Roman" w:cs="Times New Roman"/>
          <w:b/>
          <w:bCs/>
          <w:color w:val="000000" w:themeColor="text1"/>
        </w:rPr>
        <w:t>onflict</w:t>
      </w:r>
    </w:p>
    <w:p w14:paraId="46331CE3" w14:textId="77777777" w:rsidR="009C1E92" w:rsidRPr="00D62CC3" w:rsidRDefault="009C1E92" w:rsidP="004249A3">
      <w:pPr>
        <w:pStyle w:val="AralkYok"/>
        <w:jc w:val="center"/>
        <w:rPr>
          <w:rFonts w:ascii="Times New Roman" w:hAnsi="Times New Roman" w:cs="Times New Roman"/>
          <w:b/>
          <w:bCs/>
          <w:color w:val="000000" w:themeColor="text1"/>
          <w:sz w:val="22"/>
          <w:szCs w:val="22"/>
        </w:rPr>
      </w:pPr>
      <w:r w:rsidRPr="00D62CC3">
        <w:rPr>
          <w:rFonts w:ascii="Times New Roman" w:hAnsi="Times New Roman" w:cs="Times New Roman"/>
          <w:b/>
          <w:bCs/>
          <w:color w:val="000000" w:themeColor="text1"/>
          <w:sz w:val="22"/>
          <w:szCs w:val="22"/>
        </w:rPr>
        <w:t>Efe Murat Balıkçıoğlu</w:t>
      </w:r>
    </w:p>
    <w:p w14:paraId="31E7FE04" w14:textId="77777777" w:rsidR="009C1E92" w:rsidRPr="00D62CC3" w:rsidRDefault="009C1E92" w:rsidP="004249A3">
      <w:pPr>
        <w:pStyle w:val="AralkYok"/>
        <w:jc w:val="center"/>
        <w:rPr>
          <w:rFonts w:ascii="Times New Roman" w:hAnsi="Times New Roman" w:cs="Times New Roman"/>
          <w:b/>
          <w:bCs/>
          <w:color w:val="000000" w:themeColor="text1"/>
          <w:sz w:val="22"/>
          <w:szCs w:val="22"/>
        </w:rPr>
      </w:pPr>
    </w:p>
    <w:p w14:paraId="2C08B938" w14:textId="77777777" w:rsidR="009C1E92" w:rsidRPr="00D62CC3" w:rsidRDefault="009C1E92" w:rsidP="004249A3">
      <w:pPr>
        <w:pStyle w:val="AralkYok"/>
        <w:jc w:val="center"/>
        <w:rPr>
          <w:rFonts w:ascii="Times New Roman" w:hAnsi="Times New Roman" w:cs="Times New Roman"/>
          <w:color w:val="000000" w:themeColor="text1"/>
          <w:sz w:val="22"/>
          <w:szCs w:val="22"/>
        </w:rPr>
      </w:pPr>
      <w:r w:rsidRPr="00D62CC3">
        <w:rPr>
          <w:rFonts w:ascii="Times New Roman" w:hAnsi="Times New Roman" w:cs="Times New Roman"/>
          <w:color w:val="000000" w:themeColor="text1"/>
          <w:sz w:val="22"/>
          <w:szCs w:val="22"/>
        </w:rPr>
        <w:t>Assistant Professor, Department of Philosophy and Cultural Heritage,</w:t>
      </w:r>
    </w:p>
    <w:p w14:paraId="65B6640C" w14:textId="77777777" w:rsidR="009C1E92" w:rsidRPr="00D62CC3" w:rsidRDefault="009C1E92" w:rsidP="004249A3">
      <w:pPr>
        <w:pStyle w:val="AralkYok"/>
        <w:jc w:val="center"/>
        <w:rPr>
          <w:rFonts w:ascii="Times New Roman" w:hAnsi="Times New Roman" w:cs="Times New Roman"/>
          <w:color w:val="000000" w:themeColor="text1"/>
          <w:sz w:val="22"/>
          <w:szCs w:val="22"/>
        </w:rPr>
      </w:pPr>
      <w:r w:rsidRPr="00D62CC3">
        <w:rPr>
          <w:rFonts w:ascii="Times New Roman" w:hAnsi="Times New Roman" w:cs="Times New Roman"/>
          <w:color w:val="000000" w:themeColor="text1"/>
          <w:sz w:val="22"/>
          <w:szCs w:val="22"/>
        </w:rPr>
        <w:t>Ca’ Foscari University, Venice, Italy</w:t>
      </w:r>
    </w:p>
    <w:p w14:paraId="2128FDDF" w14:textId="77777777" w:rsidR="009C1E92" w:rsidRPr="00D62CC3" w:rsidRDefault="009C1E92" w:rsidP="004249A3">
      <w:pPr>
        <w:pStyle w:val="AralkYok"/>
        <w:jc w:val="center"/>
        <w:rPr>
          <w:rFonts w:ascii="Times New Roman" w:hAnsi="Times New Roman" w:cs="Times New Roman"/>
          <w:color w:val="000000" w:themeColor="text1"/>
          <w:sz w:val="22"/>
          <w:szCs w:val="22"/>
        </w:rPr>
      </w:pPr>
      <w:r w:rsidRPr="00D62CC3">
        <w:rPr>
          <w:rFonts w:ascii="Times New Roman" w:hAnsi="Times New Roman" w:cs="Times New Roman"/>
          <w:color w:val="000000" w:themeColor="text1"/>
          <w:sz w:val="22"/>
          <w:szCs w:val="22"/>
        </w:rPr>
        <w:t>efemurat.balikcioglu@unive.it</w:t>
      </w:r>
      <w:r w:rsidRPr="00D62CC3">
        <w:rPr>
          <w:rFonts w:ascii="Times New Roman" w:hAnsi="Times New Roman" w:cs="Times New Roman"/>
          <w:color w:val="000000" w:themeColor="text1"/>
          <w:sz w:val="22"/>
          <w:szCs w:val="22"/>
        </w:rPr>
        <w:br/>
      </w:r>
    </w:p>
    <w:p w14:paraId="3CA021DD" w14:textId="77777777" w:rsidR="009C1E92" w:rsidRPr="00D62CC3" w:rsidRDefault="009C1E92" w:rsidP="004249A3">
      <w:pPr>
        <w:pStyle w:val="AralkYok"/>
        <w:jc w:val="center"/>
        <w:rPr>
          <w:rFonts w:ascii="Times New Roman" w:hAnsi="Times New Roman" w:cs="Times New Roman"/>
          <w:color w:val="000000" w:themeColor="text1"/>
          <w:sz w:val="22"/>
          <w:szCs w:val="22"/>
        </w:rPr>
      </w:pPr>
      <w:r w:rsidRPr="00D62CC3">
        <w:rPr>
          <w:rFonts w:ascii="Times New Roman" w:hAnsi="Times New Roman" w:cs="Times New Roman"/>
          <w:color w:val="000000" w:themeColor="text1"/>
          <w:sz w:val="22"/>
          <w:szCs w:val="22"/>
        </w:rPr>
        <w:t>Associate, Center for Middle Eastern Studies,</w:t>
      </w:r>
    </w:p>
    <w:p w14:paraId="04833840" w14:textId="57F99B59" w:rsidR="009C1E92" w:rsidRPr="00D62CC3" w:rsidRDefault="009C1E92" w:rsidP="004249A3">
      <w:pPr>
        <w:pStyle w:val="AralkYok"/>
        <w:jc w:val="center"/>
        <w:rPr>
          <w:rFonts w:ascii="Times New Roman" w:hAnsi="Times New Roman" w:cs="Times New Roman"/>
          <w:color w:val="000000" w:themeColor="text1"/>
          <w:sz w:val="22"/>
          <w:szCs w:val="22"/>
        </w:rPr>
      </w:pPr>
      <w:r w:rsidRPr="00D62CC3">
        <w:rPr>
          <w:rFonts w:ascii="Times New Roman" w:hAnsi="Times New Roman" w:cs="Times New Roman"/>
          <w:color w:val="000000" w:themeColor="text1"/>
          <w:sz w:val="22"/>
          <w:szCs w:val="22"/>
        </w:rPr>
        <w:t>Harvard University, Cambridge, MA, USA</w:t>
      </w:r>
      <w:r w:rsidRPr="00D62CC3">
        <w:rPr>
          <w:rFonts w:ascii="Times New Roman" w:hAnsi="Times New Roman" w:cs="Times New Roman"/>
          <w:color w:val="000000" w:themeColor="text1"/>
          <w:sz w:val="22"/>
          <w:szCs w:val="22"/>
        </w:rPr>
        <w:br/>
        <w:t>ebalikcioglu@fas.harvard.edu</w:t>
      </w:r>
    </w:p>
    <w:p w14:paraId="28074C50" w14:textId="77777777" w:rsidR="009C1E92" w:rsidRPr="00D62CC3" w:rsidRDefault="009C1E92" w:rsidP="004249A3">
      <w:pPr>
        <w:pStyle w:val="AralkYok"/>
        <w:jc w:val="center"/>
        <w:rPr>
          <w:rFonts w:ascii="Times New Roman" w:hAnsi="Times New Roman" w:cs="Times New Roman"/>
          <w:b/>
          <w:bCs/>
          <w:color w:val="000000" w:themeColor="text1"/>
          <w:sz w:val="22"/>
          <w:szCs w:val="22"/>
        </w:rPr>
      </w:pPr>
    </w:p>
    <w:p w14:paraId="5EFC1E82" w14:textId="77777777" w:rsidR="00754BD5" w:rsidRPr="00D62CC3" w:rsidRDefault="00754BD5" w:rsidP="004249A3">
      <w:pPr>
        <w:pStyle w:val="AralkYok"/>
        <w:jc w:val="both"/>
        <w:rPr>
          <w:rFonts w:ascii="Times New Roman" w:hAnsi="Times New Roman" w:cs="Times New Roman"/>
          <w:b/>
          <w:bCs/>
          <w:color w:val="000000" w:themeColor="text1"/>
          <w:sz w:val="22"/>
          <w:szCs w:val="22"/>
        </w:rPr>
      </w:pPr>
      <w:r w:rsidRPr="00D62CC3">
        <w:rPr>
          <w:rFonts w:ascii="Times New Roman" w:hAnsi="Times New Roman" w:cs="Times New Roman"/>
          <w:b/>
          <w:bCs/>
          <w:color w:val="000000" w:themeColor="text1"/>
          <w:sz w:val="22"/>
          <w:szCs w:val="22"/>
        </w:rPr>
        <w:t>Abstract</w:t>
      </w:r>
    </w:p>
    <w:p w14:paraId="092B3E37" w14:textId="4A6E15FE" w:rsidR="00B525DC" w:rsidRPr="00D62CC3" w:rsidRDefault="00A27ED3" w:rsidP="004249A3">
      <w:pPr>
        <w:pStyle w:val="AralkYok"/>
        <w:jc w:val="both"/>
        <w:rPr>
          <w:rFonts w:ascii="Times New Roman" w:hAnsi="Times New Roman" w:cs="Times New Roman"/>
          <w:color w:val="000000" w:themeColor="text1"/>
          <w:sz w:val="22"/>
          <w:szCs w:val="22"/>
        </w:rPr>
      </w:pPr>
      <w:r w:rsidRPr="00D62CC3">
        <w:rPr>
          <w:rFonts w:ascii="Times New Roman" w:eastAsia="Times New Roman" w:hAnsi="Times New Roman" w:cs="Times New Roman"/>
          <w:color w:val="000000" w:themeColor="text1"/>
          <w:kern w:val="0"/>
          <w:sz w:val="22"/>
          <w:szCs w:val="22"/>
          <w:lang w:eastAsia="tr-TR"/>
          <w14:ligatures w14:val="none"/>
        </w:rPr>
        <w:t xml:space="preserve">Since the mid-nineteenth century, debates over Islam’s relationship to science have been shaped by Orientalist narratives of decline and </w:t>
      </w:r>
      <w:r w:rsidRPr="00DC1EF0">
        <w:rPr>
          <w:rFonts w:ascii="Times New Roman" w:eastAsia="Times New Roman" w:hAnsi="Times New Roman" w:cs="Times New Roman"/>
          <w:color w:val="000000" w:themeColor="text1"/>
          <w:kern w:val="0"/>
          <w:sz w:val="22"/>
          <w:szCs w:val="22"/>
          <w:lang w:eastAsia="tr-TR"/>
          <w14:ligatures w14:val="none"/>
        </w:rPr>
        <w:t xml:space="preserve">intrinsic conflict. These accounts portray postclassical Islamic thought as hostile to rational inquiry, cast Ghazālī as the agent of scientific stagnation, and elevate Ibn Rushd as the emblem of a prematurely extinguished rationalism. </w:t>
      </w:r>
      <w:r w:rsidR="00DC1EF0" w:rsidRPr="00DC1EF0">
        <w:rPr>
          <w:rFonts w:ascii="Times New Roman" w:eastAsia="Times New Roman" w:hAnsi="Times New Roman" w:cs="Times New Roman"/>
          <w:kern w:val="0"/>
          <w:sz w:val="22"/>
          <w:szCs w:val="22"/>
          <w:lang w:eastAsia="tr-TR"/>
          <w14:ligatures w14:val="none"/>
        </w:rPr>
        <w:t xml:space="preserve">In the late Ottoman intellectual milieu, such claims provoked sustained and theoretically self-conscious responses, as reflections on </w:t>
      </w:r>
      <w:r w:rsidR="00DC1EF0" w:rsidRPr="00DC1EF0">
        <w:rPr>
          <w:rFonts w:ascii="Times New Roman" w:eastAsia="Times New Roman" w:hAnsi="Times New Roman" w:cs="Times New Roman"/>
          <w:i/>
          <w:iCs/>
          <w:kern w:val="0"/>
          <w:sz w:val="22"/>
          <w:szCs w:val="22"/>
          <w:lang w:eastAsia="tr-TR"/>
          <w14:ligatures w14:val="none"/>
        </w:rPr>
        <w:t>medeniyet-i İslāmiyye</w:t>
      </w:r>
      <w:r w:rsidR="00DC1EF0" w:rsidRPr="00DC1EF0">
        <w:rPr>
          <w:rFonts w:ascii="Times New Roman" w:eastAsia="Times New Roman" w:hAnsi="Times New Roman" w:cs="Times New Roman"/>
          <w:kern w:val="0"/>
          <w:sz w:val="22"/>
          <w:szCs w:val="22"/>
          <w:lang w:eastAsia="tr-TR"/>
          <w14:ligatures w14:val="none"/>
        </w:rPr>
        <w:t xml:space="preserve">, the emerging conception of Islam as a civilisation, became central to debates on historiography and scientific modernity. </w:t>
      </w:r>
      <w:r w:rsidRPr="00DC1EF0">
        <w:rPr>
          <w:rFonts w:ascii="Times New Roman" w:eastAsia="Times New Roman" w:hAnsi="Times New Roman" w:cs="Times New Roman"/>
          <w:color w:val="000000" w:themeColor="text1"/>
          <w:kern w:val="0"/>
          <w:sz w:val="22"/>
          <w:szCs w:val="22"/>
          <w:lang w:eastAsia="tr-TR"/>
          <w14:ligatures w14:val="none"/>
        </w:rPr>
        <w:t xml:space="preserve">This article examines how Ottoman intellectuals revisited the </w:t>
      </w:r>
      <w:r w:rsidRPr="00DC1EF0">
        <w:rPr>
          <w:rFonts w:ascii="Times New Roman" w:eastAsia="Times New Roman" w:hAnsi="Times New Roman" w:cs="Times New Roman"/>
          <w:i/>
          <w:iCs/>
          <w:color w:val="000000" w:themeColor="text1"/>
          <w:kern w:val="0"/>
          <w:sz w:val="22"/>
          <w:szCs w:val="22"/>
          <w:lang w:eastAsia="tr-TR"/>
          <w14:ligatures w14:val="none"/>
        </w:rPr>
        <w:t>Tahāfut</w:t>
      </w:r>
      <w:r w:rsidRPr="00DC1EF0">
        <w:rPr>
          <w:rFonts w:ascii="Times New Roman" w:eastAsia="Times New Roman" w:hAnsi="Times New Roman" w:cs="Times New Roman"/>
          <w:color w:val="000000" w:themeColor="text1"/>
          <w:kern w:val="0"/>
          <w:sz w:val="22"/>
          <w:szCs w:val="22"/>
          <w:lang w:eastAsia="tr-TR"/>
          <w14:ligatures w14:val="none"/>
        </w:rPr>
        <w:t xml:space="preserve"> debate between Ghazālī and Ibn Rushd to challenge inherited nineteenth-century models of religion–science conflict. </w:t>
      </w:r>
      <w:r w:rsidR="0021188E" w:rsidRPr="00DC1EF0">
        <w:rPr>
          <w:rFonts w:ascii="Times New Roman" w:hAnsi="Times New Roman" w:cs="Times New Roman"/>
          <w:color w:val="000000" w:themeColor="text1"/>
          <w:sz w:val="22"/>
          <w:szCs w:val="22"/>
        </w:rPr>
        <w:t>Focusing on figures such as Ahmed Midhat, Musa</w:t>
      </w:r>
      <w:r w:rsidR="0021188E" w:rsidRPr="00D62CC3">
        <w:rPr>
          <w:rFonts w:ascii="Times New Roman" w:hAnsi="Times New Roman" w:cs="Times New Roman"/>
          <w:color w:val="000000" w:themeColor="text1"/>
          <w:sz w:val="22"/>
          <w:szCs w:val="22"/>
        </w:rPr>
        <w:t xml:space="preserve"> Kazım, Ali Suavi, and İsmail Hakkı İzmirli, it argues that late Ottoman thinkers articulated a congruence </w:t>
      </w:r>
      <w:r w:rsidR="007656E5" w:rsidRPr="00D62CC3">
        <w:rPr>
          <w:rFonts w:ascii="Times New Roman" w:hAnsi="Times New Roman" w:cs="Times New Roman"/>
          <w:color w:val="000000" w:themeColor="text1"/>
          <w:sz w:val="22"/>
          <w:szCs w:val="22"/>
        </w:rPr>
        <w:t xml:space="preserve">model </w:t>
      </w:r>
      <w:r w:rsidR="0021188E" w:rsidRPr="00D62CC3">
        <w:rPr>
          <w:rFonts w:ascii="Times New Roman" w:hAnsi="Times New Roman" w:cs="Times New Roman"/>
          <w:color w:val="000000" w:themeColor="text1"/>
          <w:sz w:val="22"/>
          <w:szCs w:val="22"/>
        </w:rPr>
        <w:t xml:space="preserve">that reframed the </w:t>
      </w:r>
      <w:r w:rsidR="0021188E" w:rsidRPr="00D62CC3">
        <w:rPr>
          <w:rFonts w:ascii="Times New Roman" w:hAnsi="Times New Roman" w:cs="Times New Roman"/>
          <w:i/>
          <w:iCs/>
          <w:color w:val="000000" w:themeColor="text1"/>
          <w:sz w:val="22"/>
          <w:szCs w:val="22"/>
        </w:rPr>
        <w:t xml:space="preserve">Tahāfut </w:t>
      </w:r>
      <w:r w:rsidR="0021188E" w:rsidRPr="00D62CC3">
        <w:rPr>
          <w:rFonts w:ascii="Times New Roman" w:hAnsi="Times New Roman" w:cs="Times New Roman"/>
          <w:color w:val="000000" w:themeColor="text1"/>
          <w:sz w:val="22"/>
          <w:szCs w:val="22"/>
        </w:rPr>
        <w:t>not as a rupture between rational and revealed sciences, but as a moment of epistemic compatibility</w:t>
      </w:r>
      <w:r w:rsidR="007656E5" w:rsidRPr="00D62CC3">
        <w:rPr>
          <w:rFonts w:ascii="Times New Roman" w:hAnsi="Times New Roman" w:cs="Times New Roman"/>
          <w:color w:val="000000" w:themeColor="text1"/>
          <w:sz w:val="22"/>
          <w:szCs w:val="22"/>
        </w:rPr>
        <w:t xml:space="preserve"> and integration</w:t>
      </w:r>
      <w:r w:rsidR="0021188E" w:rsidRPr="00D62CC3">
        <w:rPr>
          <w:rFonts w:ascii="Times New Roman" w:hAnsi="Times New Roman" w:cs="Times New Roman"/>
          <w:color w:val="000000" w:themeColor="text1"/>
          <w:sz w:val="22"/>
          <w:szCs w:val="22"/>
        </w:rPr>
        <w:t xml:space="preserve"> within postclassical Islamic thought. This reconfiguration functioned both as a historiographical rebuttal to the science–religion conflict thesis and as a framework for integrating modern European sciences into Ottoman education without forfeiting religious or cultural authority.</w:t>
      </w:r>
    </w:p>
    <w:p w14:paraId="4FB2D373" w14:textId="77777777" w:rsidR="00B525DC" w:rsidRDefault="00B525DC" w:rsidP="004249A3">
      <w:pPr>
        <w:pStyle w:val="AralkYok"/>
        <w:jc w:val="both"/>
        <w:rPr>
          <w:rFonts w:ascii="Times New Roman" w:hAnsi="Times New Roman" w:cs="Times New Roman"/>
          <w:b/>
          <w:bCs/>
          <w:color w:val="000000" w:themeColor="text1"/>
        </w:rPr>
      </w:pPr>
    </w:p>
    <w:p w14:paraId="21646F66" w14:textId="0E1904C0" w:rsidR="00C52522" w:rsidRDefault="00C52522" w:rsidP="004249A3">
      <w:pPr>
        <w:pStyle w:val="AralkYok"/>
        <w:jc w:val="both"/>
        <w:rPr>
          <w:rFonts w:ascii="Times New Roman" w:hAnsi="Times New Roman" w:cs="Times New Roman"/>
          <w:b/>
          <w:bCs/>
          <w:color w:val="000000" w:themeColor="text1"/>
        </w:rPr>
      </w:pPr>
      <w:r>
        <w:rPr>
          <w:rFonts w:ascii="Times New Roman" w:hAnsi="Times New Roman" w:cs="Times New Roman"/>
          <w:b/>
          <w:bCs/>
          <w:color w:val="000000" w:themeColor="text1"/>
        </w:rPr>
        <w:t>Word count: 11,4</w:t>
      </w:r>
      <w:r w:rsidR="000A1D51">
        <w:rPr>
          <w:rFonts w:ascii="Times New Roman" w:hAnsi="Times New Roman" w:cs="Times New Roman"/>
          <w:b/>
          <w:bCs/>
          <w:color w:val="000000" w:themeColor="text1"/>
        </w:rPr>
        <w:t>24</w:t>
      </w:r>
    </w:p>
    <w:p w14:paraId="4E0E3D36" w14:textId="77777777" w:rsidR="00C52522" w:rsidRPr="00D62CC3" w:rsidRDefault="00C52522" w:rsidP="004249A3">
      <w:pPr>
        <w:pStyle w:val="AralkYok"/>
        <w:jc w:val="both"/>
        <w:rPr>
          <w:rFonts w:ascii="Times New Roman" w:hAnsi="Times New Roman" w:cs="Times New Roman"/>
          <w:b/>
          <w:bCs/>
          <w:color w:val="000000" w:themeColor="text1"/>
        </w:rPr>
      </w:pPr>
    </w:p>
    <w:p w14:paraId="1A66B414" w14:textId="51300C4E" w:rsidR="00E248A5" w:rsidRPr="00D62CC3" w:rsidRDefault="00E248A5" w:rsidP="004249A3">
      <w:pPr>
        <w:pStyle w:val="AralkYok"/>
        <w:jc w:val="both"/>
        <w:rPr>
          <w:rFonts w:ascii="Times New Roman" w:hAnsi="Times New Roman" w:cs="Times New Roman"/>
          <w:color w:val="000000" w:themeColor="text1"/>
        </w:rPr>
      </w:pPr>
      <w:r w:rsidRPr="00D62CC3">
        <w:rPr>
          <w:rFonts w:ascii="Times New Roman" w:hAnsi="Times New Roman" w:cs="Times New Roman"/>
          <w:color w:val="000000" w:themeColor="text1"/>
        </w:rPr>
        <w:t xml:space="preserve">One of the most widely cited debates in Islamic intellectual history, the </w:t>
      </w:r>
      <w:r w:rsidRPr="00D62CC3">
        <w:rPr>
          <w:rFonts w:ascii="Times New Roman" w:hAnsi="Times New Roman" w:cs="Times New Roman"/>
          <w:i/>
          <w:iCs/>
          <w:color w:val="000000" w:themeColor="text1"/>
        </w:rPr>
        <w:t xml:space="preserve">Tahāfut al-falāsifa </w:t>
      </w:r>
      <w:r w:rsidRPr="00D62CC3">
        <w:rPr>
          <w:rFonts w:ascii="Times New Roman" w:hAnsi="Times New Roman" w:cs="Times New Roman"/>
          <w:color w:val="000000" w:themeColor="text1"/>
        </w:rPr>
        <w:t>(The Incoherence of the Philosophers) controversy between Abū Ḥāmid al-Ghazālī (d. 505/1111) and Ibn Rushd</w:t>
      </w:r>
      <w:r w:rsidRPr="00D62CC3">
        <w:rPr>
          <w:rFonts w:ascii="Times New Roman" w:hAnsi="Times New Roman" w:cs="Times New Roman"/>
          <w:color w:val="000000" w:themeColor="text1"/>
          <w:lang w:val="en-US"/>
        </w:rPr>
        <w:t>/</w:t>
      </w:r>
      <w:r w:rsidRPr="00D62CC3">
        <w:rPr>
          <w:rFonts w:ascii="Times New Roman" w:hAnsi="Times New Roman" w:cs="Times New Roman"/>
          <w:color w:val="000000" w:themeColor="text1"/>
          <w:lang w:val="tr-TR"/>
        </w:rPr>
        <w:t>Averroes</w:t>
      </w:r>
      <w:r w:rsidRPr="00D62CC3">
        <w:rPr>
          <w:rFonts w:ascii="Times New Roman" w:hAnsi="Times New Roman" w:cs="Times New Roman"/>
          <w:color w:val="000000" w:themeColor="text1"/>
        </w:rPr>
        <w:t xml:space="preserve"> (d. 595/1198) has</w:t>
      </w:r>
      <w:r w:rsidR="007656E5" w:rsidRPr="00D62CC3">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w:t>
      </w:r>
      <w:r w:rsidR="007656E5" w:rsidRPr="00D62CC3">
        <w:rPr>
          <w:rFonts w:ascii="Times New Roman" w:hAnsi="Times New Roman" w:cs="Times New Roman"/>
          <w:color w:val="000000" w:themeColor="text1"/>
        </w:rPr>
        <w:t xml:space="preserve">since the nineteenth century, come to function as an emblematic allegory of continuity versus decline and of intellectual progress versus the suppression of free inquiry. </w:t>
      </w:r>
      <w:r w:rsidRPr="00D62CC3">
        <w:rPr>
          <w:rFonts w:ascii="Times New Roman" w:hAnsi="Times New Roman" w:cs="Times New Roman"/>
          <w:color w:val="000000" w:themeColor="text1"/>
        </w:rPr>
        <w:t xml:space="preserve"> In the wake of European Orientalist scholarship and its diffusion into late Ottoman milieus, this debate was increasingly recast as a paradigmatic confrontation between </w:t>
      </w:r>
      <w:r w:rsidR="00E10FAC" w:rsidRPr="00D62CC3">
        <w:rPr>
          <w:rFonts w:ascii="Times New Roman" w:hAnsi="Times New Roman" w:cs="Times New Roman"/>
          <w:color w:val="000000" w:themeColor="text1"/>
        </w:rPr>
        <w:t xml:space="preserve">revelation and </w:t>
      </w:r>
      <w:r w:rsidRPr="00D62CC3">
        <w:rPr>
          <w:rFonts w:ascii="Times New Roman" w:hAnsi="Times New Roman" w:cs="Times New Roman"/>
          <w:color w:val="000000" w:themeColor="text1"/>
        </w:rPr>
        <w:t xml:space="preserve">reason and, by extension, as a diagnostic site for narrating the presumed </w:t>
      </w:r>
      <w:r w:rsidR="00647615" w:rsidRPr="00D62CC3">
        <w:rPr>
          <w:rFonts w:ascii="Times New Roman" w:hAnsi="Times New Roman" w:cs="Times New Roman"/>
          <w:color w:val="000000" w:themeColor="text1"/>
        </w:rPr>
        <w:t xml:space="preserve">inner conflict and </w:t>
      </w:r>
      <w:r w:rsidR="00E10FAC" w:rsidRPr="00D62CC3">
        <w:rPr>
          <w:rFonts w:ascii="Times New Roman" w:hAnsi="Times New Roman" w:cs="Times New Roman"/>
          <w:color w:val="000000" w:themeColor="text1"/>
        </w:rPr>
        <w:t>decline</w:t>
      </w:r>
      <w:r w:rsidRPr="00D62CC3">
        <w:rPr>
          <w:rFonts w:ascii="Times New Roman" w:hAnsi="Times New Roman" w:cs="Times New Roman"/>
          <w:color w:val="000000" w:themeColor="text1"/>
        </w:rPr>
        <w:t xml:space="preserve"> of the Islamic sciences.</w:t>
      </w:r>
    </w:p>
    <w:p w14:paraId="711719D0" w14:textId="69366B4C" w:rsidR="00206E86" w:rsidRPr="00D62CC3" w:rsidRDefault="00AD37D9" w:rsidP="004249A3">
      <w:pPr>
        <w:pStyle w:val="AralkYok"/>
        <w:jc w:val="both"/>
        <w:rPr>
          <w:rFonts w:ascii="Times New Roman" w:eastAsia="Times New Roman" w:hAnsi="Times New Roman" w:cs="Times New Roman"/>
          <w:color w:val="000000" w:themeColor="text1"/>
          <w:kern w:val="0"/>
          <w:lang w:eastAsia="tr-TR"/>
          <w14:ligatures w14:val="none"/>
        </w:rPr>
      </w:pPr>
      <w:r w:rsidRPr="00D62CC3">
        <w:rPr>
          <w:rFonts w:ascii="Times New Roman" w:hAnsi="Times New Roman" w:cs="Times New Roman"/>
          <w:color w:val="000000" w:themeColor="text1"/>
        </w:rPr>
        <w:tab/>
      </w:r>
      <w:r w:rsidRPr="00D62CC3">
        <w:rPr>
          <w:rFonts w:ascii="Times New Roman" w:eastAsia="Times New Roman" w:hAnsi="Times New Roman" w:cs="Times New Roman"/>
          <w:color w:val="000000" w:themeColor="text1"/>
          <w:kern w:val="0"/>
          <w:lang w:eastAsia="tr-TR"/>
          <w14:ligatures w14:val="none"/>
        </w:rPr>
        <w:t xml:space="preserve">Ghazālī’s </w:t>
      </w:r>
      <w:r w:rsidRPr="00D62CC3">
        <w:rPr>
          <w:rFonts w:ascii="Times New Roman" w:eastAsia="Times New Roman" w:hAnsi="Times New Roman" w:cs="Times New Roman"/>
          <w:i/>
          <w:iCs/>
          <w:color w:val="000000" w:themeColor="text1"/>
          <w:kern w:val="0"/>
          <w:lang w:eastAsia="tr-TR"/>
          <w14:ligatures w14:val="none"/>
        </w:rPr>
        <w:t>Tahāfut al-falāsifa</w:t>
      </w:r>
      <w:r w:rsidRPr="00D62CC3">
        <w:rPr>
          <w:rFonts w:ascii="Times New Roman" w:eastAsia="Times New Roman" w:hAnsi="Times New Roman" w:cs="Times New Roman"/>
          <w:color w:val="000000" w:themeColor="text1"/>
          <w:kern w:val="0"/>
          <w:lang w:eastAsia="tr-TR"/>
          <w14:ligatures w14:val="none"/>
        </w:rPr>
        <w:t xml:space="preserve"> mounts a sustained </w:t>
      </w:r>
      <w:r w:rsidR="00DC1EF0">
        <w:rPr>
          <w:rFonts w:ascii="Times New Roman" w:eastAsia="Times New Roman" w:hAnsi="Times New Roman" w:cs="Times New Roman"/>
          <w:color w:val="000000" w:themeColor="text1"/>
          <w:kern w:val="0"/>
          <w:lang w:eastAsia="tr-TR"/>
          <w14:ligatures w14:val="none"/>
        </w:rPr>
        <w:t xml:space="preserve">internal </w:t>
      </w:r>
      <w:r w:rsidRPr="00D62CC3">
        <w:rPr>
          <w:rFonts w:ascii="Times New Roman" w:eastAsia="Times New Roman" w:hAnsi="Times New Roman" w:cs="Times New Roman"/>
          <w:color w:val="000000" w:themeColor="text1"/>
          <w:kern w:val="0"/>
          <w:lang w:eastAsia="tr-TR"/>
          <w14:ligatures w14:val="none"/>
        </w:rPr>
        <w:t xml:space="preserve">critique of </w:t>
      </w:r>
      <w:r w:rsidR="00DC1EF0" w:rsidRPr="00D62CC3">
        <w:rPr>
          <w:rFonts w:ascii="Times New Roman" w:eastAsia="Times New Roman" w:hAnsi="Times New Roman" w:cs="Times New Roman"/>
          <w:color w:val="000000" w:themeColor="text1"/>
          <w:kern w:val="0"/>
          <w:lang w:val="tr-TR" w:eastAsia="tr-TR"/>
          <w14:ligatures w14:val="none"/>
        </w:rPr>
        <w:t>Ibn S</w:t>
      </w:r>
      <w:r w:rsidR="00DC1EF0" w:rsidRPr="00D62CC3">
        <w:rPr>
          <w:rFonts w:ascii="Times New Roman" w:eastAsia="Times New Roman" w:hAnsi="Times New Roman" w:cs="Times New Roman"/>
          <w:color w:val="000000" w:themeColor="text1"/>
          <w:kern w:val="0"/>
          <w:lang w:eastAsia="tr-TR"/>
          <w14:ligatures w14:val="none"/>
        </w:rPr>
        <w:t>ī</w:t>
      </w:r>
      <w:r w:rsidR="00DC1EF0" w:rsidRPr="00D62CC3">
        <w:rPr>
          <w:rFonts w:ascii="Times New Roman" w:eastAsia="Times New Roman" w:hAnsi="Times New Roman" w:cs="Times New Roman"/>
          <w:color w:val="000000" w:themeColor="text1"/>
          <w:kern w:val="0"/>
          <w:lang w:val="tr-TR" w:eastAsia="tr-TR"/>
          <w14:ligatures w14:val="none"/>
        </w:rPr>
        <w:t>n</w:t>
      </w:r>
      <w:r w:rsidR="00DC1EF0" w:rsidRPr="00D62CC3">
        <w:rPr>
          <w:rFonts w:ascii="Times New Roman" w:eastAsia="Times New Roman" w:hAnsi="Times New Roman" w:cs="Times New Roman"/>
          <w:color w:val="000000" w:themeColor="text1"/>
          <w:kern w:val="0"/>
          <w:lang w:eastAsia="tr-TR"/>
          <w14:ligatures w14:val="none"/>
        </w:rPr>
        <w:t>ā</w:t>
      </w:r>
      <w:r w:rsidR="00DC1EF0" w:rsidRPr="00D62CC3">
        <w:rPr>
          <w:rFonts w:ascii="Times New Roman" w:eastAsia="Times New Roman" w:hAnsi="Times New Roman" w:cs="Times New Roman"/>
          <w:color w:val="000000" w:themeColor="text1"/>
          <w:kern w:val="0"/>
          <w:lang w:val="en-US" w:eastAsia="tr-TR"/>
          <w14:ligatures w14:val="none"/>
        </w:rPr>
        <w:t>/</w:t>
      </w:r>
      <w:r w:rsidR="00DC1EF0" w:rsidRPr="00D62CC3">
        <w:rPr>
          <w:rFonts w:ascii="Times New Roman" w:eastAsia="Times New Roman" w:hAnsi="Times New Roman" w:cs="Times New Roman"/>
          <w:color w:val="000000" w:themeColor="text1"/>
          <w:kern w:val="0"/>
          <w:lang w:eastAsia="tr-TR"/>
          <w14:ligatures w14:val="none"/>
        </w:rPr>
        <w:t>Avicenna</w:t>
      </w:r>
      <w:r w:rsidR="00DC1EF0">
        <w:rPr>
          <w:rFonts w:ascii="Times New Roman" w:eastAsia="Times New Roman" w:hAnsi="Times New Roman" w:cs="Times New Roman"/>
          <w:color w:val="000000" w:themeColor="text1"/>
          <w:kern w:val="0"/>
          <w:lang w:eastAsia="tr-TR"/>
          <w14:ligatures w14:val="none"/>
        </w:rPr>
        <w:t>’s</w:t>
      </w:r>
      <w:r w:rsidR="00DC1EF0" w:rsidRPr="00D62CC3">
        <w:rPr>
          <w:rFonts w:ascii="Times New Roman" w:eastAsia="Times New Roman" w:hAnsi="Times New Roman" w:cs="Times New Roman"/>
          <w:color w:val="000000" w:themeColor="text1"/>
          <w:kern w:val="0"/>
          <w:lang w:val="tr-TR" w:eastAsia="tr-TR"/>
          <w14:ligatures w14:val="none"/>
        </w:rPr>
        <w:t xml:space="preserve"> (d. 428</w:t>
      </w:r>
      <w:r w:rsidR="00DC1EF0" w:rsidRPr="00D62CC3">
        <w:rPr>
          <w:rFonts w:ascii="Times New Roman" w:eastAsia="Times New Roman" w:hAnsi="Times New Roman" w:cs="Times New Roman"/>
          <w:color w:val="000000" w:themeColor="text1"/>
          <w:kern w:val="0"/>
          <w:lang w:val="en-US" w:eastAsia="tr-TR"/>
          <w14:ligatures w14:val="none"/>
        </w:rPr>
        <w:t>/</w:t>
      </w:r>
      <w:r w:rsidR="00DC1EF0" w:rsidRPr="00D62CC3">
        <w:rPr>
          <w:rFonts w:ascii="Times New Roman" w:eastAsia="Times New Roman" w:hAnsi="Times New Roman" w:cs="Times New Roman"/>
          <w:color w:val="000000" w:themeColor="text1"/>
          <w:kern w:val="0"/>
          <w:lang w:val="tr-TR" w:eastAsia="tr-TR"/>
          <w14:ligatures w14:val="none"/>
        </w:rPr>
        <w:t>1037)</w:t>
      </w:r>
      <w:r w:rsidRPr="00D62CC3">
        <w:rPr>
          <w:rFonts w:ascii="Times New Roman" w:eastAsia="Times New Roman" w:hAnsi="Times New Roman" w:cs="Times New Roman"/>
          <w:color w:val="000000" w:themeColor="text1"/>
          <w:kern w:val="0"/>
          <w:lang w:eastAsia="tr-TR"/>
          <w14:ligatures w14:val="none"/>
        </w:rPr>
        <w:t xml:space="preserve"> </w:t>
      </w:r>
      <w:r w:rsidR="00DC1EF0" w:rsidRPr="00D62CC3">
        <w:rPr>
          <w:rFonts w:ascii="Times New Roman" w:eastAsia="Times New Roman" w:hAnsi="Times New Roman" w:cs="Times New Roman"/>
          <w:color w:val="000000" w:themeColor="text1"/>
          <w:kern w:val="0"/>
          <w:lang w:eastAsia="tr-TR"/>
          <w14:ligatures w14:val="none"/>
        </w:rPr>
        <w:t xml:space="preserve">Arabic Neoplatonism </w:t>
      </w:r>
      <w:r w:rsidRPr="00D62CC3">
        <w:rPr>
          <w:rFonts w:ascii="Times New Roman" w:eastAsia="Times New Roman" w:hAnsi="Times New Roman" w:cs="Times New Roman"/>
          <w:color w:val="000000" w:themeColor="text1"/>
          <w:kern w:val="0"/>
          <w:lang w:eastAsia="tr-TR"/>
          <w14:ligatures w14:val="none"/>
        </w:rPr>
        <w:t>by targeting several of its core doctrines—most notably the eternity of the world, God’s knowledge of particulars, and bodily resurrection—which he argues are philosophically incoherent and, in certain cases, verge on unbelief</w:t>
      </w:r>
      <w:r w:rsidR="00AB03D7" w:rsidRPr="00D62CC3">
        <w:rPr>
          <w:rFonts w:ascii="Times New Roman" w:eastAsia="Times New Roman" w:hAnsi="Times New Roman" w:cs="Times New Roman"/>
          <w:color w:val="000000" w:themeColor="text1"/>
          <w:kern w:val="0"/>
          <w:lang w:eastAsia="tr-TR"/>
          <w14:ligatures w14:val="none"/>
        </w:rPr>
        <w:t xml:space="preserve"> </w:t>
      </w:r>
      <w:r w:rsidR="007656E5" w:rsidRPr="00D62CC3">
        <w:rPr>
          <w:rFonts w:ascii="Times New Roman" w:eastAsia="Times New Roman" w:hAnsi="Times New Roman" w:cs="Times New Roman"/>
          <w:color w:val="000000" w:themeColor="text1"/>
          <w:kern w:val="0"/>
          <w:lang w:eastAsia="tr-TR"/>
          <w14:ligatures w14:val="none"/>
        </w:rPr>
        <w:t>(</w:t>
      </w:r>
      <w:r w:rsidR="007656E5" w:rsidRPr="00D62CC3">
        <w:rPr>
          <w:rFonts w:ascii="Times New Roman" w:eastAsia="Times New Roman" w:hAnsi="Times New Roman" w:cs="Times New Roman"/>
          <w:i/>
          <w:iCs/>
          <w:color w:val="000000" w:themeColor="text1"/>
          <w:kern w:val="0"/>
          <w:lang w:eastAsia="tr-TR"/>
          <w14:ligatures w14:val="none"/>
        </w:rPr>
        <w:t>kufr</w:t>
      </w:r>
      <w:r w:rsidR="007656E5" w:rsidRPr="00D62CC3">
        <w:rPr>
          <w:rFonts w:ascii="Times New Roman" w:eastAsia="Times New Roman" w:hAnsi="Times New Roman" w:cs="Times New Roman"/>
          <w:color w:val="000000" w:themeColor="text1"/>
          <w:kern w:val="0"/>
          <w:lang w:eastAsia="tr-TR"/>
          <w14:ligatures w14:val="none"/>
        </w:rPr>
        <w:t>).</w:t>
      </w:r>
      <w:r w:rsidR="00206E86" w:rsidRPr="00D62CC3">
        <w:rPr>
          <w:rStyle w:val="SonNotBavurusu"/>
          <w:rFonts w:ascii="Times New Roman" w:eastAsia="Times New Roman" w:hAnsi="Times New Roman" w:cs="Times New Roman"/>
          <w:color w:val="000000" w:themeColor="text1"/>
          <w:kern w:val="0"/>
          <w:lang w:eastAsia="tr-TR"/>
          <w14:ligatures w14:val="none"/>
        </w:rPr>
        <w:endnoteReference w:id="1"/>
      </w:r>
      <w:r w:rsidR="00206E86" w:rsidRPr="00D62CC3">
        <w:rPr>
          <w:rFonts w:ascii="Times New Roman" w:eastAsia="Times New Roman" w:hAnsi="Times New Roman" w:cs="Times New Roman"/>
          <w:color w:val="000000" w:themeColor="text1"/>
          <w:kern w:val="0"/>
          <w:lang w:eastAsia="tr-TR"/>
          <w14:ligatures w14:val="none"/>
        </w:rPr>
        <w:t xml:space="preserve"> In </w:t>
      </w:r>
      <w:r w:rsidR="00206E86" w:rsidRPr="00D62CC3">
        <w:rPr>
          <w:rFonts w:ascii="Times New Roman" w:eastAsia="Times New Roman" w:hAnsi="Times New Roman" w:cs="Times New Roman"/>
          <w:i/>
          <w:iCs/>
          <w:color w:val="000000" w:themeColor="text1"/>
          <w:kern w:val="0"/>
          <w:lang w:eastAsia="tr-TR"/>
          <w14:ligatures w14:val="none"/>
        </w:rPr>
        <w:t>Tahāfut al-tahāfut</w:t>
      </w:r>
      <w:r w:rsidR="00206E86" w:rsidRPr="00D62CC3">
        <w:rPr>
          <w:rFonts w:ascii="Times New Roman" w:eastAsia="Times New Roman" w:hAnsi="Times New Roman" w:cs="Times New Roman"/>
          <w:color w:val="000000" w:themeColor="text1"/>
          <w:kern w:val="0"/>
          <w:lang w:eastAsia="tr-TR"/>
          <w14:ligatures w14:val="none"/>
        </w:rPr>
        <w:t xml:space="preserve"> (The Incoherence of the Incoherence), Ibn Rushd responds by contending that Ghazālī’s objections rest on a misreading of Arabic philosophy and on the imposition of theological criteria upon philosophical inquiry, even as he subjects Avicenna himself to criticism from a more rigorously Aristotelian standpoint.</w:t>
      </w:r>
      <w:r w:rsidR="00206E86" w:rsidRPr="00D62CC3">
        <w:rPr>
          <w:rFonts w:ascii="Times New Roman" w:hAnsi="Times New Roman" w:cs="Times New Roman"/>
          <w:color w:val="000000" w:themeColor="text1"/>
        </w:rPr>
        <w:t xml:space="preserve"> </w:t>
      </w:r>
      <w:r w:rsidR="00206E86" w:rsidRPr="00D62CC3">
        <w:rPr>
          <w:rFonts w:ascii="Times New Roman" w:eastAsia="Times New Roman" w:hAnsi="Times New Roman" w:cs="Times New Roman"/>
          <w:color w:val="000000" w:themeColor="text1"/>
          <w:kern w:val="0"/>
          <w:lang w:eastAsia="tr-TR"/>
          <w14:ligatures w14:val="none"/>
        </w:rPr>
        <w:t xml:space="preserve">The debate, however, became closely entwined with Ottoman intellectual history, where it acquired renewed institutional and historiographical significance. More than two centuries after its initial formulation, the </w:t>
      </w:r>
      <w:r w:rsidR="00206E86" w:rsidRPr="00D62CC3">
        <w:rPr>
          <w:rFonts w:ascii="Times New Roman" w:eastAsia="Times New Roman" w:hAnsi="Times New Roman" w:cs="Times New Roman"/>
          <w:i/>
          <w:iCs/>
          <w:color w:val="000000" w:themeColor="text1"/>
          <w:kern w:val="0"/>
          <w:lang w:eastAsia="tr-TR"/>
          <w14:ligatures w14:val="none"/>
        </w:rPr>
        <w:t>Tahāfut</w:t>
      </w:r>
      <w:r w:rsidR="00206E86" w:rsidRPr="00D62CC3">
        <w:rPr>
          <w:rFonts w:ascii="Times New Roman" w:eastAsia="Times New Roman" w:hAnsi="Times New Roman" w:cs="Times New Roman"/>
          <w:color w:val="000000" w:themeColor="text1"/>
          <w:kern w:val="0"/>
          <w:lang w:eastAsia="tr-TR"/>
          <w14:ligatures w14:val="none"/>
        </w:rPr>
        <w:t xml:space="preserve"> controversy was deliberately reactivated during the reign of Sultan Meḥmed II (2</w:t>
      </w:r>
      <w:r w:rsidR="00206E86" w:rsidRPr="00D62CC3">
        <w:rPr>
          <w:rFonts w:ascii="Times New Roman" w:eastAsia="Times New Roman" w:hAnsi="Times New Roman" w:cs="Times New Roman"/>
          <w:color w:val="000000" w:themeColor="text1"/>
          <w:kern w:val="0"/>
          <w:vertAlign w:val="superscript"/>
          <w:lang w:eastAsia="tr-TR"/>
          <w14:ligatures w14:val="none"/>
        </w:rPr>
        <w:t>nd</w:t>
      </w:r>
      <w:r w:rsidR="00206E86" w:rsidRPr="00D62CC3">
        <w:rPr>
          <w:rFonts w:ascii="Times New Roman" w:eastAsia="Times New Roman" w:hAnsi="Times New Roman" w:cs="Times New Roman"/>
          <w:color w:val="000000" w:themeColor="text1"/>
          <w:kern w:val="0"/>
          <w:lang w:eastAsia="tr-TR"/>
          <w14:ligatures w14:val="none"/>
        </w:rPr>
        <w:t xml:space="preserve"> r. 855–86/1451–81), whose programme of philosophical patronage and educational </w:t>
      </w:r>
      <w:r w:rsidR="00206E86" w:rsidRPr="00D62CC3">
        <w:rPr>
          <w:rFonts w:ascii="Times New Roman" w:eastAsia="Times New Roman" w:hAnsi="Times New Roman" w:cs="Times New Roman"/>
          <w:color w:val="000000" w:themeColor="text1"/>
          <w:kern w:val="0"/>
          <w:lang w:eastAsia="tr-TR"/>
          <w14:ligatures w14:val="none"/>
        </w:rPr>
        <w:lastRenderedPageBreak/>
        <w:t xml:space="preserve">reform prompted a formal reassessment of Ghazālī’s book. Sultan commissioned the scholars ʿAlāʾ al-Dīn al-Ṭūsī (d. 887/1482) and Ḫocazāde (d. 893/1488) to compose adjudicatory treatises on </w:t>
      </w:r>
      <w:r w:rsidR="00206E86" w:rsidRPr="00D62CC3">
        <w:rPr>
          <w:rFonts w:ascii="Times New Roman" w:eastAsia="Times New Roman" w:hAnsi="Times New Roman" w:cs="Times New Roman"/>
          <w:i/>
          <w:iCs/>
          <w:color w:val="000000" w:themeColor="text1"/>
          <w:kern w:val="0"/>
          <w:lang w:eastAsia="tr-TR"/>
          <w14:ligatures w14:val="none"/>
        </w:rPr>
        <w:t>Tahāfut al-falāsifa</w:t>
      </w:r>
      <w:r w:rsidR="00206E86" w:rsidRPr="00D62CC3">
        <w:rPr>
          <w:rFonts w:ascii="Times New Roman" w:eastAsia="Times New Roman" w:hAnsi="Times New Roman" w:cs="Times New Roman"/>
          <w:color w:val="000000" w:themeColor="text1"/>
          <w:kern w:val="0"/>
          <w:lang w:eastAsia="tr-TR"/>
          <w14:ligatures w14:val="none"/>
        </w:rPr>
        <w:t>, thereby transforming a classical polemic into a structured object of scholarly arbitration. Within this context, Ḫocazāde’s intervention proved especially influential, articulating a postclassical synthesis of Avicennism and theology calibrated to the epistemic norms and pedagogical requirements of the Ottoman knowledge production.</w:t>
      </w:r>
      <w:r w:rsidR="00206E86">
        <w:rPr>
          <w:rStyle w:val="SonNotBavurusu"/>
          <w:rFonts w:ascii="Times New Roman" w:eastAsia="Times New Roman" w:hAnsi="Times New Roman" w:cs="Times New Roman"/>
          <w:color w:val="000000" w:themeColor="text1"/>
          <w:kern w:val="0"/>
          <w:lang w:eastAsia="tr-TR"/>
          <w14:ligatures w14:val="none"/>
        </w:rPr>
        <w:endnoteReference w:id="2"/>
      </w:r>
    </w:p>
    <w:p w14:paraId="1E462365" w14:textId="1B90D937" w:rsidR="00206E86" w:rsidRPr="00D62CC3" w:rsidRDefault="00206E86" w:rsidP="004249A3">
      <w:pPr>
        <w:pStyle w:val="AralkYok"/>
        <w:ind w:firstLine="708"/>
        <w:jc w:val="both"/>
        <w:rPr>
          <w:rFonts w:ascii="Times New Roman" w:eastAsia="Times New Roman" w:hAnsi="Times New Roman" w:cs="Times New Roman"/>
          <w:color w:val="000000" w:themeColor="text1"/>
          <w:kern w:val="0"/>
          <w:lang w:eastAsia="tr-TR"/>
          <w14:ligatures w14:val="none"/>
        </w:rPr>
      </w:pPr>
      <w:r w:rsidRPr="00D62CC3">
        <w:rPr>
          <w:rFonts w:ascii="Times New Roman" w:hAnsi="Times New Roman" w:cs="Times New Roman"/>
          <w:color w:val="000000" w:themeColor="text1"/>
        </w:rPr>
        <w:t>Late nineteenth-century historiography frequently misconstrued Ghazālī and Ibn Rushd as representing a stark opposition between religion and science, or revelation and reason. Such interpretations were shaped above all by Ernest Renan’s</w:t>
      </w:r>
      <w:r>
        <w:rPr>
          <w:rFonts w:ascii="Times New Roman" w:hAnsi="Times New Roman" w:cs="Times New Roman"/>
          <w:color w:val="000000" w:themeColor="text1"/>
        </w:rPr>
        <w:t xml:space="preserve"> </w:t>
      </w:r>
      <w:r w:rsidRPr="00D62CC3">
        <w:rPr>
          <w:rFonts w:ascii="Times New Roman" w:eastAsia="Times New Roman" w:hAnsi="Times New Roman" w:cs="Times New Roman"/>
          <w:color w:val="000000" w:themeColor="text1"/>
          <w:kern w:val="0"/>
          <w:lang w:eastAsia="tr-TR"/>
          <w14:ligatures w14:val="none"/>
        </w:rPr>
        <w:t>(1823–1892)</w:t>
      </w:r>
      <w:r w:rsidRPr="00D62CC3">
        <w:rPr>
          <w:rFonts w:ascii="Times New Roman" w:hAnsi="Times New Roman" w:cs="Times New Roman"/>
          <w:color w:val="000000" w:themeColor="text1"/>
        </w:rPr>
        <w:t xml:space="preserve"> narrative of Islamic intellectual decline and John W. Draper’s</w:t>
      </w:r>
      <w:r>
        <w:rPr>
          <w:rFonts w:ascii="Times New Roman" w:hAnsi="Times New Roman" w:cs="Times New Roman"/>
          <w:color w:val="000000" w:themeColor="text1"/>
        </w:rPr>
        <w:t xml:space="preserve"> </w:t>
      </w:r>
      <w:r w:rsidRPr="00D62CC3">
        <w:rPr>
          <w:rFonts w:ascii="Times New Roman" w:hAnsi="Times New Roman" w:cs="Times New Roman"/>
          <w:color w:val="000000" w:themeColor="text1"/>
        </w:rPr>
        <w:t xml:space="preserve">(1811–82) thesis of an enduring conflict between science and religion, as well as by limited engagement with primary texts and historical contexts and by the ascendancy of the modern sciences that underpinned European colonial power. </w:t>
      </w:r>
      <w:r w:rsidRPr="00D62CC3">
        <w:rPr>
          <w:rFonts w:ascii="Times New Roman" w:eastAsia="Times New Roman" w:hAnsi="Times New Roman" w:cs="Times New Roman"/>
          <w:color w:val="000000" w:themeColor="text1"/>
          <w:kern w:val="0"/>
          <w:lang w:eastAsia="tr-TR"/>
          <w14:ligatures w14:val="none"/>
        </w:rPr>
        <w:t xml:space="preserve">Such readings subsumed the </w:t>
      </w:r>
      <w:r w:rsidRPr="00D62CC3">
        <w:rPr>
          <w:rFonts w:ascii="Times New Roman" w:eastAsia="Times New Roman" w:hAnsi="Times New Roman" w:cs="Times New Roman"/>
          <w:i/>
          <w:iCs/>
          <w:color w:val="000000" w:themeColor="text1"/>
          <w:kern w:val="0"/>
          <w:lang w:eastAsia="tr-TR"/>
          <w14:ligatures w14:val="none"/>
        </w:rPr>
        <w:t>Tahāfut</w:t>
      </w:r>
      <w:r w:rsidRPr="00D62CC3">
        <w:rPr>
          <w:rFonts w:ascii="Times New Roman" w:eastAsia="Times New Roman" w:hAnsi="Times New Roman" w:cs="Times New Roman"/>
          <w:color w:val="000000" w:themeColor="text1"/>
          <w:kern w:val="0"/>
          <w:lang w:eastAsia="tr-TR"/>
          <w14:ligatures w14:val="none"/>
        </w:rPr>
        <w:t xml:space="preserve"> controversy within broader narratives of Islamic intellectual decline, thereby obscuring its internal epistemic</w:t>
      </w:r>
      <w:r>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eastAsia="Times New Roman" w:hAnsi="Times New Roman" w:cs="Times New Roman"/>
          <w:color w:val="000000" w:themeColor="text1"/>
          <w:kern w:val="0"/>
          <w:lang w:eastAsia="tr-TR"/>
          <w14:ligatures w14:val="none"/>
        </w:rPr>
        <w:t xml:space="preserve">and institutional stakes. This article examines the reception of the </w:t>
      </w:r>
      <w:r w:rsidRPr="00D62CC3">
        <w:rPr>
          <w:rFonts w:ascii="Times New Roman" w:eastAsia="Times New Roman" w:hAnsi="Times New Roman" w:cs="Times New Roman"/>
          <w:i/>
          <w:iCs/>
          <w:color w:val="000000" w:themeColor="text1"/>
          <w:kern w:val="0"/>
          <w:lang w:eastAsia="tr-TR"/>
          <w14:ligatures w14:val="none"/>
        </w:rPr>
        <w:t>Tahāfut</w:t>
      </w:r>
      <w:r w:rsidRPr="00D62CC3">
        <w:rPr>
          <w:rFonts w:ascii="Times New Roman" w:eastAsia="Times New Roman" w:hAnsi="Times New Roman" w:cs="Times New Roman"/>
          <w:color w:val="000000" w:themeColor="text1"/>
          <w:kern w:val="0"/>
          <w:lang w:eastAsia="tr-TR"/>
          <w14:ligatures w14:val="none"/>
        </w:rPr>
        <w:t xml:space="preserve"> debate in the nineteenth-century historiography of science by foregrounding the doctrinal, political, and normative frameworks that shaped its late Ottoman perceptions. Read in this way, the </w:t>
      </w:r>
      <w:r w:rsidRPr="00D62CC3">
        <w:rPr>
          <w:rFonts w:ascii="Times New Roman" w:eastAsia="Times New Roman" w:hAnsi="Times New Roman" w:cs="Times New Roman"/>
          <w:i/>
          <w:iCs/>
          <w:color w:val="000000" w:themeColor="text1"/>
          <w:kern w:val="0"/>
          <w:lang w:eastAsia="tr-TR"/>
          <w14:ligatures w14:val="none"/>
        </w:rPr>
        <w:t>Tahāfut</w:t>
      </w:r>
      <w:r w:rsidRPr="00D62CC3">
        <w:rPr>
          <w:rFonts w:ascii="Times New Roman" w:eastAsia="Times New Roman" w:hAnsi="Times New Roman" w:cs="Times New Roman"/>
          <w:color w:val="000000" w:themeColor="text1"/>
          <w:kern w:val="0"/>
          <w:lang w:eastAsia="tr-TR"/>
          <w14:ligatures w14:val="none"/>
        </w:rPr>
        <w:t xml:space="preserve"> also emerges as a discursive resource repeatedly mobilised in projects of Ottoman identity formation, civilisation-building, secular reform, and Islamic renewal. By analyzing how the Ghazālī–Ibn Rushd dispute (and subsequent Ottoman adjudications) were embedded within macro-narratives of scientific </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decline</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and </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golden age</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this study reassesses how modern scholarship has conceptualised Islamicate philosophy, using the reception of Ghazālī, the figure of Ibn Rushd, and the Ottoman </w:t>
      </w:r>
      <w:r w:rsidRPr="00D62CC3">
        <w:rPr>
          <w:rFonts w:ascii="Times New Roman" w:eastAsia="Times New Roman" w:hAnsi="Times New Roman" w:cs="Times New Roman"/>
          <w:i/>
          <w:iCs/>
          <w:color w:val="000000" w:themeColor="text1"/>
          <w:kern w:val="0"/>
          <w:lang w:eastAsia="tr-TR"/>
          <w14:ligatures w14:val="none"/>
        </w:rPr>
        <w:t>Tahāfut</w:t>
      </w:r>
      <w:r w:rsidRPr="00D62CC3">
        <w:rPr>
          <w:rFonts w:ascii="Times New Roman" w:eastAsia="Times New Roman" w:hAnsi="Times New Roman" w:cs="Times New Roman"/>
          <w:color w:val="000000" w:themeColor="text1"/>
          <w:kern w:val="0"/>
          <w:lang w:eastAsia="tr-TR"/>
          <w14:ligatures w14:val="none"/>
        </w:rPr>
        <w:t xml:space="preserve"> debates </w:t>
      </w:r>
      <w:r w:rsidRPr="00D62CC3">
        <w:rPr>
          <w:rFonts w:ascii="Times New Roman" w:hAnsi="Times New Roman" w:cs="Times New Roman"/>
          <w:color w:val="000000" w:themeColor="text1"/>
        </w:rPr>
        <w:t>as interconnected case studies through which to reconsider the epistemic ambitions and intellectual dynamics of postclassical Islamic thought, roughly 1200–1800.</w:t>
      </w:r>
    </w:p>
    <w:p w14:paraId="614553A0" w14:textId="6957D9A3" w:rsidR="00206E86" w:rsidRPr="00D62CC3" w:rsidRDefault="00206E86" w:rsidP="004249A3">
      <w:pPr>
        <w:jc w:val="both"/>
        <w:rPr>
          <w:color w:val="000000" w:themeColor="text1"/>
        </w:rPr>
      </w:pPr>
      <w:r w:rsidRPr="00D62CC3">
        <w:rPr>
          <w:color w:val="000000" w:themeColor="text1"/>
        </w:rPr>
        <w:tab/>
        <w:t>The article proceeds in two stages. The first section reconstructs Renan’s theses and their late Ottoman reverberations, focusing on the responses of Namık Kemal and Şemseddin Sami, both of whom articulated a conception of Islamic civilisation grounded in historical plurality, civilisational diversity, and sustained openness to scientific inquiry. The second part examines how the Ghazālī–Ibn Rushd binary came to function in Western historiography as Draper’s paradigmatic instance of science–religion conflict, and how Ottoman intellectuals such as Ahmed Midhat, Musa Kazım, Ali Suavi, and İsmail Hakkı İzmirli overturned this reading. These figures occupied diverse but overlapping roles as men of letters, journalists, historians of Islam, political ideologues, and, crucially, educators involved in shaping the intellectual culture of the new reform schools and institutions of higher learning.</w:t>
      </w:r>
    </w:p>
    <w:p w14:paraId="433AD57F" w14:textId="01DF327D" w:rsidR="00206E86" w:rsidRPr="00D62CC3" w:rsidRDefault="00206E86" w:rsidP="004249A3">
      <w:pPr>
        <w:pStyle w:val="AralkYok"/>
        <w:ind w:firstLine="708"/>
        <w:jc w:val="both"/>
        <w:rPr>
          <w:rFonts w:ascii="Times New Roman" w:hAnsi="Times New Roman" w:cs="Times New Roman"/>
          <w:color w:val="000000" w:themeColor="text1"/>
          <w:lang w:eastAsia="tr-TR"/>
        </w:rPr>
      </w:pPr>
      <w:r w:rsidRPr="00D62CC3">
        <w:rPr>
          <w:rFonts w:ascii="Times New Roman" w:hAnsi="Times New Roman" w:cs="Times New Roman"/>
          <w:color w:val="000000" w:themeColor="text1"/>
        </w:rPr>
        <w:t>The congruence proposed here should not be understood as a claim that philosophy and theology, science and religion, or Ghazālī and Ibn Rushd were simply harmonious, interchangeable, or naturally allied. Rather, congruence denotes an epistemic correspondence established through historical reconstruction: the claim that these distinct intellectual formations could be placed in a relation of methodological compatibility and synthetic accommodation without effacing their doctrinal differences. These forms of congruence therefore overlap without fully coinciding. The congruence between philosophy and theology refers to their integration within learned traditions of postclassical Islam; that between science and religion concerns the compatibility of scientific inquiry with Islamic normativity; and that between Ghazālī and Ibn Rushd constitutes a historiographical reconfiguration of two figures conventionally cast as antagonists. By advancing a reconfigured notion of congruence, the Ottoman interpreters examined here sought to demonstrate that Islam, and by extension Ottoman scholarship, was not inherently inimical to the sciences, but capable of sustaining a productive and enduring relationship of philosophy and theology.</w:t>
      </w:r>
    </w:p>
    <w:p w14:paraId="589DEF1A" w14:textId="77777777" w:rsidR="00206E86" w:rsidRPr="00D62CC3" w:rsidRDefault="00206E86" w:rsidP="004249A3">
      <w:pPr>
        <w:pStyle w:val="AralkYok"/>
        <w:rPr>
          <w:rStyle w:val="Gl"/>
          <w:rFonts w:ascii="Times New Roman" w:hAnsi="Times New Roman" w:cs="Times New Roman"/>
          <w:color w:val="000000" w:themeColor="text1"/>
        </w:rPr>
      </w:pPr>
    </w:p>
    <w:p w14:paraId="431D39D6" w14:textId="03F12F85" w:rsidR="00206E86" w:rsidRPr="00D62CC3" w:rsidRDefault="00206E86" w:rsidP="004249A3">
      <w:pPr>
        <w:pStyle w:val="AralkYok"/>
        <w:jc w:val="both"/>
        <w:rPr>
          <w:rFonts w:ascii="Times New Roman" w:hAnsi="Times New Roman" w:cs="Times New Roman"/>
          <w:color w:val="000000" w:themeColor="text1"/>
          <w:lang w:eastAsia="tr-TR"/>
        </w:rPr>
      </w:pPr>
      <w:r w:rsidRPr="00D62CC3">
        <w:rPr>
          <w:rStyle w:val="Gl"/>
          <w:rFonts w:ascii="Times New Roman" w:hAnsi="Times New Roman" w:cs="Times New Roman"/>
          <w:color w:val="000000" w:themeColor="text1"/>
        </w:rPr>
        <w:t xml:space="preserve">Genealogies of </w:t>
      </w:r>
      <w:r>
        <w:rPr>
          <w:rStyle w:val="Gl"/>
          <w:rFonts w:ascii="Times New Roman" w:hAnsi="Times New Roman" w:cs="Times New Roman"/>
          <w:color w:val="000000" w:themeColor="text1"/>
        </w:rPr>
        <w:t>d</w:t>
      </w:r>
      <w:r w:rsidRPr="00D62CC3">
        <w:rPr>
          <w:rStyle w:val="Gl"/>
          <w:rFonts w:ascii="Times New Roman" w:hAnsi="Times New Roman" w:cs="Times New Roman"/>
          <w:color w:val="000000" w:themeColor="text1"/>
        </w:rPr>
        <w:t xml:space="preserve">ecline in Islamic </w:t>
      </w:r>
      <w:r>
        <w:rPr>
          <w:rStyle w:val="Gl"/>
          <w:rFonts w:ascii="Times New Roman" w:hAnsi="Times New Roman" w:cs="Times New Roman"/>
          <w:color w:val="000000" w:themeColor="text1"/>
        </w:rPr>
        <w:t>i</w:t>
      </w:r>
      <w:r w:rsidRPr="00D62CC3">
        <w:rPr>
          <w:rStyle w:val="Gl"/>
          <w:rFonts w:ascii="Times New Roman" w:hAnsi="Times New Roman" w:cs="Times New Roman"/>
          <w:color w:val="000000" w:themeColor="text1"/>
        </w:rPr>
        <w:t xml:space="preserve">ntellectual </w:t>
      </w:r>
      <w:r>
        <w:rPr>
          <w:rStyle w:val="Gl"/>
          <w:rFonts w:ascii="Times New Roman" w:hAnsi="Times New Roman" w:cs="Times New Roman"/>
          <w:color w:val="000000" w:themeColor="text1"/>
        </w:rPr>
        <w:t>h</w:t>
      </w:r>
      <w:r w:rsidRPr="00D62CC3">
        <w:rPr>
          <w:rStyle w:val="Gl"/>
          <w:rFonts w:ascii="Times New Roman" w:hAnsi="Times New Roman" w:cs="Times New Roman"/>
          <w:color w:val="000000" w:themeColor="text1"/>
        </w:rPr>
        <w:t xml:space="preserve">istoriography: Renan and the </w:t>
      </w:r>
      <w:r>
        <w:rPr>
          <w:rStyle w:val="Gl"/>
          <w:rFonts w:ascii="Times New Roman" w:hAnsi="Times New Roman" w:cs="Times New Roman"/>
          <w:color w:val="000000" w:themeColor="text1"/>
        </w:rPr>
        <w:t>f</w:t>
      </w:r>
      <w:r w:rsidRPr="00D62CC3">
        <w:rPr>
          <w:rStyle w:val="Gl"/>
          <w:rFonts w:ascii="Times New Roman" w:hAnsi="Times New Roman" w:cs="Times New Roman"/>
          <w:color w:val="000000" w:themeColor="text1"/>
        </w:rPr>
        <w:t xml:space="preserve">raming of </w:t>
      </w:r>
      <w:r>
        <w:rPr>
          <w:rStyle w:val="Gl"/>
          <w:rFonts w:ascii="Times New Roman" w:hAnsi="Times New Roman" w:cs="Times New Roman"/>
          <w:color w:val="000000" w:themeColor="text1"/>
        </w:rPr>
        <w:t>r</w:t>
      </w:r>
      <w:r w:rsidRPr="00D62CC3">
        <w:rPr>
          <w:rStyle w:val="Gl"/>
          <w:rFonts w:ascii="Times New Roman" w:hAnsi="Times New Roman" w:cs="Times New Roman"/>
          <w:color w:val="000000" w:themeColor="text1"/>
        </w:rPr>
        <w:t>ationality</w:t>
      </w:r>
    </w:p>
    <w:p w14:paraId="53409245" w14:textId="1094A6E9" w:rsidR="00206E86" w:rsidRPr="00D62CC3" w:rsidRDefault="00206E86" w:rsidP="004249A3">
      <w:pPr>
        <w:pStyle w:val="AralkYok"/>
        <w:jc w:val="both"/>
        <w:rPr>
          <w:rFonts w:ascii="Times New Roman" w:hAnsi="Times New Roman" w:cs="Times New Roman"/>
          <w:color w:val="000000" w:themeColor="text1"/>
          <w:lang w:eastAsia="tr-TR"/>
        </w:rPr>
      </w:pPr>
      <w:r w:rsidRPr="00D62CC3">
        <w:rPr>
          <w:rFonts w:ascii="Times New Roman" w:hAnsi="Times New Roman" w:cs="Times New Roman"/>
          <w:color w:val="000000" w:themeColor="text1"/>
          <w:lang w:eastAsia="tr-TR"/>
        </w:rPr>
        <w:lastRenderedPageBreak/>
        <w:t xml:space="preserve">After Napoleon Bonaparte’s invasion of Egypt and the brief establishment of French colonial administration (1798–1801), a new ideological framework emerged in European representations of the Islamic world. The French campaign was rationalised not merely in strategic terms, securing commercial routes to Egypt and undermining British imperial influence, but also through a civilisational narrative that presented the </w:t>
      </w:r>
      <w:r>
        <w:rPr>
          <w:rFonts w:ascii="Times New Roman" w:hAnsi="Times New Roman" w:cs="Times New Roman"/>
          <w:color w:val="000000" w:themeColor="text1"/>
          <w:lang w:eastAsia="tr-TR"/>
        </w:rPr>
        <w:t>‘</w:t>
      </w:r>
      <w:r w:rsidRPr="00D62CC3">
        <w:rPr>
          <w:rFonts w:ascii="Times New Roman" w:hAnsi="Times New Roman" w:cs="Times New Roman"/>
          <w:color w:val="000000" w:themeColor="text1"/>
          <w:lang w:eastAsia="tr-TR"/>
        </w:rPr>
        <w:t>Islamic East</w:t>
      </w:r>
      <w:r>
        <w:rPr>
          <w:rFonts w:ascii="Times New Roman" w:hAnsi="Times New Roman" w:cs="Times New Roman"/>
          <w:color w:val="000000" w:themeColor="text1"/>
          <w:lang w:eastAsia="tr-TR"/>
        </w:rPr>
        <w:t>’</w:t>
      </w:r>
      <w:r w:rsidRPr="00D62CC3">
        <w:rPr>
          <w:rFonts w:ascii="Times New Roman" w:hAnsi="Times New Roman" w:cs="Times New Roman"/>
          <w:color w:val="000000" w:themeColor="text1"/>
          <w:lang w:eastAsia="tr-TR"/>
        </w:rPr>
        <w:t xml:space="preserve"> as mired in a pre-Enlightenment slumber inhibiting its scientific progress.</w:t>
      </w:r>
      <w:r w:rsidRPr="00D62CC3">
        <w:rPr>
          <w:rStyle w:val="SonNotBavurusu"/>
          <w:rFonts w:ascii="Times New Roman" w:hAnsi="Times New Roman" w:cs="Times New Roman"/>
          <w:color w:val="000000" w:themeColor="text1"/>
          <w:lang w:eastAsia="tr-TR"/>
        </w:rPr>
        <w:endnoteReference w:id="3"/>
      </w:r>
      <w:r w:rsidRPr="00D62CC3">
        <w:rPr>
          <w:rFonts w:ascii="Times New Roman" w:hAnsi="Times New Roman" w:cs="Times New Roman"/>
          <w:color w:val="000000" w:themeColor="text1"/>
          <w:lang w:eastAsia="tr-TR"/>
        </w:rPr>
        <w:t xml:space="preserve"> Napoleon’s occupation is often treated, retrospectively, as the catalytic moment in the rise of philologically rigorous modern Oriental studies, which sought to account for the causes of Islam’s decline, placing it within a teleology of European progress.</w:t>
      </w:r>
    </w:p>
    <w:p w14:paraId="6F383E80" w14:textId="0E8AC15C"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eastAsia="Times New Roman" w:hAnsi="Times New Roman" w:cs="Times New Roman"/>
          <w:color w:val="000000" w:themeColor="text1"/>
          <w:kern w:val="0"/>
          <w:lang w:eastAsia="tr-TR"/>
          <w14:ligatures w14:val="none"/>
        </w:rPr>
        <w:t xml:space="preserve">It was within this context that the French philologist and historian of religion Ernest Renan developed his influential theses on Islam. In 1852, he completed his dissertation </w:t>
      </w:r>
      <w:r w:rsidRPr="00D62CC3">
        <w:rPr>
          <w:rFonts w:ascii="Times New Roman" w:eastAsia="Times New Roman" w:hAnsi="Times New Roman" w:cs="Times New Roman"/>
          <w:i/>
          <w:iCs/>
          <w:color w:val="000000" w:themeColor="text1"/>
          <w:kern w:val="0"/>
          <w:lang w:eastAsia="tr-TR"/>
          <w14:ligatures w14:val="none"/>
        </w:rPr>
        <w:t>Averroès et l’averroïsme</w:t>
      </w:r>
      <w:r w:rsidRPr="00D62CC3">
        <w:rPr>
          <w:rFonts w:ascii="Times New Roman" w:eastAsia="Times New Roman" w:hAnsi="Times New Roman" w:cs="Times New Roman"/>
          <w:color w:val="000000" w:themeColor="text1"/>
          <w:kern w:val="0"/>
          <w:lang w:eastAsia="tr-TR"/>
          <w14:ligatures w14:val="none"/>
        </w:rPr>
        <w:t>, later published in revised form in the 1860s, which examined Ibn Rushd’s place in Islamic and European histories of science largely through Hebrew sources.</w:t>
      </w:r>
      <w:r w:rsidRPr="00D62CC3">
        <w:rPr>
          <w:rStyle w:val="SonNotBavurusu"/>
          <w:rFonts w:ascii="Times New Roman" w:hAnsi="Times New Roman" w:cs="Times New Roman"/>
          <w:color w:val="000000" w:themeColor="text1"/>
          <w:lang w:val="tr-TR"/>
        </w:rPr>
        <w:endnoteReference w:id="4"/>
      </w:r>
      <w:r w:rsidRPr="00D62CC3">
        <w:rPr>
          <w:rFonts w:ascii="Times New Roman" w:eastAsia="Times New Roman" w:hAnsi="Times New Roman" w:cs="Times New Roman"/>
          <w:color w:val="000000" w:themeColor="text1"/>
          <w:kern w:val="0"/>
          <w:lang w:eastAsia="tr-TR"/>
          <w14:ligatures w14:val="none"/>
        </w:rPr>
        <w:t xml:space="preserve"> His emergence as a public intellectual reinforced a philological project that subjected </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Semitic</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religious traditions to historical criticism and methodological scepticism, recasting them as objects of scientific inquiry. In this framework, philology functioned as a secularizing instrument, displacing theological accounts of revelation and situating Semitic traditions within epistemic hierarchies that framed them as culturally rigid and in need of rational reorganisation.</w:t>
      </w:r>
      <w:r w:rsidRPr="00D62CC3">
        <w:rPr>
          <w:rStyle w:val="SonNotBavurusu"/>
          <w:rFonts w:ascii="Times New Roman" w:eastAsia="Times New Roman" w:hAnsi="Times New Roman" w:cs="Times New Roman"/>
          <w:color w:val="000000" w:themeColor="text1"/>
          <w:kern w:val="0"/>
          <w:lang w:eastAsia="tr-TR"/>
          <w14:ligatures w14:val="none"/>
        </w:rPr>
        <w:endnoteReference w:id="5"/>
      </w:r>
    </w:p>
    <w:p w14:paraId="5BC2A1BE" w14:textId="57E0A79B" w:rsidR="00206E86" w:rsidRPr="00D62CC3" w:rsidRDefault="00206E86" w:rsidP="004249A3">
      <w:pPr>
        <w:pStyle w:val="AralkYok"/>
        <w:ind w:firstLine="708"/>
        <w:jc w:val="both"/>
        <w:rPr>
          <w:rFonts w:ascii="Times New Roman" w:hAnsi="Times New Roman" w:cs="Times New Roman"/>
          <w:color w:val="000000" w:themeColor="text1"/>
          <w:lang w:eastAsia="tr-TR"/>
        </w:rPr>
      </w:pPr>
      <w:r w:rsidRPr="00D62CC3">
        <w:rPr>
          <w:rFonts w:ascii="Times New Roman" w:eastAsia="Times New Roman" w:hAnsi="Times New Roman" w:cs="Times New Roman"/>
          <w:color w:val="000000" w:themeColor="text1"/>
          <w:kern w:val="0"/>
          <w:lang w:eastAsia="tr-TR"/>
          <w14:ligatures w14:val="none"/>
        </w:rPr>
        <w:t xml:space="preserve">Yet, Renan’s globally most polemical intervention was his March 1883 Sorbonne lecture, </w:t>
      </w:r>
      <w:r w:rsidRPr="00D62CC3">
        <w:rPr>
          <w:rFonts w:ascii="Times New Roman" w:eastAsia="Times New Roman" w:hAnsi="Times New Roman" w:cs="Times New Roman"/>
          <w:i/>
          <w:iCs/>
          <w:color w:val="000000" w:themeColor="text1"/>
          <w:kern w:val="0"/>
          <w:lang w:eastAsia="tr-TR"/>
          <w14:ligatures w14:val="none"/>
        </w:rPr>
        <w:t>L’Islamisme et la science</w:t>
      </w:r>
      <w:r w:rsidRPr="00D62CC3">
        <w:rPr>
          <w:rFonts w:ascii="Times New Roman" w:eastAsia="Times New Roman" w:hAnsi="Times New Roman" w:cs="Times New Roman"/>
          <w:color w:val="000000" w:themeColor="text1"/>
          <w:kern w:val="0"/>
          <w:lang w:eastAsia="tr-TR"/>
          <w14:ligatures w14:val="none"/>
        </w:rPr>
        <w:t xml:space="preserve"> that cast Islam and science as fundamentally incompatible and portrayed Islam as an inherent impediment to intellectual progress. The lecture provoked intense controversy, eliciting both sharp condemnation and enthusiastic endorsement across Europe and the Islamic world, and played a decisive role in consolidating the image of Islam as an intellectual confinement intrinsically hostile to scientific inquiry.</w:t>
      </w:r>
      <w:r w:rsidRPr="00D62CC3">
        <w:rPr>
          <w:rStyle w:val="SonNotBavurusu"/>
          <w:rFonts w:ascii="Times New Roman" w:eastAsia="Times New Roman" w:hAnsi="Times New Roman" w:cs="Times New Roman"/>
          <w:color w:val="000000" w:themeColor="text1"/>
          <w:kern w:val="0"/>
          <w:lang w:eastAsia="tr-TR"/>
          <w14:ligatures w14:val="none"/>
        </w:rPr>
        <w:endnoteReference w:id="6"/>
      </w:r>
      <w:r w:rsidRPr="00D62CC3">
        <w:rPr>
          <w:rFonts w:ascii="Times New Roman" w:eastAsia="Times New Roman" w:hAnsi="Times New Roman" w:cs="Times New Roman"/>
          <w:color w:val="000000" w:themeColor="text1"/>
          <w:kern w:val="0"/>
          <w:lang w:eastAsia="tr-TR"/>
          <w14:ligatures w14:val="none"/>
        </w:rPr>
        <w:t xml:space="preserve"> Renan argued that while philosophy had intermittently survived in Islam under constraint, it was decisively extinguished after circa 1200 by a triumphant theological reaction. On this account, philosophical inquiry disappeared, manuscripts were destroyed, science was tolerated only for ritual or practical utility and, following the rise of Turkic political dominance, Islamic civilisation allegedly came to lack a genuine scientific spirit, with rare exceptions such as Ibn Khaldūn.</w:t>
      </w:r>
      <w:r w:rsidRPr="00D62CC3">
        <w:rPr>
          <w:rStyle w:val="SonNotBavurusu"/>
          <w:rFonts w:ascii="Times New Roman" w:hAnsi="Times New Roman" w:cs="Times New Roman"/>
          <w:color w:val="000000" w:themeColor="text1"/>
        </w:rPr>
        <w:endnoteReference w:id="7"/>
      </w:r>
      <w:r w:rsidRPr="00D62CC3">
        <w:rPr>
          <w:rFonts w:ascii="Times New Roman" w:hAnsi="Times New Roman" w:cs="Times New Roman"/>
          <w:color w:val="000000" w:themeColor="text1"/>
          <w:lang w:eastAsia="tr-TR"/>
        </w:rPr>
        <w:t xml:space="preserve"> </w:t>
      </w:r>
    </w:p>
    <w:p w14:paraId="54C3EFC8" w14:textId="5B95A7C8"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hAnsi="Times New Roman" w:cs="Times New Roman"/>
          <w:color w:val="000000" w:themeColor="text1"/>
        </w:rPr>
        <w:t xml:space="preserve">Many of the conceptual frameworks deployed in this lecture draw on the opposition between religiosity and rationalism articulated in Renan’s earlier </w:t>
      </w:r>
      <w:r w:rsidRPr="00D62CC3">
        <w:rPr>
          <w:rFonts w:ascii="Times New Roman" w:eastAsia="Times New Roman" w:hAnsi="Times New Roman" w:cs="Times New Roman"/>
          <w:i/>
          <w:iCs/>
          <w:color w:val="000000" w:themeColor="text1"/>
        </w:rPr>
        <w:t>Averroès et l’averroïsme</w:t>
      </w:r>
      <w:r w:rsidRPr="00D62CC3">
        <w:rPr>
          <w:rFonts w:ascii="Times New Roman" w:hAnsi="Times New Roman" w:cs="Times New Roman"/>
          <w:color w:val="000000" w:themeColor="text1"/>
        </w:rPr>
        <w:t xml:space="preserve">, structured around the Ghazālī–Ibn Rushd dyad. Central to this framework was Renan’s thesis of civilisational decline, grounded in a reading of Ghazālī’s </w:t>
      </w:r>
      <w:r w:rsidRPr="00D62CC3">
        <w:rPr>
          <w:rFonts w:ascii="Times New Roman" w:eastAsia="Times New Roman" w:hAnsi="Times New Roman" w:cs="Times New Roman"/>
          <w:i/>
          <w:iCs/>
          <w:color w:val="000000" w:themeColor="text1"/>
        </w:rPr>
        <w:t>Tahāfut</w:t>
      </w:r>
      <w:r w:rsidRPr="00D62CC3">
        <w:rPr>
          <w:rFonts w:ascii="Times New Roman" w:hAnsi="Times New Roman" w:cs="Times New Roman"/>
          <w:color w:val="000000" w:themeColor="text1"/>
        </w:rPr>
        <w:t xml:space="preserve"> as the </w:t>
      </w:r>
      <w:r>
        <w:rPr>
          <w:rFonts w:ascii="Times New Roman" w:hAnsi="Times New Roman" w:cs="Times New Roman"/>
          <w:color w:val="000000" w:themeColor="text1"/>
        </w:rPr>
        <w:t>‘</w:t>
      </w:r>
      <w:r w:rsidRPr="00D62CC3">
        <w:rPr>
          <w:rFonts w:ascii="Times New Roman" w:hAnsi="Times New Roman" w:cs="Times New Roman"/>
          <w:color w:val="000000" w:themeColor="text1"/>
        </w:rPr>
        <w:t>triumph of the Qurʾān.</w:t>
      </w:r>
      <w:r>
        <w:rPr>
          <w:rFonts w:ascii="Times New Roman" w:hAnsi="Times New Roman" w:cs="Times New Roman"/>
          <w:color w:val="000000" w:themeColor="text1"/>
        </w:rPr>
        <w:t>’</w:t>
      </w:r>
      <w:r w:rsidRPr="00D62CC3">
        <w:rPr>
          <w:rStyle w:val="SonNotBavurusu"/>
          <w:rFonts w:ascii="Times New Roman" w:hAnsi="Times New Roman" w:cs="Times New Roman"/>
          <w:color w:val="000000" w:themeColor="text1"/>
        </w:rPr>
        <w:endnoteReference w:id="8"/>
      </w:r>
      <w:r w:rsidRPr="00D62CC3">
        <w:rPr>
          <w:rFonts w:ascii="Times New Roman" w:hAnsi="Times New Roman" w:cs="Times New Roman"/>
          <w:color w:val="000000" w:themeColor="text1"/>
        </w:rPr>
        <w:t xml:space="preserve"> He cast Ghazālī as the principal agent responsible for the eclipse of scientific inquiry in Islam, interpreting </w:t>
      </w:r>
      <w:r w:rsidRPr="00D62CC3">
        <w:rPr>
          <w:rFonts w:ascii="Times New Roman" w:eastAsia="Times New Roman" w:hAnsi="Times New Roman" w:cs="Times New Roman"/>
          <w:i/>
          <w:iCs/>
          <w:color w:val="000000" w:themeColor="text1"/>
        </w:rPr>
        <w:t>tahāfut</w:t>
      </w:r>
      <w:r w:rsidRPr="00D62CC3">
        <w:rPr>
          <w:rFonts w:ascii="Times New Roman" w:hAnsi="Times New Roman" w:cs="Times New Roman"/>
          <w:color w:val="000000" w:themeColor="text1"/>
        </w:rPr>
        <w:t xml:space="preserve"> as </w:t>
      </w:r>
      <w:r>
        <w:rPr>
          <w:rFonts w:ascii="Times New Roman" w:hAnsi="Times New Roman" w:cs="Times New Roman"/>
          <w:color w:val="000000" w:themeColor="text1"/>
        </w:rPr>
        <w:t>‘</w:t>
      </w:r>
      <w:r w:rsidRPr="00D62CC3">
        <w:rPr>
          <w:rFonts w:ascii="Times New Roman" w:hAnsi="Times New Roman" w:cs="Times New Roman"/>
          <w:color w:val="000000" w:themeColor="text1"/>
        </w:rPr>
        <w:t>destruction</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systems </w:t>
      </w:r>
      <w:r>
        <w:rPr>
          <w:rFonts w:ascii="Times New Roman" w:hAnsi="Times New Roman" w:cs="Times New Roman"/>
          <w:color w:val="000000" w:themeColor="text1"/>
        </w:rPr>
        <w:t>‘f</w:t>
      </w:r>
      <w:r w:rsidRPr="00D62CC3">
        <w:rPr>
          <w:rFonts w:ascii="Times New Roman" w:hAnsi="Times New Roman" w:cs="Times New Roman"/>
          <w:color w:val="000000" w:themeColor="text1"/>
        </w:rPr>
        <w:t>alling upon one another</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and claiming that the very title of the </w:t>
      </w:r>
      <w:r>
        <w:rPr>
          <w:rFonts w:ascii="Times New Roman" w:hAnsi="Times New Roman" w:cs="Times New Roman"/>
          <w:color w:val="000000" w:themeColor="text1"/>
        </w:rPr>
        <w:t>book</w:t>
      </w:r>
      <w:r w:rsidRPr="00D62CC3">
        <w:rPr>
          <w:rFonts w:ascii="Times New Roman" w:hAnsi="Times New Roman" w:cs="Times New Roman"/>
          <w:color w:val="000000" w:themeColor="text1"/>
        </w:rPr>
        <w:t xml:space="preserve"> announced the collapse of philosophy </w:t>
      </w:r>
      <w:r>
        <w:rPr>
          <w:rFonts w:ascii="Times New Roman" w:hAnsi="Times New Roman" w:cs="Times New Roman"/>
          <w:color w:val="000000" w:themeColor="text1"/>
        </w:rPr>
        <w:t>‘</w:t>
      </w:r>
      <w:r w:rsidRPr="00D62CC3">
        <w:rPr>
          <w:rFonts w:ascii="Times New Roman" w:hAnsi="Times New Roman" w:cs="Times New Roman"/>
          <w:color w:val="000000" w:themeColor="text1"/>
        </w:rPr>
        <w:t>like a house of cards</w:t>
      </w:r>
      <w:r>
        <w:rPr>
          <w:rFonts w:ascii="Times New Roman" w:hAnsi="Times New Roman" w:cs="Times New Roman"/>
          <w:color w:val="000000" w:themeColor="text1"/>
        </w:rPr>
        <w:t>’.</w:t>
      </w:r>
      <w:r w:rsidRPr="00D62CC3">
        <w:rPr>
          <w:rStyle w:val="SonNotBavurusu"/>
          <w:rFonts w:ascii="Times New Roman" w:hAnsi="Times New Roman" w:cs="Times New Roman"/>
          <w:color w:val="000000" w:themeColor="text1"/>
          <w:lang w:eastAsia="tr-TR"/>
        </w:rPr>
        <w:endnoteReference w:id="9"/>
      </w:r>
      <w:r w:rsidRPr="00D62CC3">
        <w:rPr>
          <w:rFonts w:ascii="Times New Roman" w:hAnsi="Times New Roman" w:cs="Times New Roman"/>
          <w:color w:val="000000" w:themeColor="text1"/>
        </w:rPr>
        <w:t xml:space="preserve"> On this view, the death of Ibn Rushd marked the definitive end of rational inquiry in the Islamic world, inaugurating an era of stagnation, often associated with the Seljuq Turks, in which theologians displaced philosophers and free inquiry disappeared.</w:t>
      </w:r>
      <w:r w:rsidRPr="00D62CC3">
        <w:rPr>
          <w:rStyle w:val="SonNotBavurusu"/>
          <w:rFonts w:ascii="Times New Roman" w:hAnsi="Times New Roman" w:cs="Times New Roman"/>
          <w:color w:val="000000" w:themeColor="text1"/>
          <w:lang w:eastAsia="tr-TR"/>
        </w:rPr>
        <w:endnoteReference w:id="10"/>
      </w:r>
      <w:r w:rsidRPr="00D62CC3">
        <w:rPr>
          <w:rFonts w:ascii="Times New Roman" w:hAnsi="Times New Roman" w:cs="Times New Roman"/>
          <w:color w:val="000000" w:themeColor="text1"/>
        </w:rPr>
        <w:t xml:space="preserve"> Renan’s dissertation on Ibn Rushd’s life, works, and medieval Latin reception thus anachronistically recast Averroes as the final representative of rational</w:t>
      </w:r>
      <w:r>
        <w:rPr>
          <w:rFonts w:ascii="Times New Roman" w:hAnsi="Times New Roman" w:cs="Times New Roman"/>
          <w:color w:val="000000" w:themeColor="text1"/>
        </w:rPr>
        <w:t>ism</w:t>
      </w:r>
      <w:r w:rsidRPr="00D62CC3">
        <w:rPr>
          <w:rFonts w:ascii="Times New Roman" w:hAnsi="Times New Roman" w:cs="Times New Roman"/>
          <w:color w:val="000000" w:themeColor="text1"/>
        </w:rPr>
        <w:t xml:space="preserve"> in Islam, charged with purifying Aristotelianism of its supposed distortions and restoring its doctrinal coherence.</w:t>
      </w:r>
      <w:r w:rsidRPr="00D62CC3">
        <w:rPr>
          <w:rStyle w:val="SonNotBavurusu"/>
          <w:rFonts w:ascii="Times New Roman" w:hAnsi="Times New Roman" w:cs="Times New Roman"/>
          <w:color w:val="000000" w:themeColor="text1"/>
        </w:rPr>
        <w:endnoteReference w:id="11"/>
      </w:r>
      <w:r w:rsidRPr="00D62CC3">
        <w:rPr>
          <w:rFonts w:ascii="Times New Roman" w:hAnsi="Times New Roman" w:cs="Times New Roman"/>
          <w:color w:val="000000" w:themeColor="text1"/>
        </w:rPr>
        <w:tab/>
      </w:r>
    </w:p>
    <w:p w14:paraId="7BD2ABDC" w14:textId="3D5FA5E1" w:rsidR="00206E86" w:rsidRPr="00D62CC3" w:rsidRDefault="00206E86" w:rsidP="004249A3">
      <w:pPr>
        <w:pStyle w:val="AralkYok"/>
        <w:ind w:firstLine="708"/>
        <w:jc w:val="both"/>
        <w:rPr>
          <w:rFonts w:ascii="Times New Roman" w:hAnsi="Times New Roman" w:cs="Times New Roman"/>
          <w:color w:val="000000" w:themeColor="text1"/>
          <w:lang w:eastAsia="tr-TR"/>
        </w:rPr>
      </w:pPr>
      <w:r w:rsidRPr="00D62CC3">
        <w:rPr>
          <w:rFonts w:ascii="Times New Roman" w:eastAsia="Times New Roman" w:hAnsi="Times New Roman" w:cs="Times New Roman"/>
          <w:color w:val="000000" w:themeColor="text1"/>
          <w:kern w:val="0"/>
          <w:lang w:eastAsia="tr-TR"/>
          <w14:ligatures w14:val="none"/>
        </w:rPr>
        <w:t xml:space="preserve">Renan’s theses extended beyond a simple opposition between revelation and reason. He cast the Arabic philosophical tradition as a largely instrumental conduit for the transmission of Greek philosophy to Latin Christendom, denying it substantive intellectual originality. This position was inseparable from his notion of a </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Greek miracle</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which he invoked to locate the origins and proclaim the triumph of Western rationality, understood in explicitly civilisational and racial terms.</w:t>
      </w:r>
      <w:r w:rsidRPr="00D62CC3">
        <w:rPr>
          <w:rStyle w:val="SonNotBavurusu"/>
          <w:rFonts w:ascii="Times New Roman" w:eastAsia="Times New Roman" w:hAnsi="Times New Roman" w:cs="Times New Roman"/>
          <w:color w:val="000000" w:themeColor="text1"/>
          <w:kern w:val="0"/>
          <w:lang w:eastAsia="tr-TR"/>
          <w14:ligatures w14:val="none"/>
        </w:rPr>
        <w:endnoteReference w:id="12"/>
      </w:r>
      <w:r w:rsidRPr="00D62CC3">
        <w:rPr>
          <w:rFonts w:ascii="Times New Roman" w:eastAsia="Times New Roman" w:hAnsi="Times New Roman" w:cs="Times New Roman"/>
          <w:color w:val="000000" w:themeColor="text1"/>
          <w:kern w:val="0"/>
          <w:lang w:eastAsia="tr-TR"/>
          <w14:ligatures w14:val="none"/>
        </w:rPr>
        <w:t xml:space="preserve"> On this view, the ancient Greek Athenians were uniquely committed to clear-headed reason and to the use of objectively valid methods of epistemic inquiry, in contrast to other ancient civilisations. Such framings profoundly shaped late Ottoman engagements with the </w:t>
      </w:r>
      <w:r w:rsidRPr="00D62CC3">
        <w:rPr>
          <w:rFonts w:ascii="Times New Roman" w:eastAsia="Times New Roman" w:hAnsi="Times New Roman" w:cs="Times New Roman"/>
          <w:i/>
          <w:iCs/>
          <w:color w:val="000000" w:themeColor="text1"/>
          <w:kern w:val="0"/>
          <w:lang w:eastAsia="tr-TR"/>
          <w14:ligatures w14:val="none"/>
        </w:rPr>
        <w:t>Tahāfut</w:t>
      </w:r>
      <w:r w:rsidRPr="00D62CC3">
        <w:rPr>
          <w:rFonts w:ascii="Times New Roman" w:eastAsia="Times New Roman" w:hAnsi="Times New Roman" w:cs="Times New Roman"/>
          <w:color w:val="000000" w:themeColor="text1"/>
          <w:kern w:val="0"/>
          <w:lang w:eastAsia="tr-TR"/>
          <w14:ligatures w14:val="none"/>
        </w:rPr>
        <w:t xml:space="preserve"> and the status of Islamic science: Renan’s depiction of Ghazālī as the agent of philosophy’s </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death</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became a key reference point for </w:t>
      </w:r>
      <w:r w:rsidRPr="00D62CC3">
        <w:rPr>
          <w:rFonts w:ascii="Times New Roman" w:eastAsia="Times New Roman" w:hAnsi="Times New Roman" w:cs="Times New Roman"/>
          <w:color w:val="000000" w:themeColor="text1"/>
          <w:kern w:val="0"/>
          <w:lang w:eastAsia="tr-TR"/>
          <w14:ligatures w14:val="none"/>
        </w:rPr>
        <w:lastRenderedPageBreak/>
        <w:t>Ottoman scholars, reformers, and ideologues, whose responses variously internalised, revised, or explicitly contested this essentialist European narrative.</w:t>
      </w:r>
    </w:p>
    <w:p w14:paraId="5C181FD1" w14:textId="77777777" w:rsidR="00206E86" w:rsidRPr="00D62CC3" w:rsidRDefault="00206E86" w:rsidP="004249A3">
      <w:pPr>
        <w:pStyle w:val="AralkYok"/>
        <w:ind w:firstLine="708"/>
        <w:jc w:val="both"/>
        <w:rPr>
          <w:rFonts w:ascii="Times New Roman" w:hAnsi="Times New Roman" w:cs="Times New Roman"/>
          <w:color w:val="000000" w:themeColor="text1"/>
          <w:lang w:eastAsia="tr-TR"/>
        </w:rPr>
      </w:pPr>
    </w:p>
    <w:p w14:paraId="2489695F" w14:textId="7B629869" w:rsidR="00206E86" w:rsidRPr="00D62CC3" w:rsidRDefault="00206E86" w:rsidP="004249A3">
      <w:pPr>
        <w:pStyle w:val="AralkYok"/>
        <w:jc w:val="both"/>
        <w:rPr>
          <w:rFonts w:ascii="Times New Roman" w:hAnsi="Times New Roman" w:cs="Times New Roman"/>
          <w:color w:val="000000" w:themeColor="text1"/>
        </w:rPr>
      </w:pPr>
      <w:r w:rsidRPr="00D62CC3">
        <w:rPr>
          <w:rFonts w:ascii="Times New Roman" w:hAnsi="Times New Roman" w:cs="Times New Roman"/>
          <w:b/>
          <w:bCs/>
          <w:color w:val="000000" w:themeColor="text1"/>
        </w:rPr>
        <w:t xml:space="preserve">What </w:t>
      </w:r>
      <w:r>
        <w:rPr>
          <w:rFonts w:ascii="Times New Roman" w:hAnsi="Times New Roman" w:cs="Times New Roman"/>
          <w:b/>
          <w:bCs/>
          <w:color w:val="000000" w:themeColor="text1"/>
        </w:rPr>
        <w:t>c</w:t>
      </w:r>
      <w:r w:rsidRPr="00D62CC3">
        <w:rPr>
          <w:rFonts w:ascii="Times New Roman" w:hAnsi="Times New Roman" w:cs="Times New Roman"/>
          <w:b/>
          <w:bCs/>
          <w:color w:val="000000" w:themeColor="text1"/>
        </w:rPr>
        <w:t xml:space="preserve">onstitutes Islamic </w:t>
      </w:r>
      <w:r>
        <w:rPr>
          <w:rFonts w:ascii="Times New Roman" w:hAnsi="Times New Roman" w:cs="Times New Roman"/>
          <w:b/>
          <w:bCs/>
          <w:color w:val="000000" w:themeColor="text1"/>
        </w:rPr>
        <w:t>c</w:t>
      </w:r>
      <w:r w:rsidRPr="00D62CC3">
        <w:rPr>
          <w:rFonts w:ascii="Times New Roman" w:hAnsi="Times New Roman" w:cs="Times New Roman"/>
          <w:b/>
          <w:bCs/>
          <w:color w:val="000000" w:themeColor="text1"/>
        </w:rPr>
        <w:t xml:space="preserve">ivilisation? Namık Kemal, Şemseddin Sami, and the </w:t>
      </w:r>
      <w:r>
        <w:rPr>
          <w:rFonts w:ascii="Times New Roman" w:hAnsi="Times New Roman" w:cs="Times New Roman"/>
          <w:b/>
          <w:bCs/>
          <w:color w:val="000000" w:themeColor="text1"/>
        </w:rPr>
        <w:t>r</w:t>
      </w:r>
      <w:r w:rsidRPr="00D62CC3">
        <w:rPr>
          <w:rFonts w:ascii="Times New Roman" w:hAnsi="Times New Roman" w:cs="Times New Roman"/>
          <w:b/>
          <w:bCs/>
          <w:color w:val="000000" w:themeColor="text1"/>
        </w:rPr>
        <w:t xml:space="preserve">earticulation of the </w:t>
      </w:r>
      <w:r>
        <w:rPr>
          <w:rFonts w:ascii="Times New Roman" w:hAnsi="Times New Roman" w:cs="Times New Roman"/>
          <w:b/>
          <w:bCs/>
          <w:color w:val="000000" w:themeColor="text1"/>
        </w:rPr>
        <w:t>‘g</w:t>
      </w:r>
      <w:r w:rsidRPr="00D62CC3">
        <w:rPr>
          <w:rFonts w:ascii="Times New Roman" w:hAnsi="Times New Roman" w:cs="Times New Roman"/>
          <w:b/>
          <w:bCs/>
          <w:color w:val="000000" w:themeColor="text1"/>
        </w:rPr>
        <w:t xml:space="preserve">olden </w:t>
      </w:r>
      <w:r>
        <w:rPr>
          <w:rFonts w:ascii="Times New Roman" w:hAnsi="Times New Roman" w:cs="Times New Roman"/>
          <w:b/>
          <w:bCs/>
          <w:color w:val="000000" w:themeColor="text1"/>
        </w:rPr>
        <w:t>a</w:t>
      </w:r>
      <w:r w:rsidRPr="00D62CC3">
        <w:rPr>
          <w:rFonts w:ascii="Times New Roman" w:hAnsi="Times New Roman" w:cs="Times New Roman"/>
          <w:b/>
          <w:bCs/>
          <w:color w:val="000000" w:themeColor="text1"/>
        </w:rPr>
        <w:t>ge</w:t>
      </w:r>
      <w:r>
        <w:rPr>
          <w:rFonts w:ascii="Times New Roman" w:hAnsi="Times New Roman" w:cs="Times New Roman"/>
          <w:b/>
          <w:bCs/>
          <w:color w:val="000000" w:themeColor="text1"/>
        </w:rPr>
        <w:t>’</w:t>
      </w:r>
      <w:r w:rsidRPr="00D62CC3">
        <w:rPr>
          <w:rFonts w:ascii="Times New Roman" w:hAnsi="Times New Roman" w:cs="Times New Roman"/>
          <w:b/>
          <w:bCs/>
          <w:color w:val="000000" w:themeColor="text1"/>
        </w:rPr>
        <w:t xml:space="preserve"> of Islamic </w:t>
      </w:r>
      <w:r>
        <w:rPr>
          <w:rFonts w:ascii="Times New Roman" w:hAnsi="Times New Roman" w:cs="Times New Roman"/>
          <w:b/>
          <w:bCs/>
          <w:color w:val="000000" w:themeColor="text1"/>
        </w:rPr>
        <w:t>s</w:t>
      </w:r>
      <w:r w:rsidRPr="00D62CC3">
        <w:rPr>
          <w:rFonts w:ascii="Times New Roman" w:hAnsi="Times New Roman" w:cs="Times New Roman"/>
          <w:b/>
          <w:bCs/>
          <w:color w:val="000000" w:themeColor="text1"/>
        </w:rPr>
        <w:t>cience</w:t>
      </w:r>
    </w:p>
    <w:p w14:paraId="469C3030" w14:textId="19EDAF29" w:rsidR="00206E86" w:rsidRPr="00D62CC3" w:rsidRDefault="00206E86" w:rsidP="004249A3">
      <w:pPr>
        <w:pStyle w:val="AralkYok"/>
        <w:jc w:val="both"/>
        <w:rPr>
          <w:rFonts w:ascii="Times New Roman" w:hAnsi="Times New Roman" w:cs="Times New Roman"/>
          <w:color w:val="000000" w:themeColor="text1"/>
        </w:rPr>
      </w:pPr>
      <w:r w:rsidRPr="00C468FE">
        <w:rPr>
          <w:rFonts w:ascii="Times New Roman" w:eastAsia="Times New Roman" w:hAnsi="Times New Roman" w:cs="Times New Roman"/>
          <w:kern w:val="0"/>
          <w:lang w:eastAsia="tr-TR"/>
          <w14:ligatures w14:val="none"/>
        </w:rPr>
        <w:t xml:space="preserve">Ottoman engagements with Renan unfolded in two broad stages. The first comprised relatively immediate, public-facing rebuttals by a diverse range of intellectuals and public figures, centred on the emerging conception of Islam as civilisation, </w:t>
      </w:r>
      <w:r w:rsidRPr="00C468FE">
        <w:rPr>
          <w:rFonts w:ascii="Times New Roman" w:eastAsia="Times New Roman" w:hAnsi="Times New Roman" w:cs="Times New Roman"/>
          <w:i/>
          <w:iCs/>
          <w:kern w:val="0"/>
          <w:lang w:eastAsia="tr-TR"/>
          <w14:ligatures w14:val="none"/>
        </w:rPr>
        <w:t>medeniyet-i İslāmiyye</w:t>
      </w:r>
      <w:r w:rsidRPr="00C468FE">
        <w:rPr>
          <w:rFonts w:ascii="Times New Roman" w:eastAsia="Times New Roman" w:hAnsi="Times New Roman" w:cs="Times New Roman"/>
          <w:kern w:val="0"/>
          <w:lang w:eastAsia="tr-TR"/>
          <w14:ligatures w14:val="none"/>
        </w:rPr>
        <w:t>.</w:t>
      </w:r>
      <w:r>
        <w:rPr>
          <w:rFonts w:ascii="Times New Roman" w:eastAsia="Times New Roman" w:hAnsi="Times New Roman" w:cs="Times New Roman"/>
          <w:kern w:val="0"/>
          <w:lang w:eastAsia="tr-TR"/>
          <w14:ligatures w14:val="none"/>
        </w:rPr>
        <w:t xml:space="preserve"> </w:t>
      </w:r>
      <w:r w:rsidRPr="00D62CC3">
        <w:rPr>
          <w:rFonts w:ascii="Times New Roman" w:eastAsia="Times New Roman" w:hAnsi="Times New Roman" w:cs="Times New Roman"/>
          <w:color w:val="000000" w:themeColor="text1"/>
          <w:kern w:val="0"/>
          <w:lang w:eastAsia="tr-TR"/>
          <w14:ligatures w14:val="none"/>
        </w:rPr>
        <w:t xml:space="preserve">Drawing on generalised historical arguments and appeals to a shared repertoire of </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general knowledge</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these interventions were less concerned with systematic philosophical refutation than with reasserting Islam as a culturally complex, cosmopolitan, and historically layered civilisation. The second stage, examined in the latter half of this article, adopted a more explicitly theological and philosophical register.</w:t>
      </w:r>
      <w:r w:rsidRPr="00D62CC3">
        <w:rPr>
          <w:rFonts w:ascii="Times New Roman" w:hAnsi="Times New Roman" w:cs="Times New Roman"/>
          <w:color w:val="000000" w:themeColor="text1"/>
        </w:rPr>
        <w:t xml:space="preserve"> As Ghazālī and Ibn Rushd came to occupy a central place in nineteenth-century narratives of decline and progress, Ottoman interpreters from diverse intellectual backgrounds developed more nuanced readings of both figures, reassessing their philosophical projects and historical significance within the longue durée of Islamic thought.</w:t>
      </w:r>
    </w:p>
    <w:p w14:paraId="70F170A2" w14:textId="60723F27" w:rsidR="00206E86" w:rsidRPr="00D62CC3" w:rsidRDefault="00206E86" w:rsidP="004249A3">
      <w:pPr>
        <w:pStyle w:val="AralkYok"/>
        <w:jc w:val="both"/>
        <w:rPr>
          <w:rFonts w:ascii="Times New Roman" w:eastAsia="Times New Roman" w:hAnsi="Times New Roman" w:cs="Times New Roman"/>
          <w:color w:val="000000" w:themeColor="text1"/>
          <w:kern w:val="0"/>
          <w:lang w:eastAsia="tr-TR"/>
          <w14:ligatures w14:val="none"/>
        </w:rPr>
      </w:pPr>
      <w:r w:rsidRPr="00D62CC3">
        <w:rPr>
          <w:rFonts w:ascii="Times New Roman" w:hAnsi="Times New Roman" w:cs="Times New Roman"/>
          <w:color w:val="000000" w:themeColor="text1"/>
        </w:rPr>
        <w:tab/>
      </w:r>
      <w:r w:rsidRPr="00D62CC3">
        <w:rPr>
          <w:rFonts w:ascii="Times New Roman" w:eastAsia="Times New Roman" w:hAnsi="Times New Roman" w:cs="Times New Roman"/>
          <w:color w:val="000000" w:themeColor="text1"/>
          <w:kern w:val="0"/>
          <w:lang w:eastAsia="tr-TR"/>
          <w14:ligatures w14:val="none"/>
        </w:rPr>
        <w:t xml:space="preserve">One of the earliest Ottoman responses to Renan's Sorbonne lecture was </w:t>
      </w:r>
      <w:r w:rsidRPr="00D62CC3">
        <w:rPr>
          <w:rFonts w:ascii="Times New Roman" w:eastAsia="Times New Roman" w:hAnsi="Times New Roman" w:cs="Times New Roman"/>
          <w:i/>
          <w:iCs/>
          <w:color w:val="000000" w:themeColor="text1"/>
          <w:kern w:val="0"/>
          <w:lang w:eastAsia="tr-TR"/>
          <w14:ligatures w14:val="none"/>
        </w:rPr>
        <w:t>Renān Müdāfaʿanāmesi</w:t>
      </w:r>
      <w:r w:rsidRPr="00D62CC3">
        <w:rPr>
          <w:rFonts w:ascii="Times New Roman" w:eastAsia="Times New Roman" w:hAnsi="Times New Roman" w:cs="Times New Roman"/>
          <w:color w:val="000000" w:themeColor="text1"/>
          <w:kern w:val="0"/>
          <w:lang w:eastAsia="tr-TR"/>
          <w14:ligatures w14:val="none"/>
        </w:rPr>
        <w:t xml:space="preserve">, written in 1883 by the Young Ottoman reformer Namık Kemal (1840–88). He composed the work during his final year as district governor of Lesbos, where he had been appointed after receiving a pardon and returning from political exile in Europe more than a decade earlier. Kemal’s intervention crystallised two core lines of critique. First, advancing a resolutely historicist approach, he situated Islamic history within shifting social and political conditions, faulting Renan for conflating contingent disruptions with the intrinsic character of a religious tradition. </w:t>
      </w:r>
      <w:r w:rsidRPr="00D62CC3">
        <w:rPr>
          <w:rFonts w:ascii="Times New Roman" w:hAnsi="Times New Roman" w:cs="Times New Roman"/>
          <w:color w:val="000000" w:themeColor="text1"/>
        </w:rPr>
        <w:t>Second, Kemal rejected racialised and linguistic reductions of Islamic philosophy, presenting it instead as a complex, multilingual, and multiethnic civilisational formation. He likewise articulated an expansive conception of Islamic science encompassing multiple, interconnected domains of knowledge.</w:t>
      </w:r>
    </w:p>
    <w:p w14:paraId="797AF6D3" w14:textId="59433A01" w:rsidR="00206E86" w:rsidRPr="00D62CC3" w:rsidRDefault="00206E86" w:rsidP="004249A3">
      <w:pPr>
        <w:pStyle w:val="AralkYok"/>
        <w:ind w:firstLine="708"/>
        <w:jc w:val="both"/>
        <w:rPr>
          <w:rFonts w:ascii="Times New Roman" w:eastAsia="Times New Roman" w:hAnsi="Times New Roman" w:cs="Times New Roman"/>
          <w:color w:val="000000" w:themeColor="text1"/>
          <w:kern w:val="0"/>
          <w:lang w:eastAsia="tr-TR"/>
          <w14:ligatures w14:val="none"/>
        </w:rPr>
      </w:pPr>
      <w:r w:rsidRPr="00D62CC3">
        <w:rPr>
          <w:rFonts w:ascii="Times New Roman" w:hAnsi="Times New Roman" w:cs="Times New Roman"/>
          <w:color w:val="000000" w:themeColor="text1"/>
        </w:rPr>
        <w:t xml:space="preserve">Kemal’s first line of argument addressed Renan’s direct association of the Turks with scientific decline. </w:t>
      </w:r>
      <w:r w:rsidRPr="00D62CC3">
        <w:rPr>
          <w:rFonts w:ascii="Times New Roman" w:eastAsia="Times New Roman" w:hAnsi="Times New Roman" w:cs="Times New Roman"/>
          <w:color w:val="000000" w:themeColor="text1"/>
          <w:kern w:val="0"/>
          <w:lang w:eastAsia="tr-TR"/>
          <w14:ligatures w14:val="none"/>
        </w:rPr>
        <w:t xml:space="preserve">Proceeding first by historical comparison, he argued that just as the intellectual fortunes of early medieval Latin Christendom could not be attributed solely to Christianity but had to be contextualised in relation to the disruptions </w:t>
      </w:r>
      <w:r w:rsidRPr="00D62CC3">
        <w:rPr>
          <w:rFonts w:ascii="Times New Roman" w:hAnsi="Times New Roman" w:cs="Times New Roman"/>
          <w:color w:val="000000" w:themeColor="text1"/>
        </w:rPr>
        <w:t xml:space="preserve">wrought by Gothic, Hunnic, and Avar invasions, so too Islam could not be held responsible for the consequences of invasions by non-Muslim groups such as the Crusaders, Mongols, and Tatars, thereby redirecting attention away from Renan’s portrayal of the Seljuqs as </w:t>
      </w:r>
      <w:r>
        <w:rPr>
          <w:rFonts w:ascii="Times New Roman" w:hAnsi="Times New Roman" w:cs="Times New Roman"/>
          <w:color w:val="000000" w:themeColor="text1"/>
        </w:rPr>
        <w:t>‘</w:t>
      </w:r>
      <w:r w:rsidRPr="00D62CC3">
        <w:rPr>
          <w:rFonts w:ascii="Times New Roman" w:hAnsi="Times New Roman" w:cs="Times New Roman"/>
          <w:color w:val="000000" w:themeColor="text1"/>
        </w:rPr>
        <w:t>barbaric</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Muslim agents of civilisational decline.</w:t>
      </w:r>
      <w:r w:rsidRPr="00D62CC3">
        <w:rPr>
          <w:rStyle w:val="SonNotBavurusu"/>
          <w:rFonts w:ascii="Times New Roman" w:hAnsi="Times New Roman" w:cs="Times New Roman"/>
          <w:color w:val="000000" w:themeColor="text1"/>
        </w:rPr>
        <w:endnoteReference w:id="13"/>
      </w:r>
      <w:r w:rsidRPr="00D62CC3">
        <w:rPr>
          <w:rFonts w:ascii="Times New Roman" w:eastAsia="Times New Roman" w:hAnsi="Times New Roman" w:cs="Times New Roman"/>
          <w:color w:val="000000" w:themeColor="text1"/>
          <w:kern w:val="0"/>
          <w:lang w:eastAsia="tr-TR"/>
          <w14:ligatures w14:val="none"/>
        </w:rPr>
        <w:t xml:space="preserve"> This analogy exposed a deeper inconsistency in the prevailing argument: while Islam was cast as intrinsically fanatical and hostile to free inquiry, historical evidence showed that late medieval Christendom had in fact produced a formal institution of coercive dogmatism, the Inquisition, whereas no comparable institution emerged within Islamic civilisation.</w:t>
      </w:r>
      <w:r w:rsidRPr="00D62CC3">
        <w:rPr>
          <w:rStyle w:val="SonNotBavurusu"/>
          <w:rFonts w:ascii="Times New Roman" w:hAnsi="Times New Roman" w:cs="Times New Roman"/>
          <w:color w:val="000000" w:themeColor="text1"/>
          <w:lang w:eastAsia="tr-TR"/>
        </w:rPr>
        <w:endnoteReference w:id="14"/>
      </w:r>
      <w:r w:rsidRPr="00D62CC3">
        <w:rPr>
          <w:rFonts w:ascii="Times New Roman" w:eastAsia="Times New Roman" w:hAnsi="Times New Roman" w:cs="Times New Roman"/>
          <w:color w:val="000000" w:themeColor="text1"/>
          <w:kern w:val="0"/>
          <w:lang w:eastAsia="tr-TR"/>
          <w14:ligatures w14:val="none"/>
        </w:rPr>
        <w:t xml:space="preserve"> Closely connected to this charge was the broader polemic, articulated in the Sorbonne lecture, which held that so-called Islamic science was merely Greek rationalism temporarily housed in Arabic, a language he regarded as inherently ambiguous, sacralised, and thus inhospitable to scientific abstraction, reducing Islam to a linguistic conduit rather than a civilisational source of knowledge.</w:t>
      </w:r>
      <w:r w:rsidRPr="00D62CC3">
        <w:rPr>
          <w:rStyle w:val="SonNotBavurusu"/>
          <w:rFonts w:ascii="Times New Roman" w:eastAsia="Times New Roman" w:hAnsi="Times New Roman" w:cs="Times New Roman"/>
          <w:color w:val="000000" w:themeColor="text1"/>
          <w:kern w:val="0"/>
          <w:lang w:eastAsia="tr-TR"/>
          <w14:ligatures w14:val="none"/>
        </w:rPr>
        <w:endnoteReference w:id="15"/>
      </w:r>
      <w:r w:rsidRPr="00D62CC3">
        <w:rPr>
          <w:rFonts w:ascii="Times New Roman" w:eastAsia="Times New Roman" w:hAnsi="Times New Roman" w:cs="Times New Roman"/>
          <w:color w:val="000000" w:themeColor="text1"/>
          <w:kern w:val="0"/>
          <w:lang w:eastAsia="tr-TR"/>
          <w14:ligatures w14:val="none"/>
        </w:rPr>
        <w:t xml:space="preserve"> Renan himself illustrated this claim through an analogy, insisting that attributing philosophy to </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Arab science</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was as mistaken as ascribing the philosophies of Bacon or Spinoza to their supposed </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Latinness</w:t>
      </w:r>
      <w:r>
        <w:rPr>
          <w:rFonts w:ascii="Times New Roman" w:eastAsia="Times New Roman" w:hAnsi="Times New Roman" w:cs="Times New Roman"/>
          <w:color w:val="000000" w:themeColor="text1"/>
          <w:kern w:val="0"/>
          <w:lang w:eastAsia="tr-TR"/>
          <w14:ligatures w14:val="none"/>
        </w:rPr>
        <w:t>’.</w:t>
      </w:r>
      <w:r w:rsidRPr="00D62CC3">
        <w:rPr>
          <w:rStyle w:val="SonNotBavurusu"/>
          <w:rFonts w:ascii="Times New Roman" w:hAnsi="Times New Roman" w:cs="Times New Roman"/>
          <w:color w:val="000000" w:themeColor="text1"/>
          <w:lang w:eastAsia="tr-TR"/>
        </w:rPr>
        <w:endnoteReference w:id="16"/>
      </w:r>
      <w:r w:rsidRPr="00D62CC3">
        <w:rPr>
          <w:rFonts w:ascii="Times New Roman" w:eastAsia="Times New Roman" w:hAnsi="Times New Roman" w:cs="Times New Roman"/>
          <w:color w:val="000000" w:themeColor="text1"/>
          <w:kern w:val="0"/>
          <w:lang w:eastAsia="tr-TR"/>
          <w14:ligatures w14:val="none"/>
        </w:rPr>
        <w:t xml:space="preserve"> Against this reduction, Kemal countered not by disputing the analogy’s form but by rejecting its implication: philosophical production, he argued, could not be detached from the institutional, social, and epistemological networks that constituted Islam as a civilisational whole.</w:t>
      </w:r>
      <w:r w:rsidRPr="00D62CC3">
        <w:rPr>
          <w:rStyle w:val="SonNotBavurusu"/>
          <w:rFonts w:ascii="Times New Roman" w:eastAsia="Times New Roman" w:hAnsi="Times New Roman" w:cs="Times New Roman"/>
          <w:color w:val="000000" w:themeColor="text1"/>
          <w:kern w:val="0"/>
          <w:lang w:eastAsia="tr-TR"/>
          <w14:ligatures w14:val="none"/>
        </w:rPr>
        <w:endnoteReference w:id="17"/>
      </w:r>
    </w:p>
    <w:p w14:paraId="7D5C0624" w14:textId="4E657243" w:rsidR="00206E86" w:rsidRPr="00D62CC3" w:rsidRDefault="00206E86" w:rsidP="004249A3">
      <w:pPr>
        <w:pStyle w:val="AralkYok"/>
        <w:ind w:firstLine="708"/>
        <w:jc w:val="both"/>
        <w:rPr>
          <w:rFonts w:ascii="Times New Roman" w:eastAsia="Times New Roman" w:hAnsi="Times New Roman" w:cs="Times New Roman"/>
          <w:color w:val="000000" w:themeColor="text1"/>
          <w:kern w:val="0"/>
          <w:lang w:eastAsia="tr-TR"/>
          <w14:ligatures w14:val="none"/>
        </w:rPr>
      </w:pPr>
      <w:r w:rsidRPr="00D62CC3">
        <w:rPr>
          <w:rStyle w:val="Gl"/>
          <w:rFonts w:ascii="Times New Roman" w:hAnsi="Times New Roman" w:cs="Times New Roman"/>
          <w:b w:val="0"/>
          <w:bCs w:val="0"/>
          <w:color w:val="000000" w:themeColor="text1"/>
        </w:rPr>
        <w:t>This shift from analogy to structure enabled a reconceptualisation of Islam itself</w:t>
      </w:r>
      <w:r w:rsidRPr="001656D8">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allowing Kemal to reframe Islam’s achievements in knowledge production as</w:t>
      </w:r>
      <w:r w:rsidRPr="00D62CC3">
        <w:rPr>
          <w:rFonts w:ascii="Times New Roman" w:eastAsia="Times New Roman" w:hAnsi="Times New Roman" w:cs="Times New Roman"/>
          <w:color w:val="000000" w:themeColor="text1"/>
          <w:kern w:val="0"/>
          <w:lang w:eastAsia="tr-TR"/>
          <w14:ligatures w14:val="none"/>
        </w:rPr>
        <w:t xml:space="preserve"> </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Islamic sciences</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eastAsia="Times New Roman" w:hAnsi="Times New Roman" w:cs="Times New Roman"/>
          <w:i/>
          <w:iCs/>
          <w:color w:val="000000" w:themeColor="text1"/>
          <w:kern w:val="0"/>
          <w:lang w:eastAsia="tr-TR"/>
          <w14:ligatures w14:val="none"/>
        </w:rPr>
        <w:t>ʿulūm-ı İslāmiyye</w:t>
      </w:r>
      <w:r w:rsidRPr="00D62CC3">
        <w:rPr>
          <w:rFonts w:ascii="Times New Roman" w:eastAsia="Times New Roman" w:hAnsi="Times New Roman" w:cs="Times New Roman"/>
          <w:color w:val="000000" w:themeColor="text1"/>
          <w:kern w:val="0"/>
          <w:lang w:eastAsia="tr-TR"/>
          <w14:ligatures w14:val="none"/>
        </w:rPr>
        <w:t>) in a broadly civilisational sense, rather than as the product of a particular language or ethnicity, whether Arabic or Turkish.</w:t>
      </w:r>
      <w:r w:rsidRPr="00D62CC3">
        <w:rPr>
          <w:rStyle w:val="SonNotBavurusu"/>
          <w:rFonts w:ascii="Times New Roman" w:hAnsi="Times New Roman" w:cs="Times New Roman"/>
          <w:color w:val="000000" w:themeColor="text1"/>
        </w:rPr>
        <w:endnoteReference w:id="18"/>
      </w:r>
      <w:r w:rsidRPr="00D62CC3">
        <w:rPr>
          <w:rFonts w:ascii="Times New Roman" w:eastAsia="Times New Roman" w:hAnsi="Times New Roman" w:cs="Times New Roman"/>
          <w:color w:val="000000" w:themeColor="text1"/>
          <w:kern w:val="0"/>
          <w:lang w:eastAsia="tr-TR"/>
          <w14:ligatures w14:val="none"/>
        </w:rPr>
        <w:t xml:space="preserve"> Rejecting the claim that Islam was inherently hostile to </w:t>
      </w:r>
      <w:r w:rsidRPr="00D62CC3">
        <w:rPr>
          <w:rFonts w:ascii="Times New Roman" w:eastAsia="Times New Roman" w:hAnsi="Times New Roman" w:cs="Times New Roman"/>
          <w:color w:val="000000" w:themeColor="text1"/>
          <w:kern w:val="0"/>
          <w:lang w:eastAsia="tr-TR"/>
          <w14:ligatures w14:val="none"/>
        </w:rPr>
        <w:lastRenderedPageBreak/>
        <w:t>scientific inquiry, he identified the underlying error as the assumption that the absence of a secular intellectual lineage independent of theology necessarily precluded scientific development. Islamic societies, Kemal argued, had long sustained institutions of learning, manuscript cultures, and traditions of philosophical investigation (</w:t>
      </w:r>
      <w:r w:rsidRPr="00D62CC3">
        <w:rPr>
          <w:rFonts w:ascii="Times New Roman" w:eastAsia="Times New Roman" w:hAnsi="Times New Roman" w:cs="Times New Roman"/>
          <w:i/>
          <w:iCs/>
          <w:color w:val="000000" w:themeColor="text1"/>
          <w:kern w:val="0"/>
          <w:lang w:eastAsia="tr-TR"/>
          <w14:ligatures w14:val="none"/>
        </w:rPr>
        <w:t>taḥarrīyāt-ı ḥikemiyye</w:t>
      </w:r>
      <w:r w:rsidRPr="00D62CC3">
        <w:rPr>
          <w:rFonts w:ascii="Times New Roman" w:eastAsia="Times New Roman" w:hAnsi="Times New Roman" w:cs="Times New Roman"/>
          <w:color w:val="000000" w:themeColor="text1"/>
          <w:kern w:val="0"/>
          <w:lang w:eastAsia="tr-TR"/>
          <w14:ligatures w14:val="none"/>
        </w:rPr>
        <w:t>), while apocryphal anti-rationalist narratives, such as the caliph ʿUmar’s alleged destruction of the Library of Alexandria, could not withstand historical scrutiny.</w:t>
      </w:r>
      <w:r w:rsidRPr="00D62CC3">
        <w:rPr>
          <w:rStyle w:val="SonNotBavurusu"/>
          <w:rFonts w:ascii="Times New Roman" w:hAnsi="Times New Roman" w:cs="Times New Roman"/>
          <w:color w:val="000000" w:themeColor="text1"/>
          <w:lang w:eastAsia="tr-TR"/>
        </w:rPr>
        <w:endnoteReference w:id="19"/>
      </w:r>
      <w:r w:rsidRPr="00D62CC3">
        <w:rPr>
          <w:rFonts w:ascii="Times New Roman" w:eastAsia="Times New Roman" w:hAnsi="Times New Roman" w:cs="Times New Roman"/>
          <w:color w:val="000000" w:themeColor="text1"/>
          <w:kern w:val="0"/>
          <w:lang w:eastAsia="tr-TR"/>
          <w14:ligatures w14:val="none"/>
        </w:rPr>
        <w:t xml:space="preserve"> Against the assertion that </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Islamic philosophy</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amounted to little more than the passive transmission of a </w:t>
      </w:r>
      <w:r>
        <w:rPr>
          <w:rFonts w:ascii="Times New Roman" w:eastAsia="Times New Roman" w:hAnsi="Times New Roman" w:cs="Times New Roman"/>
          <w:color w:val="000000" w:themeColor="text1"/>
          <w:kern w:val="0"/>
          <w:lang w:val="en-US" w:eastAsia="tr-TR"/>
          <w14:ligatures w14:val="none"/>
        </w:rPr>
        <w:t>‘</w:t>
      </w:r>
      <w:r w:rsidRPr="00D62CC3">
        <w:rPr>
          <w:rFonts w:ascii="Times New Roman" w:eastAsia="Times New Roman" w:hAnsi="Times New Roman" w:cs="Times New Roman"/>
          <w:color w:val="000000" w:themeColor="text1"/>
          <w:kern w:val="0"/>
          <w:lang w:eastAsia="tr-TR"/>
          <w14:ligatures w14:val="none"/>
        </w:rPr>
        <w:t>Greek miracle</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he pointed instead to the institutionalised teaching of </w:t>
      </w:r>
      <w:r w:rsidRPr="00D62CC3">
        <w:rPr>
          <w:rFonts w:ascii="Times New Roman" w:eastAsia="Times New Roman" w:hAnsi="Times New Roman" w:cs="Times New Roman"/>
          <w:i/>
          <w:iCs/>
          <w:color w:val="000000" w:themeColor="text1"/>
          <w:kern w:val="0"/>
          <w:lang w:eastAsia="tr-TR"/>
          <w14:ligatures w14:val="none"/>
        </w:rPr>
        <w:t>ḥikma</w:t>
      </w:r>
      <w:r w:rsidRPr="00D62CC3">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hAnsi="Times New Roman" w:cs="Times New Roman"/>
          <w:color w:val="000000" w:themeColor="text1"/>
        </w:rPr>
        <w:t>the postclassical continuation of Gr</w:t>
      </w:r>
      <w:r>
        <w:rPr>
          <w:rFonts w:ascii="Times New Roman" w:hAnsi="Times New Roman" w:cs="Times New Roman"/>
          <w:color w:val="000000" w:themeColor="text1"/>
        </w:rPr>
        <w:t>a</w:t>
      </w:r>
      <w:r w:rsidRPr="00D62CC3">
        <w:rPr>
          <w:rFonts w:ascii="Times New Roman" w:hAnsi="Times New Roman" w:cs="Times New Roman"/>
          <w:color w:val="000000" w:themeColor="text1"/>
        </w:rPr>
        <w:t>eco-Arabic physics and metaphysics. Its circulation was neither confined to the Abbasid capital nor limited in scope, but extended across a broad temporal and geographical expanse, from Córdoba and Granada to Samarqand.</w:t>
      </w:r>
      <w:r w:rsidRPr="00D62CC3">
        <w:rPr>
          <w:rStyle w:val="SonNotBavurusu"/>
          <w:rFonts w:ascii="Times New Roman" w:eastAsia="Times New Roman" w:hAnsi="Times New Roman" w:cs="Times New Roman"/>
          <w:color w:val="000000" w:themeColor="text1"/>
          <w:kern w:val="0"/>
          <w:lang w:eastAsia="tr-TR"/>
          <w14:ligatures w14:val="none"/>
        </w:rPr>
        <w:endnoteReference w:id="20"/>
      </w:r>
    </w:p>
    <w:p w14:paraId="4E649F45" w14:textId="129F317E" w:rsidR="00206E86" w:rsidRPr="00D62CC3" w:rsidRDefault="00206E86" w:rsidP="004249A3">
      <w:pPr>
        <w:pStyle w:val="AralkYok"/>
        <w:jc w:val="both"/>
        <w:rPr>
          <w:rFonts w:ascii="Times New Roman" w:eastAsia="Times New Roman" w:hAnsi="Times New Roman" w:cs="Times New Roman"/>
          <w:color w:val="000000" w:themeColor="text1"/>
          <w:kern w:val="0"/>
          <w:lang w:eastAsia="tr-TR"/>
          <w14:ligatures w14:val="none"/>
        </w:rPr>
      </w:pPr>
      <w:r w:rsidRPr="00D62CC3">
        <w:rPr>
          <w:rFonts w:ascii="Times New Roman" w:hAnsi="Times New Roman" w:cs="Times New Roman"/>
          <w:color w:val="000000" w:themeColor="text1"/>
        </w:rPr>
        <w:tab/>
      </w:r>
      <w:r w:rsidRPr="00D62CC3">
        <w:rPr>
          <w:rFonts w:ascii="Times New Roman" w:eastAsia="Times New Roman" w:hAnsi="Times New Roman" w:cs="Times New Roman"/>
          <w:color w:val="000000" w:themeColor="text1"/>
          <w:kern w:val="0"/>
          <w:lang w:eastAsia="tr-TR"/>
          <w14:ligatures w14:val="none"/>
        </w:rPr>
        <w:t xml:space="preserve">Beyond Kemal, </w:t>
      </w:r>
      <w:r w:rsidRPr="00D62CC3">
        <w:rPr>
          <w:rFonts w:ascii="Times New Roman" w:hAnsi="Times New Roman" w:cs="Times New Roman"/>
          <w:color w:val="000000" w:themeColor="text1"/>
        </w:rPr>
        <w:t xml:space="preserve">Renan’s Sorbonne lecture elicited a wide range of engagements across the Islamic world, from Egypt to Indo-Muslim and Crimean Tatar intellectual circles, challenging his claim that Islam experienced a triumphant theological reaction after 1200. </w:t>
      </w:r>
      <w:r w:rsidRPr="00D62CC3">
        <w:rPr>
          <w:rFonts w:ascii="Times New Roman" w:eastAsia="Times New Roman" w:hAnsi="Times New Roman" w:cs="Times New Roman"/>
          <w:color w:val="000000" w:themeColor="text1"/>
          <w:kern w:val="0"/>
          <w:lang w:eastAsia="tr-TR"/>
          <w14:ligatures w14:val="none"/>
        </w:rPr>
        <w:t>Muslim reformist engagements with Renan extended the critique by insisting that rational inquiry within Islam did not terminate with the so-called classical period (c. 850-1200) but continued as a constitutive feature of post-Ghazālian Sunnī thought. Figures like Jamāl al-Dīn al-Afghānī and Syed Ameer Ali thus moved beyond appeals to medieval philosophy alone, arguing instead that the compatibility of Islam and reason persisted within later theological and creedal traditions.</w:t>
      </w:r>
      <w:r w:rsidRPr="00D62CC3">
        <w:rPr>
          <w:rStyle w:val="SonNotBavurusu"/>
          <w:rFonts w:ascii="Times New Roman" w:hAnsi="Times New Roman" w:cs="Times New Roman"/>
          <w:color w:val="000000" w:themeColor="text1"/>
        </w:rPr>
        <w:endnoteReference w:id="21"/>
      </w:r>
      <w:r w:rsidRPr="00D62CC3">
        <w:rPr>
          <w:rFonts w:ascii="Times New Roman" w:eastAsia="Times New Roman" w:hAnsi="Times New Roman" w:cs="Times New Roman"/>
          <w:color w:val="000000" w:themeColor="text1"/>
          <w:kern w:val="0"/>
          <w:lang w:eastAsia="tr-TR"/>
          <w14:ligatures w14:val="none"/>
        </w:rPr>
        <w:t xml:space="preserve"> </w:t>
      </w:r>
    </w:p>
    <w:p w14:paraId="053EEE37" w14:textId="2E58FEC7"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eastAsia="Times New Roman" w:hAnsi="Times New Roman" w:cs="Times New Roman"/>
          <w:color w:val="000000" w:themeColor="text1"/>
          <w:kern w:val="0"/>
          <w:lang w:eastAsia="tr-TR"/>
          <w14:ligatures w14:val="none"/>
        </w:rPr>
        <w:t xml:space="preserve">A particularly revealing intervention came from the St. Petersburg imam Ataullah Bayezidov (1846–1911), whose </w:t>
      </w:r>
      <w:r w:rsidRPr="00D62CC3">
        <w:rPr>
          <w:rFonts w:ascii="Times New Roman" w:eastAsia="Times New Roman" w:hAnsi="Times New Roman" w:cs="Times New Roman"/>
          <w:i/>
          <w:iCs/>
          <w:color w:val="000000" w:themeColor="text1"/>
          <w:kern w:val="0"/>
          <w:lang w:eastAsia="tr-TR"/>
          <w14:ligatures w14:val="none"/>
        </w:rPr>
        <w:t>Redd-i Renān</w:t>
      </w:r>
      <w:r w:rsidRPr="00D62CC3">
        <w:rPr>
          <w:rFonts w:ascii="Times New Roman" w:eastAsia="Times New Roman" w:hAnsi="Times New Roman" w:cs="Times New Roman"/>
          <w:color w:val="000000" w:themeColor="text1"/>
          <w:kern w:val="0"/>
          <w:lang w:eastAsia="tr-TR"/>
          <w14:ligatures w14:val="none"/>
        </w:rPr>
        <w:t xml:space="preserve"> (Refutation of Renan) circulated widely among the Ottoman intelligentsia following its Turkish translation in 1883. </w:t>
      </w:r>
      <w:r w:rsidRPr="00D62CC3">
        <w:rPr>
          <w:rFonts w:ascii="Times New Roman" w:hAnsi="Times New Roman" w:cs="Times New Roman"/>
          <w:color w:val="000000" w:themeColor="text1"/>
        </w:rPr>
        <w:t xml:space="preserve">His response to Renan is famously ambivalent: while rejecting Renan’s racial essentialism, he nevertheless acknowledges a historical tension between religion and philosophy. </w:t>
      </w:r>
      <w:r w:rsidRPr="00D62CC3">
        <w:rPr>
          <w:rFonts w:ascii="Times New Roman" w:eastAsia="Times New Roman" w:hAnsi="Times New Roman" w:cs="Times New Roman"/>
          <w:color w:val="000000" w:themeColor="text1"/>
          <w:kern w:val="0"/>
          <w:lang w:eastAsia="tr-TR"/>
          <w14:ligatures w14:val="none"/>
        </w:rPr>
        <w:t>Bayezīdov strategically mobilised Ghazālī not as the emblem of anti-rationalism but as a normative authority for rational inquiry, emphasizing his explicit endorsement of logic as an indispensable epistemic instrument, designating it a compulsory obligation (</w:t>
      </w:r>
      <w:r w:rsidRPr="00D62CC3">
        <w:rPr>
          <w:rFonts w:ascii="Times New Roman" w:eastAsia="Times New Roman" w:hAnsi="Times New Roman" w:cs="Times New Roman"/>
          <w:i/>
          <w:iCs/>
          <w:color w:val="000000" w:themeColor="text1"/>
          <w:kern w:val="0"/>
          <w:lang w:eastAsia="tr-TR"/>
          <w14:ligatures w14:val="none"/>
        </w:rPr>
        <w:t>farḍ al-kifāya</w:t>
      </w:r>
      <w:r w:rsidRPr="00D62CC3">
        <w:rPr>
          <w:rFonts w:ascii="Times New Roman" w:eastAsia="Times New Roman" w:hAnsi="Times New Roman" w:cs="Times New Roman"/>
          <w:color w:val="000000" w:themeColor="text1"/>
          <w:kern w:val="0"/>
          <w:lang w:eastAsia="tr-TR"/>
          <w14:ligatures w14:val="none"/>
        </w:rPr>
        <w:t>) within the sciences.</w:t>
      </w:r>
      <w:r w:rsidRPr="00D62CC3">
        <w:rPr>
          <w:rStyle w:val="SonNotBavurusu"/>
          <w:rFonts w:ascii="Times New Roman" w:hAnsi="Times New Roman" w:cs="Times New Roman"/>
          <w:color w:val="000000" w:themeColor="text1"/>
          <w:lang w:eastAsia="tr-TR"/>
        </w:rPr>
        <w:endnoteReference w:id="22"/>
      </w:r>
      <w:r w:rsidRPr="00D62CC3">
        <w:rPr>
          <w:rFonts w:ascii="Times New Roman" w:eastAsia="Times New Roman" w:hAnsi="Times New Roman" w:cs="Times New Roman"/>
          <w:color w:val="000000" w:themeColor="text1"/>
          <w:kern w:val="0"/>
          <w:lang w:eastAsia="tr-TR"/>
          <w14:ligatures w14:val="none"/>
        </w:rPr>
        <w:t xml:space="preserve"> He reinforced this position by appealing to postclassical Sunnī theology, citing the fifteenth-century Ottoman scholar Ḫayālī’s </w:t>
      </w:r>
      <w:r w:rsidRPr="00D62CC3">
        <w:rPr>
          <w:rFonts w:ascii="Times New Roman" w:eastAsia="Times New Roman" w:hAnsi="Times New Roman" w:cs="Times New Roman"/>
          <w:i/>
          <w:iCs/>
          <w:color w:val="000000" w:themeColor="text1"/>
          <w:kern w:val="0"/>
          <w:lang w:eastAsia="tr-TR"/>
          <w14:ligatures w14:val="none"/>
        </w:rPr>
        <w:t>Sharḥ al-ʿaqāʾid</w:t>
      </w:r>
      <w:r w:rsidRPr="00D62CC3">
        <w:rPr>
          <w:rFonts w:ascii="Times New Roman" w:eastAsia="Times New Roman" w:hAnsi="Times New Roman" w:cs="Times New Roman"/>
          <w:color w:val="000000" w:themeColor="text1"/>
          <w:kern w:val="0"/>
          <w:lang w:eastAsia="tr-TR"/>
          <w14:ligatures w14:val="none"/>
        </w:rPr>
        <w:t>, a standard gloss that long served as a cornerstone of the medrese curriculum. There, transmitted reports (</w:t>
      </w:r>
      <w:r w:rsidRPr="00D62CC3">
        <w:rPr>
          <w:rFonts w:ascii="Times New Roman" w:eastAsia="Times New Roman" w:hAnsi="Times New Roman" w:cs="Times New Roman"/>
          <w:i/>
          <w:iCs/>
          <w:color w:val="000000" w:themeColor="text1"/>
          <w:kern w:val="0"/>
          <w:lang w:eastAsia="tr-TR"/>
          <w14:ligatures w14:val="none"/>
        </w:rPr>
        <w:t>naql</w:t>
      </w:r>
      <w:r w:rsidRPr="00D62CC3">
        <w:rPr>
          <w:rFonts w:ascii="Times New Roman" w:eastAsia="Times New Roman" w:hAnsi="Times New Roman" w:cs="Times New Roman"/>
          <w:color w:val="000000" w:themeColor="text1"/>
          <w:kern w:val="0"/>
          <w:lang w:eastAsia="tr-TR"/>
          <w14:ligatures w14:val="none"/>
        </w:rPr>
        <w:t>) lacking rational corroboration are deemed subject to figurative interpretation in accordance with reason (</w:t>
      </w:r>
      <w:r w:rsidRPr="00D62CC3">
        <w:rPr>
          <w:rFonts w:ascii="Times New Roman" w:eastAsia="Times New Roman" w:hAnsi="Times New Roman" w:cs="Times New Roman"/>
          <w:i/>
          <w:iCs/>
          <w:color w:val="000000" w:themeColor="text1"/>
          <w:kern w:val="0"/>
          <w:lang w:eastAsia="tr-TR"/>
          <w14:ligatures w14:val="none"/>
        </w:rPr>
        <w:t>ʿaql</w:t>
      </w:r>
      <w:r w:rsidRPr="00D62CC3">
        <w:rPr>
          <w:rFonts w:ascii="Times New Roman" w:eastAsia="Times New Roman" w:hAnsi="Times New Roman" w:cs="Times New Roman"/>
          <w:color w:val="000000" w:themeColor="text1"/>
          <w:kern w:val="0"/>
          <w:lang w:eastAsia="tr-TR"/>
          <w14:ligatures w14:val="none"/>
        </w:rPr>
        <w:t>), thereby affirming the latter’s epistemic priority.</w:t>
      </w:r>
      <w:r w:rsidRPr="00D62CC3">
        <w:rPr>
          <w:rStyle w:val="SonNotBavurusu"/>
          <w:rFonts w:ascii="Times New Roman" w:hAnsi="Times New Roman" w:cs="Times New Roman"/>
          <w:color w:val="000000" w:themeColor="text1"/>
          <w:lang w:eastAsia="tr-TR"/>
        </w:rPr>
        <w:endnoteReference w:id="23"/>
      </w:r>
      <w:r w:rsidRPr="00D62CC3">
        <w:rPr>
          <w:rFonts w:ascii="Times New Roman" w:eastAsia="Times New Roman" w:hAnsi="Times New Roman" w:cs="Times New Roman"/>
          <w:color w:val="000000" w:themeColor="text1"/>
          <w:kern w:val="0"/>
          <w:lang w:eastAsia="tr-TR"/>
          <w14:ligatures w14:val="none"/>
        </w:rPr>
        <w:t xml:space="preserve"> Even Islam’s most foundational creedal texts, Bayezidov thus maintained, presuppose reason not as an external intrusion but as the indispensable ground of religious belief.</w:t>
      </w:r>
      <w:r w:rsidRPr="00D62CC3">
        <w:rPr>
          <w:rStyle w:val="SonNotBavurusu"/>
          <w:rFonts w:ascii="Times New Roman" w:eastAsia="Times New Roman" w:hAnsi="Times New Roman" w:cs="Times New Roman"/>
          <w:color w:val="000000" w:themeColor="text1"/>
          <w:kern w:val="0"/>
          <w:lang w:eastAsia="tr-TR"/>
          <w14:ligatures w14:val="none"/>
        </w:rPr>
        <w:endnoteReference w:id="24"/>
      </w:r>
    </w:p>
    <w:p w14:paraId="5A4566C8" w14:textId="5262290E" w:rsidR="00206E86" w:rsidRPr="00656CC9" w:rsidRDefault="00206E86" w:rsidP="00981D7F">
      <w:pPr>
        <w:pStyle w:val="AralkYok"/>
        <w:ind w:firstLine="708"/>
        <w:jc w:val="both"/>
        <w:rPr>
          <w:rFonts w:ascii="Times New Roman" w:hAnsi="Times New Roman" w:cs="Times New Roman"/>
          <w:color w:val="000000" w:themeColor="text1"/>
        </w:rPr>
      </w:pPr>
      <w:r w:rsidRPr="00D62CC3">
        <w:rPr>
          <w:rFonts w:ascii="Times New Roman" w:hAnsi="Times New Roman" w:cs="Times New Roman"/>
          <w:color w:val="000000" w:themeColor="text1"/>
        </w:rPr>
        <w:t xml:space="preserve">In the wake of Kemal’s response to Renan, discussions of Islamic scientific contributions multiplied in the decades leading up to the turn of the twentieth century. Ottoman debates organised around </w:t>
      </w:r>
      <w:r w:rsidRPr="00D62CC3">
        <w:rPr>
          <w:rFonts w:ascii="Times New Roman" w:hAnsi="Times New Roman" w:cs="Times New Roman"/>
          <w:i/>
          <w:iCs/>
          <w:color w:val="000000" w:themeColor="text1"/>
        </w:rPr>
        <w:t>medeniyet-i İslāmiyye</w:t>
      </w:r>
      <w:r w:rsidRPr="00D62CC3">
        <w:rPr>
          <w:rFonts w:ascii="Times New Roman" w:hAnsi="Times New Roman" w:cs="Times New Roman"/>
          <w:color w:val="000000" w:themeColor="text1"/>
        </w:rPr>
        <w:t xml:space="preserve"> increasingly mobilised historicist arguments to contest dominant temporal schemas that framed Islamic civilisation through a singular </w:t>
      </w:r>
      <w:r>
        <w:rPr>
          <w:rFonts w:ascii="Times New Roman" w:hAnsi="Times New Roman" w:cs="Times New Roman"/>
          <w:color w:val="000000" w:themeColor="text1"/>
        </w:rPr>
        <w:t>‘</w:t>
      </w:r>
      <w:r w:rsidRPr="00D62CC3">
        <w:rPr>
          <w:rFonts w:ascii="Times New Roman" w:hAnsi="Times New Roman" w:cs="Times New Roman"/>
          <w:color w:val="000000" w:themeColor="text1"/>
        </w:rPr>
        <w:t>golden age</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followed by decline. By foregrounding Islam’s sustained and cumulative role in the formation of European science, Ottoman intellectuals challenged narratives that confined Islamic rationality to an early Abbasid apex (c. ninth–tenth centuries). Although often couched in essentialist language, these interventions nonetheless emphasised cross-confessional participation, multiethnic intellectual lineages, and the continuity of rational inquiry across periods. Such debates were deeply entangled with broader concerns over socio</w:t>
      </w:r>
      <w:r>
        <w:rPr>
          <w:rFonts w:ascii="Times New Roman" w:hAnsi="Times New Roman" w:cs="Times New Roman"/>
          <w:color w:val="000000" w:themeColor="text1"/>
        </w:rPr>
        <w:t>-</w:t>
      </w:r>
      <w:r w:rsidRPr="00D62CC3">
        <w:rPr>
          <w:rFonts w:ascii="Times New Roman" w:hAnsi="Times New Roman" w:cs="Times New Roman"/>
          <w:color w:val="000000" w:themeColor="text1"/>
        </w:rPr>
        <w:t>political order</w:t>
      </w:r>
      <w:r>
        <w:rPr>
          <w:rFonts w:ascii="Times New Roman" w:hAnsi="Times New Roman" w:cs="Times New Roman"/>
          <w:color w:val="000000" w:themeColor="text1"/>
        </w:rPr>
        <w:t>—</w:t>
      </w:r>
      <w:r w:rsidRPr="00D62CC3">
        <w:rPr>
          <w:rFonts w:ascii="Times New Roman" w:hAnsi="Times New Roman" w:cs="Times New Roman"/>
          <w:color w:val="000000" w:themeColor="text1"/>
        </w:rPr>
        <w:t>the late nineteenth-century Pan-Islamist policies of Abdülhamid II (r. 1876-1909) and the articulation of Ottoman identity as a civilisational marke</w:t>
      </w:r>
      <w:r>
        <w:rPr>
          <w:rFonts w:ascii="Times New Roman" w:hAnsi="Times New Roman" w:cs="Times New Roman"/>
          <w:color w:val="000000" w:themeColor="text1"/>
        </w:rPr>
        <w:t>r—</w:t>
      </w:r>
      <w:r w:rsidRPr="00D62CC3">
        <w:rPr>
          <w:rFonts w:ascii="Times New Roman" w:hAnsi="Times New Roman" w:cs="Times New Roman"/>
          <w:color w:val="000000" w:themeColor="text1"/>
        </w:rPr>
        <w:t>aimed simultaneously at reaffirming Ottoman relevance within global history and contesting Eurocentric historiographies of science.</w:t>
      </w:r>
      <w:r w:rsidRPr="00D62CC3">
        <w:rPr>
          <w:rStyle w:val="SonNotBavurusu"/>
          <w:rFonts w:ascii="Times New Roman" w:hAnsi="Times New Roman" w:cs="Times New Roman"/>
          <w:color w:val="000000" w:themeColor="text1"/>
          <w:lang w:eastAsia="tr-TR"/>
        </w:rPr>
        <w:endnoteReference w:id="25"/>
      </w:r>
    </w:p>
    <w:p w14:paraId="3384E657" w14:textId="7392B3B9" w:rsidR="00206E86" w:rsidRPr="00656CC9" w:rsidRDefault="00206E86" w:rsidP="004249A3">
      <w:pPr>
        <w:pStyle w:val="AralkYok"/>
        <w:jc w:val="both"/>
        <w:rPr>
          <w:rFonts w:ascii="Times New Roman" w:eastAsia="Times New Roman" w:hAnsi="Times New Roman" w:cs="Times New Roman"/>
          <w:color w:val="000000" w:themeColor="text1"/>
          <w:kern w:val="0"/>
          <w:lang w:eastAsia="tr-TR"/>
          <w14:ligatures w14:val="none"/>
        </w:rPr>
      </w:pPr>
      <w:r w:rsidRPr="00656CC9">
        <w:rPr>
          <w:rFonts w:ascii="Times New Roman" w:eastAsia="Times New Roman" w:hAnsi="Times New Roman" w:cs="Times New Roman"/>
          <w:color w:val="000000" w:themeColor="text1"/>
          <w:kern w:val="0"/>
          <w:lang w:eastAsia="tr-TR"/>
          <w14:ligatures w14:val="none"/>
        </w:rPr>
        <w:tab/>
      </w:r>
      <w:r w:rsidRPr="00656CC9">
        <w:rPr>
          <w:rFonts w:ascii="Times New Roman" w:hAnsi="Times New Roman" w:cs="Times New Roman"/>
          <w:color w:val="000000" w:themeColor="text1"/>
        </w:rPr>
        <w:t xml:space="preserve">The historiographical habit of positing golden ages followed by narratives of decline rests on a universalist conception of historical time structured around origins, apogees, and civilisational trajectories. </w:t>
      </w:r>
      <w:r w:rsidRPr="00656CC9">
        <w:rPr>
          <w:rStyle w:val="Gl"/>
          <w:rFonts w:ascii="Times New Roman" w:hAnsi="Times New Roman" w:cs="Times New Roman"/>
          <w:b w:val="0"/>
          <w:bCs w:val="0"/>
        </w:rPr>
        <w:t>Heterogeneous knowledge traditions were accordingly subsumed under the category of Western science</w:t>
      </w:r>
      <w:r w:rsidRPr="00656CC9">
        <w:rPr>
          <w:rFonts w:ascii="Times New Roman" w:hAnsi="Times New Roman" w:cs="Times New Roman"/>
        </w:rPr>
        <w:t xml:space="preserve">, </w:t>
      </w:r>
      <w:r w:rsidRPr="00656CC9">
        <w:rPr>
          <w:rFonts w:ascii="Times New Roman" w:hAnsi="Times New Roman" w:cs="Times New Roman"/>
          <w:color w:val="000000" w:themeColor="text1"/>
        </w:rPr>
        <w:t>interpreted through a teleology that culminated in Europe and reduced Arabic, Chinese, and other intellectual formations to preparatory or derivative stages.</w:t>
      </w:r>
      <w:r w:rsidRPr="00656CC9">
        <w:rPr>
          <w:rStyle w:val="SonNotBavurusu"/>
          <w:rFonts w:ascii="Times New Roman" w:hAnsi="Times New Roman" w:cs="Times New Roman"/>
          <w:color w:val="000000" w:themeColor="text1"/>
          <w:lang w:eastAsia="tr-TR"/>
        </w:rPr>
        <w:endnoteReference w:id="26"/>
      </w:r>
      <w:r w:rsidRPr="00656CC9">
        <w:rPr>
          <w:rFonts w:ascii="Times New Roman" w:hAnsi="Times New Roman" w:cs="Times New Roman"/>
          <w:color w:val="000000" w:themeColor="text1"/>
        </w:rPr>
        <w:t xml:space="preserve"> Internal diversity was </w:t>
      </w:r>
      <w:r w:rsidRPr="00656CC9">
        <w:rPr>
          <w:rFonts w:ascii="Times New Roman" w:hAnsi="Times New Roman" w:cs="Times New Roman"/>
          <w:color w:val="000000" w:themeColor="text1"/>
        </w:rPr>
        <w:lastRenderedPageBreak/>
        <w:t xml:space="preserve">thereby flattened into a single genealogy that located scientific vitality in a rationalised antiquity while casting later developments as deviation or decay. </w:t>
      </w:r>
      <w:r w:rsidRPr="00656CC9">
        <w:rPr>
          <w:rFonts w:ascii="Times New Roman" w:hAnsi="Times New Roman" w:cs="Times New Roman"/>
        </w:rPr>
        <w:t>The durability of decline narratives thus reflects</w:t>
      </w:r>
      <w:r w:rsidRPr="00656CC9">
        <w:rPr>
          <w:rFonts w:ascii="Times New Roman" w:hAnsi="Times New Roman" w:cs="Times New Roman"/>
          <w:color w:val="000000" w:themeColor="text1"/>
        </w:rPr>
        <w:t xml:space="preserve"> an unresolved tension between universalism, which seeks a singular origin, trajectory, and apex, and historicism, which insists on contextual plurality and nonlinear patterns of development.</w:t>
      </w:r>
      <w:r w:rsidRPr="00656CC9">
        <w:rPr>
          <w:rStyle w:val="SonNotBavurusu"/>
          <w:rFonts w:ascii="Times New Roman" w:hAnsi="Times New Roman" w:cs="Times New Roman"/>
          <w:color w:val="000000" w:themeColor="text1"/>
          <w:lang w:eastAsia="tr-TR"/>
        </w:rPr>
        <w:endnoteReference w:id="27"/>
      </w:r>
    </w:p>
    <w:p w14:paraId="0C856FB9" w14:textId="0AAE7A9F" w:rsidR="00206E86" w:rsidRPr="00D62CC3" w:rsidRDefault="00206E86" w:rsidP="004249A3">
      <w:pPr>
        <w:pStyle w:val="AralkYok"/>
        <w:ind w:firstLine="708"/>
        <w:jc w:val="both"/>
        <w:rPr>
          <w:rFonts w:ascii="Times New Roman" w:eastAsia="Times New Roman" w:hAnsi="Times New Roman" w:cs="Times New Roman"/>
          <w:color w:val="000000" w:themeColor="text1"/>
          <w:kern w:val="0"/>
          <w:lang w:eastAsia="tr-TR"/>
          <w14:ligatures w14:val="none"/>
        </w:rPr>
      </w:pPr>
      <w:r w:rsidRPr="00D62CC3">
        <w:rPr>
          <w:rFonts w:ascii="Times New Roman" w:eastAsia="Times New Roman" w:hAnsi="Times New Roman" w:cs="Times New Roman"/>
          <w:color w:val="000000" w:themeColor="text1"/>
          <w:kern w:val="0"/>
          <w:lang w:eastAsia="tr-TR"/>
          <w14:ligatures w14:val="none"/>
        </w:rPr>
        <w:t xml:space="preserve">Among the most influential works to reject the golden age paradigm was Şemseddin Sami’s </w:t>
      </w:r>
      <w:r w:rsidRPr="00D62CC3">
        <w:rPr>
          <w:rFonts w:ascii="Times New Roman" w:eastAsia="Times New Roman" w:hAnsi="Times New Roman" w:cs="Times New Roman"/>
          <w:i/>
          <w:iCs/>
          <w:color w:val="000000" w:themeColor="text1"/>
          <w:kern w:val="0"/>
          <w:lang w:eastAsia="tr-TR"/>
          <w14:ligatures w14:val="none"/>
        </w:rPr>
        <w:t>Medeniyyet-i İslāmiyye</w:t>
      </w:r>
      <w:r w:rsidRPr="00D62CC3">
        <w:rPr>
          <w:rFonts w:ascii="Times New Roman" w:eastAsia="Times New Roman" w:hAnsi="Times New Roman" w:cs="Times New Roman"/>
          <w:color w:val="000000" w:themeColor="text1"/>
          <w:kern w:val="0"/>
          <w:lang w:eastAsia="tr-TR"/>
          <w14:ligatures w14:val="none"/>
        </w:rPr>
        <w:t xml:space="preserve"> (1879), which explicitly framed Islamic civilisation as an expansive and enduring historical project rather than a phenomenon confined to the early Abbasids. Rejecting European narratives that restricted Islamic scientific vitality to Baghdad, Sami extended its trajectory through the Ghaznavids and Seljuqs and resisted Arab reductionism by presenting Islam as a cross-cultural civilisational formation encompassing Persians, Turks, and Kurds. </w:t>
      </w:r>
      <w:r w:rsidRPr="00D62CC3">
        <w:rPr>
          <w:rFonts w:ascii="Times New Roman" w:hAnsi="Times New Roman" w:cs="Times New Roman"/>
          <w:color w:val="000000" w:themeColor="text1"/>
        </w:rPr>
        <w:t>Figures such as the philosophers Abū Naṣr al-Fārābī and Avicenna, as well as Ṣalāḥ al-Dīn al-Ayyūbī, renowned for his campaigns against the Crusaders, thus emerged not as ethnic representatives but as exponents of a shared civilisational inheritance</w:t>
      </w:r>
      <w:r w:rsidRPr="00D62CC3">
        <w:rPr>
          <w:rFonts w:ascii="Times New Roman" w:eastAsia="Times New Roman" w:hAnsi="Times New Roman" w:cs="Times New Roman"/>
          <w:color w:val="000000" w:themeColor="text1"/>
          <w:kern w:val="0"/>
          <w:lang w:eastAsia="tr-TR"/>
          <w14:ligatures w14:val="none"/>
        </w:rPr>
        <w:t>.</w:t>
      </w:r>
      <w:r w:rsidRPr="00D62CC3">
        <w:rPr>
          <w:rStyle w:val="SonNotBavurusu"/>
          <w:rFonts w:ascii="Times New Roman" w:hAnsi="Times New Roman" w:cs="Times New Roman"/>
          <w:color w:val="000000" w:themeColor="text1"/>
          <w:lang w:eastAsia="tr-TR"/>
        </w:rPr>
        <w:endnoteReference w:id="28"/>
      </w:r>
      <w:r w:rsidRPr="00D62CC3">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hAnsi="Times New Roman" w:cs="Times New Roman"/>
          <w:color w:val="000000" w:themeColor="text1"/>
        </w:rPr>
        <w:t xml:space="preserve">For Sami, Islamic civilisation not only stimulated Europe intellectually but also transmitted a composite body of knowledge, integrating Greek, Indian, Chinese, and </w:t>
      </w:r>
      <w:r>
        <w:rPr>
          <w:rFonts w:ascii="Times New Roman" w:hAnsi="Times New Roman" w:cs="Times New Roman"/>
          <w:color w:val="000000" w:themeColor="text1"/>
          <w:lang w:val="en-US"/>
        </w:rPr>
        <w:t>‘</w:t>
      </w:r>
      <w:r w:rsidRPr="00D62CC3">
        <w:rPr>
          <w:rFonts w:ascii="Times New Roman" w:hAnsi="Times New Roman" w:cs="Times New Roman"/>
          <w:color w:val="000000" w:themeColor="text1"/>
        </w:rPr>
        <w:t>Siberian</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traditions, circulated from Iran to North Africa and institutionalised through the medrese system</w:t>
      </w:r>
      <w:r w:rsidRPr="00D62CC3">
        <w:rPr>
          <w:rFonts w:ascii="Times New Roman" w:eastAsia="Times New Roman" w:hAnsi="Times New Roman" w:cs="Times New Roman"/>
          <w:color w:val="000000" w:themeColor="text1"/>
          <w:kern w:val="0"/>
          <w:lang w:eastAsia="tr-TR"/>
          <w14:ligatures w14:val="none"/>
        </w:rPr>
        <w:t>.</w:t>
      </w:r>
      <w:r w:rsidRPr="00D62CC3">
        <w:rPr>
          <w:rStyle w:val="SonNotBavurusu"/>
          <w:rFonts w:ascii="Times New Roman" w:hAnsi="Times New Roman" w:cs="Times New Roman"/>
          <w:color w:val="000000" w:themeColor="text1"/>
          <w:lang w:eastAsia="tr-TR"/>
        </w:rPr>
        <w:endnoteReference w:id="29"/>
      </w:r>
      <w:r w:rsidRPr="00D62CC3">
        <w:rPr>
          <w:rFonts w:ascii="Times New Roman" w:hAnsi="Times New Roman" w:cs="Times New Roman"/>
          <w:color w:val="000000" w:themeColor="text1"/>
          <w:lang w:eastAsia="tr-TR"/>
        </w:rPr>
        <w:t xml:space="preserve"> </w:t>
      </w:r>
      <w:r w:rsidRPr="00D62CC3">
        <w:rPr>
          <w:rFonts w:ascii="Times New Roman" w:hAnsi="Times New Roman" w:cs="Times New Roman"/>
          <w:color w:val="000000" w:themeColor="text1"/>
        </w:rPr>
        <w:t>This corpus proved decisive for Europe’s philosophical formation while remaining irreducible to any single people, confession, or geography</w:t>
      </w:r>
      <w:r>
        <w:rPr>
          <w:rFonts w:ascii="Times New Roman" w:hAnsi="Times New Roman" w:cs="Times New Roman"/>
          <w:color w:val="000000" w:themeColor="text1"/>
        </w:rPr>
        <w:t xml:space="preserve"> within Islamic civilisation</w:t>
      </w:r>
      <w:r w:rsidRPr="00D62CC3">
        <w:rPr>
          <w:rFonts w:ascii="Times New Roman" w:eastAsia="Times New Roman" w:hAnsi="Times New Roman" w:cs="Times New Roman"/>
          <w:color w:val="000000" w:themeColor="text1"/>
          <w:kern w:val="0"/>
          <w:lang w:eastAsia="tr-TR"/>
          <w14:ligatures w14:val="none"/>
        </w:rPr>
        <w:t>.</w:t>
      </w:r>
      <w:r w:rsidRPr="00D62CC3">
        <w:rPr>
          <w:rStyle w:val="SonNotBavurusu"/>
          <w:rFonts w:ascii="Times New Roman" w:hAnsi="Times New Roman" w:cs="Times New Roman"/>
          <w:color w:val="000000" w:themeColor="text1"/>
          <w:lang w:eastAsia="tr-TR"/>
        </w:rPr>
        <w:endnoteReference w:id="30"/>
      </w:r>
      <w:r w:rsidRPr="00D62CC3">
        <w:rPr>
          <w:rFonts w:ascii="Times New Roman" w:eastAsia="Times New Roman" w:hAnsi="Times New Roman" w:cs="Times New Roman"/>
          <w:color w:val="000000" w:themeColor="text1"/>
          <w:kern w:val="0"/>
          <w:lang w:eastAsia="tr-TR"/>
          <w14:ligatures w14:val="none"/>
        </w:rPr>
        <w:t xml:space="preserve"> </w:t>
      </w:r>
    </w:p>
    <w:p w14:paraId="761BD70F" w14:textId="575A075F" w:rsidR="00206E86" w:rsidRPr="00D62CC3" w:rsidRDefault="00206E86" w:rsidP="004249A3">
      <w:pPr>
        <w:pStyle w:val="AralkYok"/>
        <w:ind w:firstLine="708"/>
        <w:jc w:val="both"/>
        <w:rPr>
          <w:rFonts w:ascii="Times New Roman" w:eastAsia="Times New Roman" w:hAnsi="Times New Roman" w:cs="Times New Roman"/>
          <w:color w:val="000000" w:themeColor="text1"/>
          <w:kern w:val="0"/>
          <w:lang w:eastAsia="tr-TR"/>
          <w14:ligatures w14:val="none"/>
        </w:rPr>
      </w:pPr>
      <w:r w:rsidRPr="00D62CC3">
        <w:rPr>
          <w:rFonts w:ascii="Times New Roman" w:hAnsi="Times New Roman" w:cs="Times New Roman"/>
          <w:color w:val="000000" w:themeColor="text1"/>
        </w:rPr>
        <w:t xml:space="preserve">From the mid-nineteenth century onward, Andalus emerged in Ottoman historiography as a newly imagined civilisational geography, offering an alternative apex of Islamic rationalism and a privileged site through which Islam could be integrated into European intellectual history. </w:t>
      </w:r>
      <w:r w:rsidRPr="00D62CC3">
        <w:rPr>
          <w:rFonts w:ascii="Times New Roman" w:eastAsia="Times New Roman" w:hAnsi="Times New Roman" w:cs="Times New Roman"/>
          <w:color w:val="000000" w:themeColor="text1"/>
          <w:kern w:val="0"/>
          <w:lang w:eastAsia="tr-TR"/>
          <w14:ligatures w14:val="none"/>
        </w:rPr>
        <w:t xml:space="preserve">This vision was reinforced through adaptations of European works, including Żiyā Paşa’s rendering of Louis Viardot’s </w:t>
      </w:r>
      <w:r w:rsidRPr="00D62CC3">
        <w:rPr>
          <w:rFonts w:ascii="Times New Roman" w:eastAsia="Times New Roman" w:hAnsi="Times New Roman" w:cs="Times New Roman"/>
          <w:i/>
          <w:iCs/>
          <w:color w:val="000000" w:themeColor="text1"/>
          <w:kern w:val="0"/>
          <w:lang w:eastAsia="tr-TR"/>
          <w14:ligatures w14:val="none"/>
        </w:rPr>
        <w:t>Histoire des Arabes et des Maures d’Espagne</w:t>
      </w:r>
      <w:r w:rsidRPr="00D62CC3">
        <w:rPr>
          <w:rFonts w:ascii="Times New Roman" w:eastAsia="Times New Roman" w:hAnsi="Times New Roman" w:cs="Times New Roman"/>
          <w:color w:val="000000" w:themeColor="text1"/>
          <w:kern w:val="0"/>
          <w:lang w:eastAsia="tr-TR"/>
          <w14:ligatures w14:val="none"/>
        </w:rPr>
        <w:t xml:space="preserve">, which Sami himself closely followed. </w:t>
      </w:r>
      <w:r w:rsidRPr="00D62CC3">
        <w:rPr>
          <w:rFonts w:ascii="Times New Roman" w:hAnsi="Times New Roman" w:cs="Times New Roman"/>
          <w:color w:val="000000" w:themeColor="text1"/>
        </w:rPr>
        <w:t>The appendix to the translation, based on a draft by İbrāhīm Edhem, presents Ibn Rushd as an enlightened jurist of Córdoba, equally versed in rational and transmitted sciences, whose philosophical writings so unsettled Christian authorities that they were allegedly ordered burned by the Pope.</w:t>
      </w:r>
      <w:r w:rsidRPr="00D62CC3">
        <w:rPr>
          <w:rStyle w:val="SonNotBavurusu"/>
          <w:rFonts w:ascii="Times New Roman" w:hAnsi="Times New Roman" w:cs="Times New Roman"/>
          <w:color w:val="000000" w:themeColor="text1"/>
          <w:lang w:eastAsia="tr-TR"/>
        </w:rPr>
        <w:endnoteReference w:id="31"/>
      </w:r>
      <w:r w:rsidRPr="00D62CC3">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hAnsi="Times New Roman" w:cs="Times New Roman"/>
          <w:color w:val="000000" w:themeColor="text1"/>
        </w:rPr>
        <w:t>Like Viardot, Sami concluded his work with an extensive appendix on Andalusian scholarship, explicitly challenging narratives that confined Islam’s creative peak to Baghdad and affirming that neither the Qurʾān nor Ghazālī was intrinsically opposed to Greek philosophy.</w:t>
      </w:r>
      <w:r w:rsidRPr="00D62CC3">
        <w:rPr>
          <w:rStyle w:val="SonNotBavurusu"/>
          <w:rFonts w:ascii="Times New Roman" w:hAnsi="Times New Roman" w:cs="Times New Roman"/>
          <w:color w:val="000000" w:themeColor="text1"/>
          <w:lang w:eastAsia="tr-TR"/>
        </w:rPr>
        <w:endnoteReference w:id="32"/>
      </w:r>
      <w:r w:rsidRPr="00D62CC3">
        <w:rPr>
          <w:rFonts w:ascii="Times New Roman" w:hAnsi="Times New Roman" w:cs="Times New Roman"/>
          <w:color w:val="000000" w:themeColor="text1"/>
        </w:rPr>
        <w:t xml:space="preserve"> Similar arguments recur in later polemical works on Islamic civilisation and the sciences, which invoked the astronomer Ulugh Beg (d. 853</w:t>
      </w:r>
      <w:r w:rsidRPr="00D62CC3">
        <w:rPr>
          <w:rFonts w:ascii="Times New Roman" w:hAnsi="Times New Roman" w:cs="Times New Roman"/>
          <w:color w:val="000000" w:themeColor="text1"/>
          <w:lang w:val="en-US"/>
        </w:rPr>
        <w:t>/</w:t>
      </w:r>
      <w:r w:rsidRPr="00D62CC3">
        <w:rPr>
          <w:rFonts w:ascii="Times New Roman" w:hAnsi="Times New Roman" w:cs="Times New Roman"/>
          <w:color w:val="000000" w:themeColor="text1"/>
          <w:lang w:val="tr-TR"/>
        </w:rPr>
        <w:t>1449)</w:t>
      </w:r>
      <w:r w:rsidRPr="00D62CC3">
        <w:rPr>
          <w:rFonts w:ascii="Times New Roman" w:hAnsi="Times New Roman" w:cs="Times New Roman"/>
          <w:color w:val="000000" w:themeColor="text1"/>
        </w:rPr>
        <w:t xml:space="preserve">  to underscore Islam’s multiethnic and transregional character, extending to Samarqand and Bukhara. These works displaced narratives of Seljuq </w:t>
      </w:r>
      <w:r>
        <w:rPr>
          <w:rFonts w:ascii="Times New Roman" w:hAnsi="Times New Roman" w:cs="Times New Roman"/>
          <w:color w:val="000000" w:themeColor="text1"/>
        </w:rPr>
        <w:t>‘</w:t>
      </w:r>
      <w:r w:rsidRPr="00D62CC3">
        <w:rPr>
          <w:rFonts w:ascii="Times New Roman" w:hAnsi="Times New Roman" w:cs="Times New Roman"/>
          <w:color w:val="000000" w:themeColor="text1"/>
        </w:rPr>
        <w:t>decline</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with an emphasis on the disruptive effects of Mongol invasions, situated Islam’s historical role in the translation, logical systematisation, and theological integration of rational inquiry, and emphasised that through the critical appropriation of Greek learning, Fārābī and Avicenna forged a distinctly Islamic philosophical tradition that also mediated exchanges with Indian and Chinese </w:t>
      </w:r>
      <w:r>
        <w:rPr>
          <w:rFonts w:ascii="Times New Roman" w:hAnsi="Times New Roman" w:cs="Times New Roman"/>
          <w:color w:val="000000" w:themeColor="text1"/>
          <w:lang w:val="en-US"/>
        </w:rPr>
        <w:t>‘</w:t>
      </w:r>
      <w:r w:rsidRPr="00D62CC3">
        <w:rPr>
          <w:rFonts w:ascii="Times New Roman" w:hAnsi="Times New Roman" w:cs="Times New Roman"/>
          <w:color w:val="000000" w:themeColor="text1"/>
        </w:rPr>
        <w:t>knowledge systems</w:t>
      </w:r>
      <w:r>
        <w:rPr>
          <w:rFonts w:ascii="Times New Roman" w:hAnsi="Times New Roman" w:cs="Times New Roman"/>
          <w:color w:val="000000" w:themeColor="text1"/>
        </w:rPr>
        <w:t>’.</w:t>
      </w:r>
      <w:r w:rsidRPr="00D62CC3">
        <w:rPr>
          <w:rStyle w:val="SonNotBavurusu"/>
          <w:rFonts w:ascii="Times New Roman" w:hAnsi="Times New Roman" w:cs="Times New Roman"/>
          <w:color w:val="000000" w:themeColor="text1"/>
          <w:lang w:eastAsia="tr-TR"/>
        </w:rPr>
        <w:endnoteReference w:id="33"/>
      </w:r>
    </w:p>
    <w:p w14:paraId="251645E6" w14:textId="05BD694B" w:rsidR="00206E86" w:rsidRPr="00D62CC3" w:rsidRDefault="00206E86" w:rsidP="004249A3">
      <w:pPr>
        <w:pStyle w:val="AralkYok"/>
        <w:ind w:firstLine="708"/>
        <w:jc w:val="both"/>
        <w:rPr>
          <w:rFonts w:ascii="Times New Roman" w:eastAsia="Times New Roman" w:hAnsi="Times New Roman" w:cs="Times New Roman"/>
          <w:color w:val="000000" w:themeColor="text1"/>
          <w:kern w:val="0"/>
          <w:lang w:eastAsia="tr-TR"/>
          <w14:ligatures w14:val="none"/>
        </w:rPr>
      </w:pPr>
      <w:r w:rsidRPr="00D62CC3">
        <w:rPr>
          <w:rFonts w:ascii="Times New Roman" w:hAnsi="Times New Roman" w:cs="Times New Roman"/>
          <w:color w:val="000000" w:themeColor="text1"/>
        </w:rPr>
        <w:t xml:space="preserve">In conclusion, Kemal and his generation of </w:t>
      </w:r>
      <w:r w:rsidRPr="00D62CC3">
        <w:rPr>
          <w:rFonts w:ascii="Times New Roman" w:eastAsia="Times New Roman" w:hAnsi="Times New Roman" w:cs="Times New Roman"/>
          <w:color w:val="000000" w:themeColor="text1"/>
          <w:kern w:val="0"/>
          <w:lang w:eastAsia="tr-TR"/>
          <w14:ligatures w14:val="none"/>
        </w:rPr>
        <w:t xml:space="preserve">intellectuals who inaugurated debates on </w:t>
      </w:r>
      <w:r w:rsidRPr="00D62CC3">
        <w:rPr>
          <w:rFonts w:ascii="Times New Roman" w:hAnsi="Times New Roman" w:cs="Times New Roman"/>
          <w:i/>
          <w:iCs/>
          <w:color w:val="000000" w:themeColor="text1"/>
        </w:rPr>
        <w:t>medeniyet-i İslāmiyye</w:t>
      </w:r>
      <w:r w:rsidRPr="00D62CC3">
        <w:rPr>
          <w:rFonts w:ascii="Times New Roman" w:hAnsi="Times New Roman" w:cs="Times New Roman"/>
          <w:color w:val="000000" w:themeColor="text1"/>
        </w:rPr>
        <w:t xml:space="preserve"> framed Islam’s contribution to Europe in civilisational rather than racial or national terms, positioning the Ottoman Empire as the political </w:t>
      </w:r>
      <w:r w:rsidRPr="00ED5685">
        <w:rPr>
          <w:rFonts w:ascii="Times New Roman" w:hAnsi="Times New Roman" w:cs="Times New Roman"/>
          <w:color w:val="000000" w:themeColor="text1"/>
        </w:rPr>
        <w:t>custodian of the Muslim world.</w:t>
      </w:r>
      <w:r w:rsidRPr="00ED5685">
        <w:rPr>
          <w:rFonts w:ascii="Times New Roman" w:eastAsia="Times New Roman" w:hAnsi="Times New Roman" w:cs="Times New Roman"/>
          <w:color w:val="000000" w:themeColor="text1"/>
          <w:kern w:val="0"/>
          <w:lang w:eastAsia="tr-TR"/>
          <w14:ligatures w14:val="none"/>
        </w:rPr>
        <w:t xml:space="preserve"> This reconceptualisation had a broader nineteenth-century Arabic parallel in the language of </w:t>
      </w:r>
      <w:r w:rsidRPr="00ED5685">
        <w:rPr>
          <w:rFonts w:ascii="Times New Roman" w:eastAsia="Times New Roman" w:hAnsi="Times New Roman" w:cs="Times New Roman"/>
          <w:i/>
          <w:iCs/>
          <w:color w:val="000000" w:themeColor="text1"/>
          <w:kern w:val="0"/>
          <w:lang w:eastAsia="tr-TR"/>
          <w14:ligatures w14:val="none"/>
        </w:rPr>
        <w:t>tamaddun</w:t>
      </w:r>
      <w:r w:rsidRPr="00ED5685">
        <w:rPr>
          <w:rFonts w:ascii="Times New Roman" w:eastAsia="Times New Roman" w:hAnsi="Times New Roman" w:cs="Times New Roman"/>
          <w:color w:val="000000" w:themeColor="text1"/>
          <w:kern w:val="0"/>
          <w:lang w:eastAsia="tr-TR"/>
          <w14:ligatures w14:val="none"/>
        </w:rPr>
        <w:t xml:space="preserve"> (unitary civilisation) </w:t>
      </w:r>
      <w:r w:rsidRPr="00ED5685">
        <w:rPr>
          <w:rFonts w:ascii="Times New Roman" w:hAnsi="Times New Roman" w:cs="Times New Roman"/>
          <w:color w:val="000000" w:themeColor="text1"/>
        </w:rPr>
        <w:t xml:space="preserve">which </w:t>
      </w:r>
      <w:r w:rsidRPr="00ED5685">
        <w:rPr>
          <w:rFonts w:ascii="Times New Roman" w:hAnsi="Times New Roman" w:cs="Times New Roman"/>
          <w:i/>
          <w:iCs/>
          <w:color w:val="000000" w:themeColor="text1"/>
        </w:rPr>
        <w:t>Nahḍa</w:t>
      </w:r>
      <w:r w:rsidRPr="00ED5685">
        <w:rPr>
          <w:rFonts w:ascii="Times New Roman" w:hAnsi="Times New Roman" w:cs="Times New Roman"/>
          <w:color w:val="000000" w:themeColor="text1"/>
        </w:rPr>
        <w:t xml:space="preserve"> intellectuals employed both to affirm and to qualify </w:t>
      </w:r>
      <w:r w:rsidRPr="00ED5685">
        <w:rPr>
          <w:rStyle w:val="Gl"/>
          <w:rFonts w:ascii="Times New Roman" w:hAnsi="Times New Roman" w:cs="Times New Roman"/>
          <w:b w:val="0"/>
          <w:bCs w:val="0"/>
        </w:rPr>
        <w:t>the place of the Islamic world within an increasingly integrated world order</w:t>
      </w:r>
      <w:r w:rsidRPr="00690FA9">
        <w:rPr>
          <w:rFonts w:ascii="Times New Roman" w:hAnsi="Times New Roman" w:cs="Times New Roman"/>
        </w:rPr>
        <w:t>.</w:t>
      </w:r>
      <w:r w:rsidRPr="00ED5685">
        <w:rPr>
          <w:rStyle w:val="SonNotBavurusu"/>
          <w:rFonts w:ascii="Times New Roman" w:eastAsia="Times New Roman" w:hAnsi="Times New Roman" w:cs="Times New Roman"/>
          <w:color w:val="000000" w:themeColor="text1"/>
          <w:kern w:val="0"/>
          <w:lang w:eastAsia="tr-TR"/>
          <w14:ligatures w14:val="none"/>
        </w:rPr>
        <w:endnoteReference w:id="34"/>
      </w:r>
      <w:r w:rsidRPr="00ED5685">
        <w:rPr>
          <w:rFonts w:ascii="Times New Roman" w:eastAsia="Times New Roman" w:hAnsi="Times New Roman" w:cs="Times New Roman"/>
          <w:color w:val="000000" w:themeColor="text1"/>
          <w:kern w:val="0"/>
          <w:lang w:eastAsia="tr-TR"/>
          <w14:ligatures w14:val="none"/>
        </w:rPr>
        <w:t xml:space="preserve"> </w:t>
      </w:r>
      <w:r w:rsidRPr="00ED5685">
        <w:rPr>
          <w:rFonts w:ascii="Times New Roman" w:hAnsi="Times New Roman" w:cs="Times New Roman"/>
          <w:color w:val="000000" w:themeColor="text1"/>
        </w:rPr>
        <w:t>The Abbasid golden age therefore served not as a nostalgic apex but as evidence that Islam had been</w:t>
      </w:r>
      <w:r w:rsidRPr="00D62CC3">
        <w:rPr>
          <w:rFonts w:ascii="Times New Roman" w:hAnsi="Times New Roman" w:cs="Times New Roman"/>
          <w:color w:val="000000" w:themeColor="text1"/>
        </w:rPr>
        <w:t xml:space="preserve">, and could again become, a motor of intellectual advancement, with contemporary </w:t>
      </w:r>
      <w:r>
        <w:rPr>
          <w:rFonts w:ascii="Times New Roman" w:hAnsi="Times New Roman" w:cs="Times New Roman"/>
          <w:color w:val="000000" w:themeColor="text1"/>
        </w:rPr>
        <w:t>‘</w:t>
      </w:r>
      <w:r w:rsidRPr="00D62CC3">
        <w:rPr>
          <w:rFonts w:ascii="Times New Roman" w:hAnsi="Times New Roman" w:cs="Times New Roman"/>
          <w:color w:val="000000" w:themeColor="text1"/>
        </w:rPr>
        <w:t>backwardness</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understood as historical contingency rather than religious essence.</w:t>
      </w:r>
      <w:r w:rsidRPr="00D62CC3">
        <w:rPr>
          <w:rStyle w:val="SonNotBavurusu"/>
          <w:rFonts w:ascii="Times New Roman" w:eastAsia="Times New Roman" w:hAnsi="Times New Roman" w:cs="Times New Roman"/>
          <w:color w:val="000000" w:themeColor="text1"/>
          <w:kern w:val="0"/>
          <w:lang w:eastAsia="tr-TR"/>
          <w14:ligatures w14:val="none"/>
        </w:rPr>
        <w:endnoteReference w:id="35"/>
      </w:r>
      <w:r w:rsidRPr="00D62CC3">
        <w:rPr>
          <w:rFonts w:ascii="Times New Roman" w:eastAsia="Times New Roman" w:hAnsi="Times New Roman" w:cs="Times New Roman"/>
          <w:color w:val="000000" w:themeColor="text1"/>
          <w:kern w:val="0"/>
          <w:lang w:eastAsia="tr-TR"/>
          <w14:ligatures w14:val="none"/>
        </w:rPr>
        <w:t xml:space="preserve"> </w:t>
      </w:r>
      <w:r w:rsidRPr="00690FA9">
        <w:rPr>
          <w:rFonts w:ascii="Times New Roman" w:eastAsia="Times New Roman" w:hAnsi="Times New Roman" w:cs="Times New Roman"/>
          <w:kern w:val="0"/>
          <w:lang w:eastAsia="tr-TR"/>
          <w14:ligatures w14:val="none"/>
        </w:rPr>
        <w:t>Debates over science and religion accordingly articulated Islam as a universal tradition inherently compatible with rational inquiry, in which even Ghazālī was no longer read in a reductively anti-rationalist register, while advancing a political project of Ottoman civilisational leadership and pan-Islamic renewal. They recast Islam not merely as religion (</w:t>
      </w:r>
      <w:r w:rsidRPr="00690FA9">
        <w:rPr>
          <w:rFonts w:ascii="Times New Roman" w:eastAsia="Times New Roman" w:hAnsi="Times New Roman" w:cs="Times New Roman"/>
          <w:i/>
          <w:iCs/>
          <w:kern w:val="0"/>
          <w:lang w:eastAsia="tr-TR"/>
          <w14:ligatures w14:val="none"/>
        </w:rPr>
        <w:t>dīn</w:t>
      </w:r>
      <w:r w:rsidRPr="00690FA9">
        <w:rPr>
          <w:rFonts w:ascii="Times New Roman" w:eastAsia="Times New Roman" w:hAnsi="Times New Roman" w:cs="Times New Roman"/>
          <w:kern w:val="0"/>
          <w:lang w:eastAsia="tr-TR"/>
          <w14:ligatures w14:val="none"/>
        </w:rPr>
        <w:t>), but as a civilisational formation that had sustained the institutional and epistemic conditions of scientific knowledge through continuity and adaptation across successive historical periods.</w:t>
      </w:r>
      <w:r w:rsidRPr="00D62CC3">
        <w:rPr>
          <w:rStyle w:val="SonNotBavurusu"/>
          <w:rFonts w:ascii="Times New Roman" w:hAnsi="Times New Roman" w:cs="Times New Roman"/>
          <w:color w:val="000000" w:themeColor="text1"/>
          <w:lang w:eastAsia="tr-TR"/>
        </w:rPr>
        <w:endnoteReference w:id="36"/>
      </w:r>
      <w:r w:rsidRPr="00D62CC3">
        <w:rPr>
          <w:rFonts w:ascii="Times New Roman" w:eastAsia="Times New Roman" w:hAnsi="Times New Roman" w:cs="Times New Roman"/>
          <w:color w:val="000000" w:themeColor="text1"/>
          <w:kern w:val="0"/>
          <w:lang w:eastAsia="tr-TR"/>
          <w14:ligatures w14:val="none"/>
        </w:rPr>
        <w:t xml:space="preserve"> </w:t>
      </w:r>
    </w:p>
    <w:p w14:paraId="62844E29" w14:textId="77777777" w:rsidR="00206E86" w:rsidRPr="00D62CC3" w:rsidRDefault="00206E86" w:rsidP="004249A3">
      <w:pPr>
        <w:pStyle w:val="AralkYok"/>
        <w:jc w:val="both"/>
        <w:rPr>
          <w:rFonts w:ascii="Times New Roman" w:hAnsi="Times New Roman" w:cs="Times New Roman"/>
          <w:color w:val="000000" w:themeColor="text1"/>
          <w:lang w:eastAsia="tr-TR"/>
        </w:rPr>
      </w:pPr>
    </w:p>
    <w:p w14:paraId="08B77149" w14:textId="1BBCB4C8" w:rsidR="00206E86" w:rsidRPr="00D62CC3" w:rsidRDefault="00206E86" w:rsidP="004249A3">
      <w:pPr>
        <w:pStyle w:val="AralkYok"/>
        <w:jc w:val="both"/>
        <w:rPr>
          <w:rFonts w:ascii="Times New Roman" w:eastAsia="Times New Roman" w:hAnsi="Times New Roman" w:cs="Times New Roman"/>
          <w:b/>
          <w:bCs/>
          <w:color w:val="000000" w:themeColor="text1"/>
          <w:kern w:val="0"/>
          <w:lang w:eastAsia="tr-TR"/>
          <w14:ligatures w14:val="none"/>
        </w:rPr>
      </w:pPr>
      <w:r w:rsidRPr="00D62CC3">
        <w:rPr>
          <w:rFonts w:ascii="Times New Roman" w:hAnsi="Times New Roman" w:cs="Times New Roman"/>
          <w:b/>
          <w:bCs/>
          <w:color w:val="000000" w:themeColor="text1"/>
        </w:rPr>
        <w:lastRenderedPageBreak/>
        <w:t xml:space="preserve">Constructing </w:t>
      </w:r>
      <w:r>
        <w:rPr>
          <w:rFonts w:ascii="Times New Roman" w:eastAsia="Times New Roman" w:hAnsi="Times New Roman" w:cs="Times New Roman"/>
          <w:b/>
          <w:bCs/>
          <w:color w:val="000000" w:themeColor="text1"/>
          <w:kern w:val="0"/>
          <w:lang w:eastAsia="tr-TR"/>
          <w14:ligatures w14:val="none"/>
        </w:rPr>
        <w:t>c</w:t>
      </w:r>
      <w:r w:rsidRPr="00D62CC3">
        <w:rPr>
          <w:rFonts w:ascii="Times New Roman" w:eastAsia="Times New Roman" w:hAnsi="Times New Roman" w:cs="Times New Roman"/>
          <w:b/>
          <w:bCs/>
          <w:color w:val="000000" w:themeColor="text1"/>
          <w:kern w:val="0"/>
          <w:lang w:eastAsia="tr-TR"/>
          <w14:ligatures w14:val="none"/>
        </w:rPr>
        <w:t xml:space="preserve">ongruence without </w:t>
      </w:r>
      <w:r>
        <w:rPr>
          <w:rFonts w:ascii="Times New Roman" w:eastAsia="Times New Roman" w:hAnsi="Times New Roman" w:cs="Times New Roman"/>
          <w:b/>
          <w:bCs/>
          <w:color w:val="000000" w:themeColor="text1"/>
          <w:kern w:val="0"/>
          <w:lang w:eastAsia="tr-TR"/>
          <w14:ligatures w14:val="none"/>
        </w:rPr>
        <w:t>c</w:t>
      </w:r>
      <w:r w:rsidRPr="00D62CC3">
        <w:rPr>
          <w:rFonts w:ascii="Times New Roman" w:eastAsia="Times New Roman" w:hAnsi="Times New Roman" w:cs="Times New Roman"/>
          <w:b/>
          <w:bCs/>
          <w:color w:val="000000" w:themeColor="text1"/>
          <w:kern w:val="0"/>
          <w:lang w:eastAsia="tr-TR"/>
          <w14:ligatures w14:val="none"/>
        </w:rPr>
        <w:t xml:space="preserve">onflict: </w:t>
      </w:r>
      <w:r>
        <w:rPr>
          <w:rFonts w:ascii="Times New Roman" w:eastAsia="Times New Roman" w:hAnsi="Times New Roman" w:cs="Times New Roman"/>
          <w:b/>
          <w:bCs/>
          <w:color w:val="000000" w:themeColor="text1"/>
          <w:kern w:val="0"/>
          <w:lang w:eastAsia="tr-TR"/>
          <w14:ligatures w14:val="none"/>
        </w:rPr>
        <w:t>l</w:t>
      </w:r>
      <w:r w:rsidRPr="00D62CC3">
        <w:rPr>
          <w:rFonts w:ascii="Times New Roman" w:eastAsia="Times New Roman" w:hAnsi="Times New Roman" w:cs="Times New Roman"/>
          <w:b/>
          <w:bCs/>
          <w:color w:val="000000" w:themeColor="text1"/>
          <w:kern w:val="0"/>
          <w:lang w:eastAsia="tr-TR"/>
          <w14:ligatures w14:val="none"/>
        </w:rPr>
        <w:t xml:space="preserve">ate Ottoman </w:t>
      </w:r>
      <w:r>
        <w:rPr>
          <w:rFonts w:ascii="Times New Roman" w:eastAsia="Times New Roman" w:hAnsi="Times New Roman" w:cs="Times New Roman"/>
          <w:b/>
          <w:bCs/>
          <w:color w:val="000000" w:themeColor="text1"/>
          <w:kern w:val="0"/>
          <w:lang w:eastAsia="tr-TR"/>
          <w14:ligatures w14:val="none"/>
        </w:rPr>
        <w:t>r</w:t>
      </w:r>
      <w:r w:rsidRPr="00D62CC3">
        <w:rPr>
          <w:rFonts w:ascii="Times New Roman" w:eastAsia="Times New Roman" w:hAnsi="Times New Roman" w:cs="Times New Roman"/>
          <w:b/>
          <w:bCs/>
          <w:color w:val="000000" w:themeColor="text1"/>
          <w:kern w:val="0"/>
          <w:lang w:eastAsia="tr-TR"/>
          <w14:ligatures w14:val="none"/>
        </w:rPr>
        <w:t xml:space="preserve">eframings of the </w:t>
      </w:r>
      <w:r w:rsidRPr="00D62CC3">
        <w:rPr>
          <w:rFonts w:ascii="Times New Roman" w:eastAsia="Times New Roman" w:hAnsi="Times New Roman" w:cs="Times New Roman"/>
          <w:b/>
          <w:bCs/>
          <w:i/>
          <w:iCs/>
          <w:color w:val="000000" w:themeColor="text1"/>
          <w:kern w:val="0"/>
          <w:lang w:eastAsia="tr-TR"/>
          <w14:ligatures w14:val="none"/>
        </w:rPr>
        <w:t>Tahāfut</w:t>
      </w:r>
      <w:r w:rsidRPr="00D62CC3">
        <w:rPr>
          <w:rFonts w:ascii="Times New Roman" w:eastAsia="Times New Roman" w:hAnsi="Times New Roman" w:cs="Times New Roman"/>
          <w:b/>
          <w:bCs/>
          <w:color w:val="000000" w:themeColor="text1"/>
          <w:kern w:val="0"/>
          <w:lang w:eastAsia="tr-TR"/>
          <w14:ligatures w14:val="none"/>
        </w:rPr>
        <w:t xml:space="preserve"> </w:t>
      </w:r>
      <w:r>
        <w:rPr>
          <w:rFonts w:ascii="Times New Roman" w:eastAsia="Times New Roman" w:hAnsi="Times New Roman" w:cs="Times New Roman"/>
          <w:b/>
          <w:bCs/>
          <w:color w:val="000000" w:themeColor="text1"/>
          <w:kern w:val="0"/>
          <w:lang w:eastAsia="tr-TR"/>
          <w14:ligatures w14:val="none"/>
        </w:rPr>
        <w:t>d</w:t>
      </w:r>
      <w:r w:rsidRPr="00D62CC3">
        <w:rPr>
          <w:rFonts w:ascii="Times New Roman" w:eastAsia="Times New Roman" w:hAnsi="Times New Roman" w:cs="Times New Roman"/>
          <w:b/>
          <w:bCs/>
          <w:color w:val="000000" w:themeColor="text1"/>
          <w:kern w:val="0"/>
          <w:lang w:eastAsia="tr-TR"/>
          <w14:ligatures w14:val="none"/>
        </w:rPr>
        <w:t>ebate</w:t>
      </w:r>
    </w:p>
    <w:p w14:paraId="0081B0B3" w14:textId="47DC3C34" w:rsidR="00206E86" w:rsidRPr="00D62CC3" w:rsidRDefault="00206E86" w:rsidP="004249A3">
      <w:pPr>
        <w:jc w:val="both"/>
        <w:rPr>
          <w:color w:val="000000" w:themeColor="text1"/>
        </w:rPr>
      </w:pPr>
      <w:r w:rsidRPr="00D62CC3">
        <w:rPr>
          <w:color w:val="000000" w:themeColor="text1"/>
        </w:rPr>
        <w:t xml:space="preserve">These broader nineteenth-century Ottoman debates over Islamic civilisation were shaped by curricular reforms, the introduction of European historiography in newly founded schools, and the vogue for universal history, which together reoriented discussions of science, philosophy, and civilisational continuity, </w:t>
      </w:r>
      <w:r w:rsidRPr="00D62CC3">
        <w:rPr>
          <w:rStyle w:val="Gl"/>
          <w:b w:val="0"/>
          <w:bCs w:val="0"/>
          <w:color w:val="000000" w:themeColor="text1"/>
        </w:rPr>
        <w:t>and</w:t>
      </w:r>
      <w:r w:rsidRPr="00D62CC3">
        <w:rPr>
          <w:color w:val="000000" w:themeColor="text1"/>
        </w:rPr>
        <w:t xml:space="preserve"> ultimately generated a renewed reassessment of the </w:t>
      </w:r>
      <w:r w:rsidRPr="00D62CC3">
        <w:rPr>
          <w:i/>
          <w:iCs/>
          <w:color w:val="000000" w:themeColor="text1"/>
        </w:rPr>
        <w:t xml:space="preserve">Tahāfut </w:t>
      </w:r>
      <w:r w:rsidRPr="00D62CC3">
        <w:rPr>
          <w:color w:val="000000" w:themeColor="text1"/>
        </w:rPr>
        <w:t xml:space="preserve">debate. During this period, many of the Ottoman intellectuals who addressed this subject taught at newly established educational institutions and participated in an emerging tradition of writing the history of </w:t>
      </w:r>
      <w:r>
        <w:rPr>
          <w:color w:val="000000" w:themeColor="text1"/>
        </w:rPr>
        <w:t>‘</w:t>
      </w:r>
      <w:r w:rsidRPr="00D62CC3">
        <w:rPr>
          <w:color w:val="000000" w:themeColor="text1"/>
        </w:rPr>
        <w:t>mankind and civilisation</w:t>
      </w:r>
      <w:r>
        <w:rPr>
          <w:color w:val="000000" w:themeColor="text1"/>
        </w:rPr>
        <w:t>’</w:t>
      </w:r>
      <w:r w:rsidRPr="00D62CC3">
        <w:rPr>
          <w:color w:val="000000" w:themeColor="text1"/>
        </w:rPr>
        <w:t xml:space="preserve"> (</w:t>
      </w:r>
      <w:r w:rsidRPr="00D62CC3">
        <w:rPr>
          <w:i/>
          <w:iCs/>
          <w:color w:val="000000" w:themeColor="text1"/>
        </w:rPr>
        <w:t>histoire universelle</w:t>
      </w:r>
      <w:r w:rsidRPr="00D62CC3">
        <w:rPr>
          <w:color w:val="000000" w:themeColor="text1"/>
        </w:rPr>
        <w:t>). This tradition reconceptualised history as a social science and framed the world as a single, integrated historical field. These developments were reflected in curricular debates at institutions such as the School of Civil Administration (</w:t>
      </w:r>
      <w:r w:rsidRPr="00D62CC3">
        <w:rPr>
          <w:i/>
          <w:iCs/>
          <w:color w:val="000000" w:themeColor="text1"/>
        </w:rPr>
        <w:t>Mekteb-i Mülkiye</w:t>
      </w:r>
      <w:r w:rsidRPr="00D62CC3">
        <w:rPr>
          <w:color w:val="000000" w:themeColor="text1"/>
        </w:rPr>
        <w:t>), where questions arose concerning the scope and place of European science within a newly universalised conception of the past.</w:t>
      </w:r>
      <w:r w:rsidRPr="00D62CC3">
        <w:rPr>
          <w:rStyle w:val="SonNotBavurusu"/>
          <w:color w:val="000000" w:themeColor="text1"/>
        </w:rPr>
        <w:endnoteReference w:id="37"/>
      </w:r>
    </w:p>
    <w:p w14:paraId="0A6478D4" w14:textId="6615FAA6"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eastAsia="Times New Roman" w:hAnsi="Times New Roman" w:cs="Times New Roman"/>
          <w:color w:val="000000" w:themeColor="text1"/>
          <w:kern w:val="0"/>
          <w:lang w:eastAsia="tr-TR"/>
          <w14:ligatures w14:val="none"/>
        </w:rPr>
        <w:t xml:space="preserve">Because nineteenth-century European historiography increasingly framed the history of science through a narrative of conflict between religion and reason, some Ottoman interpreters were compelled to confront the issue directly, thereby drawing renewed attention to the </w:t>
      </w:r>
      <w:r w:rsidRPr="00D62CC3">
        <w:rPr>
          <w:rFonts w:ascii="Times New Roman" w:eastAsia="Times New Roman" w:hAnsi="Times New Roman" w:cs="Times New Roman"/>
          <w:i/>
          <w:iCs/>
          <w:color w:val="000000" w:themeColor="text1"/>
          <w:kern w:val="0"/>
          <w:lang w:eastAsia="tr-TR"/>
          <w14:ligatures w14:val="none"/>
        </w:rPr>
        <w:t>Tahāfut</w:t>
      </w:r>
      <w:r w:rsidRPr="00D62CC3">
        <w:rPr>
          <w:rFonts w:ascii="Times New Roman" w:eastAsia="Times New Roman" w:hAnsi="Times New Roman" w:cs="Times New Roman"/>
          <w:color w:val="000000" w:themeColor="text1"/>
          <w:kern w:val="0"/>
          <w:lang w:eastAsia="tr-TR"/>
          <w14:ligatures w14:val="none"/>
        </w:rPr>
        <w:t xml:space="preserve"> debate. In this context, arguments advanced by figures from Namık Kemal to Şemseddin Sami, emphasizing Islam’s cumulative, transregional, and civilisational openness to rational inquiry, laid the intellectual groundwork for a more pointed theological question: whether the alleged conflict between religion and science was intrinsic to Islam itself. This question was taken up explicitly through renewed engagements with the </w:t>
      </w:r>
      <w:r w:rsidRPr="00D62CC3">
        <w:rPr>
          <w:rFonts w:ascii="Times New Roman" w:eastAsia="Times New Roman" w:hAnsi="Times New Roman" w:cs="Times New Roman"/>
          <w:i/>
          <w:iCs/>
          <w:color w:val="000000" w:themeColor="text1"/>
          <w:kern w:val="0"/>
          <w:lang w:eastAsia="tr-TR"/>
          <w14:ligatures w14:val="none"/>
        </w:rPr>
        <w:t>Tahāfut</w:t>
      </w:r>
      <w:r w:rsidRPr="00D62CC3">
        <w:rPr>
          <w:rFonts w:ascii="Times New Roman" w:eastAsia="Times New Roman" w:hAnsi="Times New Roman" w:cs="Times New Roman"/>
          <w:color w:val="000000" w:themeColor="text1"/>
          <w:kern w:val="0"/>
          <w:lang w:eastAsia="tr-TR"/>
          <w14:ligatures w14:val="none"/>
        </w:rPr>
        <w:t>s of Ghazālī and Ibn Rushd, which late</w:t>
      </w:r>
      <w:r>
        <w:rPr>
          <w:rFonts w:ascii="Times New Roman" w:eastAsia="Times New Roman" w:hAnsi="Times New Roman" w:cs="Times New Roman"/>
          <w:color w:val="000000" w:themeColor="text1"/>
          <w:kern w:val="0"/>
          <w:lang w:eastAsia="tr-TR"/>
          <w14:ligatures w14:val="none"/>
        </w:rPr>
        <w:t>r</w:t>
      </w:r>
      <w:r w:rsidRPr="00D62CC3">
        <w:rPr>
          <w:rFonts w:ascii="Times New Roman" w:eastAsia="Times New Roman" w:hAnsi="Times New Roman" w:cs="Times New Roman"/>
          <w:color w:val="000000" w:themeColor="text1"/>
          <w:kern w:val="0"/>
          <w:lang w:eastAsia="tr-TR"/>
          <w14:ligatures w14:val="none"/>
        </w:rPr>
        <w:t xml:space="preserve"> Ottoman thinkers read not as</w:t>
      </w:r>
      <w:r w:rsidRPr="00D62CC3">
        <w:rPr>
          <w:rFonts w:ascii="Times New Roman" w:hAnsi="Times New Roman" w:cs="Times New Roman"/>
          <w:color w:val="000000" w:themeColor="text1"/>
        </w:rPr>
        <w:t xml:space="preserve"> a record of irreconcilable opposition but as a paradigmatic site of </w:t>
      </w:r>
      <w:r>
        <w:rPr>
          <w:rFonts w:ascii="Times New Roman" w:hAnsi="Times New Roman" w:cs="Times New Roman"/>
          <w:color w:val="000000" w:themeColor="text1"/>
        </w:rPr>
        <w:t>scientific</w:t>
      </w:r>
      <w:r w:rsidRPr="00D62CC3">
        <w:rPr>
          <w:rFonts w:ascii="Times New Roman" w:hAnsi="Times New Roman" w:cs="Times New Roman"/>
          <w:color w:val="000000" w:themeColor="text1"/>
        </w:rPr>
        <w:t xml:space="preserve"> negotiation and conceptual congruence.</w:t>
      </w:r>
    </w:p>
    <w:p w14:paraId="4B7C2087" w14:textId="77777777" w:rsidR="00206E86" w:rsidRPr="00D62CC3" w:rsidRDefault="00206E86" w:rsidP="004249A3">
      <w:pPr>
        <w:pStyle w:val="AralkYok"/>
        <w:jc w:val="both"/>
        <w:rPr>
          <w:rFonts w:ascii="Times New Roman" w:eastAsia="Times New Roman" w:hAnsi="Times New Roman" w:cs="Times New Roman"/>
          <w:b/>
          <w:bCs/>
          <w:color w:val="000000" w:themeColor="text1"/>
          <w:kern w:val="0"/>
          <w:lang w:eastAsia="tr-TR"/>
          <w14:ligatures w14:val="none"/>
        </w:rPr>
      </w:pPr>
    </w:p>
    <w:p w14:paraId="365C7A74" w14:textId="600C5CED" w:rsidR="00206E86" w:rsidRPr="005139F0" w:rsidRDefault="00206E86" w:rsidP="005139F0">
      <w:pPr>
        <w:pStyle w:val="AralkYok"/>
        <w:jc w:val="both"/>
        <w:rPr>
          <w:rFonts w:ascii="Times New Roman" w:hAnsi="Times New Roman" w:cs="Times New Roman"/>
          <w:b/>
          <w:bCs/>
        </w:rPr>
      </w:pPr>
      <w:r w:rsidRPr="005139F0">
        <w:rPr>
          <w:rFonts w:ascii="Times New Roman" w:hAnsi="Times New Roman" w:cs="Times New Roman"/>
          <w:b/>
          <w:bCs/>
        </w:rPr>
        <w:t xml:space="preserve">From Draper’s </w:t>
      </w:r>
      <w:r>
        <w:rPr>
          <w:rFonts w:ascii="Times New Roman" w:hAnsi="Times New Roman" w:cs="Times New Roman"/>
          <w:b/>
          <w:bCs/>
        </w:rPr>
        <w:t>c</w:t>
      </w:r>
      <w:r w:rsidRPr="005139F0">
        <w:rPr>
          <w:rFonts w:ascii="Times New Roman" w:hAnsi="Times New Roman" w:cs="Times New Roman"/>
          <w:b/>
          <w:bCs/>
        </w:rPr>
        <w:t xml:space="preserve">onflict </w:t>
      </w:r>
      <w:r>
        <w:rPr>
          <w:rFonts w:ascii="Times New Roman" w:hAnsi="Times New Roman" w:cs="Times New Roman"/>
          <w:b/>
          <w:bCs/>
        </w:rPr>
        <w:t>t</w:t>
      </w:r>
      <w:r w:rsidRPr="005139F0">
        <w:rPr>
          <w:rFonts w:ascii="Times New Roman" w:hAnsi="Times New Roman" w:cs="Times New Roman"/>
          <w:b/>
          <w:bCs/>
        </w:rPr>
        <w:t xml:space="preserve">hesis to Ahmed Midhat’s </w:t>
      </w:r>
      <w:r>
        <w:rPr>
          <w:rFonts w:ascii="Times New Roman" w:hAnsi="Times New Roman" w:cs="Times New Roman"/>
          <w:b/>
          <w:bCs/>
        </w:rPr>
        <w:t>‘d</w:t>
      </w:r>
      <w:r w:rsidRPr="005139F0">
        <w:rPr>
          <w:rFonts w:ascii="Times New Roman" w:hAnsi="Times New Roman" w:cs="Times New Roman"/>
          <w:b/>
          <w:bCs/>
        </w:rPr>
        <w:t>ispute</w:t>
      </w:r>
      <w:r>
        <w:rPr>
          <w:rFonts w:ascii="Times New Roman" w:hAnsi="Times New Roman" w:cs="Times New Roman"/>
          <w:b/>
          <w:bCs/>
        </w:rPr>
        <w:t>’</w:t>
      </w:r>
    </w:p>
    <w:p w14:paraId="27024698" w14:textId="172DB22A" w:rsidR="00206E86" w:rsidRPr="00D62CC3" w:rsidRDefault="00206E86" w:rsidP="005139F0">
      <w:pPr>
        <w:pStyle w:val="AralkYok"/>
        <w:jc w:val="both"/>
        <w:rPr>
          <w:rFonts w:ascii="Times New Roman" w:hAnsi="Times New Roman" w:cs="Times New Roman"/>
          <w:color w:val="000000" w:themeColor="text1"/>
        </w:rPr>
      </w:pPr>
      <w:r>
        <w:rPr>
          <w:rFonts w:ascii="Times New Roman" w:hAnsi="Times New Roman" w:cs="Times New Roman"/>
          <w:color w:val="000000" w:themeColor="text1"/>
        </w:rPr>
        <w:t>Another</w:t>
      </w:r>
      <w:r w:rsidRPr="00D62CC3">
        <w:rPr>
          <w:rFonts w:ascii="Times New Roman" w:hAnsi="Times New Roman" w:cs="Times New Roman"/>
          <w:color w:val="000000" w:themeColor="text1"/>
        </w:rPr>
        <w:t xml:space="preserve"> consequential work shaping the late Ottoman reception of the </w:t>
      </w:r>
      <w:r>
        <w:rPr>
          <w:rFonts w:ascii="Times New Roman" w:hAnsi="Times New Roman" w:cs="Times New Roman"/>
          <w:color w:val="000000" w:themeColor="text1"/>
        </w:rPr>
        <w:t>‘</w:t>
      </w:r>
      <w:r w:rsidRPr="00D62CC3">
        <w:rPr>
          <w:rFonts w:ascii="Times New Roman" w:hAnsi="Times New Roman" w:cs="Times New Roman"/>
          <w:color w:val="000000" w:themeColor="text1"/>
        </w:rPr>
        <w:t>conflict thesis</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was John W. Draper’s </w:t>
      </w:r>
      <w:r w:rsidRPr="00D62CC3">
        <w:rPr>
          <w:rFonts w:ascii="Times New Roman" w:eastAsia="Times New Roman" w:hAnsi="Times New Roman" w:cs="Times New Roman"/>
          <w:i/>
          <w:iCs/>
          <w:color w:val="000000" w:themeColor="text1"/>
        </w:rPr>
        <w:t>History of the Conflict between Religion and Science</w:t>
      </w:r>
      <w:r w:rsidRPr="00D62CC3">
        <w:rPr>
          <w:rFonts w:ascii="Times New Roman" w:hAnsi="Times New Roman" w:cs="Times New Roman"/>
          <w:color w:val="000000" w:themeColor="text1"/>
        </w:rPr>
        <w:t xml:space="preserve"> (1874), a resolutely positivist narrative that reduces the </w:t>
      </w:r>
      <w:r w:rsidRPr="002F080F">
        <w:rPr>
          <w:rFonts w:ascii="Times New Roman" w:hAnsi="Times New Roman" w:cs="Times New Roman"/>
          <w:color w:val="000000" w:themeColor="text1"/>
        </w:rPr>
        <w:t xml:space="preserve">development of universal science to a series of purportedly invariant laws governing the recurrent antagonism between scientific rationality and religious authority. Structured around a sequence of historical turning points, Draper’s account ultimately rests on the assumption that science and religion constitute fundamentally distinct and largely irreconcilable domains. </w:t>
      </w:r>
      <w:r w:rsidRPr="002F080F">
        <w:rPr>
          <w:rFonts w:ascii="Times New Roman" w:hAnsi="Times New Roman" w:cs="Times New Roman"/>
        </w:rPr>
        <w:t>The text entered the Ottoman intellectual sphere through the littérateur Ahmed Midhat (1844–1912), who translated it in 1898, some twenty-five years after its original publication, at the recommendation of the pioneering author Fatma Aliye.</w:t>
      </w:r>
      <w:r w:rsidRPr="002F080F">
        <w:rPr>
          <w:rFonts w:ascii="Times New Roman" w:eastAsia="Times New Roman" w:hAnsi="Times New Roman" w:cs="Times New Roman"/>
          <w:color w:val="000000" w:themeColor="text1"/>
          <w:kern w:val="0"/>
          <w:lang w:eastAsia="tr-TR"/>
          <w14:ligatures w14:val="none"/>
        </w:rPr>
        <w:t xml:space="preserve"> Published under the title </w:t>
      </w:r>
      <w:r w:rsidRPr="002F080F">
        <w:rPr>
          <w:rFonts w:ascii="Times New Roman" w:eastAsia="Times New Roman" w:hAnsi="Times New Roman" w:cs="Times New Roman"/>
          <w:i/>
          <w:iCs/>
          <w:color w:val="000000" w:themeColor="text1"/>
          <w:kern w:val="0"/>
          <w:lang w:eastAsia="tr-TR"/>
          <w14:ligatures w14:val="none"/>
        </w:rPr>
        <w:t>Nizāʿ-ı ʿilm ü dīn</w:t>
      </w:r>
      <w:r w:rsidRPr="002F080F">
        <w:rPr>
          <w:rFonts w:ascii="Times New Roman" w:eastAsia="Times New Roman" w:hAnsi="Times New Roman" w:cs="Times New Roman"/>
          <w:color w:val="000000" w:themeColor="text1"/>
          <w:kern w:val="0"/>
          <w:lang w:eastAsia="tr-TR"/>
          <w14:ligatures w14:val="none"/>
        </w:rPr>
        <w:t>, the translation substantially reworked Draper’s text. Across four volumes, Midhat critically reframed its argument for an Ottoman readership, supplementing it with extensive commentary that ultimately exceeded the original in length.</w:t>
      </w:r>
      <w:r w:rsidRPr="002F080F">
        <w:rPr>
          <w:rFonts w:ascii="Times New Roman" w:hAnsi="Times New Roman" w:cs="Times New Roman"/>
          <w:color w:val="000000" w:themeColor="text1"/>
        </w:rPr>
        <w:t xml:space="preserve"> This</w:t>
      </w:r>
      <w:r w:rsidRPr="00D62CC3">
        <w:rPr>
          <w:rFonts w:ascii="Times New Roman" w:hAnsi="Times New Roman" w:cs="Times New Roman"/>
          <w:color w:val="000000" w:themeColor="text1"/>
        </w:rPr>
        <w:t xml:space="preserve"> intervention sought to counter Orientalist accounts and to articulate a distinctly Ottoman rejection of the presumed antagonism between Islam and scientific inquiry.</w:t>
      </w:r>
    </w:p>
    <w:p w14:paraId="1D5AF7AF" w14:textId="2C24B04B"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hAnsi="Times New Roman" w:cs="Times New Roman"/>
          <w:color w:val="000000" w:themeColor="text1"/>
        </w:rPr>
        <w:t>Like other Ottoman intellectuals engaged in writing universal histories, Midhat aimed to situate the empire within global historiography without simply repro</w:t>
      </w:r>
      <w:r w:rsidRPr="002F080F">
        <w:rPr>
          <w:rFonts w:ascii="Times New Roman" w:hAnsi="Times New Roman" w:cs="Times New Roman"/>
          <w:color w:val="000000" w:themeColor="text1"/>
        </w:rPr>
        <w:t xml:space="preserve">ducing European paradigms. </w:t>
      </w:r>
      <w:r w:rsidRPr="002F080F">
        <w:rPr>
          <w:rFonts w:ascii="Times New Roman" w:hAnsi="Times New Roman" w:cs="Times New Roman"/>
        </w:rPr>
        <w:t>Yet this project required demonstrating that Islam could be integrated into dominant narratives of civilisational progress without conceding any inherent incompatibility with rational inquiry.</w:t>
      </w:r>
      <w:r w:rsidRPr="002F080F">
        <w:rPr>
          <w:rStyle w:val="SonNotBavurusu"/>
          <w:rFonts w:ascii="Times New Roman" w:hAnsi="Times New Roman" w:cs="Times New Roman"/>
          <w:color w:val="000000" w:themeColor="text1"/>
        </w:rPr>
        <w:endnoteReference w:id="38"/>
      </w:r>
      <w:r w:rsidRPr="002F080F">
        <w:rPr>
          <w:rFonts w:ascii="Times New Roman" w:hAnsi="Times New Roman" w:cs="Times New Roman"/>
          <w:color w:val="000000" w:themeColor="text1"/>
        </w:rPr>
        <w:t xml:space="preserve"> European models were therefore selectively appropriated and refracted through a historiographical strategy that reconciled modern state formation with religious idioms drawn from the Islamic past.</w:t>
      </w:r>
      <w:r w:rsidRPr="002F080F">
        <w:rPr>
          <w:rStyle w:val="SonNotBavurusu"/>
          <w:rFonts w:ascii="Times New Roman" w:hAnsi="Times New Roman" w:cs="Times New Roman"/>
          <w:color w:val="000000" w:themeColor="text1"/>
        </w:rPr>
        <w:endnoteReference w:id="39"/>
      </w:r>
      <w:r w:rsidRPr="002F080F">
        <w:rPr>
          <w:rFonts w:ascii="Times New Roman" w:hAnsi="Times New Roman" w:cs="Times New Roman"/>
          <w:color w:val="000000" w:themeColor="text1"/>
        </w:rPr>
        <w:t xml:space="preserve"> In this sense, historical writing functioned for Midhat as political commentary and</w:t>
      </w:r>
      <w:r w:rsidRPr="00D62CC3">
        <w:rPr>
          <w:rFonts w:ascii="Times New Roman" w:hAnsi="Times New Roman" w:cs="Times New Roman"/>
          <w:color w:val="000000" w:themeColor="text1"/>
        </w:rPr>
        <w:t xml:space="preserve"> as a theoretical framework for Ottomanism, providing a means of asserting Ottoman participation in universal history on its own terms.</w:t>
      </w:r>
      <w:r w:rsidRPr="00D62CC3">
        <w:rPr>
          <w:rStyle w:val="SonNotBavurusu"/>
          <w:rFonts w:ascii="Times New Roman" w:hAnsi="Times New Roman" w:cs="Times New Roman"/>
          <w:color w:val="000000" w:themeColor="text1"/>
        </w:rPr>
        <w:endnoteReference w:id="40"/>
      </w:r>
    </w:p>
    <w:p w14:paraId="45DCAC78" w14:textId="13D1A379"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eastAsia="Times New Roman" w:hAnsi="Times New Roman" w:cs="Times New Roman"/>
          <w:color w:val="000000" w:themeColor="text1"/>
          <w:kern w:val="0"/>
          <w:lang w:eastAsia="tr-TR"/>
          <w14:ligatures w14:val="none"/>
        </w:rPr>
        <w:t>The irony of Draper’s influence lies in the fact that his polemic was directed primarily against Christianity rather than Islam. Although his work provoked criticism across Europe, from religious thinkers to Fyodor Dostoevsky,</w:t>
      </w:r>
      <w:r w:rsidRPr="00D62CC3">
        <w:rPr>
          <w:rStyle w:val="SonNotBavurusu"/>
          <w:rFonts w:ascii="Times New Roman" w:eastAsia="Times New Roman" w:hAnsi="Times New Roman" w:cs="Times New Roman"/>
          <w:color w:val="000000" w:themeColor="text1"/>
          <w:kern w:val="0"/>
          <w:lang w:eastAsia="tr-TR"/>
          <w14:ligatures w14:val="none"/>
        </w:rPr>
        <w:endnoteReference w:id="41"/>
      </w:r>
      <w:r w:rsidRPr="00D62CC3">
        <w:rPr>
          <w:rFonts w:ascii="Times New Roman" w:eastAsia="Times New Roman" w:hAnsi="Times New Roman" w:cs="Times New Roman"/>
          <w:color w:val="000000" w:themeColor="text1"/>
          <w:kern w:val="0"/>
          <w:lang w:eastAsia="tr-TR"/>
          <w14:ligatures w14:val="none"/>
        </w:rPr>
        <w:t xml:space="preserve"> its relatively favourable portrayal of Islam strengthened the position of Ottoman intellectuals like Midhat. Contrary to a simplified reading, Draper did not present science </w:t>
      </w:r>
      <w:r w:rsidRPr="00D62CC3">
        <w:rPr>
          <w:rFonts w:ascii="Times New Roman" w:eastAsia="Times New Roman" w:hAnsi="Times New Roman" w:cs="Times New Roman"/>
          <w:color w:val="000000" w:themeColor="text1"/>
          <w:kern w:val="0"/>
          <w:lang w:eastAsia="tr-TR"/>
          <w14:ligatures w14:val="none"/>
        </w:rPr>
        <w:lastRenderedPageBreak/>
        <w:t>and religion as categorically irreconcilable; rather, he displaced religion from epistemic centrality and relevance, treating it as historically contingent and capable of reform.</w:t>
      </w:r>
      <w:r w:rsidRPr="00D62CC3">
        <w:rPr>
          <w:rStyle w:val="SonNotBavurusu"/>
          <w:rFonts w:ascii="Times New Roman" w:eastAsia="Times New Roman" w:hAnsi="Times New Roman" w:cs="Times New Roman"/>
          <w:color w:val="000000" w:themeColor="text1"/>
          <w:kern w:val="0"/>
          <w:lang w:eastAsia="tr-TR"/>
          <w14:ligatures w14:val="none"/>
        </w:rPr>
        <w:endnoteReference w:id="42"/>
      </w:r>
      <w:r w:rsidRPr="00D62CC3">
        <w:rPr>
          <w:rFonts w:ascii="Times New Roman" w:eastAsia="Times New Roman" w:hAnsi="Times New Roman" w:cs="Times New Roman"/>
          <w:color w:val="000000" w:themeColor="text1"/>
          <w:kern w:val="0"/>
          <w:lang w:eastAsia="tr-TR"/>
          <w14:ligatures w14:val="none"/>
        </w:rPr>
        <w:t xml:space="preserve"> </w:t>
      </w:r>
      <w:r>
        <w:rPr>
          <w:rFonts w:ascii="Times New Roman" w:hAnsi="Times New Roman" w:cs="Times New Roman"/>
          <w:color w:val="000000" w:themeColor="text1"/>
        </w:rPr>
        <w:t>R</w:t>
      </w:r>
      <w:r w:rsidRPr="00D62CC3">
        <w:rPr>
          <w:rFonts w:ascii="Times New Roman" w:hAnsi="Times New Roman" w:cs="Times New Roman"/>
          <w:color w:val="000000" w:themeColor="text1"/>
        </w:rPr>
        <w:t xml:space="preserve">eligion was not intrinsically false but became obstructive only when resistant to intellectual change, while episodes of science–religion conflict were understood to have paradoxically propelled scientific advancement by compelling the human intellect to confront inherited constraints. </w:t>
      </w:r>
      <w:r w:rsidRPr="00D62CC3">
        <w:rPr>
          <w:rFonts w:ascii="Times New Roman" w:eastAsia="Times New Roman" w:hAnsi="Times New Roman" w:cs="Times New Roman"/>
          <w:color w:val="000000" w:themeColor="text1"/>
          <w:kern w:val="0"/>
          <w:lang w:eastAsia="tr-TR"/>
          <w14:ligatures w14:val="none"/>
        </w:rPr>
        <w:t>Draper’s narrative located the source of such conflicts primarily in Catholicism (and, to a lesser extent, Protestantism), while maintaining that Islam had never been intrinsically hostile to scientific inquiry. Ottoman intellectuals seized upon this asymmetry to recast Islam as a civilisational mentor (</w:t>
      </w:r>
      <w:r w:rsidRPr="00D62CC3">
        <w:rPr>
          <w:rFonts w:ascii="Times New Roman" w:eastAsia="Times New Roman" w:hAnsi="Times New Roman" w:cs="Times New Roman"/>
          <w:i/>
          <w:iCs/>
          <w:color w:val="000000" w:themeColor="text1"/>
          <w:kern w:val="0"/>
          <w:lang w:eastAsia="tr-TR"/>
          <w14:ligatures w14:val="none"/>
        </w:rPr>
        <w:t>mürebbī</w:t>
      </w:r>
      <w:r w:rsidRPr="00D62CC3">
        <w:rPr>
          <w:rFonts w:ascii="Times New Roman" w:eastAsia="Times New Roman" w:hAnsi="Times New Roman" w:cs="Times New Roman"/>
          <w:color w:val="000000" w:themeColor="text1"/>
          <w:kern w:val="0"/>
          <w:lang w:eastAsia="tr-TR"/>
          <w14:ligatures w14:val="none"/>
        </w:rPr>
        <w:t>) of Europe and to appropriate Ibn Rushd as an emblem of rational openness whose legacy, Draper argued, had been extinguished by religious dogmatism.</w:t>
      </w:r>
      <w:r w:rsidRPr="00D62CC3">
        <w:rPr>
          <w:rStyle w:val="SonNotBavurusu"/>
          <w:rFonts w:ascii="Times New Roman" w:hAnsi="Times New Roman" w:cs="Times New Roman"/>
          <w:color w:val="000000" w:themeColor="text1"/>
        </w:rPr>
        <w:endnoteReference w:id="43"/>
      </w:r>
      <w:r w:rsidRPr="00D62CC3">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hAnsi="Times New Roman" w:cs="Times New Roman"/>
          <w:color w:val="000000" w:themeColor="text1"/>
        </w:rPr>
        <w:t>In this way, Draper’s book functioned for Midhat as a pedagogical guide for cultivating a new generation of Ottoman students trained to distinguish universally valid scientific knowledge from culturally hegemonic forms of life to be resisted.</w:t>
      </w:r>
    </w:p>
    <w:p w14:paraId="3DD164C4" w14:textId="25C2365A" w:rsidR="00206E86" w:rsidRPr="004249A3" w:rsidRDefault="00206E86" w:rsidP="004249A3">
      <w:pPr>
        <w:pStyle w:val="AralkYok"/>
        <w:ind w:firstLine="708"/>
        <w:jc w:val="both"/>
        <w:rPr>
          <w:rFonts w:ascii="Times New Roman" w:eastAsia="Times New Roman" w:hAnsi="Times New Roman" w:cs="Times New Roman"/>
          <w:color w:val="000000" w:themeColor="text1"/>
          <w:kern w:val="0"/>
          <w:lang w:eastAsia="tr-TR"/>
          <w14:ligatures w14:val="none"/>
        </w:rPr>
      </w:pPr>
      <w:r w:rsidRPr="00D62CC3">
        <w:rPr>
          <w:rFonts w:ascii="Times New Roman" w:hAnsi="Times New Roman" w:cs="Times New Roman"/>
          <w:color w:val="000000" w:themeColor="text1"/>
        </w:rPr>
        <w:t xml:space="preserve">Draper structures </w:t>
      </w:r>
      <w:r>
        <w:rPr>
          <w:rFonts w:ascii="Times New Roman" w:hAnsi="Times New Roman" w:cs="Times New Roman"/>
          <w:color w:val="000000" w:themeColor="text1"/>
        </w:rPr>
        <w:t>‘</w:t>
      </w:r>
      <w:r w:rsidRPr="00D62CC3">
        <w:rPr>
          <w:rFonts w:ascii="Times New Roman" w:hAnsi="Times New Roman" w:cs="Times New Roman"/>
          <w:color w:val="000000" w:themeColor="text1"/>
        </w:rPr>
        <w:t>Mohammedanism</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through a sharp internal differentiation, grounding his construction of a </w:t>
      </w:r>
      <w:r>
        <w:rPr>
          <w:rFonts w:ascii="Times New Roman" w:hAnsi="Times New Roman" w:cs="Times New Roman"/>
          <w:color w:val="000000" w:themeColor="text1"/>
        </w:rPr>
        <w:t>‘</w:t>
      </w:r>
      <w:r w:rsidRPr="00D62CC3">
        <w:rPr>
          <w:rFonts w:ascii="Times New Roman" w:hAnsi="Times New Roman" w:cs="Times New Roman"/>
          <w:color w:val="000000" w:themeColor="text1"/>
        </w:rPr>
        <w:t>classical</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Islamic theology in an extended citation attributed to Ghazālī, whom he casts as emblematic of a belief in the </w:t>
      </w:r>
      <w:r w:rsidRPr="00810267">
        <w:rPr>
          <w:rFonts w:ascii="Times New Roman" w:hAnsi="Times New Roman" w:cs="Times New Roman"/>
          <w:color w:val="000000" w:themeColor="text1"/>
        </w:rPr>
        <w:t>posthumous return of individual souls to their divine source as a matter of destiny.</w:t>
      </w:r>
      <w:r w:rsidRPr="00810267">
        <w:rPr>
          <w:rStyle w:val="SonNotBavurusu"/>
          <w:rFonts w:ascii="Times New Roman" w:hAnsi="Times New Roman" w:cs="Times New Roman"/>
          <w:color w:val="000000" w:themeColor="text1"/>
        </w:rPr>
        <w:endnoteReference w:id="44"/>
      </w:r>
      <w:r w:rsidRPr="00810267">
        <w:rPr>
          <w:rFonts w:ascii="Times New Roman" w:hAnsi="Times New Roman" w:cs="Times New Roman"/>
          <w:color w:val="000000" w:themeColor="text1"/>
        </w:rPr>
        <w:t xml:space="preserve"> Yet Draper insists that genuine ‘philosophical Islamism’ is to be found not in Ghazālī’s theological </w:t>
      </w:r>
      <w:r w:rsidRPr="00810267">
        <w:rPr>
          <w:rFonts w:ascii="Times New Roman" w:hAnsi="Times New Roman" w:cs="Times New Roman"/>
          <w:color w:val="000000" w:themeColor="text1"/>
          <w:lang w:val="en-US"/>
        </w:rPr>
        <w:t>psychology</w:t>
      </w:r>
      <w:r w:rsidRPr="00810267">
        <w:rPr>
          <w:rFonts w:ascii="Times New Roman" w:hAnsi="Times New Roman" w:cs="Times New Roman"/>
          <w:color w:val="000000" w:themeColor="text1"/>
        </w:rPr>
        <w:t xml:space="preserve"> but in Averroism: a rationalist system that rejects anthropomorphic theology and conceives of God as the Active Intellect into which the individual intelligent principle is ultimately absorbed. </w:t>
      </w:r>
      <w:r w:rsidRPr="00810267">
        <w:rPr>
          <w:rFonts w:ascii="Times New Roman" w:hAnsi="Times New Roman" w:cs="Times New Roman"/>
        </w:rPr>
        <w:t>On this account, Ibn Rushd appears as a paragon of intellectual openness whose reconciliation of philosophy and faith was held to surpass Ghazālī’s objections. This portrayal allowed Ottoman readers of Draper to cast him in a paradoxical dual role: at once a hero of modern Western rationalism and an authentically Muslim thinker whose views remained consonant with Islam’s cardinal doctrine of divine unity.</w:t>
      </w:r>
      <w:r w:rsidRPr="00810267">
        <w:rPr>
          <w:rStyle w:val="SonNotBavurusu"/>
          <w:rFonts w:ascii="Times New Roman" w:hAnsi="Times New Roman" w:cs="Times New Roman"/>
          <w:color w:val="000000" w:themeColor="text1"/>
        </w:rPr>
        <w:t xml:space="preserve"> </w:t>
      </w:r>
      <w:r w:rsidRPr="00810267">
        <w:rPr>
          <w:rStyle w:val="SonNotBavurusu"/>
          <w:rFonts w:ascii="Times New Roman" w:hAnsi="Times New Roman" w:cs="Times New Roman"/>
          <w:color w:val="000000" w:themeColor="text1"/>
        </w:rPr>
        <w:endnoteReference w:id="45"/>
      </w:r>
    </w:p>
    <w:p w14:paraId="7BE8BD16" w14:textId="37B632BB" w:rsidR="00206E86" w:rsidRPr="004249A3" w:rsidRDefault="00206E86" w:rsidP="004249A3">
      <w:pPr>
        <w:pStyle w:val="AralkYok"/>
        <w:ind w:firstLine="708"/>
        <w:jc w:val="both"/>
        <w:rPr>
          <w:rFonts w:ascii="Times New Roman" w:hAnsi="Times New Roman" w:cs="Times New Roman"/>
        </w:rPr>
      </w:pPr>
      <w:r w:rsidRPr="004249A3">
        <w:rPr>
          <w:rFonts w:ascii="Times New Roman" w:hAnsi="Times New Roman" w:cs="Times New Roman"/>
        </w:rPr>
        <w:t xml:space="preserve">Significantly, Midhat titled his </w:t>
      </w:r>
      <w:r>
        <w:rPr>
          <w:rFonts w:ascii="Times New Roman" w:hAnsi="Times New Roman" w:cs="Times New Roman"/>
        </w:rPr>
        <w:t>translation-cum-commentary</w:t>
      </w:r>
      <w:r w:rsidRPr="004249A3">
        <w:rPr>
          <w:rFonts w:ascii="Times New Roman" w:hAnsi="Times New Roman" w:cs="Times New Roman"/>
        </w:rPr>
        <w:t xml:space="preserve">, opting for </w:t>
      </w:r>
      <w:r w:rsidRPr="004249A3">
        <w:rPr>
          <w:rFonts w:ascii="Times New Roman" w:hAnsi="Times New Roman" w:cs="Times New Roman"/>
          <w:i/>
          <w:iCs/>
        </w:rPr>
        <w:t>nizāʿ</w:t>
      </w:r>
      <w:r w:rsidRPr="004249A3">
        <w:rPr>
          <w:rFonts w:ascii="Times New Roman" w:hAnsi="Times New Roman" w:cs="Times New Roman"/>
        </w:rPr>
        <w:t xml:space="preserve"> (dispute, contention) rather than a term implying an absolute or irreconcilable clash.</w:t>
      </w:r>
      <w:r w:rsidRPr="004249A3">
        <w:rPr>
          <w:rStyle w:val="SonNotBavurusu"/>
          <w:rFonts w:ascii="Times New Roman" w:hAnsi="Times New Roman" w:cs="Times New Roman"/>
          <w:color w:val="000000" w:themeColor="text1"/>
        </w:rPr>
        <w:endnoteReference w:id="46"/>
      </w:r>
      <w:r w:rsidRPr="004249A3">
        <w:rPr>
          <w:rFonts w:ascii="Times New Roman" w:hAnsi="Times New Roman" w:cs="Times New Roman"/>
        </w:rPr>
        <w:t xml:space="preserve"> </w:t>
      </w:r>
      <w:r w:rsidRPr="001F2FB6">
        <w:rPr>
          <w:rFonts w:ascii="Times New Roman" w:eastAsia="Times New Roman" w:hAnsi="Times New Roman" w:cs="Times New Roman"/>
          <w:kern w:val="0"/>
          <w:lang w:eastAsia="tr-TR"/>
          <w14:ligatures w14:val="none"/>
        </w:rPr>
        <w:t xml:space="preserve">More accurately captured by Arabic terms denoting logical or epistemological opposition—such as </w:t>
      </w:r>
      <w:r w:rsidRPr="001F2FB6">
        <w:rPr>
          <w:rFonts w:ascii="Times New Roman" w:eastAsia="Times New Roman" w:hAnsi="Times New Roman" w:cs="Times New Roman"/>
          <w:i/>
          <w:iCs/>
          <w:kern w:val="0"/>
          <w:lang w:eastAsia="tr-TR"/>
          <w14:ligatures w14:val="none"/>
        </w:rPr>
        <w:t>taʿāruḍ</w:t>
      </w:r>
      <w:r w:rsidRPr="001F2FB6">
        <w:rPr>
          <w:rFonts w:ascii="Times New Roman" w:eastAsia="Times New Roman" w:hAnsi="Times New Roman" w:cs="Times New Roman"/>
          <w:kern w:val="0"/>
          <w:lang w:eastAsia="tr-TR"/>
          <w14:ligatures w14:val="none"/>
        </w:rPr>
        <w:t xml:space="preserve"> (opposition), </w:t>
      </w:r>
      <w:r w:rsidRPr="001F2FB6">
        <w:rPr>
          <w:rFonts w:ascii="Times New Roman" w:eastAsia="Times New Roman" w:hAnsi="Times New Roman" w:cs="Times New Roman"/>
          <w:i/>
          <w:iCs/>
          <w:kern w:val="0"/>
          <w:lang w:eastAsia="tr-TR"/>
          <w14:ligatures w14:val="none"/>
        </w:rPr>
        <w:t>tanāquḍ</w:t>
      </w:r>
      <w:r w:rsidRPr="001F2FB6">
        <w:rPr>
          <w:rFonts w:ascii="Times New Roman" w:eastAsia="Times New Roman" w:hAnsi="Times New Roman" w:cs="Times New Roman"/>
          <w:kern w:val="0"/>
          <w:lang w:eastAsia="tr-TR"/>
          <w14:ligatures w14:val="none"/>
        </w:rPr>
        <w:t xml:space="preserve"> (contradiction), or </w:t>
      </w:r>
      <w:r w:rsidRPr="001F2FB6">
        <w:rPr>
          <w:rFonts w:ascii="Times New Roman" w:eastAsia="Times New Roman" w:hAnsi="Times New Roman" w:cs="Times New Roman"/>
          <w:i/>
          <w:iCs/>
          <w:kern w:val="0"/>
          <w:lang w:eastAsia="tr-TR"/>
          <w14:ligatures w14:val="none"/>
        </w:rPr>
        <w:t>ikhtilāf/khilāf</w:t>
      </w:r>
      <w:r w:rsidRPr="001F2FB6">
        <w:rPr>
          <w:rFonts w:ascii="Times New Roman" w:eastAsia="Times New Roman" w:hAnsi="Times New Roman" w:cs="Times New Roman"/>
          <w:kern w:val="0"/>
          <w:lang w:eastAsia="tr-TR"/>
          <w14:ligatures w14:val="none"/>
        </w:rPr>
        <w:t xml:space="preserve"> (disagreement)—</w:t>
      </w:r>
      <w:r w:rsidRPr="004249A3">
        <w:rPr>
          <w:rFonts w:ascii="Times New Roman" w:hAnsi="Times New Roman" w:cs="Times New Roman"/>
          <w:i/>
          <w:iCs/>
        </w:rPr>
        <w:t>nizāʿ</w:t>
      </w:r>
      <w:r w:rsidRPr="004249A3">
        <w:rPr>
          <w:rFonts w:ascii="Times New Roman" w:hAnsi="Times New Roman" w:cs="Times New Roman"/>
        </w:rPr>
        <w:t xml:space="preserve">, unlike </w:t>
      </w:r>
      <w:r>
        <w:rPr>
          <w:rFonts w:ascii="Times New Roman" w:hAnsi="Times New Roman" w:cs="Times New Roman"/>
        </w:rPr>
        <w:t>‘</w:t>
      </w:r>
      <w:r w:rsidRPr="004249A3">
        <w:rPr>
          <w:rFonts w:ascii="Times New Roman" w:hAnsi="Times New Roman" w:cs="Times New Roman"/>
        </w:rPr>
        <w:t>conflict</w:t>
      </w:r>
      <w:r>
        <w:rPr>
          <w:rFonts w:ascii="Times New Roman" w:hAnsi="Times New Roman" w:cs="Times New Roman"/>
        </w:rPr>
        <w:t>’,</w:t>
      </w:r>
      <w:r w:rsidRPr="004249A3">
        <w:rPr>
          <w:rFonts w:ascii="Times New Roman" w:hAnsi="Times New Roman" w:cs="Times New Roman"/>
        </w:rPr>
        <w:t xml:space="preserve"> presupposes a shared conceptual terrain between opposing positions. It thus conveys a dynamic disputational struggle internal to a common framework, rather than a categorical antagonism between incommensurable domains. This semantic choice reflects a broader historiographical strategy, particularly in Midhat’s framing of the Ghazālī–Ibn Rushd debate as an </w:t>
      </w:r>
      <w:r>
        <w:rPr>
          <w:rFonts w:ascii="Times New Roman" w:hAnsi="Times New Roman" w:cs="Times New Roman"/>
        </w:rPr>
        <w:t>‘</w:t>
      </w:r>
      <w:r w:rsidRPr="004249A3">
        <w:rPr>
          <w:rFonts w:ascii="Times New Roman" w:hAnsi="Times New Roman" w:cs="Times New Roman"/>
        </w:rPr>
        <w:t>internal dialogue</w:t>
      </w:r>
      <w:r>
        <w:rPr>
          <w:rFonts w:ascii="Times New Roman" w:hAnsi="Times New Roman" w:cs="Times New Roman"/>
        </w:rPr>
        <w:t>’</w:t>
      </w:r>
      <w:r w:rsidRPr="004249A3">
        <w:rPr>
          <w:rFonts w:ascii="Times New Roman" w:hAnsi="Times New Roman" w:cs="Times New Roman"/>
        </w:rPr>
        <w:t xml:space="preserve"> within Islam that accommodated multiple epistemic approaches. In this sense, Midhat’s lecture notes for his history of philosophy course at Istanbul’s </w:t>
      </w:r>
      <w:r w:rsidRPr="004249A3">
        <w:rPr>
          <w:rFonts w:ascii="Times New Roman" w:hAnsi="Times New Roman" w:cs="Times New Roman"/>
          <w:i/>
          <w:iCs/>
        </w:rPr>
        <w:t>Dārülfünūn</w:t>
      </w:r>
      <w:r w:rsidRPr="004249A3">
        <w:rPr>
          <w:rFonts w:ascii="Times New Roman" w:hAnsi="Times New Roman" w:cs="Times New Roman"/>
        </w:rPr>
        <w:t>, the Ottoman Empire’s principal modern institution of higher learning, classified</w:t>
      </w:r>
      <w:r>
        <w:rPr>
          <w:rFonts w:ascii="Times New Roman" w:hAnsi="Times New Roman" w:cs="Times New Roman"/>
        </w:rPr>
        <w:t xml:space="preserve"> postclassical</w:t>
      </w:r>
      <w:r w:rsidRPr="004249A3">
        <w:rPr>
          <w:rFonts w:ascii="Times New Roman" w:hAnsi="Times New Roman" w:cs="Times New Roman"/>
        </w:rPr>
        <w:t xml:space="preserve"> scholars such as Ghazālī, Sayyid Sharīf al-Jurjānī, Shams al-Dīn al-Iṣfahānī, Jalāl al-Dīn Dawānī, and Ḫocazāde as exemplars of </w:t>
      </w:r>
      <w:r w:rsidRPr="004249A3">
        <w:rPr>
          <w:rFonts w:ascii="Times New Roman" w:hAnsi="Times New Roman" w:cs="Times New Roman"/>
          <w:i/>
          <w:iCs/>
        </w:rPr>
        <w:t>kelām-ı ḥikmet</w:t>
      </w:r>
      <w:r w:rsidRPr="004249A3">
        <w:rPr>
          <w:rFonts w:ascii="Times New Roman" w:hAnsi="Times New Roman" w:cs="Times New Roman"/>
        </w:rPr>
        <w:t>: a post-Avicennan synthesis in which philosophical inquiry was integrated into theology while remaining firmly grounded in Ashʿarī and Māturīdī doctrinal commitments.</w:t>
      </w:r>
      <w:r w:rsidRPr="004249A3">
        <w:rPr>
          <w:rStyle w:val="SonNotBavurusu"/>
          <w:rFonts w:ascii="Times New Roman" w:hAnsi="Times New Roman" w:cs="Times New Roman"/>
          <w:color w:val="000000" w:themeColor="text1"/>
        </w:rPr>
        <w:endnoteReference w:id="47"/>
      </w:r>
      <w:r w:rsidRPr="004249A3">
        <w:rPr>
          <w:rFonts w:ascii="Times New Roman" w:hAnsi="Times New Roman" w:cs="Times New Roman"/>
        </w:rPr>
        <w:t xml:space="preserve"> Ibn Rushd, by contrast, represented </w:t>
      </w:r>
      <w:r w:rsidRPr="004249A3">
        <w:rPr>
          <w:rFonts w:ascii="Times New Roman" w:hAnsi="Times New Roman" w:cs="Times New Roman"/>
          <w:i/>
          <w:iCs/>
        </w:rPr>
        <w:t>ḥikmet-i maḥża</w:t>
      </w:r>
      <w:r w:rsidRPr="004249A3">
        <w:rPr>
          <w:rFonts w:ascii="Times New Roman" w:hAnsi="Times New Roman" w:cs="Times New Roman"/>
        </w:rPr>
        <w:t xml:space="preserve"> in its strict sense, a comparatively autonomous Peripatetic–Neoplatonist lineage of Islamic thought, associated with Fārābī, Avicenna, and Ibn Bājja, that advanced the naturalistic and metaphysical dimensions of Greek philosoph</w:t>
      </w:r>
      <w:r>
        <w:rPr>
          <w:rFonts w:ascii="Times New Roman" w:hAnsi="Times New Roman" w:cs="Times New Roman"/>
        </w:rPr>
        <w:t>y</w:t>
      </w:r>
      <w:r w:rsidRPr="004249A3">
        <w:rPr>
          <w:rFonts w:ascii="Times New Roman" w:hAnsi="Times New Roman" w:cs="Times New Roman"/>
        </w:rPr>
        <w:t>.</w:t>
      </w:r>
      <w:r w:rsidRPr="004249A3">
        <w:rPr>
          <w:rStyle w:val="SonNotBavurusu"/>
          <w:rFonts w:ascii="Times New Roman" w:hAnsi="Times New Roman" w:cs="Times New Roman"/>
          <w:color w:val="000000" w:themeColor="text1"/>
        </w:rPr>
        <w:endnoteReference w:id="48"/>
      </w:r>
    </w:p>
    <w:p w14:paraId="781427D0" w14:textId="190C3D4E" w:rsidR="00206E86" w:rsidRPr="004249A3" w:rsidRDefault="00206E86" w:rsidP="004249A3">
      <w:pPr>
        <w:pStyle w:val="AralkYok"/>
        <w:ind w:firstLine="708"/>
        <w:jc w:val="both"/>
        <w:rPr>
          <w:rFonts w:ascii="Times New Roman" w:hAnsi="Times New Roman" w:cs="Times New Roman"/>
        </w:rPr>
      </w:pPr>
      <w:r w:rsidRPr="004249A3">
        <w:rPr>
          <w:rFonts w:ascii="Times New Roman" w:hAnsi="Times New Roman" w:cs="Times New Roman"/>
        </w:rPr>
        <w:t xml:space="preserve">Midhat’s deployment of </w:t>
      </w:r>
      <w:r w:rsidRPr="001F2FB6">
        <w:rPr>
          <w:rFonts w:ascii="Times New Roman" w:hAnsi="Times New Roman" w:cs="Times New Roman"/>
        </w:rPr>
        <w:t xml:space="preserve">the </w:t>
      </w:r>
      <w:r w:rsidRPr="001F2FB6">
        <w:rPr>
          <w:rFonts w:ascii="Times New Roman" w:hAnsi="Times New Roman" w:cs="Times New Roman"/>
          <w:i/>
          <w:iCs/>
        </w:rPr>
        <w:t>Tahāfut</w:t>
      </w:r>
      <w:r w:rsidRPr="001F2FB6">
        <w:rPr>
          <w:rFonts w:ascii="Times New Roman" w:hAnsi="Times New Roman" w:cs="Times New Roman"/>
        </w:rPr>
        <w:t>s as paradigmatic instances of Islam’s openness to intellectual exchange draws directly on the teachings of his mentor Musa Kazım (1858–1920), a proponent of Akbarī Sufism, twice Shaykh al-Islām under the Committee of Union and Progress  (CUP), and an architect of its educational and social reforms, who had earlier positioned Ibn Rushd’s rationalism within a ‘reformist ulema’.</w:t>
      </w:r>
      <w:r w:rsidRPr="001F2FB6">
        <w:rPr>
          <w:rStyle w:val="SonNotBavurusu"/>
          <w:rFonts w:ascii="Times New Roman" w:hAnsi="Times New Roman" w:cs="Times New Roman"/>
          <w:color w:val="000000" w:themeColor="text1"/>
          <w:lang w:val="tr-TR"/>
        </w:rPr>
        <w:endnoteReference w:id="49"/>
      </w:r>
      <w:r w:rsidRPr="001F2FB6">
        <w:rPr>
          <w:rFonts w:ascii="Times New Roman" w:hAnsi="Times New Roman" w:cs="Times New Roman"/>
        </w:rPr>
        <w:t xml:space="preserve"> Aligned</w:t>
      </w:r>
      <w:r w:rsidRPr="004249A3">
        <w:rPr>
          <w:rFonts w:ascii="Times New Roman" w:hAnsi="Times New Roman" w:cs="Times New Roman"/>
        </w:rPr>
        <w:t xml:space="preserve"> with the CUP’s radical educational policies, Kazım repeatedly invoked Ibn Rushd’s rationalist agenda in the </w:t>
      </w:r>
      <w:r w:rsidRPr="004249A3">
        <w:rPr>
          <w:rFonts w:ascii="Times New Roman" w:hAnsi="Times New Roman" w:cs="Times New Roman"/>
          <w:i/>
          <w:iCs/>
        </w:rPr>
        <w:t>Tahāfut</w:t>
      </w:r>
      <w:r w:rsidRPr="004249A3">
        <w:rPr>
          <w:rFonts w:ascii="Times New Roman" w:hAnsi="Times New Roman" w:cs="Times New Roman"/>
        </w:rPr>
        <w:t xml:space="preserve"> debate to justify the expansion of new secular schools (</w:t>
      </w:r>
      <w:r w:rsidRPr="004249A3">
        <w:rPr>
          <w:rFonts w:ascii="Times New Roman" w:hAnsi="Times New Roman" w:cs="Times New Roman"/>
          <w:i/>
          <w:iCs/>
        </w:rPr>
        <w:t>mektep</w:t>
      </w:r>
      <w:r w:rsidRPr="004249A3">
        <w:rPr>
          <w:rFonts w:ascii="Times New Roman" w:hAnsi="Times New Roman" w:cs="Times New Roman"/>
        </w:rPr>
        <w:t>) with non-religious curricula, in explicit opposition to the historical authority of the theological seminaries (</w:t>
      </w:r>
      <w:r w:rsidRPr="004249A3">
        <w:rPr>
          <w:rFonts w:ascii="Times New Roman" w:hAnsi="Times New Roman" w:cs="Times New Roman"/>
          <w:i/>
          <w:iCs/>
        </w:rPr>
        <w:t>medrese</w:t>
      </w:r>
      <w:r w:rsidRPr="004249A3">
        <w:rPr>
          <w:rFonts w:ascii="Times New Roman" w:hAnsi="Times New Roman" w:cs="Times New Roman"/>
        </w:rPr>
        <w:t>), a framework that he subsequently appropriated and elaborated.</w:t>
      </w:r>
      <w:r w:rsidRPr="004249A3">
        <w:rPr>
          <w:rStyle w:val="SonNotBavurusu"/>
          <w:rFonts w:ascii="Times New Roman" w:hAnsi="Times New Roman" w:cs="Times New Roman"/>
          <w:color w:val="000000" w:themeColor="text1"/>
          <w:lang w:val="tr-TR"/>
        </w:rPr>
        <w:endnoteReference w:id="50"/>
      </w:r>
    </w:p>
    <w:p w14:paraId="38485F15" w14:textId="10AECCF3"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eastAsia="Times New Roman" w:hAnsi="Times New Roman" w:cs="Times New Roman"/>
          <w:color w:val="000000" w:themeColor="text1"/>
          <w:kern w:val="0"/>
          <w:lang w:eastAsia="tr-TR"/>
          <w14:ligatures w14:val="none"/>
        </w:rPr>
        <w:lastRenderedPageBreak/>
        <w:t xml:space="preserve">Drawing on Kazım’s synthesis and interweaving Qurʾānic citations throughout, Midhat maintains that Ibn Rushd diverges from Ghazālī most notably </w:t>
      </w:r>
      <w:r>
        <w:rPr>
          <w:rFonts w:ascii="Times New Roman" w:eastAsia="Times New Roman" w:hAnsi="Times New Roman" w:cs="Times New Roman"/>
          <w:color w:val="000000" w:themeColor="text1"/>
          <w:kern w:val="0"/>
          <w:lang w:eastAsia="tr-TR"/>
          <w14:ligatures w14:val="none"/>
        </w:rPr>
        <w:t>on the</w:t>
      </w:r>
      <w:r w:rsidRPr="00D62CC3">
        <w:rPr>
          <w:rFonts w:ascii="Times New Roman" w:eastAsia="Times New Roman" w:hAnsi="Times New Roman" w:cs="Times New Roman"/>
          <w:color w:val="000000" w:themeColor="text1"/>
          <w:kern w:val="0"/>
          <w:lang w:eastAsia="tr-TR"/>
          <w14:ligatures w14:val="none"/>
        </w:rPr>
        <w:t xml:space="preserve"> pre-eternity of the world. In other domains, such as the origin and return of the soul (</w:t>
      </w:r>
      <w:r w:rsidRPr="00D62CC3">
        <w:rPr>
          <w:rFonts w:ascii="Times New Roman" w:eastAsia="Times New Roman" w:hAnsi="Times New Roman" w:cs="Times New Roman"/>
          <w:i/>
          <w:iCs/>
          <w:color w:val="000000" w:themeColor="text1"/>
          <w:kern w:val="0"/>
          <w:lang w:eastAsia="tr-TR"/>
          <w14:ligatures w14:val="none"/>
        </w:rPr>
        <w:t>mebdeʾ ve meʿād</w:t>
      </w:r>
      <w:r w:rsidRPr="00D62CC3">
        <w:rPr>
          <w:rFonts w:ascii="Times New Roman" w:eastAsia="Times New Roman" w:hAnsi="Times New Roman" w:cs="Times New Roman"/>
          <w:color w:val="000000" w:themeColor="text1"/>
          <w:kern w:val="0"/>
          <w:lang w:eastAsia="tr-TR"/>
          <w14:ligatures w14:val="none"/>
        </w:rPr>
        <w:t>) and the resurrection and gathering of human beings (</w:t>
      </w:r>
      <w:r w:rsidRPr="00D62CC3">
        <w:rPr>
          <w:rFonts w:ascii="Times New Roman" w:eastAsia="Times New Roman" w:hAnsi="Times New Roman" w:cs="Times New Roman"/>
          <w:i/>
          <w:iCs/>
          <w:color w:val="000000" w:themeColor="text1"/>
          <w:kern w:val="0"/>
          <w:lang w:eastAsia="tr-TR"/>
          <w14:ligatures w14:val="none"/>
        </w:rPr>
        <w:t>ḥaşr</w:t>
      </w:r>
      <w:r w:rsidRPr="00D62CC3">
        <w:rPr>
          <w:rFonts w:ascii="Times New Roman" w:eastAsia="Times New Roman" w:hAnsi="Times New Roman" w:cs="Times New Roman"/>
          <w:color w:val="000000" w:themeColor="text1"/>
          <w:kern w:val="0"/>
          <w:lang w:eastAsia="tr-TR"/>
          <w14:ligatures w14:val="none"/>
        </w:rPr>
        <w:t>)</w:t>
      </w:r>
      <w:r>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eastAsia="Times New Roman" w:hAnsi="Times New Roman" w:cs="Times New Roman"/>
          <w:color w:val="000000" w:themeColor="text1"/>
          <w:kern w:val="0"/>
          <w:lang w:eastAsia="tr-TR"/>
          <w14:ligatures w14:val="none"/>
        </w:rPr>
        <w:t>on the Day of Judgment, their disagreement is methodological rather than doctrinal.</w:t>
      </w:r>
      <w:r w:rsidRPr="00D62CC3">
        <w:rPr>
          <w:rStyle w:val="SonNotBavurusu"/>
          <w:rFonts w:ascii="Times New Roman" w:hAnsi="Times New Roman" w:cs="Times New Roman"/>
          <w:color w:val="000000" w:themeColor="text1"/>
        </w:rPr>
        <w:endnoteReference w:id="51"/>
      </w:r>
      <w:r w:rsidRPr="00D62CC3">
        <w:rPr>
          <w:rFonts w:ascii="Times New Roman" w:hAnsi="Times New Roman" w:cs="Times New Roman"/>
          <w:color w:val="000000" w:themeColor="text1"/>
          <w:lang w:eastAsia="tr-TR"/>
        </w:rPr>
        <w:t xml:space="preserve"> </w:t>
      </w:r>
      <w:r w:rsidRPr="00D62CC3">
        <w:rPr>
          <w:rFonts w:ascii="Times New Roman" w:eastAsia="Times New Roman" w:hAnsi="Times New Roman" w:cs="Times New Roman"/>
          <w:color w:val="000000" w:themeColor="text1"/>
          <w:kern w:val="0"/>
          <w:lang w:eastAsia="tr-TR"/>
          <w14:ligatures w14:val="none"/>
        </w:rPr>
        <w:t>Both thinkers, he argues, share the same ultimate intention (</w:t>
      </w:r>
      <w:r w:rsidRPr="00D62CC3">
        <w:rPr>
          <w:rFonts w:ascii="Times New Roman" w:eastAsia="Times New Roman" w:hAnsi="Times New Roman" w:cs="Times New Roman"/>
          <w:i/>
          <w:iCs/>
          <w:color w:val="000000" w:themeColor="text1"/>
          <w:kern w:val="0"/>
          <w:lang w:eastAsia="tr-TR"/>
          <w14:ligatures w14:val="none"/>
        </w:rPr>
        <w:t>maḳṣūd</w:t>
      </w:r>
      <w:r w:rsidRPr="00D62CC3">
        <w:rPr>
          <w:rFonts w:ascii="Times New Roman" w:eastAsia="Times New Roman" w:hAnsi="Times New Roman" w:cs="Times New Roman"/>
          <w:color w:val="000000" w:themeColor="text1"/>
          <w:kern w:val="0"/>
          <w:lang w:eastAsia="tr-TR"/>
          <w14:ligatures w14:val="none"/>
        </w:rPr>
        <w:t>), differing only in argumentative strategy. Ibn Rushd, on this reading, remains equally aligned with Islamic theological commitments, denying neither resurrection nor the Hereafter;</w:t>
      </w:r>
      <w:r w:rsidRPr="00D62CC3">
        <w:rPr>
          <w:rStyle w:val="SonNotBavurusu"/>
          <w:rFonts w:ascii="Times New Roman" w:hAnsi="Times New Roman" w:cs="Times New Roman"/>
          <w:color w:val="000000" w:themeColor="text1"/>
          <w:lang w:eastAsia="tr-TR"/>
        </w:rPr>
        <w:endnoteReference w:id="52"/>
      </w:r>
      <w:r w:rsidRPr="00D62CC3">
        <w:rPr>
          <w:rFonts w:ascii="Times New Roman" w:eastAsia="Times New Roman" w:hAnsi="Times New Roman" w:cs="Times New Roman"/>
          <w:color w:val="000000" w:themeColor="text1"/>
          <w:kern w:val="0"/>
          <w:lang w:eastAsia="tr-TR"/>
          <w14:ligatures w14:val="none"/>
        </w:rPr>
        <w:t xml:space="preserve"> the sole point of </w:t>
      </w:r>
      <w:r w:rsidRPr="00D62CC3">
        <w:rPr>
          <w:rFonts w:ascii="Times New Roman" w:eastAsia="Times New Roman" w:hAnsi="Times New Roman" w:cs="Times New Roman"/>
          <w:i/>
          <w:iCs/>
          <w:color w:val="000000" w:themeColor="text1"/>
          <w:kern w:val="0"/>
          <w:lang w:eastAsia="tr-TR"/>
          <w14:ligatures w14:val="none"/>
        </w:rPr>
        <w:t>nizāʿ</w:t>
      </w:r>
      <w:r w:rsidRPr="00D62CC3">
        <w:rPr>
          <w:rFonts w:ascii="Times New Roman" w:eastAsia="Times New Roman" w:hAnsi="Times New Roman" w:cs="Times New Roman"/>
          <w:color w:val="000000" w:themeColor="text1"/>
          <w:kern w:val="0"/>
          <w:lang w:eastAsia="tr-TR"/>
          <w14:ligatures w14:val="none"/>
        </w:rPr>
        <w:t xml:space="preserve"> concerns whether resurrection must include a corporeal (</w:t>
      </w:r>
      <w:r w:rsidRPr="00D62CC3">
        <w:rPr>
          <w:rFonts w:ascii="Times New Roman" w:eastAsia="Times New Roman" w:hAnsi="Times New Roman" w:cs="Times New Roman"/>
          <w:i/>
          <w:iCs/>
          <w:color w:val="000000" w:themeColor="text1"/>
          <w:kern w:val="0"/>
          <w:lang w:eastAsia="tr-TR"/>
          <w14:ligatures w14:val="none"/>
        </w:rPr>
        <w:t>jismānī</w:t>
      </w:r>
      <w:r w:rsidRPr="00D62CC3">
        <w:rPr>
          <w:rFonts w:ascii="Times New Roman" w:eastAsia="Times New Roman" w:hAnsi="Times New Roman" w:cs="Times New Roman"/>
          <w:color w:val="000000" w:themeColor="text1"/>
          <w:kern w:val="0"/>
          <w:lang w:eastAsia="tr-TR"/>
          <w14:ligatures w14:val="none"/>
        </w:rPr>
        <w:t>) counterpart or may be understood as purely spiritual (</w:t>
      </w:r>
      <w:r w:rsidRPr="00D62CC3">
        <w:rPr>
          <w:rFonts w:ascii="Times New Roman" w:eastAsia="Times New Roman" w:hAnsi="Times New Roman" w:cs="Times New Roman"/>
          <w:i/>
          <w:iCs/>
          <w:color w:val="000000" w:themeColor="text1"/>
          <w:kern w:val="0"/>
          <w:lang w:eastAsia="tr-TR"/>
          <w14:ligatures w14:val="none"/>
        </w:rPr>
        <w:t>rūḥānī</w:t>
      </w:r>
      <w:r w:rsidRPr="00D62CC3">
        <w:rPr>
          <w:rFonts w:ascii="Times New Roman" w:eastAsia="Times New Roman" w:hAnsi="Times New Roman" w:cs="Times New Roman"/>
          <w:color w:val="000000" w:themeColor="text1"/>
          <w:kern w:val="0"/>
          <w:lang w:eastAsia="tr-TR"/>
          <w14:ligatures w14:val="none"/>
        </w:rPr>
        <w:t>)</w:t>
      </w:r>
      <w:r w:rsidRPr="00D62CC3">
        <w:rPr>
          <w:rFonts w:ascii="Times New Roman" w:hAnsi="Times New Roman" w:cs="Times New Roman"/>
          <w:color w:val="000000" w:themeColor="text1"/>
        </w:rPr>
        <w:t>.</w:t>
      </w:r>
      <w:r w:rsidRPr="00D62CC3">
        <w:rPr>
          <w:rStyle w:val="SonNotBavurusu"/>
          <w:rFonts w:ascii="Times New Roman" w:hAnsi="Times New Roman" w:cs="Times New Roman"/>
          <w:color w:val="000000" w:themeColor="text1"/>
          <w:lang w:eastAsia="tr-TR"/>
        </w:rPr>
        <w:endnoteReference w:id="53"/>
      </w:r>
      <w:r w:rsidRPr="00D62CC3">
        <w:rPr>
          <w:rFonts w:ascii="Times New Roman" w:hAnsi="Times New Roman" w:cs="Times New Roman"/>
          <w:color w:val="000000" w:themeColor="text1"/>
        </w:rPr>
        <w:t xml:space="preserve"> Islam thus emerges as intrinsically compatible with rational inquiry, such that even Ghazālī’s position on the world’s pre-eternity is presented as admitting philosophical reconciliation.</w:t>
      </w:r>
      <w:r w:rsidRPr="00D62CC3">
        <w:rPr>
          <w:rStyle w:val="SonNotBavurusu"/>
          <w:rFonts w:ascii="Times New Roman" w:hAnsi="Times New Roman" w:cs="Times New Roman"/>
          <w:color w:val="000000" w:themeColor="text1"/>
          <w:lang w:eastAsia="tr-TR"/>
        </w:rPr>
        <w:endnoteReference w:id="54"/>
      </w:r>
    </w:p>
    <w:p w14:paraId="4B748085" w14:textId="1F7FF167"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eastAsia="Times New Roman" w:hAnsi="Times New Roman" w:cs="Times New Roman"/>
          <w:color w:val="000000" w:themeColor="text1"/>
          <w:kern w:val="0"/>
          <w:lang w:eastAsia="tr-TR"/>
          <w14:ligatures w14:val="none"/>
        </w:rPr>
        <w:t xml:space="preserve">Midhat does not construe the </w:t>
      </w:r>
      <w:r w:rsidRPr="00D62CC3">
        <w:rPr>
          <w:rFonts w:ascii="Times New Roman" w:eastAsia="Times New Roman" w:hAnsi="Times New Roman" w:cs="Times New Roman"/>
          <w:i/>
          <w:iCs/>
          <w:color w:val="000000" w:themeColor="text1"/>
          <w:kern w:val="0"/>
          <w:lang w:eastAsia="tr-TR"/>
          <w14:ligatures w14:val="none"/>
        </w:rPr>
        <w:t>Tahāfut</w:t>
      </w:r>
      <w:r w:rsidRPr="00D62CC3">
        <w:rPr>
          <w:rFonts w:ascii="Times New Roman" w:eastAsia="Times New Roman" w:hAnsi="Times New Roman" w:cs="Times New Roman"/>
          <w:color w:val="000000" w:themeColor="text1"/>
          <w:kern w:val="0"/>
          <w:lang w:eastAsia="tr-TR"/>
          <w14:ligatures w14:val="none"/>
        </w:rPr>
        <w:t xml:space="preserve"> as a </w:t>
      </w:r>
      <w:r w:rsidRPr="00D62CC3">
        <w:rPr>
          <w:rFonts w:ascii="Times New Roman" w:eastAsia="Times New Roman" w:hAnsi="Times New Roman" w:cs="Times New Roman"/>
          <w:i/>
          <w:iCs/>
          <w:color w:val="000000" w:themeColor="text1"/>
          <w:kern w:val="0"/>
          <w:lang w:eastAsia="tr-TR"/>
          <w14:ligatures w14:val="none"/>
        </w:rPr>
        <w:t>reddiye</w:t>
      </w:r>
      <w:r w:rsidRPr="00D62CC3">
        <w:rPr>
          <w:rFonts w:ascii="Times New Roman" w:eastAsia="Times New Roman" w:hAnsi="Times New Roman" w:cs="Times New Roman"/>
          <w:color w:val="000000" w:themeColor="text1"/>
          <w:kern w:val="0"/>
          <w:lang w:eastAsia="tr-TR"/>
          <w14:ligatures w14:val="none"/>
        </w:rPr>
        <w:t>, the rejection of one domain by another, but as a mode of comparative inquiry and constructive adjudication: a dialectical disputation (</w:t>
      </w:r>
      <w:r w:rsidRPr="00D62CC3">
        <w:rPr>
          <w:rFonts w:ascii="Times New Roman" w:eastAsia="Times New Roman" w:hAnsi="Times New Roman" w:cs="Times New Roman"/>
          <w:i/>
          <w:iCs/>
          <w:color w:val="000000" w:themeColor="text1"/>
          <w:kern w:val="0"/>
          <w:lang w:eastAsia="tr-TR"/>
          <w14:ligatures w14:val="none"/>
        </w:rPr>
        <w:t>münāẓara</w:t>
      </w:r>
      <w:r w:rsidRPr="00D62CC3">
        <w:rPr>
          <w:rFonts w:ascii="Times New Roman" w:eastAsia="Times New Roman" w:hAnsi="Times New Roman" w:cs="Times New Roman"/>
          <w:color w:val="000000" w:themeColor="text1"/>
          <w:kern w:val="0"/>
          <w:lang w:eastAsia="tr-TR"/>
          <w14:ligatures w14:val="none"/>
        </w:rPr>
        <w:t>), understood as a genuinely scientific investigation oriented towards a unified intellectual method (</w:t>
      </w:r>
      <w:r w:rsidRPr="00D62CC3">
        <w:rPr>
          <w:rFonts w:ascii="Times New Roman" w:eastAsia="Times New Roman" w:hAnsi="Times New Roman" w:cs="Times New Roman"/>
          <w:i/>
          <w:iCs/>
          <w:color w:val="000000" w:themeColor="text1"/>
          <w:kern w:val="0"/>
          <w:lang w:eastAsia="tr-TR"/>
          <w14:ligatures w14:val="none"/>
        </w:rPr>
        <w:t>meslek-i vāḥide</w:t>
      </w:r>
      <w:r w:rsidRPr="00D62CC3">
        <w:rPr>
          <w:rFonts w:ascii="Times New Roman" w:eastAsia="Times New Roman" w:hAnsi="Times New Roman" w:cs="Times New Roman"/>
          <w:color w:val="000000" w:themeColor="text1"/>
          <w:kern w:val="0"/>
          <w:lang w:eastAsia="tr-TR"/>
          <w14:ligatures w14:val="none"/>
        </w:rPr>
        <w:t>), in which disagreement functions as clarification and synthesis rather than rupture.</w:t>
      </w:r>
      <w:r w:rsidRPr="00D62CC3">
        <w:rPr>
          <w:rStyle w:val="SonNotBavurusu"/>
          <w:rFonts w:ascii="Times New Roman" w:hAnsi="Times New Roman" w:cs="Times New Roman"/>
          <w:color w:val="000000" w:themeColor="text1"/>
          <w:lang w:eastAsia="tr-TR"/>
        </w:rPr>
        <w:endnoteReference w:id="55"/>
      </w:r>
      <w:r w:rsidRPr="00D62CC3">
        <w:rPr>
          <w:rFonts w:ascii="Times New Roman" w:hAnsi="Times New Roman" w:cs="Times New Roman"/>
          <w:color w:val="000000" w:themeColor="text1"/>
        </w:rPr>
        <w:t xml:space="preserve"> </w:t>
      </w:r>
      <w:r w:rsidRPr="00D62CC3">
        <w:rPr>
          <w:rFonts w:ascii="Times New Roman" w:eastAsia="Times New Roman" w:hAnsi="Times New Roman" w:cs="Times New Roman"/>
          <w:color w:val="000000" w:themeColor="text1"/>
          <w:kern w:val="0"/>
          <w:lang w:eastAsia="tr-TR"/>
          <w14:ligatures w14:val="none"/>
        </w:rPr>
        <w:t>On this reading, Ghazālī does not stand in categorical opposition (</w:t>
      </w:r>
      <w:r w:rsidRPr="00D62CC3">
        <w:rPr>
          <w:rFonts w:ascii="Times New Roman" w:eastAsia="Times New Roman" w:hAnsi="Times New Roman" w:cs="Times New Roman"/>
          <w:i/>
          <w:iCs/>
          <w:color w:val="000000" w:themeColor="text1"/>
          <w:kern w:val="0"/>
          <w:lang w:eastAsia="tr-TR"/>
          <w14:ligatures w14:val="none"/>
        </w:rPr>
        <w:t>muḫālefet</w:t>
      </w:r>
      <w:r w:rsidRPr="00D62CC3">
        <w:rPr>
          <w:rFonts w:ascii="Times New Roman" w:eastAsia="Times New Roman" w:hAnsi="Times New Roman" w:cs="Times New Roman"/>
          <w:color w:val="000000" w:themeColor="text1"/>
          <w:kern w:val="0"/>
          <w:lang w:eastAsia="tr-TR"/>
          <w14:ligatures w14:val="none"/>
        </w:rPr>
        <w:t>) to the philosophers but subjects specific premises to critique insofar as they fail to conform to the requirements of the Sharīʿa.</w:t>
      </w:r>
      <w:r w:rsidRPr="00D62CC3">
        <w:rPr>
          <w:rFonts w:ascii="Times New Roman" w:hAnsi="Times New Roman" w:cs="Times New Roman"/>
          <w:color w:val="000000" w:themeColor="text1"/>
        </w:rPr>
        <w:t xml:space="preserve"> </w:t>
      </w:r>
      <w:r w:rsidRPr="00D62CC3">
        <w:rPr>
          <w:rFonts w:ascii="Times New Roman" w:eastAsia="Times New Roman" w:hAnsi="Times New Roman" w:cs="Times New Roman"/>
          <w:color w:val="000000" w:themeColor="text1"/>
          <w:kern w:val="0"/>
          <w:lang w:eastAsia="tr-TR"/>
          <w14:ligatures w14:val="none"/>
        </w:rPr>
        <w:t xml:space="preserve">Ibn Rushd, likewise affirmed as a sincere Muslim believer, embodies a philosophically grounded Islam rooted in </w:t>
      </w:r>
      <w:r w:rsidRPr="00D62CC3">
        <w:rPr>
          <w:rFonts w:ascii="Times New Roman" w:eastAsia="Times New Roman" w:hAnsi="Times New Roman" w:cs="Times New Roman"/>
          <w:i/>
          <w:iCs/>
          <w:color w:val="000000" w:themeColor="text1"/>
          <w:kern w:val="0"/>
          <w:lang w:eastAsia="tr-TR"/>
          <w14:ligatures w14:val="none"/>
        </w:rPr>
        <w:t>ḥikma</w:t>
      </w:r>
      <w:r w:rsidRPr="00D62CC3">
        <w:rPr>
          <w:rFonts w:ascii="Times New Roman" w:eastAsia="Times New Roman" w:hAnsi="Times New Roman" w:cs="Times New Roman"/>
          <w:color w:val="000000" w:themeColor="text1"/>
          <w:kern w:val="0"/>
          <w:lang w:eastAsia="tr-TR"/>
          <w14:ligatures w14:val="none"/>
        </w:rPr>
        <w:t xml:space="preserve"> and presented as consonant with</w:t>
      </w:r>
      <w:r>
        <w:rPr>
          <w:rFonts w:ascii="Times New Roman" w:eastAsia="Times New Roman" w:hAnsi="Times New Roman" w:cs="Times New Roman"/>
          <w:color w:val="000000" w:themeColor="text1"/>
          <w:kern w:val="0"/>
          <w:lang w:eastAsia="tr-TR"/>
          <w14:ligatures w14:val="none"/>
        </w:rPr>
        <w:t xml:space="preserve"> the</w:t>
      </w:r>
      <w:r w:rsidRPr="00D62CC3">
        <w:rPr>
          <w:rFonts w:ascii="Times New Roman" w:eastAsia="Times New Roman" w:hAnsi="Times New Roman" w:cs="Times New Roman"/>
          <w:color w:val="000000" w:themeColor="text1"/>
          <w:kern w:val="0"/>
          <w:lang w:eastAsia="tr-TR"/>
          <w14:ligatures w14:val="none"/>
        </w:rPr>
        <w:t xml:space="preserve"> </w:t>
      </w:r>
      <w:r>
        <w:rPr>
          <w:rFonts w:ascii="Times New Roman" w:eastAsia="Times New Roman" w:hAnsi="Times New Roman" w:cs="Times New Roman"/>
          <w:color w:val="000000" w:themeColor="text1"/>
          <w:kern w:val="0"/>
          <w:lang w:eastAsia="tr-TR"/>
          <w14:ligatures w14:val="none"/>
        </w:rPr>
        <w:t xml:space="preserve">religious sciences, as well as </w:t>
      </w:r>
      <w:r w:rsidRPr="00D62CC3">
        <w:rPr>
          <w:rFonts w:ascii="Times New Roman" w:eastAsia="Times New Roman" w:hAnsi="Times New Roman" w:cs="Times New Roman"/>
          <w:color w:val="000000" w:themeColor="text1"/>
          <w:kern w:val="0"/>
          <w:lang w:eastAsia="tr-TR"/>
          <w14:ligatures w14:val="none"/>
        </w:rPr>
        <w:t>other revealed traditions, including Judaism and Christianity.</w:t>
      </w:r>
      <w:r w:rsidRPr="00D62CC3">
        <w:rPr>
          <w:rStyle w:val="SonNotBavurusu"/>
          <w:rFonts w:ascii="Times New Roman" w:hAnsi="Times New Roman" w:cs="Times New Roman"/>
          <w:color w:val="000000" w:themeColor="text1"/>
          <w:lang w:eastAsia="tr-TR"/>
        </w:rPr>
        <w:endnoteReference w:id="56"/>
      </w:r>
    </w:p>
    <w:p w14:paraId="73E2A9D7" w14:textId="3F5E2E5E" w:rsidR="00206E86" w:rsidRPr="00D62CC3" w:rsidRDefault="00206E86" w:rsidP="004249A3">
      <w:pPr>
        <w:pStyle w:val="AralkYok"/>
        <w:ind w:firstLine="708"/>
        <w:jc w:val="both"/>
        <w:rPr>
          <w:rFonts w:ascii="Times New Roman" w:eastAsia="Times New Roman" w:hAnsi="Times New Roman" w:cs="Times New Roman"/>
          <w:color w:val="000000" w:themeColor="text1"/>
          <w:kern w:val="0"/>
          <w:lang w:eastAsia="tr-TR"/>
          <w14:ligatures w14:val="none"/>
        </w:rPr>
      </w:pPr>
      <w:r w:rsidRPr="00D62CC3">
        <w:rPr>
          <w:rFonts w:ascii="Times New Roman" w:eastAsia="Times New Roman" w:hAnsi="Times New Roman" w:cs="Times New Roman"/>
          <w:color w:val="000000" w:themeColor="text1"/>
          <w:kern w:val="0"/>
          <w:lang w:eastAsia="tr-TR"/>
          <w14:ligatures w14:val="none"/>
        </w:rPr>
        <w:t xml:space="preserve">To conclude, the significance of Ibn Rushd’s legacy lies in Midhat’s articulation of an overarching harmonious intellectual domain, </w:t>
      </w:r>
      <w:r w:rsidRPr="00D62CC3">
        <w:rPr>
          <w:rFonts w:ascii="Times New Roman" w:eastAsia="Times New Roman" w:hAnsi="Times New Roman" w:cs="Times New Roman"/>
          <w:i/>
          <w:iCs/>
          <w:color w:val="000000" w:themeColor="text1"/>
          <w:kern w:val="0"/>
          <w:lang w:eastAsia="tr-TR"/>
          <w14:ligatures w14:val="none"/>
        </w:rPr>
        <w:t>ḥikmet-i İslāmiyye</w:t>
      </w:r>
      <w:r w:rsidRPr="00D62CC3">
        <w:rPr>
          <w:rFonts w:ascii="Times New Roman" w:eastAsia="Times New Roman" w:hAnsi="Times New Roman" w:cs="Times New Roman"/>
          <w:color w:val="000000" w:themeColor="text1"/>
          <w:kern w:val="0"/>
          <w:lang w:eastAsia="tr-TR"/>
          <w14:ligatures w14:val="none"/>
        </w:rPr>
        <w:t xml:space="preserve"> (Islamic philosophy), which situates reason within the normative framework of revealed law and thereby exceeds the limits of classical Greek philosophy.</w:t>
      </w:r>
      <w:r w:rsidRPr="00D62CC3">
        <w:rPr>
          <w:rFonts w:ascii="Times New Roman" w:hAnsi="Times New Roman" w:cs="Times New Roman"/>
          <w:color w:val="000000" w:themeColor="text1"/>
          <w:lang w:eastAsia="tr-TR"/>
        </w:rPr>
        <w:t xml:space="preserve"> </w:t>
      </w:r>
      <w:r w:rsidRPr="00D62CC3">
        <w:rPr>
          <w:rFonts w:ascii="Times New Roman" w:eastAsia="Times New Roman" w:hAnsi="Times New Roman" w:cs="Times New Roman"/>
          <w:color w:val="000000" w:themeColor="text1"/>
          <w:kern w:val="0"/>
          <w:lang w:eastAsia="tr-TR"/>
          <w14:ligatures w14:val="none"/>
        </w:rPr>
        <w:t>Such thinkers, whom he describes as truth-seekers (</w:t>
      </w:r>
      <w:r w:rsidRPr="00D62CC3">
        <w:rPr>
          <w:rFonts w:ascii="Times New Roman" w:eastAsia="Times New Roman" w:hAnsi="Times New Roman" w:cs="Times New Roman"/>
          <w:i/>
          <w:iCs/>
          <w:color w:val="000000" w:themeColor="text1"/>
          <w:kern w:val="0"/>
          <w:lang w:eastAsia="tr-TR"/>
          <w14:ligatures w14:val="none"/>
        </w:rPr>
        <w:t>ḥaḳīḳat-perestān</w:t>
      </w:r>
      <w:r w:rsidRPr="00D62CC3">
        <w:rPr>
          <w:rFonts w:ascii="Times New Roman" w:eastAsia="Times New Roman" w:hAnsi="Times New Roman" w:cs="Times New Roman"/>
          <w:color w:val="000000" w:themeColor="text1"/>
          <w:kern w:val="0"/>
          <w:lang w:eastAsia="tr-TR"/>
          <w14:ligatures w14:val="none"/>
        </w:rPr>
        <w:t>) rather than biased,</w:t>
      </w:r>
      <w:r w:rsidRPr="00D62CC3">
        <w:rPr>
          <w:rStyle w:val="SonNotBavurusu"/>
          <w:rFonts w:ascii="Times New Roman" w:hAnsi="Times New Roman" w:cs="Times New Roman"/>
          <w:color w:val="000000" w:themeColor="text1"/>
          <w:lang w:eastAsia="tr-TR"/>
        </w:rPr>
        <w:endnoteReference w:id="57"/>
      </w:r>
      <w:r w:rsidRPr="00D62CC3">
        <w:rPr>
          <w:rFonts w:ascii="Times New Roman" w:eastAsia="Times New Roman" w:hAnsi="Times New Roman" w:cs="Times New Roman"/>
          <w:color w:val="000000" w:themeColor="text1"/>
          <w:kern w:val="0"/>
          <w:lang w:eastAsia="tr-TR"/>
          <w14:ligatures w14:val="none"/>
        </w:rPr>
        <w:t xml:space="preserve"> embody an intellectual ethos in which true philosophy (</w:t>
      </w:r>
      <w:r w:rsidRPr="00D62CC3">
        <w:rPr>
          <w:rFonts w:ascii="Times New Roman" w:eastAsia="Times New Roman" w:hAnsi="Times New Roman" w:cs="Times New Roman"/>
          <w:i/>
          <w:iCs/>
          <w:color w:val="000000" w:themeColor="text1"/>
          <w:kern w:val="0"/>
          <w:lang w:eastAsia="tr-TR"/>
          <w14:ligatures w14:val="none"/>
        </w:rPr>
        <w:t>felsefe-i ḥaḳīḳiyye</w:t>
      </w:r>
      <w:r w:rsidRPr="00D62CC3">
        <w:rPr>
          <w:rFonts w:ascii="Times New Roman" w:eastAsia="Times New Roman" w:hAnsi="Times New Roman" w:cs="Times New Roman"/>
          <w:color w:val="000000" w:themeColor="text1"/>
          <w:kern w:val="0"/>
          <w:lang w:eastAsia="tr-TR"/>
          <w14:ligatures w14:val="none"/>
        </w:rPr>
        <w:t>) remains consonant with Islam</w:t>
      </w:r>
      <w:r w:rsidRPr="00D62CC3">
        <w:rPr>
          <w:rStyle w:val="SonNotBavurusu"/>
          <w:rFonts w:ascii="Times New Roman" w:eastAsia="Times New Roman" w:hAnsi="Times New Roman" w:cs="Times New Roman"/>
          <w:color w:val="000000" w:themeColor="text1"/>
          <w:kern w:val="0"/>
          <w:lang w:eastAsia="tr-TR"/>
          <w14:ligatures w14:val="none"/>
        </w:rPr>
        <w:endnoteReference w:id="58"/>
      </w:r>
      <w:r w:rsidRPr="00D62CC3">
        <w:rPr>
          <w:rFonts w:ascii="Times New Roman" w:eastAsia="Times New Roman" w:hAnsi="Times New Roman" w:cs="Times New Roman"/>
          <w:color w:val="000000" w:themeColor="text1"/>
          <w:kern w:val="0"/>
          <w:lang w:eastAsia="tr-TR"/>
          <w14:ligatures w14:val="none"/>
        </w:rPr>
        <w:t xml:space="preserve"> and integrates </w:t>
      </w:r>
      <w:r w:rsidRPr="00D62CC3">
        <w:rPr>
          <w:rFonts w:ascii="Times New Roman" w:eastAsia="Times New Roman" w:hAnsi="Times New Roman" w:cs="Times New Roman"/>
          <w:i/>
          <w:iCs/>
          <w:color w:val="000000" w:themeColor="text1"/>
          <w:kern w:val="0"/>
          <w:lang w:eastAsia="tr-TR"/>
          <w14:ligatures w14:val="none"/>
        </w:rPr>
        <w:t>naḳl</w:t>
      </w:r>
      <w:r w:rsidRPr="00D62CC3">
        <w:rPr>
          <w:rFonts w:ascii="Times New Roman" w:eastAsia="Times New Roman" w:hAnsi="Times New Roman" w:cs="Times New Roman"/>
          <w:color w:val="000000" w:themeColor="text1"/>
          <w:kern w:val="0"/>
          <w:lang w:eastAsia="tr-TR"/>
          <w14:ligatures w14:val="none"/>
        </w:rPr>
        <w:t xml:space="preserve"> and </w:t>
      </w:r>
      <w:r w:rsidRPr="00D62CC3">
        <w:rPr>
          <w:rFonts w:ascii="Times New Roman" w:eastAsia="Times New Roman" w:hAnsi="Times New Roman" w:cs="Times New Roman"/>
          <w:i/>
          <w:iCs/>
          <w:color w:val="000000" w:themeColor="text1"/>
          <w:kern w:val="0"/>
          <w:lang w:eastAsia="tr-TR"/>
          <w14:ligatures w14:val="none"/>
        </w:rPr>
        <w:t>ʿaḳl</w:t>
      </w:r>
      <w:r w:rsidRPr="00D62CC3">
        <w:rPr>
          <w:rFonts w:ascii="Times New Roman" w:eastAsia="Times New Roman" w:hAnsi="Times New Roman" w:cs="Times New Roman"/>
          <w:color w:val="000000" w:themeColor="text1"/>
          <w:kern w:val="0"/>
          <w:lang w:eastAsia="tr-TR"/>
          <w14:ligatures w14:val="none"/>
        </w:rPr>
        <w:t xml:space="preserve"> into a coherent, balanced worldview.</w:t>
      </w:r>
      <w:r w:rsidRPr="00D62CC3">
        <w:rPr>
          <w:rStyle w:val="SonNotBavurusu"/>
          <w:rFonts w:ascii="Times New Roman" w:hAnsi="Times New Roman" w:cs="Times New Roman"/>
          <w:color w:val="000000" w:themeColor="text1"/>
          <w:lang w:eastAsia="tr-TR"/>
        </w:rPr>
        <w:endnoteReference w:id="59"/>
      </w:r>
      <w:r w:rsidRPr="00D62CC3">
        <w:rPr>
          <w:rFonts w:ascii="Times New Roman" w:hAnsi="Times New Roman" w:cs="Times New Roman"/>
          <w:color w:val="000000" w:themeColor="text1"/>
          <w:lang w:eastAsia="tr-TR"/>
        </w:rPr>
        <w:t xml:space="preserve"> </w:t>
      </w:r>
      <w:r w:rsidRPr="00D62CC3">
        <w:rPr>
          <w:rFonts w:ascii="Times New Roman" w:eastAsia="Times New Roman" w:hAnsi="Times New Roman" w:cs="Times New Roman"/>
          <w:color w:val="000000" w:themeColor="text1"/>
          <w:kern w:val="0"/>
          <w:lang w:eastAsia="tr-TR"/>
          <w14:ligatures w14:val="none"/>
        </w:rPr>
        <w:t xml:space="preserve">Yet a residual irony remains: like the Orientalists he criticised, Midhat lacked the philological training to read the Arabic </w:t>
      </w:r>
      <w:r w:rsidRPr="00D62CC3">
        <w:rPr>
          <w:rFonts w:ascii="Times New Roman" w:eastAsia="Times New Roman" w:hAnsi="Times New Roman" w:cs="Times New Roman"/>
          <w:i/>
          <w:iCs/>
          <w:color w:val="000000" w:themeColor="text1"/>
          <w:kern w:val="0"/>
          <w:lang w:eastAsia="tr-TR"/>
          <w14:ligatures w14:val="none"/>
        </w:rPr>
        <w:t>Tahāfuts</w:t>
      </w:r>
      <w:r w:rsidRPr="00D62CC3">
        <w:rPr>
          <w:rFonts w:ascii="Times New Roman" w:eastAsia="Times New Roman" w:hAnsi="Times New Roman" w:cs="Times New Roman"/>
          <w:color w:val="000000" w:themeColor="text1"/>
          <w:kern w:val="0"/>
          <w:lang w:eastAsia="tr-TR"/>
          <w14:ligatures w14:val="none"/>
        </w:rPr>
        <w:t xml:space="preserve"> directly and thus relied on the mediation of his intellectual mentor Musa Kazım.</w:t>
      </w:r>
      <w:r w:rsidRPr="00D62CC3">
        <w:rPr>
          <w:rStyle w:val="SonNotBavurusu"/>
          <w:rFonts w:ascii="Times New Roman" w:eastAsia="Times New Roman" w:hAnsi="Times New Roman" w:cs="Times New Roman"/>
          <w:color w:val="000000" w:themeColor="text1"/>
          <w:kern w:val="0"/>
          <w:lang w:eastAsia="tr-TR"/>
          <w14:ligatures w14:val="none"/>
        </w:rPr>
        <w:endnoteReference w:id="60"/>
      </w:r>
      <w:r w:rsidRPr="00D62CC3">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hAnsi="Times New Roman" w:cs="Times New Roman"/>
          <w:color w:val="000000" w:themeColor="text1"/>
        </w:rPr>
        <w:t xml:space="preserve">Midhat’s interpretation was also shaped by the Orientalist reception of Ibn Rushd, particularly the Latin Averroist doctrine of </w:t>
      </w:r>
      <w:r>
        <w:rPr>
          <w:rFonts w:ascii="Times New Roman" w:hAnsi="Times New Roman" w:cs="Times New Roman"/>
          <w:color w:val="000000" w:themeColor="text1"/>
        </w:rPr>
        <w:t>‘</w:t>
      </w:r>
      <w:r w:rsidRPr="00D62CC3">
        <w:rPr>
          <w:rFonts w:ascii="Times New Roman" w:hAnsi="Times New Roman" w:cs="Times New Roman"/>
          <w:color w:val="000000" w:themeColor="text1"/>
        </w:rPr>
        <w:t>double truth</w:t>
      </w:r>
      <w:r>
        <w:rPr>
          <w:rFonts w:ascii="Times New Roman" w:hAnsi="Times New Roman" w:cs="Times New Roman"/>
          <w:color w:val="000000" w:themeColor="text1"/>
        </w:rPr>
        <w:t>’.</w:t>
      </w:r>
      <w:r w:rsidRPr="00D62CC3">
        <w:rPr>
          <w:rStyle w:val="SonNotBavurusu"/>
          <w:rFonts w:ascii="Times New Roman" w:hAnsi="Times New Roman" w:cs="Times New Roman"/>
          <w:color w:val="000000" w:themeColor="text1"/>
        </w:rPr>
        <w:endnoteReference w:id="61"/>
      </w:r>
      <w:r w:rsidRPr="00D62CC3">
        <w:rPr>
          <w:rFonts w:ascii="Times New Roman" w:hAnsi="Times New Roman" w:cs="Times New Roman"/>
          <w:color w:val="000000" w:themeColor="text1"/>
        </w:rPr>
        <w:t xml:space="preserve"> This conceptual framework reveals the limits of Midhat’s reconstruction, since Ibn Rushd sought not to preserve philosophy and revelation as parallel and autonomous domains, but to establish their differentiated coherence within a unified epistemic order.</w:t>
      </w:r>
      <w:r w:rsidRPr="00D62CC3" w:rsidDel="00591E8C">
        <w:rPr>
          <w:rFonts w:ascii="Times New Roman" w:eastAsia="Times New Roman" w:hAnsi="Times New Roman" w:cs="Times New Roman"/>
          <w:color w:val="000000" w:themeColor="text1"/>
          <w:kern w:val="0"/>
          <w:lang w:eastAsia="tr-TR"/>
          <w14:ligatures w14:val="none"/>
        </w:rPr>
        <w:t xml:space="preserve"> </w:t>
      </w:r>
    </w:p>
    <w:p w14:paraId="1502D3F0" w14:textId="77777777" w:rsidR="00206E86" w:rsidRPr="00D62CC3" w:rsidRDefault="00206E86" w:rsidP="004249A3">
      <w:pPr>
        <w:pStyle w:val="AralkYok"/>
        <w:jc w:val="both"/>
        <w:rPr>
          <w:rFonts w:ascii="Times New Roman" w:hAnsi="Times New Roman" w:cs="Times New Roman"/>
          <w:color w:val="000000" w:themeColor="text1"/>
          <w:lang w:eastAsia="tr-TR"/>
        </w:rPr>
      </w:pPr>
    </w:p>
    <w:p w14:paraId="288962AC" w14:textId="592EBDCE" w:rsidR="00206E86" w:rsidRPr="00D62CC3" w:rsidRDefault="00206E86" w:rsidP="004249A3">
      <w:pPr>
        <w:pStyle w:val="AralkYok"/>
        <w:jc w:val="both"/>
        <w:rPr>
          <w:rFonts w:ascii="Times New Roman" w:hAnsi="Times New Roman" w:cs="Times New Roman"/>
          <w:color w:val="000000" w:themeColor="text1"/>
          <w:lang w:eastAsia="tr-TR"/>
        </w:rPr>
      </w:pPr>
      <w:r w:rsidRPr="00D62CC3">
        <w:rPr>
          <w:rFonts w:ascii="Times New Roman" w:eastAsia="Times New Roman" w:hAnsi="Times New Roman" w:cs="Times New Roman"/>
          <w:b/>
          <w:bCs/>
          <w:color w:val="000000" w:themeColor="text1"/>
          <w:kern w:val="0"/>
          <w:lang w:eastAsia="tr-TR"/>
          <w14:ligatures w14:val="none"/>
        </w:rPr>
        <w:t xml:space="preserve">Musa Kazım and the </w:t>
      </w:r>
      <w:r w:rsidRPr="00D62CC3">
        <w:rPr>
          <w:rFonts w:ascii="Times New Roman" w:eastAsia="Times New Roman" w:hAnsi="Times New Roman" w:cs="Times New Roman"/>
          <w:b/>
          <w:bCs/>
          <w:i/>
          <w:iCs/>
          <w:color w:val="000000" w:themeColor="text1"/>
          <w:kern w:val="0"/>
          <w:lang w:eastAsia="tr-TR"/>
          <w14:ligatures w14:val="none"/>
        </w:rPr>
        <w:t>Tahāfut</w:t>
      </w:r>
      <w:r w:rsidRPr="00D62CC3">
        <w:rPr>
          <w:rFonts w:ascii="Times New Roman" w:eastAsia="Times New Roman" w:hAnsi="Times New Roman" w:cs="Times New Roman"/>
          <w:b/>
          <w:bCs/>
          <w:color w:val="000000" w:themeColor="text1"/>
          <w:kern w:val="0"/>
          <w:lang w:eastAsia="tr-TR"/>
          <w14:ligatures w14:val="none"/>
        </w:rPr>
        <w:t xml:space="preserve"> </w:t>
      </w:r>
      <w:r>
        <w:rPr>
          <w:rFonts w:ascii="Times New Roman" w:eastAsia="Times New Roman" w:hAnsi="Times New Roman" w:cs="Times New Roman"/>
          <w:b/>
          <w:bCs/>
          <w:color w:val="000000" w:themeColor="text1"/>
          <w:kern w:val="0"/>
          <w:lang w:eastAsia="tr-TR"/>
          <w14:ligatures w14:val="none"/>
        </w:rPr>
        <w:t>d</w:t>
      </w:r>
      <w:r w:rsidRPr="00D62CC3">
        <w:rPr>
          <w:rFonts w:ascii="Times New Roman" w:eastAsia="Times New Roman" w:hAnsi="Times New Roman" w:cs="Times New Roman"/>
          <w:b/>
          <w:bCs/>
          <w:color w:val="000000" w:themeColor="text1"/>
          <w:kern w:val="0"/>
          <w:lang w:eastAsia="tr-TR"/>
          <w14:ligatures w14:val="none"/>
        </w:rPr>
        <w:t xml:space="preserve">ebate as a </w:t>
      </w:r>
      <w:r>
        <w:rPr>
          <w:rFonts w:ascii="Times New Roman" w:eastAsia="Times New Roman" w:hAnsi="Times New Roman" w:cs="Times New Roman"/>
          <w:b/>
          <w:bCs/>
          <w:color w:val="000000" w:themeColor="text1"/>
          <w:kern w:val="0"/>
          <w:lang w:eastAsia="tr-TR"/>
          <w14:ligatures w14:val="none"/>
        </w:rPr>
        <w:t>s</w:t>
      </w:r>
      <w:r w:rsidRPr="00D62CC3">
        <w:rPr>
          <w:rFonts w:ascii="Times New Roman" w:eastAsia="Times New Roman" w:hAnsi="Times New Roman" w:cs="Times New Roman"/>
          <w:b/>
          <w:bCs/>
          <w:color w:val="000000" w:themeColor="text1"/>
          <w:kern w:val="0"/>
          <w:lang w:eastAsia="tr-TR"/>
          <w14:ligatures w14:val="none"/>
        </w:rPr>
        <w:t xml:space="preserve">ite of </w:t>
      </w:r>
      <w:r>
        <w:rPr>
          <w:rFonts w:ascii="Times New Roman" w:eastAsia="Times New Roman" w:hAnsi="Times New Roman" w:cs="Times New Roman"/>
          <w:b/>
          <w:bCs/>
          <w:color w:val="000000" w:themeColor="text1"/>
          <w:kern w:val="0"/>
          <w:lang w:eastAsia="tr-TR"/>
          <w14:ligatures w14:val="none"/>
        </w:rPr>
        <w:t>sc</w:t>
      </w:r>
      <w:r w:rsidRPr="00D62CC3">
        <w:rPr>
          <w:rFonts w:ascii="Times New Roman" w:eastAsia="Times New Roman" w:hAnsi="Times New Roman" w:cs="Times New Roman"/>
          <w:b/>
          <w:bCs/>
          <w:color w:val="000000" w:themeColor="text1"/>
          <w:kern w:val="0"/>
          <w:lang w:eastAsia="tr-TR"/>
          <w14:ligatures w14:val="none"/>
        </w:rPr>
        <w:t xml:space="preserve">ientific </w:t>
      </w:r>
      <w:r>
        <w:rPr>
          <w:rFonts w:ascii="Times New Roman" w:eastAsia="Times New Roman" w:hAnsi="Times New Roman" w:cs="Times New Roman"/>
          <w:b/>
          <w:bCs/>
          <w:color w:val="000000" w:themeColor="text1"/>
          <w:kern w:val="0"/>
          <w:lang w:eastAsia="tr-TR"/>
          <w14:ligatures w14:val="none"/>
        </w:rPr>
        <w:t>a</w:t>
      </w:r>
      <w:r w:rsidRPr="00D62CC3">
        <w:rPr>
          <w:rFonts w:ascii="Times New Roman" w:eastAsia="Times New Roman" w:hAnsi="Times New Roman" w:cs="Times New Roman"/>
          <w:b/>
          <w:bCs/>
          <w:color w:val="000000" w:themeColor="text1"/>
          <w:kern w:val="0"/>
          <w:lang w:eastAsia="tr-TR"/>
          <w14:ligatures w14:val="none"/>
        </w:rPr>
        <w:t>ccord</w:t>
      </w:r>
    </w:p>
    <w:p w14:paraId="399B3B13" w14:textId="08FB96C4" w:rsidR="00206E86" w:rsidRPr="00D62CC3" w:rsidRDefault="00206E86" w:rsidP="004249A3">
      <w:pPr>
        <w:pStyle w:val="AralkYok"/>
        <w:jc w:val="both"/>
        <w:rPr>
          <w:rFonts w:ascii="Times New Roman" w:eastAsia="Times New Roman" w:hAnsi="Times New Roman" w:cs="Times New Roman"/>
          <w:color w:val="000000" w:themeColor="text1"/>
          <w:kern w:val="0"/>
          <w:lang w:eastAsia="tr-TR"/>
          <w14:ligatures w14:val="none"/>
        </w:rPr>
      </w:pPr>
      <w:r w:rsidRPr="00D62CC3">
        <w:rPr>
          <w:rFonts w:ascii="Times New Roman" w:eastAsia="Times New Roman" w:hAnsi="Times New Roman" w:cs="Times New Roman"/>
          <w:color w:val="000000" w:themeColor="text1"/>
          <w:kern w:val="0"/>
          <w:lang w:eastAsia="tr-TR"/>
          <w14:ligatures w14:val="none"/>
        </w:rPr>
        <w:t xml:space="preserve">Building on his collaboration with Midhat, Musa Kazım substantially expanded his engagement with the </w:t>
      </w:r>
      <w:r w:rsidRPr="00D62CC3">
        <w:rPr>
          <w:rFonts w:ascii="Times New Roman" w:eastAsia="Times New Roman" w:hAnsi="Times New Roman" w:cs="Times New Roman"/>
          <w:i/>
          <w:iCs/>
          <w:color w:val="000000" w:themeColor="text1"/>
          <w:kern w:val="0"/>
          <w:lang w:eastAsia="tr-TR"/>
          <w14:ligatures w14:val="none"/>
        </w:rPr>
        <w:t>Tahāfut</w:t>
      </w:r>
      <w:r w:rsidRPr="00D62CC3">
        <w:rPr>
          <w:rFonts w:ascii="Times New Roman" w:eastAsia="Times New Roman" w:hAnsi="Times New Roman" w:cs="Times New Roman"/>
          <w:color w:val="000000" w:themeColor="text1"/>
          <w:kern w:val="0"/>
          <w:lang w:eastAsia="tr-TR"/>
          <w14:ligatures w14:val="none"/>
        </w:rPr>
        <w:t xml:space="preserve">s in his collected volume </w:t>
      </w:r>
      <w:r w:rsidRPr="00D62CC3">
        <w:rPr>
          <w:rFonts w:ascii="Times New Roman" w:eastAsia="Times New Roman" w:hAnsi="Times New Roman" w:cs="Times New Roman"/>
          <w:i/>
          <w:iCs/>
          <w:color w:val="000000" w:themeColor="text1"/>
          <w:kern w:val="0"/>
          <w:lang w:eastAsia="tr-TR"/>
          <w14:ligatures w14:val="none"/>
        </w:rPr>
        <w:t>Külliyāt</w:t>
      </w:r>
      <w:r w:rsidRPr="00D62CC3">
        <w:rPr>
          <w:rFonts w:ascii="Times New Roman" w:eastAsia="Times New Roman" w:hAnsi="Times New Roman" w:cs="Times New Roman"/>
          <w:color w:val="000000" w:themeColor="text1"/>
          <w:kern w:val="0"/>
          <w:lang w:eastAsia="tr-TR"/>
          <w14:ligatures w14:val="none"/>
        </w:rPr>
        <w:t xml:space="preserve"> (1917), revising and republishing the analysis he had originally submitted for Midhat’s translation-cum-commentary. Far from treating the debate as evidence of dogmatic closure, Kazım framed it as testimony to Islam’s openness to free inquiry, arguing that the positions of Ghazālī and Ibn Rushd ultimately converge more closely than conventional readings allow. To substantiate this claim, Kazım first situates Ghazālī’s intellectual project within its historical and polemical context. Where Ghazālī, deliberately or otherwise, mischaracterises certain philosophical doctrines, Kazım offers two explanations</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He presents such distortions either as a pedagogical strategy intended to warn a broader audience against the perceived dangers of the materialists (</w:t>
      </w:r>
      <w:r w:rsidRPr="00D62CC3">
        <w:rPr>
          <w:rFonts w:ascii="Times New Roman" w:eastAsia="Times New Roman" w:hAnsi="Times New Roman" w:cs="Times New Roman"/>
          <w:i/>
          <w:iCs/>
          <w:color w:val="000000" w:themeColor="text1"/>
          <w:kern w:val="0"/>
          <w:lang w:eastAsia="tr-TR"/>
          <w14:ligatures w14:val="none"/>
        </w:rPr>
        <w:t>al-dahrīyūn</w:t>
      </w:r>
      <w:r w:rsidRPr="00D62CC3">
        <w:rPr>
          <w:rFonts w:ascii="Times New Roman" w:eastAsia="Times New Roman" w:hAnsi="Times New Roman" w:cs="Times New Roman"/>
          <w:color w:val="000000" w:themeColor="text1"/>
          <w:kern w:val="0"/>
          <w:lang w:eastAsia="tr-TR"/>
          <w14:ligatures w14:val="none"/>
        </w:rPr>
        <w:t>), anti-Sunnī movements such as the Fāṭimids, Ismāʿīlīs, and Bāṭiniyya, and rival currents within Sunnism, or as the result of Ghazālī’s limited engagement with the internal diversity and doctrinal subtleties of Arabic philosoph</w:t>
      </w:r>
      <w:r>
        <w:rPr>
          <w:rFonts w:ascii="Times New Roman" w:eastAsia="Times New Roman" w:hAnsi="Times New Roman" w:cs="Times New Roman"/>
          <w:color w:val="000000" w:themeColor="text1"/>
          <w:kern w:val="0"/>
          <w:lang w:eastAsia="tr-TR"/>
          <w14:ligatures w14:val="none"/>
        </w:rPr>
        <w:t>y</w:t>
      </w:r>
      <w:r w:rsidRPr="00D62CC3">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hAnsi="Times New Roman" w:cs="Times New Roman"/>
          <w:color w:val="000000" w:themeColor="text1"/>
        </w:rPr>
        <w:t>a limitation most clearly exposed in debates over eschatology</w:t>
      </w:r>
      <w:r w:rsidRPr="00D62CC3">
        <w:rPr>
          <w:rFonts w:ascii="Times New Roman" w:eastAsia="Times New Roman" w:hAnsi="Times New Roman" w:cs="Times New Roman"/>
          <w:color w:val="000000" w:themeColor="text1"/>
          <w:kern w:val="0"/>
          <w:lang w:eastAsia="tr-TR"/>
          <w14:ligatures w14:val="none"/>
        </w:rPr>
        <w:t>.</w:t>
      </w:r>
      <w:r w:rsidRPr="00D62CC3">
        <w:rPr>
          <w:rStyle w:val="SonNotBavurusu"/>
          <w:rFonts w:ascii="Times New Roman" w:hAnsi="Times New Roman" w:cs="Times New Roman"/>
          <w:color w:val="000000" w:themeColor="text1"/>
          <w:lang w:eastAsia="tr-TR"/>
        </w:rPr>
        <w:endnoteReference w:id="62"/>
      </w:r>
    </w:p>
    <w:p w14:paraId="13361289" w14:textId="3233C2EF"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eastAsia="Times New Roman" w:hAnsi="Times New Roman" w:cs="Times New Roman"/>
          <w:color w:val="000000" w:themeColor="text1"/>
          <w:kern w:val="0"/>
          <w:lang w:eastAsia="tr-TR"/>
          <w14:ligatures w14:val="none"/>
        </w:rPr>
        <w:t xml:space="preserve">Doctrinal analysis, for Kazım, reinforces rather than undermines this historical contextualisation. Since both Ghazālī and Ibn Rushd affirmed the pre-eternity of God’s Necessary Existence, Kazım judges their genuine theological disagreements to be narrowly circumscribed. Ibn </w:t>
      </w:r>
      <w:r w:rsidRPr="00D62CC3">
        <w:rPr>
          <w:rFonts w:ascii="Times New Roman" w:eastAsia="Times New Roman" w:hAnsi="Times New Roman" w:cs="Times New Roman"/>
          <w:color w:val="000000" w:themeColor="text1"/>
          <w:kern w:val="0"/>
          <w:lang w:eastAsia="tr-TR"/>
          <w14:ligatures w14:val="none"/>
        </w:rPr>
        <w:lastRenderedPageBreak/>
        <w:t>Rushd, in particular, unequivocally affirmed the compatibility of true philosophy with Islam and with the foundational principles shared by all authentic revealed religions, rendering charges of the philosophers’ declaration of unbelief (</w:t>
      </w:r>
      <w:r w:rsidRPr="00D62CC3">
        <w:rPr>
          <w:rFonts w:ascii="Times New Roman" w:eastAsia="Times New Roman" w:hAnsi="Times New Roman" w:cs="Times New Roman"/>
          <w:i/>
          <w:iCs/>
          <w:color w:val="000000" w:themeColor="text1"/>
          <w:kern w:val="0"/>
          <w:lang w:eastAsia="tr-TR"/>
          <w14:ligatures w14:val="none"/>
        </w:rPr>
        <w:t>takfīr</w:t>
      </w:r>
      <w:r w:rsidRPr="00D62CC3">
        <w:rPr>
          <w:rFonts w:ascii="Times New Roman" w:eastAsia="Times New Roman" w:hAnsi="Times New Roman" w:cs="Times New Roman"/>
          <w:color w:val="000000" w:themeColor="text1"/>
          <w:kern w:val="0"/>
          <w:lang w:eastAsia="tr-TR"/>
          <w14:ligatures w14:val="none"/>
        </w:rPr>
        <w:t>) untenable.</w:t>
      </w:r>
      <w:r w:rsidRPr="00D62CC3">
        <w:rPr>
          <w:rStyle w:val="SonNotBavurusu"/>
          <w:rFonts w:ascii="Times New Roman" w:hAnsi="Times New Roman" w:cs="Times New Roman"/>
          <w:color w:val="000000" w:themeColor="text1"/>
          <w:lang w:eastAsia="tr-TR"/>
        </w:rPr>
        <w:endnoteReference w:id="63"/>
      </w:r>
      <w:r w:rsidRPr="00D62CC3">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hAnsi="Times New Roman" w:cs="Times New Roman"/>
          <w:color w:val="000000" w:themeColor="text1"/>
        </w:rPr>
        <w:t>His rigorous rationalism, likened by Kazım to that of the Muʿtazilites,</w:t>
      </w:r>
      <w:r w:rsidRPr="00D62CC3">
        <w:rPr>
          <w:rStyle w:val="SonNotBavurusu"/>
          <w:rFonts w:ascii="Times New Roman" w:hAnsi="Times New Roman" w:cs="Times New Roman"/>
          <w:color w:val="000000" w:themeColor="text1"/>
          <w:lang w:eastAsia="tr-TR"/>
        </w:rPr>
        <w:endnoteReference w:id="64"/>
      </w:r>
      <w:r w:rsidRPr="00D62CC3">
        <w:rPr>
          <w:rFonts w:ascii="Times New Roman" w:hAnsi="Times New Roman" w:cs="Times New Roman"/>
          <w:color w:val="000000" w:themeColor="text1"/>
        </w:rPr>
        <w:t xml:space="preserve"> thus never excluded him from recognition as a legitimate Muslim thinker.</w:t>
      </w:r>
      <w:r w:rsidRPr="00D62CC3">
        <w:rPr>
          <w:rStyle w:val="SonNotBavurusu"/>
          <w:rFonts w:ascii="Times New Roman" w:hAnsi="Times New Roman" w:cs="Times New Roman"/>
          <w:color w:val="000000" w:themeColor="text1"/>
          <w:lang w:eastAsia="tr-TR"/>
        </w:rPr>
        <w:endnoteReference w:id="65"/>
      </w:r>
    </w:p>
    <w:p w14:paraId="1C71C1F3" w14:textId="7263ED2F" w:rsidR="00206E86" w:rsidRPr="00D62CC3" w:rsidRDefault="00206E86" w:rsidP="004249A3">
      <w:pPr>
        <w:pStyle w:val="AralkYok"/>
        <w:ind w:firstLine="708"/>
        <w:jc w:val="both"/>
        <w:rPr>
          <w:rFonts w:ascii="Times New Roman" w:eastAsia="Times New Roman" w:hAnsi="Times New Roman" w:cs="Times New Roman"/>
          <w:color w:val="000000" w:themeColor="text1"/>
          <w:kern w:val="0"/>
          <w:lang w:eastAsia="tr-TR"/>
          <w14:ligatures w14:val="none"/>
        </w:rPr>
      </w:pPr>
      <w:r w:rsidRPr="00D62CC3">
        <w:rPr>
          <w:rFonts w:ascii="Times New Roman" w:hAnsi="Times New Roman" w:cs="Times New Roman"/>
          <w:color w:val="000000" w:themeColor="text1"/>
        </w:rPr>
        <w:t>The tension between Ghazālī and Ibn Rushd, Kazım contends, reflects divergent intellectual formations: Ghazālī’s relative lack of systematic philosophical training as opposed to Ibn Rushd’s formation within the pluralistic intellectual milieu of Andalus.</w:t>
      </w:r>
      <w:r w:rsidRPr="00D62CC3">
        <w:rPr>
          <w:rStyle w:val="SonNotBavurusu"/>
          <w:rFonts w:ascii="Times New Roman" w:hAnsi="Times New Roman" w:cs="Times New Roman"/>
          <w:color w:val="000000" w:themeColor="text1"/>
          <w:lang w:eastAsia="tr-TR"/>
        </w:rPr>
        <w:endnoteReference w:id="66"/>
      </w:r>
      <w:r w:rsidRPr="00D62CC3">
        <w:rPr>
          <w:rFonts w:ascii="Times New Roman" w:hAnsi="Times New Roman" w:cs="Times New Roman"/>
          <w:color w:val="000000" w:themeColor="text1"/>
        </w:rPr>
        <w:t xml:space="preserve"> Their dispute therefore functions not as a clash between irreconcilable domains but as a form of scientific corroboration, a synthetic, dialectical process in which theological and philosophical inquiry mutually refine one another, drawing closer through critical engagement.</w:t>
      </w:r>
      <w:r w:rsidRPr="00D62CC3">
        <w:rPr>
          <w:rFonts w:ascii="Times New Roman" w:eastAsia="Times New Roman" w:hAnsi="Times New Roman" w:cs="Times New Roman"/>
          <w:color w:val="000000" w:themeColor="text1"/>
          <w:kern w:val="0"/>
          <w:lang w:eastAsia="tr-TR"/>
          <w14:ligatures w14:val="none"/>
        </w:rPr>
        <w:t xml:space="preserve"> This interpretive framework was not merely antiquarian. Kazım’s reading of Ghazālī closely parallels his own religio-political project within the context of late Ottoman educational reform and the incorporation of modern European sciences into the curriculum. </w:t>
      </w:r>
      <w:r w:rsidRPr="001F2FB6">
        <w:rPr>
          <w:rFonts w:ascii="Times New Roman" w:eastAsia="Times New Roman" w:hAnsi="Times New Roman" w:cs="Times New Roman"/>
          <w:kern w:val="0"/>
          <w:lang w:eastAsia="tr-TR"/>
          <w14:ligatures w14:val="none"/>
        </w:rPr>
        <w:t xml:space="preserve">The congruence he posits between the two </w:t>
      </w:r>
      <w:r w:rsidRPr="001F2FB6">
        <w:rPr>
          <w:rFonts w:ascii="Times New Roman" w:eastAsia="Times New Roman" w:hAnsi="Times New Roman" w:cs="Times New Roman"/>
          <w:i/>
          <w:iCs/>
          <w:kern w:val="0"/>
          <w:lang w:eastAsia="tr-TR"/>
          <w14:ligatures w14:val="none"/>
        </w:rPr>
        <w:t>Tahāfut</w:t>
      </w:r>
      <w:r w:rsidRPr="001F2FB6">
        <w:rPr>
          <w:rFonts w:ascii="Times New Roman" w:eastAsia="Times New Roman" w:hAnsi="Times New Roman" w:cs="Times New Roman"/>
          <w:kern w:val="0"/>
          <w:lang w:eastAsia="tr-TR"/>
          <w14:ligatures w14:val="none"/>
        </w:rPr>
        <w:t xml:space="preserve">s thus serves as historical proof that no intrinsic conflict existed between Islam and science, while demonstrating how scientific knowledge could be accommodated without the uncritical adoption of Western </w:t>
      </w:r>
      <w:r>
        <w:rPr>
          <w:rFonts w:ascii="Times New Roman" w:eastAsia="Times New Roman" w:hAnsi="Times New Roman" w:cs="Times New Roman"/>
          <w:kern w:val="0"/>
          <w:lang w:eastAsia="tr-TR"/>
          <w14:ligatures w14:val="none"/>
        </w:rPr>
        <w:t xml:space="preserve">social </w:t>
      </w:r>
      <w:r w:rsidRPr="001F2FB6">
        <w:rPr>
          <w:rFonts w:ascii="Times New Roman" w:eastAsia="Times New Roman" w:hAnsi="Times New Roman" w:cs="Times New Roman"/>
          <w:kern w:val="0"/>
          <w:lang w:eastAsia="tr-TR"/>
          <w14:ligatures w14:val="none"/>
        </w:rPr>
        <w:t>norms among Ottoman youth.</w:t>
      </w:r>
    </w:p>
    <w:p w14:paraId="532A5940" w14:textId="77777777" w:rsidR="00206E86" w:rsidRPr="00D62CC3" w:rsidRDefault="00206E86" w:rsidP="004249A3">
      <w:pPr>
        <w:pStyle w:val="AralkYok"/>
        <w:ind w:firstLine="708"/>
        <w:jc w:val="both"/>
        <w:rPr>
          <w:rFonts w:ascii="Times New Roman" w:hAnsi="Times New Roman" w:cs="Times New Roman"/>
          <w:color w:val="000000" w:themeColor="text1"/>
          <w:lang w:eastAsia="tr-TR"/>
        </w:rPr>
      </w:pPr>
    </w:p>
    <w:p w14:paraId="1AAEBB27" w14:textId="18F09680" w:rsidR="00206E86" w:rsidRPr="00D62CC3" w:rsidRDefault="00206E86" w:rsidP="004249A3">
      <w:pPr>
        <w:pStyle w:val="AralkYok"/>
        <w:jc w:val="both"/>
        <w:rPr>
          <w:rFonts w:ascii="Times New Roman" w:hAnsi="Times New Roman" w:cs="Times New Roman"/>
          <w:b/>
          <w:bCs/>
          <w:color w:val="000000" w:themeColor="text1"/>
          <w:lang w:eastAsia="tr-TR"/>
        </w:rPr>
      </w:pPr>
      <w:r w:rsidRPr="00D62CC3">
        <w:rPr>
          <w:rFonts w:ascii="Times New Roman" w:hAnsi="Times New Roman" w:cs="Times New Roman"/>
          <w:b/>
          <w:bCs/>
          <w:color w:val="000000" w:themeColor="text1"/>
        </w:rPr>
        <w:t xml:space="preserve">Reclaiming Ghazālī, </w:t>
      </w:r>
      <w:r>
        <w:rPr>
          <w:rFonts w:ascii="Times New Roman" w:hAnsi="Times New Roman" w:cs="Times New Roman"/>
          <w:b/>
          <w:bCs/>
          <w:color w:val="000000" w:themeColor="text1"/>
        </w:rPr>
        <w:t>s</w:t>
      </w:r>
      <w:r w:rsidRPr="00D62CC3">
        <w:rPr>
          <w:rFonts w:ascii="Times New Roman" w:hAnsi="Times New Roman" w:cs="Times New Roman"/>
          <w:b/>
          <w:bCs/>
          <w:color w:val="000000" w:themeColor="text1"/>
        </w:rPr>
        <w:t xml:space="preserve">alvaging Ibn Rushd: Ali Suavi’s </w:t>
      </w:r>
      <w:r>
        <w:rPr>
          <w:rFonts w:ascii="Times New Roman" w:hAnsi="Times New Roman" w:cs="Times New Roman"/>
          <w:b/>
          <w:bCs/>
          <w:color w:val="000000" w:themeColor="text1"/>
        </w:rPr>
        <w:t>c</w:t>
      </w:r>
      <w:r w:rsidRPr="00D62CC3">
        <w:rPr>
          <w:rFonts w:ascii="Times New Roman" w:hAnsi="Times New Roman" w:cs="Times New Roman"/>
          <w:b/>
          <w:bCs/>
          <w:color w:val="000000" w:themeColor="text1"/>
        </w:rPr>
        <w:t xml:space="preserve">ongruence </w:t>
      </w:r>
      <w:r>
        <w:rPr>
          <w:rFonts w:ascii="Times New Roman" w:hAnsi="Times New Roman" w:cs="Times New Roman"/>
          <w:b/>
          <w:bCs/>
          <w:color w:val="000000" w:themeColor="text1"/>
        </w:rPr>
        <w:t>b</w:t>
      </w:r>
      <w:r w:rsidRPr="00D62CC3">
        <w:rPr>
          <w:rFonts w:ascii="Times New Roman" w:hAnsi="Times New Roman" w:cs="Times New Roman"/>
          <w:b/>
          <w:bCs/>
          <w:color w:val="000000" w:themeColor="text1"/>
        </w:rPr>
        <w:t xml:space="preserve">etween </w:t>
      </w:r>
      <w:r>
        <w:rPr>
          <w:rFonts w:ascii="Times New Roman" w:hAnsi="Times New Roman" w:cs="Times New Roman"/>
          <w:b/>
          <w:bCs/>
          <w:color w:val="000000" w:themeColor="text1"/>
        </w:rPr>
        <w:t>s</w:t>
      </w:r>
      <w:r w:rsidRPr="00D62CC3">
        <w:rPr>
          <w:rFonts w:ascii="Times New Roman" w:hAnsi="Times New Roman" w:cs="Times New Roman"/>
          <w:b/>
          <w:bCs/>
          <w:color w:val="000000" w:themeColor="text1"/>
        </w:rPr>
        <w:t xml:space="preserve">cience and </w:t>
      </w:r>
      <w:r>
        <w:rPr>
          <w:rFonts w:ascii="Times New Roman" w:hAnsi="Times New Roman" w:cs="Times New Roman"/>
          <w:b/>
          <w:bCs/>
          <w:color w:val="000000" w:themeColor="text1"/>
        </w:rPr>
        <w:t>r</w:t>
      </w:r>
      <w:r w:rsidRPr="00D62CC3">
        <w:rPr>
          <w:rFonts w:ascii="Times New Roman" w:hAnsi="Times New Roman" w:cs="Times New Roman"/>
          <w:b/>
          <w:bCs/>
          <w:color w:val="000000" w:themeColor="text1"/>
        </w:rPr>
        <w:t xml:space="preserve">eligion </w:t>
      </w:r>
    </w:p>
    <w:p w14:paraId="3C4E84E9" w14:textId="513A4D91" w:rsidR="00206E86" w:rsidRPr="00D62CC3" w:rsidRDefault="00206E86" w:rsidP="004249A3">
      <w:pPr>
        <w:pStyle w:val="AralkYok"/>
        <w:jc w:val="both"/>
        <w:rPr>
          <w:rFonts w:ascii="Times New Roman" w:hAnsi="Times New Roman" w:cs="Times New Roman"/>
          <w:color w:val="000000" w:themeColor="text1"/>
          <w:lang w:eastAsia="tr-TR"/>
        </w:rPr>
      </w:pPr>
      <w:r w:rsidRPr="005A2EA2">
        <w:rPr>
          <w:rFonts w:ascii="Times New Roman" w:eastAsia="Times New Roman" w:hAnsi="Times New Roman" w:cs="Times New Roman"/>
          <w:kern w:val="0"/>
          <w:lang w:eastAsia="tr-TR"/>
          <w14:ligatures w14:val="none"/>
        </w:rPr>
        <w:t xml:space="preserve">An early advocate of a distinctly ‘Turkish’ contribution to the transmission of Islamic sciences to Europe was Ali Suavi (1839–78), who used his Paris-based journal </w:t>
      </w:r>
      <w:r w:rsidRPr="005A2EA2">
        <w:rPr>
          <w:rFonts w:ascii="Times New Roman" w:eastAsia="Times New Roman" w:hAnsi="Times New Roman" w:cs="Times New Roman"/>
          <w:i/>
          <w:iCs/>
          <w:kern w:val="0"/>
          <w:lang w:eastAsia="tr-TR"/>
          <w14:ligatures w14:val="none"/>
        </w:rPr>
        <w:t>ʿUlūm</w:t>
      </w:r>
      <w:r w:rsidRPr="005A2EA2">
        <w:rPr>
          <w:rFonts w:ascii="Times New Roman" w:eastAsia="Times New Roman" w:hAnsi="Times New Roman" w:cs="Times New Roman"/>
          <w:kern w:val="0"/>
          <w:lang w:eastAsia="tr-TR"/>
          <w14:ligatures w14:val="none"/>
        </w:rPr>
        <w:t xml:space="preserve"> (1869–70) to rethink the relationship among science, religion, and education in the late Ottoman context.</w:t>
      </w:r>
      <w:r>
        <w:rPr>
          <w:rFonts w:ascii="Times New Roman" w:eastAsia="Times New Roman" w:hAnsi="Times New Roman" w:cs="Times New Roman"/>
          <w:kern w:val="0"/>
          <w:lang w:eastAsia="tr-TR"/>
          <w14:ligatures w14:val="none"/>
        </w:rPr>
        <w:t xml:space="preserve"> </w:t>
      </w:r>
      <w:r w:rsidRPr="00D62CC3">
        <w:rPr>
          <w:rFonts w:ascii="Times New Roman" w:hAnsi="Times New Roman" w:cs="Times New Roman"/>
          <w:color w:val="000000" w:themeColor="text1"/>
          <w:lang w:eastAsia="tr-TR"/>
        </w:rPr>
        <w:t xml:space="preserve">Like those of </w:t>
      </w:r>
      <w:r w:rsidRPr="00D62CC3">
        <w:rPr>
          <w:rFonts w:ascii="Times New Roman" w:hAnsi="Times New Roman" w:cs="Times New Roman"/>
          <w:color w:val="000000" w:themeColor="text1"/>
        </w:rPr>
        <w:t>Midhat and Kazım</w:t>
      </w:r>
      <w:r w:rsidRPr="00D62CC3">
        <w:rPr>
          <w:rFonts w:ascii="Times New Roman" w:hAnsi="Times New Roman" w:cs="Times New Roman"/>
          <w:color w:val="000000" w:themeColor="text1"/>
          <w:lang w:eastAsia="tr-TR"/>
        </w:rPr>
        <w:t xml:space="preserve">, his essays advanced a reformist pedagogical agenda that included the call for a new intellectual language freed from excessive archaism and a curriculum that would integrate the Islamic classical tradition with European scientific sources. </w:t>
      </w:r>
      <w:r w:rsidRPr="00D62CC3">
        <w:rPr>
          <w:rFonts w:ascii="Times New Roman" w:hAnsi="Times New Roman" w:cs="Times New Roman"/>
          <w:color w:val="000000" w:themeColor="text1"/>
        </w:rPr>
        <w:t xml:space="preserve">Often characterised as an Islamist thinker, Suavi’s self-identification as </w:t>
      </w:r>
      <w:r>
        <w:rPr>
          <w:rFonts w:ascii="Times New Roman" w:hAnsi="Times New Roman" w:cs="Times New Roman"/>
          <w:color w:val="000000" w:themeColor="text1"/>
        </w:rPr>
        <w:t>‘</w:t>
      </w:r>
      <w:r w:rsidRPr="00D62CC3">
        <w:rPr>
          <w:rFonts w:ascii="Times New Roman" w:hAnsi="Times New Roman" w:cs="Times New Roman"/>
          <w:color w:val="000000" w:themeColor="text1"/>
        </w:rPr>
        <w:t>Turkish</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operated within a fluid ideological landscape shaped by late Ottoman debates over religious reform and collective identity.</w:t>
      </w:r>
      <w:r w:rsidRPr="00D62CC3">
        <w:rPr>
          <w:rStyle w:val="SonNotBavurusu"/>
          <w:rFonts w:ascii="Times New Roman" w:hAnsi="Times New Roman" w:cs="Times New Roman"/>
          <w:color w:val="000000" w:themeColor="text1"/>
          <w:lang w:eastAsia="tr-TR"/>
        </w:rPr>
        <w:endnoteReference w:id="67"/>
      </w:r>
      <w:r w:rsidRPr="00D62CC3">
        <w:rPr>
          <w:rFonts w:ascii="Times New Roman" w:hAnsi="Times New Roman" w:cs="Times New Roman"/>
          <w:color w:val="000000" w:themeColor="text1"/>
        </w:rPr>
        <w:t xml:space="preserve"> He at times mobilised racialised conceptions of scientific productivity to argue that many major </w:t>
      </w:r>
      <w:r>
        <w:rPr>
          <w:rFonts w:ascii="Times New Roman" w:hAnsi="Times New Roman" w:cs="Times New Roman"/>
          <w:color w:val="000000" w:themeColor="text1"/>
        </w:rPr>
        <w:t xml:space="preserve">Islamicate </w:t>
      </w:r>
      <w:r w:rsidRPr="00D62CC3">
        <w:rPr>
          <w:rFonts w:ascii="Times New Roman" w:hAnsi="Times New Roman" w:cs="Times New Roman"/>
          <w:color w:val="000000" w:themeColor="text1"/>
        </w:rPr>
        <w:t xml:space="preserve">contributions to early modern science originated in Central Asia and were attributable to </w:t>
      </w:r>
      <w:r>
        <w:rPr>
          <w:rFonts w:ascii="Times New Roman" w:hAnsi="Times New Roman" w:cs="Times New Roman"/>
          <w:color w:val="000000" w:themeColor="text1"/>
        </w:rPr>
        <w:t>the Turks</w:t>
      </w:r>
      <w:r w:rsidRPr="00D62CC3">
        <w:rPr>
          <w:rFonts w:ascii="Times New Roman" w:hAnsi="Times New Roman" w:cs="Times New Roman"/>
          <w:color w:val="000000" w:themeColor="text1"/>
        </w:rPr>
        <w:t xml:space="preserve">, </w:t>
      </w:r>
      <w:r>
        <w:rPr>
          <w:rFonts w:ascii="Times New Roman" w:hAnsi="Times New Roman" w:cs="Times New Roman"/>
          <w:color w:val="000000" w:themeColor="text1"/>
        </w:rPr>
        <w:t>not</w:t>
      </w:r>
      <w:r w:rsidRPr="00D62CC3">
        <w:rPr>
          <w:rFonts w:ascii="Times New Roman" w:hAnsi="Times New Roman" w:cs="Times New Roman"/>
          <w:color w:val="000000" w:themeColor="text1"/>
        </w:rPr>
        <w:t xml:space="preserve"> exclusively to Arabs or Europeans.</w:t>
      </w:r>
      <w:r w:rsidRPr="00D62CC3">
        <w:rPr>
          <w:rStyle w:val="SonNotBavurusu"/>
          <w:rFonts w:ascii="Times New Roman" w:hAnsi="Times New Roman" w:cs="Times New Roman"/>
          <w:color w:val="000000" w:themeColor="text1"/>
          <w:lang w:eastAsia="tr-TR"/>
        </w:rPr>
        <w:endnoteReference w:id="68"/>
      </w:r>
      <w:r w:rsidRPr="00D62CC3">
        <w:rPr>
          <w:rFonts w:ascii="Times New Roman" w:hAnsi="Times New Roman" w:cs="Times New Roman"/>
          <w:color w:val="000000" w:themeColor="text1"/>
          <w:lang w:eastAsia="tr-TR"/>
        </w:rPr>
        <w:t xml:space="preserve"> </w:t>
      </w:r>
    </w:p>
    <w:p w14:paraId="2B4DABE6" w14:textId="1ACDF29A" w:rsidR="00206E86" w:rsidRPr="00D62CC3" w:rsidRDefault="00206E86" w:rsidP="004249A3">
      <w:pPr>
        <w:pStyle w:val="AralkYok"/>
        <w:jc w:val="both"/>
        <w:rPr>
          <w:rFonts w:ascii="Times New Roman" w:hAnsi="Times New Roman" w:cs="Times New Roman"/>
          <w:color w:val="000000" w:themeColor="text1"/>
          <w:lang w:eastAsia="tr-TR"/>
        </w:rPr>
      </w:pPr>
      <w:r w:rsidRPr="00D62CC3">
        <w:rPr>
          <w:rFonts w:ascii="Times New Roman" w:hAnsi="Times New Roman" w:cs="Times New Roman"/>
          <w:color w:val="000000" w:themeColor="text1"/>
          <w:lang w:eastAsia="tr-TR"/>
        </w:rPr>
        <w:tab/>
        <w:t>I</w:t>
      </w:r>
      <w:r w:rsidRPr="00D62CC3">
        <w:rPr>
          <w:rFonts w:ascii="Times New Roman" w:eastAsia="Times New Roman" w:hAnsi="Times New Roman" w:cs="Times New Roman"/>
          <w:color w:val="000000" w:themeColor="text1"/>
          <w:kern w:val="0"/>
          <w:lang w:eastAsia="tr-TR"/>
          <w14:ligatures w14:val="none"/>
        </w:rPr>
        <w:t xml:space="preserve">n a sustained series of articles in </w:t>
      </w:r>
      <w:r w:rsidRPr="00D62CC3">
        <w:rPr>
          <w:rFonts w:ascii="Times New Roman" w:eastAsia="Times New Roman" w:hAnsi="Times New Roman" w:cs="Times New Roman"/>
          <w:i/>
          <w:iCs/>
          <w:color w:val="000000" w:themeColor="text1"/>
          <w:kern w:val="0"/>
          <w:lang w:eastAsia="tr-TR"/>
          <w14:ligatures w14:val="none"/>
        </w:rPr>
        <w:t>ʿUlūm</w:t>
      </w:r>
      <w:r w:rsidRPr="00D62CC3">
        <w:rPr>
          <w:rFonts w:ascii="Times New Roman" w:eastAsia="Times New Roman" w:hAnsi="Times New Roman" w:cs="Times New Roman"/>
          <w:color w:val="000000" w:themeColor="text1"/>
          <w:kern w:val="0"/>
          <w:lang w:eastAsia="tr-TR"/>
          <w14:ligatures w14:val="none"/>
        </w:rPr>
        <w:t xml:space="preserve">, Suavi adopted a constructive stance towards Ghazālī’s place in Islamic history, instrumentalizing him as a presentist critical resource. Ghazālī’s thought was mobilised as an antidote to what Ottoman religious scholars identified as the most serious contemporary threat to the religious sciences, namely, the </w:t>
      </w:r>
      <w:r w:rsidRPr="00D62CC3">
        <w:rPr>
          <w:rFonts w:ascii="Times New Roman" w:eastAsia="Times New Roman" w:hAnsi="Times New Roman" w:cs="Times New Roman"/>
          <w:i/>
          <w:iCs/>
          <w:color w:val="000000" w:themeColor="text1"/>
          <w:kern w:val="0"/>
          <w:lang w:eastAsia="tr-TR"/>
          <w14:ligatures w14:val="none"/>
        </w:rPr>
        <w:t>Vulgärmaterialismus</w:t>
      </w:r>
      <w:r w:rsidRPr="00D62CC3">
        <w:rPr>
          <w:rFonts w:ascii="Times New Roman" w:eastAsia="Times New Roman" w:hAnsi="Times New Roman" w:cs="Times New Roman"/>
          <w:color w:val="000000" w:themeColor="text1"/>
          <w:kern w:val="0"/>
          <w:lang w:eastAsia="tr-TR"/>
          <w14:ligatures w14:val="none"/>
        </w:rPr>
        <w:t xml:space="preserve"> of the German physiologist and physician Ludwig Büchner (1824-99), which Suavi framed as a modern analogue to the materialists Ghazālī had earlier opposed.</w:t>
      </w:r>
      <w:r w:rsidRPr="00D62CC3">
        <w:rPr>
          <w:rStyle w:val="SonNotBavurusu"/>
          <w:rFonts w:ascii="Times New Roman" w:hAnsi="Times New Roman" w:cs="Times New Roman"/>
          <w:color w:val="000000" w:themeColor="text1"/>
          <w:lang w:eastAsia="tr-TR"/>
        </w:rPr>
        <w:endnoteReference w:id="69"/>
      </w:r>
      <w:r w:rsidRPr="00D62CC3">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hAnsi="Times New Roman" w:cs="Times New Roman"/>
          <w:color w:val="000000" w:themeColor="text1"/>
        </w:rPr>
        <w:t>In particular, Büchner’s claims concerning the inseparability of force and matter, the eternity of matter, and the impossibility of its annihilation were cast as inimical to Islam and retrospectively aligned with Ghazālī’s rejection of materialism.</w:t>
      </w:r>
      <w:r w:rsidRPr="00D62CC3">
        <w:rPr>
          <w:rStyle w:val="SonNotBavurusu"/>
          <w:rFonts w:ascii="Times New Roman" w:eastAsia="Times New Roman" w:hAnsi="Times New Roman" w:cs="Times New Roman"/>
          <w:color w:val="000000" w:themeColor="text1"/>
          <w:kern w:val="0"/>
          <w:lang w:eastAsia="tr-TR"/>
          <w14:ligatures w14:val="none"/>
        </w:rPr>
        <w:endnoteReference w:id="70"/>
      </w:r>
      <w:r w:rsidRPr="00D62CC3">
        <w:rPr>
          <w:rFonts w:ascii="Times New Roman" w:eastAsia="Times New Roman" w:hAnsi="Times New Roman" w:cs="Times New Roman"/>
          <w:color w:val="000000" w:themeColor="text1"/>
          <w:kern w:val="0"/>
          <w:lang w:eastAsia="tr-TR"/>
          <w14:ligatures w14:val="none"/>
        </w:rPr>
        <w:t xml:space="preserve"> As in Kazım’s contextualisation, Suavi further situated Ghazālī’s project within its own socio</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political moment, marked by sectarian fragmentation that endangered Sunnī cohesion. On this reading, Ghazālī’s intervention sought to expose the presuppositions of rival doctrines and to rearticulate a unified </w:t>
      </w:r>
      <w:r w:rsidRPr="00D62CC3">
        <w:rPr>
          <w:rFonts w:ascii="Times New Roman" w:eastAsia="Times New Roman" w:hAnsi="Times New Roman" w:cs="Times New Roman"/>
          <w:i/>
          <w:iCs/>
          <w:color w:val="000000" w:themeColor="text1"/>
          <w:kern w:val="0"/>
          <w:lang w:eastAsia="tr-TR"/>
          <w14:ligatures w14:val="none"/>
        </w:rPr>
        <w:t>ahl al-sunna</w:t>
      </w:r>
      <w:r w:rsidRPr="00D62CC3">
        <w:rPr>
          <w:rFonts w:ascii="Times New Roman" w:eastAsia="Times New Roman" w:hAnsi="Times New Roman" w:cs="Times New Roman"/>
          <w:color w:val="000000" w:themeColor="text1"/>
          <w:kern w:val="0"/>
          <w:lang w:eastAsia="tr-TR"/>
          <w14:ligatures w14:val="none"/>
        </w:rPr>
        <w:t>.</w:t>
      </w:r>
      <w:r w:rsidRPr="00D62CC3">
        <w:rPr>
          <w:rStyle w:val="SonNotBavurusu"/>
          <w:rFonts w:ascii="Times New Roman" w:hAnsi="Times New Roman" w:cs="Times New Roman"/>
          <w:color w:val="000000" w:themeColor="text1"/>
          <w:lang w:eastAsia="tr-TR"/>
        </w:rPr>
        <w:endnoteReference w:id="71"/>
      </w:r>
      <w:r w:rsidRPr="00D62CC3">
        <w:rPr>
          <w:rFonts w:ascii="Times New Roman" w:hAnsi="Times New Roman" w:cs="Times New Roman"/>
          <w:color w:val="000000" w:themeColor="text1"/>
          <w:lang w:eastAsia="tr-TR"/>
        </w:rPr>
        <w:t xml:space="preserve"> </w:t>
      </w:r>
    </w:p>
    <w:p w14:paraId="5DC85472" w14:textId="2CA9EFF1" w:rsidR="00206E86" w:rsidRPr="00D62CC3" w:rsidRDefault="00206E86" w:rsidP="004249A3">
      <w:pPr>
        <w:pStyle w:val="AralkYok"/>
        <w:jc w:val="both"/>
        <w:rPr>
          <w:rFonts w:ascii="Times New Roman" w:hAnsi="Times New Roman" w:cs="Times New Roman"/>
          <w:color w:val="000000" w:themeColor="text1"/>
          <w:lang w:eastAsia="tr-TR"/>
        </w:rPr>
      </w:pPr>
      <w:r w:rsidRPr="00D62CC3">
        <w:rPr>
          <w:rFonts w:ascii="Times New Roman" w:hAnsi="Times New Roman" w:cs="Times New Roman"/>
          <w:color w:val="000000" w:themeColor="text1"/>
          <w:lang w:eastAsia="tr-TR"/>
        </w:rPr>
        <w:tab/>
      </w:r>
      <w:r w:rsidRPr="00D62CC3">
        <w:rPr>
          <w:rFonts w:ascii="Times New Roman" w:eastAsia="Times New Roman" w:hAnsi="Times New Roman" w:cs="Times New Roman"/>
          <w:color w:val="000000" w:themeColor="text1"/>
          <w:kern w:val="0"/>
          <w:lang w:eastAsia="tr-TR"/>
          <w14:ligatures w14:val="none"/>
        </w:rPr>
        <w:t xml:space="preserve">Suavi, like Kazım, maintained that philosophical and theological traditions shared a common </w:t>
      </w:r>
      <w:r w:rsidRPr="00D62CC3">
        <w:rPr>
          <w:rFonts w:ascii="Times New Roman" w:eastAsia="Times New Roman" w:hAnsi="Times New Roman" w:cs="Times New Roman"/>
          <w:i/>
          <w:iCs/>
          <w:color w:val="000000" w:themeColor="text1"/>
          <w:kern w:val="0"/>
          <w:lang w:eastAsia="tr-TR"/>
          <w14:ligatures w14:val="none"/>
        </w:rPr>
        <w:t>telos</w:t>
      </w:r>
      <w:r w:rsidRPr="00D62CC3">
        <w:rPr>
          <w:rFonts w:ascii="Times New Roman" w:eastAsia="Times New Roman" w:hAnsi="Times New Roman" w:cs="Times New Roman"/>
          <w:color w:val="000000" w:themeColor="text1"/>
          <w:kern w:val="0"/>
          <w:lang w:eastAsia="tr-TR"/>
          <w14:ligatures w14:val="none"/>
        </w:rPr>
        <w:t xml:space="preserve"> and method within what he termed </w:t>
      </w:r>
      <w:r w:rsidRPr="000F5F9D">
        <w:rPr>
          <w:rFonts w:ascii="Times New Roman" w:eastAsia="Times New Roman" w:hAnsi="Times New Roman" w:cs="Times New Roman"/>
          <w:i/>
          <w:iCs/>
          <w:color w:val="000000" w:themeColor="text1"/>
          <w:kern w:val="0"/>
          <w:lang w:eastAsia="tr-TR"/>
          <w14:ligatures w14:val="none"/>
        </w:rPr>
        <w:t>kal</w:t>
      </w:r>
      <w:r w:rsidRPr="00D62CC3">
        <w:rPr>
          <w:rFonts w:ascii="Times New Roman" w:eastAsia="Times New Roman" w:hAnsi="Times New Roman" w:cs="Times New Roman"/>
          <w:i/>
          <w:iCs/>
          <w:color w:val="000000" w:themeColor="text1"/>
          <w:kern w:val="0"/>
          <w:lang w:eastAsia="tr-TR"/>
          <w14:ligatures w14:val="none"/>
        </w:rPr>
        <w:t>ā</w:t>
      </w:r>
      <w:r w:rsidRPr="000F5F9D">
        <w:rPr>
          <w:rFonts w:ascii="Times New Roman" w:eastAsia="Times New Roman" w:hAnsi="Times New Roman" w:cs="Times New Roman"/>
          <w:i/>
          <w:iCs/>
          <w:color w:val="000000" w:themeColor="text1"/>
          <w:kern w:val="0"/>
          <w:lang w:eastAsia="tr-TR"/>
          <w14:ligatures w14:val="none"/>
        </w:rPr>
        <w:t>m</w:t>
      </w:r>
      <w:r>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eastAsia="Times New Roman" w:hAnsi="Times New Roman" w:cs="Times New Roman"/>
          <w:color w:val="000000" w:themeColor="text1"/>
          <w:kern w:val="0"/>
          <w:lang w:eastAsia="tr-TR"/>
          <w14:ligatures w14:val="none"/>
        </w:rPr>
        <w:t>philosophical theology</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each integrating </w:t>
      </w:r>
      <w:r w:rsidRPr="00D62CC3">
        <w:rPr>
          <w:rFonts w:ascii="Times New Roman" w:eastAsia="Times New Roman" w:hAnsi="Times New Roman" w:cs="Times New Roman"/>
          <w:i/>
          <w:iCs/>
          <w:color w:val="000000" w:themeColor="text1"/>
          <w:kern w:val="0"/>
          <w:lang w:eastAsia="tr-TR"/>
          <w14:ligatures w14:val="none"/>
        </w:rPr>
        <w:t>ʿaql</w:t>
      </w:r>
      <w:r w:rsidRPr="00D62CC3">
        <w:rPr>
          <w:rFonts w:ascii="Times New Roman" w:eastAsia="Times New Roman" w:hAnsi="Times New Roman" w:cs="Times New Roman"/>
          <w:color w:val="000000" w:themeColor="text1"/>
          <w:kern w:val="0"/>
          <w:lang w:eastAsia="tr-TR"/>
          <w14:ligatures w14:val="none"/>
        </w:rPr>
        <w:t xml:space="preserve"> and </w:t>
      </w:r>
      <w:r w:rsidRPr="00D62CC3">
        <w:rPr>
          <w:rFonts w:ascii="Times New Roman" w:eastAsia="Times New Roman" w:hAnsi="Times New Roman" w:cs="Times New Roman"/>
          <w:i/>
          <w:iCs/>
          <w:color w:val="000000" w:themeColor="text1"/>
          <w:kern w:val="0"/>
          <w:lang w:eastAsia="tr-TR"/>
          <w14:ligatures w14:val="none"/>
        </w:rPr>
        <w:t>naql</w:t>
      </w:r>
      <w:r w:rsidRPr="00D62CC3">
        <w:rPr>
          <w:rFonts w:ascii="Times New Roman" w:eastAsia="Times New Roman" w:hAnsi="Times New Roman" w:cs="Times New Roman"/>
          <w:color w:val="000000" w:themeColor="text1"/>
          <w:kern w:val="0"/>
          <w:lang w:eastAsia="tr-TR"/>
          <w14:ligatures w14:val="none"/>
        </w:rPr>
        <w:t xml:space="preserve"> in a complementary fashion. On this reading, Ghazālī never sought the destruction (</w:t>
      </w:r>
      <w:r w:rsidRPr="00D62CC3">
        <w:rPr>
          <w:rFonts w:ascii="Times New Roman" w:eastAsia="Times New Roman" w:hAnsi="Times New Roman" w:cs="Times New Roman"/>
          <w:i/>
          <w:iCs/>
          <w:color w:val="000000" w:themeColor="text1"/>
          <w:kern w:val="0"/>
          <w:lang w:eastAsia="tr-TR"/>
          <w14:ligatures w14:val="none"/>
        </w:rPr>
        <w:t>hedm</w:t>
      </w:r>
      <w:r w:rsidRPr="00D62CC3">
        <w:rPr>
          <w:rFonts w:ascii="Times New Roman" w:eastAsia="Times New Roman" w:hAnsi="Times New Roman" w:cs="Times New Roman"/>
          <w:color w:val="000000" w:themeColor="text1"/>
          <w:kern w:val="0"/>
          <w:lang w:eastAsia="tr-TR"/>
          <w14:ligatures w14:val="none"/>
        </w:rPr>
        <w:t>) of philosophy as such but instead targeted unsound demonstrations, turning the philosophers’ own methods against arguments lacking logical rigor and demonstrative certainty.</w:t>
      </w:r>
      <w:r w:rsidRPr="00D62CC3">
        <w:rPr>
          <w:rStyle w:val="SonNotBavurusu"/>
          <w:rFonts w:ascii="Times New Roman" w:hAnsi="Times New Roman" w:cs="Times New Roman"/>
          <w:color w:val="000000" w:themeColor="text1"/>
          <w:lang w:eastAsia="tr-TR"/>
        </w:rPr>
        <w:endnoteReference w:id="72"/>
      </w:r>
      <w:r w:rsidRPr="00D62CC3">
        <w:rPr>
          <w:rFonts w:ascii="Times New Roman" w:eastAsia="Times New Roman" w:hAnsi="Times New Roman" w:cs="Times New Roman"/>
          <w:color w:val="000000" w:themeColor="text1"/>
          <w:kern w:val="0"/>
          <w:lang w:eastAsia="tr-TR"/>
          <w14:ligatures w14:val="none"/>
        </w:rPr>
        <w:t xml:space="preserve"> Rejecting the conflict thesis, Suavi thus argued that Ghazālī affirmed core philosophical doctrines and that, at the level of the principles of religion (</w:t>
      </w:r>
      <w:r w:rsidRPr="00D62CC3">
        <w:rPr>
          <w:rFonts w:ascii="Times New Roman" w:eastAsia="Times New Roman" w:hAnsi="Times New Roman" w:cs="Times New Roman"/>
          <w:i/>
          <w:iCs/>
          <w:color w:val="000000" w:themeColor="text1"/>
          <w:kern w:val="0"/>
          <w:lang w:eastAsia="tr-TR"/>
          <w14:ligatures w14:val="none"/>
        </w:rPr>
        <w:t>uṣūl al-dīn</w:t>
      </w:r>
      <w:r w:rsidRPr="00D62CC3">
        <w:rPr>
          <w:rFonts w:ascii="Times New Roman" w:eastAsia="Times New Roman" w:hAnsi="Times New Roman" w:cs="Times New Roman"/>
          <w:color w:val="000000" w:themeColor="text1"/>
          <w:kern w:val="0"/>
          <w:lang w:eastAsia="tr-TR"/>
          <w14:ligatures w14:val="none"/>
        </w:rPr>
        <w:t>), no genuine opposition existed between philosophy and theology.</w:t>
      </w:r>
      <w:r w:rsidRPr="00D62CC3">
        <w:rPr>
          <w:rFonts w:ascii="Times New Roman" w:hAnsi="Times New Roman" w:cs="Times New Roman"/>
          <w:color w:val="000000" w:themeColor="text1"/>
          <w:lang w:eastAsia="tr-TR"/>
        </w:rPr>
        <w:t xml:space="preserve"> </w:t>
      </w:r>
      <w:r w:rsidRPr="00D62CC3">
        <w:rPr>
          <w:rFonts w:ascii="Times New Roman" w:eastAsia="Times New Roman" w:hAnsi="Times New Roman" w:cs="Times New Roman"/>
          <w:color w:val="000000" w:themeColor="text1"/>
          <w:kern w:val="0"/>
          <w:lang w:eastAsia="tr-TR"/>
          <w14:ligatures w14:val="none"/>
        </w:rPr>
        <w:t xml:space="preserve">Even Ghazālī’s misapprehended accusations of unbelief were subsequently cancelled or salvaged by later theologians in favor of Avicennism: ʿAlāʾ al-Dīn al-Ṭūsī, in his Ottoman </w:t>
      </w:r>
      <w:r w:rsidRPr="00D62CC3">
        <w:rPr>
          <w:rFonts w:ascii="Times New Roman" w:eastAsia="Times New Roman" w:hAnsi="Times New Roman" w:cs="Times New Roman"/>
          <w:i/>
          <w:iCs/>
          <w:color w:val="000000" w:themeColor="text1"/>
          <w:kern w:val="0"/>
          <w:lang w:eastAsia="tr-TR"/>
          <w14:ligatures w14:val="none"/>
        </w:rPr>
        <w:t>Tahāfut</w:t>
      </w:r>
      <w:r w:rsidRPr="00D62CC3">
        <w:rPr>
          <w:rFonts w:ascii="Times New Roman" w:eastAsia="Times New Roman" w:hAnsi="Times New Roman" w:cs="Times New Roman"/>
          <w:color w:val="000000" w:themeColor="text1"/>
          <w:kern w:val="0"/>
          <w:lang w:eastAsia="tr-TR"/>
          <w14:ligatures w14:val="none"/>
        </w:rPr>
        <w:t xml:space="preserve">, exempted the philosophers from </w:t>
      </w:r>
      <w:r w:rsidRPr="00D62CC3">
        <w:rPr>
          <w:rFonts w:ascii="Times New Roman" w:eastAsia="Times New Roman" w:hAnsi="Times New Roman" w:cs="Times New Roman"/>
          <w:i/>
          <w:iCs/>
          <w:color w:val="000000" w:themeColor="text1"/>
          <w:kern w:val="0"/>
          <w:lang w:eastAsia="tr-TR"/>
          <w14:ligatures w14:val="none"/>
        </w:rPr>
        <w:t>kufr</w:t>
      </w:r>
      <w:r w:rsidRPr="00D62CC3">
        <w:rPr>
          <w:rFonts w:ascii="Times New Roman" w:eastAsia="Times New Roman" w:hAnsi="Times New Roman" w:cs="Times New Roman"/>
          <w:color w:val="000000" w:themeColor="text1"/>
          <w:kern w:val="0"/>
          <w:lang w:eastAsia="tr-TR"/>
          <w14:ligatures w14:val="none"/>
        </w:rPr>
        <w:t xml:space="preserve"> on the question of the world’s pre-eternity by emphasizing their </w:t>
      </w:r>
      <w:r w:rsidRPr="00D62CC3">
        <w:rPr>
          <w:rFonts w:ascii="Times New Roman" w:eastAsia="Times New Roman" w:hAnsi="Times New Roman" w:cs="Times New Roman"/>
          <w:color w:val="000000" w:themeColor="text1"/>
          <w:kern w:val="0"/>
          <w:lang w:eastAsia="tr-TR"/>
          <w14:ligatures w14:val="none"/>
        </w:rPr>
        <w:lastRenderedPageBreak/>
        <w:t xml:space="preserve">shared commitment to God’s unity and pre-eternity; Persian theologian Dawānī moderated Ghazālī’s position on God’s knowledge of particulars; and Ghazālī himself revisited the question of bodily resurrection in </w:t>
      </w:r>
      <w:r w:rsidRPr="00D62CC3">
        <w:rPr>
          <w:rFonts w:ascii="Times New Roman" w:eastAsia="Times New Roman" w:hAnsi="Times New Roman" w:cs="Times New Roman"/>
          <w:i/>
          <w:iCs/>
          <w:color w:val="000000" w:themeColor="text1"/>
          <w:kern w:val="0"/>
          <w:lang w:eastAsia="tr-TR"/>
          <w14:ligatures w14:val="none"/>
        </w:rPr>
        <w:t>al-Munqidh min al-ḍalāl</w:t>
      </w:r>
      <w:r w:rsidRPr="00D62CC3">
        <w:rPr>
          <w:rFonts w:ascii="Times New Roman" w:eastAsia="Times New Roman" w:hAnsi="Times New Roman" w:cs="Times New Roman"/>
          <w:color w:val="000000" w:themeColor="text1"/>
          <w:kern w:val="0"/>
          <w:lang w:eastAsia="tr-TR"/>
          <w14:ligatures w14:val="none"/>
        </w:rPr>
        <w:t>, thereby, in Suavi’s reading, removing it definitively from the domain of</w:t>
      </w:r>
      <w:r>
        <w:rPr>
          <w:rFonts w:ascii="Times New Roman" w:eastAsia="Times New Roman" w:hAnsi="Times New Roman" w:cs="Times New Roman"/>
          <w:color w:val="000000" w:themeColor="text1"/>
          <w:kern w:val="0"/>
          <w:lang w:eastAsia="tr-TR"/>
          <w14:ligatures w14:val="none"/>
        </w:rPr>
        <w:t>. unbelief</w:t>
      </w:r>
      <w:r w:rsidRPr="00D62CC3">
        <w:rPr>
          <w:rFonts w:ascii="Times New Roman" w:eastAsia="Times New Roman" w:hAnsi="Times New Roman" w:cs="Times New Roman"/>
          <w:color w:val="000000" w:themeColor="text1"/>
          <w:kern w:val="0"/>
          <w:lang w:eastAsia="tr-TR"/>
          <w14:ligatures w14:val="none"/>
        </w:rPr>
        <w:t>.</w:t>
      </w:r>
      <w:r w:rsidRPr="00D62CC3">
        <w:rPr>
          <w:rStyle w:val="SonNotBavurusu"/>
          <w:rFonts w:ascii="Times New Roman" w:hAnsi="Times New Roman" w:cs="Times New Roman"/>
          <w:color w:val="000000" w:themeColor="text1"/>
          <w:lang w:eastAsia="tr-TR"/>
        </w:rPr>
        <w:endnoteReference w:id="73"/>
      </w:r>
    </w:p>
    <w:p w14:paraId="695C7499" w14:textId="70F02772"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hAnsi="Times New Roman" w:cs="Times New Roman"/>
          <w:color w:val="000000" w:themeColor="text1"/>
        </w:rPr>
        <w:t xml:space="preserve">With respect to the Ottoman </w:t>
      </w:r>
      <w:r w:rsidRPr="00D62CC3">
        <w:rPr>
          <w:rFonts w:ascii="Times New Roman" w:eastAsia="Times New Roman" w:hAnsi="Times New Roman" w:cs="Times New Roman"/>
          <w:i/>
          <w:iCs/>
          <w:color w:val="000000" w:themeColor="text1"/>
        </w:rPr>
        <w:t>Tahāfuts</w:t>
      </w:r>
      <w:r w:rsidRPr="00D62CC3">
        <w:rPr>
          <w:rFonts w:ascii="Times New Roman" w:hAnsi="Times New Roman" w:cs="Times New Roman"/>
          <w:color w:val="000000" w:themeColor="text1"/>
        </w:rPr>
        <w:t xml:space="preserve">, Suavi regarded the episode as a laudable instance of intellectual adjudication, in which </w:t>
      </w:r>
      <w:r>
        <w:rPr>
          <w:rFonts w:ascii="Times New Roman" w:hAnsi="Times New Roman" w:cs="Times New Roman"/>
          <w:color w:val="000000" w:themeColor="text1"/>
        </w:rPr>
        <w:t xml:space="preserve">both </w:t>
      </w:r>
      <w:r w:rsidRPr="00D62CC3">
        <w:rPr>
          <w:rFonts w:ascii="Times New Roman" w:hAnsi="Times New Roman" w:cs="Times New Roman"/>
          <w:color w:val="000000" w:themeColor="text1"/>
        </w:rPr>
        <w:t>Ḫocazāde</w:t>
      </w:r>
      <w:r>
        <w:rPr>
          <w:rFonts w:ascii="Times New Roman" w:hAnsi="Times New Roman" w:cs="Times New Roman"/>
          <w:color w:val="000000" w:themeColor="text1"/>
        </w:rPr>
        <w:t xml:space="preserve"> and</w:t>
      </w:r>
      <w:r w:rsidRPr="00D62CC3">
        <w:rPr>
          <w:rFonts w:ascii="Times New Roman" w:hAnsi="Times New Roman" w:cs="Times New Roman"/>
          <w:color w:val="000000" w:themeColor="text1"/>
        </w:rPr>
        <w:t xml:space="preserve"> </w:t>
      </w:r>
      <w:r w:rsidRPr="00D62CC3">
        <w:rPr>
          <w:rFonts w:ascii="Times New Roman" w:eastAsia="Times New Roman" w:hAnsi="Times New Roman" w:cs="Times New Roman"/>
          <w:color w:val="000000" w:themeColor="text1"/>
          <w:kern w:val="0"/>
          <w:lang w:eastAsia="tr-TR"/>
          <w14:ligatures w14:val="none"/>
        </w:rPr>
        <w:t>Ṭūsī</w:t>
      </w:r>
      <w:r w:rsidRPr="00D62CC3">
        <w:rPr>
          <w:rFonts w:ascii="Times New Roman" w:hAnsi="Times New Roman" w:cs="Times New Roman"/>
          <w:color w:val="000000" w:themeColor="text1"/>
        </w:rPr>
        <w:t xml:space="preserve"> critically evaluated the methods of both camps and sought to resolve a centuries-old dichotomy through synthesis rather than polemic. Although he mistakenly assumed, reflecting a common mid-nineteenth-century misconception and his largely second-hand engagement with the texts, that Ḫocazāde drew exclusively on Ghazālī but also engaging Ibn Rushd’s arguments, Suavi nonetheless maintained that Ḫocazāde’s </w:t>
      </w:r>
      <w:r w:rsidRPr="00D62CC3">
        <w:rPr>
          <w:rFonts w:ascii="Times New Roman" w:eastAsia="Times New Roman" w:hAnsi="Times New Roman" w:cs="Times New Roman"/>
          <w:i/>
          <w:iCs/>
          <w:color w:val="000000" w:themeColor="text1"/>
        </w:rPr>
        <w:t>Tahāfut</w:t>
      </w:r>
      <w:r w:rsidRPr="00D62CC3">
        <w:rPr>
          <w:rFonts w:ascii="Times New Roman" w:hAnsi="Times New Roman" w:cs="Times New Roman"/>
          <w:color w:val="000000" w:themeColor="text1"/>
        </w:rPr>
        <w:t xml:space="preserve"> ultimately reinforced and revised Ghazālī’s position</w:t>
      </w:r>
      <w:r>
        <w:rPr>
          <w:rFonts w:ascii="Times New Roman" w:hAnsi="Times New Roman" w:cs="Times New Roman"/>
          <w:color w:val="000000" w:themeColor="text1"/>
        </w:rPr>
        <w:t>s</w:t>
      </w:r>
      <w:r w:rsidRPr="00D62CC3">
        <w:rPr>
          <w:rFonts w:ascii="Times New Roman" w:hAnsi="Times New Roman" w:cs="Times New Roman"/>
          <w:color w:val="000000" w:themeColor="text1"/>
        </w:rPr>
        <w:t xml:space="preserve"> while remaining attentive to the weaknesses of his certain critiques leveled against </w:t>
      </w:r>
      <w:r>
        <w:rPr>
          <w:rFonts w:ascii="Times New Roman" w:hAnsi="Times New Roman" w:cs="Times New Roman"/>
          <w:color w:val="000000" w:themeColor="text1"/>
        </w:rPr>
        <w:t>Avicenna</w:t>
      </w:r>
      <w:r w:rsidRPr="00D62CC3">
        <w:rPr>
          <w:rFonts w:ascii="Times New Roman" w:hAnsi="Times New Roman" w:cs="Times New Roman"/>
          <w:color w:val="000000" w:themeColor="text1"/>
        </w:rPr>
        <w:t>.</w:t>
      </w:r>
      <w:r w:rsidRPr="00D62CC3">
        <w:rPr>
          <w:rStyle w:val="SonNotBavurusu"/>
          <w:rFonts w:ascii="Times New Roman" w:hAnsi="Times New Roman" w:cs="Times New Roman"/>
          <w:color w:val="000000" w:themeColor="text1"/>
          <w:lang w:eastAsia="tr-TR"/>
        </w:rPr>
        <w:endnoteReference w:id="74"/>
      </w:r>
      <w:r w:rsidRPr="00D62CC3">
        <w:rPr>
          <w:rFonts w:ascii="Times New Roman" w:hAnsi="Times New Roman" w:cs="Times New Roman"/>
          <w:color w:val="000000" w:themeColor="text1"/>
        </w:rPr>
        <w:t xml:space="preserve"> In Suavi’s vision, the Ottoman </w:t>
      </w:r>
      <w:r w:rsidRPr="00D62CC3">
        <w:rPr>
          <w:rFonts w:ascii="Times New Roman" w:eastAsia="Times New Roman" w:hAnsi="Times New Roman" w:cs="Times New Roman"/>
          <w:i/>
          <w:iCs/>
          <w:color w:val="000000" w:themeColor="text1"/>
        </w:rPr>
        <w:t>Tahāfut</w:t>
      </w:r>
      <w:r w:rsidRPr="000F5F9D">
        <w:rPr>
          <w:rFonts w:ascii="Times New Roman" w:eastAsia="Times New Roman" w:hAnsi="Times New Roman" w:cs="Times New Roman"/>
          <w:color w:val="000000" w:themeColor="text1"/>
        </w:rPr>
        <w:t>s</w:t>
      </w:r>
      <w:r w:rsidRPr="00D62CC3">
        <w:rPr>
          <w:rFonts w:ascii="Times New Roman" w:hAnsi="Times New Roman" w:cs="Times New Roman"/>
          <w:color w:val="000000" w:themeColor="text1"/>
        </w:rPr>
        <w:t xml:space="preserve"> thus assumed a complementary and canonizing function, consolidating a postclassical scholarly framework that affirmed the congruence of philosophy and theology by harmonizing both within a balanced and enduring intellectual tradition, </w:t>
      </w:r>
      <w:r w:rsidRPr="00D62CC3">
        <w:rPr>
          <w:rFonts w:ascii="Times New Roman" w:eastAsia="Times New Roman" w:hAnsi="Times New Roman" w:cs="Times New Roman"/>
          <w:color w:val="000000" w:themeColor="text1"/>
          <w:kern w:val="0"/>
          <w:lang w:eastAsia="tr-TR"/>
          <w14:ligatures w14:val="none"/>
        </w:rPr>
        <w:t xml:space="preserve">culminating in a syncretic </w:t>
      </w:r>
      <w:r w:rsidRPr="00D62CC3">
        <w:rPr>
          <w:rFonts w:ascii="Times New Roman" w:eastAsia="Times New Roman" w:hAnsi="Times New Roman" w:cs="Times New Roman"/>
          <w:i/>
          <w:iCs/>
          <w:color w:val="000000" w:themeColor="text1"/>
          <w:kern w:val="0"/>
          <w:lang w:eastAsia="tr-TR"/>
          <w14:ligatures w14:val="none"/>
        </w:rPr>
        <w:t>kalām</w:t>
      </w:r>
      <w:r w:rsidRPr="00D62CC3">
        <w:rPr>
          <w:rFonts w:ascii="Times New Roman" w:eastAsia="Times New Roman" w:hAnsi="Times New Roman" w:cs="Times New Roman"/>
          <w:color w:val="000000" w:themeColor="text1"/>
          <w:kern w:val="0"/>
          <w:lang w:eastAsia="tr-TR"/>
          <w14:ligatures w14:val="none"/>
        </w:rPr>
        <w:t>.</w:t>
      </w:r>
    </w:p>
    <w:p w14:paraId="1AF213F6" w14:textId="77777777" w:rsidR="00206E86" w:rsidRPr="00D62CC3" w:rsidRDefault="00206E86" w:rsidP="004249A3">
      <w:pPr>
        <w:pStyle w:val="AralkYok"/>
        <w:jc w:val="both"/>
        <w:rPr>
          <w:rFonts w:ascii="Times New Roman" w:hAnsi="Times New Roman" w:cs="Times New Roman"/>
          <w:b/>
          <w:bCs/>
          <w:color w:val="000000" w:themeColor="text1"/>
        </w:rPr>
      </w:pPr>
    </w:p>
    <w:p w14:paraId="53F479F1" w14:textId="6047D087" w:rsidR="00206E86" w:rsidRPr="00D62CC3" w:rsidRDefault="00206E86" w:rsidP="004249A3">
      <w:pPr>
        <w:pStyle w:val="AralkYok"/>
        <w:jc w:val="both"/>
        <w:rPr>
          <w:rFonts w:ascii="Times New Roman" w:hAnsi="Times New Roman" w:cs="Times New Roman"/>
          <w:b/>
          <w:bCs/>
          <w:color w:val="000000" w:themeColor="text1"/>
        </w:rPr>
      </w:pPr>
      <w:r w:rsidRPr="00D62CC3">
        <w:rPr>
          <w:rFonts w:ascii="Times New Roman" w:hAnsi="Times New Roman" w:cs="Times New Roman"/>
          <w:b/>
          <w:bCs/>
          <w:color w:val="000000" w:themeColor="text1"/>
        </w:rPr>
        <w:t xml:space="preserve">İsmail Hakkı İzmirli: </w:t>
      </w:r>
      <w:r>
        <w:rPr>
          <w:rFonts w:ascii="Times New Roman" w:hAnsi="Times New Roman" w:cs="Times New Roman"/>
          <w:b/>
          <w:bCs/>
          <w:color w:val="000000" w:themeColor="text1"/>
        </w:rPr>
        <w:t>p</w:t>
      </w:r>
      <w:r w:rsidRPr="00D62CC3">
        <w:rPr>
          <w:rFonts w:ascii="Times New Roman" w:hAnsi="Times New Roman" w:cs="Times New Roman"/>
          <w:b/>
          <w:bCs/>
          <w:color w:val="000000" w:themeColor="text1"/>
        </w:rPr>
        <w:t xml:space="preserve">ostclassical Islam as the </w:t>
      </w:r>
      <w:r>
        <w:rPr>
          <w:rFonts w:ascii="Times New Roman" w:hAnsi="Times New Roman" w:cs="Times New Roman"/>
          <w:b/>
          <w:bCs/>
          <w:color w:val="000000" w:themeColor="text1"/>
        </w:rPr>
        <w:t>c</w:t>
      </w:r>
      <w:r w:rsidRPr="00D62CC3">
        <w:rPr>
          <w:rFonts w:ascii="Times New Roman" w:hAnsi="Times New Roman" w:cs="Times New Roman"/>
          <w:b/>
          <w:bCs/>
          <w:color w:val="000000" w:themeColor="text1"/>
        </w:rPr>
        <w:t xml:space="preserve">ulmination of the </w:t>
      </w:r>
      <w:r>
        <w:rPr>
          <w:rFonts w:ascii="Times New Roman" w:hAnsi="Times New Roman" w:cs="Times New Roman"/>
          <w:b/>
          <w:bCs/>
          <w:color w:val="000000" w:themeColor="text1"/>
        </w:rPr>
        <w:t>co</w:t>
      </w:r>
      <w:r w:rsidRPr="00D62CC3">
        <w:rPr>
          <w:rFonts w:ascii="Times New Roman" w:hAnsi="Times New Roman" w:cs="Times New Roman"/>
          <w:b/>
          <w:bCs/>
          <w:color w:val="000000" w:themeColor="text1"/>
        </w:rPr>
        <w:t>nvergence between Ghazālī and Ibn Rushd</w:t>
      </w:r>
    </w:p>
    <w:p w14:paraId="64F6E784" w14:textId="60CEFA66" w:rsidR="00206E86" w:rsidRPr="00D62CC3" w:rsidRDefault="00206E86" w:rsidP="004249A3">
      <w:pPr>
        <w:pStyle w:val="AralkYok"/>
        <w:jc w:val="both"/>
        <w:rPr>
          <w:rFonts w:ascii="Times New Roman" w:hAnsi="Times New Roman" w:cs="Times New Roman"/>
          <w:color w:val="000000" w:themeColor="text1"/>
          <w:lang w:eastAsia="tr-TR"/>
        </w:rPr>
      </w:pPr>
      <w:r w:rsidRPr="00D62CC3">
        <w:rPr>
          <w:rFonts w:ascii="Times New Roman" w:eastAsia="Times New Roman" w:hAnsi="Times New Roman" w:cs="Times New Roman"/>
          <w:color w:val="000000" w:themeColor="text1"/>
          <w:kern w:val="0"/>
          <w:lang w:eastAsia="tr-TR"/>
          <w14:ligatures w14:val="none"/>
        </w:rPr>
        <w:t xml:space="preserve">The final figure to engage the Ghazālī–Ibn Rushd </w:t>
      </w:r>
      <w:r>
        <w:rPr>
          <w:rFonts w:ascii="Times New Roman" w:eastAsia="Times New Roman" w:hAnsi="Times New Roman" w:cs="Times New Roman"/>
          <w:color w:val="000000" w:themeColor="text1"/>
          <w:kern w:val="0"/>
          <w:lang w:eastAsia="tr-TR"/>
          <w14:ligatures w14:val="none"/>
        </w:rPr>
        <w:t>dichotomy</w:t>
      </w:r>
      <w:r w:rsidRPr="00D62CC3">
        <w:rPr>
          <w:rFonts w:ascii="Times New Roman" w:eastAsia="Times New Roman" w:hAnsi="Times New Roman" w:cs="Times New Roman"/>
          <w:color w:val="000000" w:themeColor="text1"/>
          <w:kern w:val="0"/>
          <w:lang w:eastAsia="tr-TR"/>
          <w14:ligatures w14:val="none"/>
        </w:rPr>
        <w:t xml:space="preserve"> was İsmail Hakkı İzmirli (1869–1946), a moderate religious thinker whose project of a new philosophical theology (</w:t>
      </w:r>
      <w:r w:rsidRPr="00D62CC3">
        <w:rPr>
          <w:rFonts w:ascii="Times New Roman" w:eastAsia="Times New Roman" w:hAnsi="Times New Roman" w:cs="Times New Roman"/>
          <w:i/>
          <w:iCs/>
          <w:color w:val="000000" w:themeColor="text1"/>
          <w:kern w:val="0"/>
          <w:lang w:eastAsia="tr-TR"/>
          <w14:ligatures w14:val="none"/>
        </w:rPr>
        <w:t>yeñi ʿilm-i kelām</w:t>
      </w:r>
      <w:r w:rsidRPr="00D62CC3">
        <w:rPr>
          <w:rFonts w:ascii="Times New Roman" w:eastAsia="Times New Roman" w:hAnsi="Times New Roman" w:cs="Times New Roman"/>
          <w:color w:val="000000" w:themeColor="text1"/>
          <w:kern w:val="0"/>
          <w:lang w:eastAsia="tr-TR"/>
          <w14:ligatures w14:val="none"/>
        </w:rPr>
        <w:t>) sought to reconcile postclassical Islamic theology with early modern European philosophy as a deliberate response to the growing influence of scientific materialism in his lifetime.</w:t>
      </w:r>
      <w:r w:rsidRPr="00D62CC3">
        <w:rPr>
          <w:rStyle w:val="SonNotBavurusu"/>
          <w:rFonts w:ascii="Times New Roman" w:eastAsia="Times New Roman" w:hAnsi="Times New Roman" w:cs="Times New Roman"/>
          <w:color w:val="000000" w:themeColor="text1"/>
          <w:kern w:val="0"/>
          <w:lang w:eastAsia="tr-TR"/>
          <w14:ligatures w14:val="none"/>
        </w:rPr>
        <w:endnoteReference w:id="75"/>
      </w:r>
      <w:r w:rsidRPr="00D62CC3">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hAnsi="Times New Roman" w:cs="Times New Roman"/>
          <w:color w:val="000000" w:themeColor="text1"/>
          <w:lang w:eastAsia="tr-TR"/>
        </w:rPr>
        <w:t>Like</w:t>
      </w:r>
      <w:r w:rsidRPr="00D62CC3">
        <w:rPr>
          <w:rFonts w:ascii="Times New Roman" w:hAnsi="Times New Roman" w:cs="Times New Roman"/>
          <w:color w:val="000000" w:themeColor="text1"/>
        </w:rPr>
        <w:t xml:space="preserve"> Ḳā</w:t>
      </w:r>
      <w:r w:rsidRPr="00D62CC3">
        <w:rPr>
          <w:rFonts w:ascii="Times New Roman" w:hAnsi="Times New Roman" w:cs="Times New Roman"/>
          <w:iCs/>
          <w:color w:val="000000" w:themeColor="text1"/>
        </w:rPr>
        <w:t>ẓı</w:t>
      </w:r>
      <w:r w:rsidRPr="00D62CC3">
        <w:rPr>
          <w:rFonts w:ascii="Times New Roman" w:hAnsi="Times New Roman" w:cs="Times New Roman"/>
          <w:color w:val="000000" w:themeColor="text1"/>
        </w:rPr>
        <w:t xml:space="preserve">m and </w:t>
      </w:r>
      <w:r w:rsidRPr="00D62CC3">
        <w:rPr>
          <w:rFonts w:ascii="Times New Roman" w:hAnsi="Times New Roman" w:cs="Times New Roman"/>
          <w:color w:val="000000" w:themeColor="text1"/>
          <w:lang w:eastAsia="tr-TR"/>
        </w:rPr>
        <w:t>Suavi</w:t>
      </w:r>
      <w:r w:rsidRPr="00D62CC3">
        <w:rPr>
          <w:rFonts w:ascii="Times New Roman" w:hAnsi="Times New Roman" w:cs="Times New Roman"/>
          <w:color w:val="000000" w:themeColor="text1"/>
        </w:rPr>
        <w:t>,</w:t>
      </w:r>
      <w:r w:rsidRPr="00D62CC3">
        <w:rPr>
          <w:rFonts w:ascii="Times New Roman" w:hAnsi="Times New Roman" w:cs="Times New Roman"/>
          <w:color w:val="000000" w:themeColor="text1"/>
          <w:lang w:eastAsia="tr-TR"/>
        </w:rPr>
        <w:t xml:space="preserve"> İzmirli had a pedagogical project of renewing Ottoman religious education, maintaining that genuine Islam and the </w:t>
      </w:r>
      <w:r>
        <w:rPr>
          <w:rFonts w:ascii="Times New Roman" w:hAnsi="Times New Roman" w:cs="Times New Roman"/>
          <w:color w:val="000000" w:themeColor="text1"/>
          <w:lang w:eastAsia="tr-TR"/>
        </w:rPr>
        <w:t>‘</w:t>
      </w:r>
      <w:r w:rsidRPr="00D62CC3">
        <w:rPr>
          <w:rFonts w:ascii="Times New Roman" w:hAnsi="Times New Roman" w:cs="Times New Roman"/>
          <w:color w:val="000000" w:themeColor="text1"/>
          <w:lang w:eastAsia="tr-TR"/>
        </w:rPr>
        <w:t>pure</w:t>
      </w:r>
      <w:r>
        <w:rPr>
          <w:rFonts w:ascii="Times New Roman" w:hAnsi="Times New Roman" w:cs="Times New Roman"/>
          <w:color w:val="000000" w:themeColor="text1"/>
          <w:lang w:eastAsia="tr-TR"/>
        </w:rPr>
        <w:t>’</w:t>
      </w:r>
      <w:r w:rsidRPr="00D62CC3">
        <w:rPr>
          <w:rFonts w:ascii="Times New Roman" w:hAnsi="Times New Roman" w:cs="Times New Roman"/>
          <w:color w:val="000000" w:themeColor="text1"/>
          <w:lang w:eastAsia="tr-TR"/>
        </w:rPr>
        <w:t xml:space="preserve"> sciences are not intrinsically contradictory. </w:t>
      </w:r>
      <w:r w:rsidRPr="00D62CC3">
        <w:rPr>
          <w:rFonts w:ascii="Times New Roman" w:eastAsia="Times New Roman" w:hAnsi="Times New Roman" w:cs="Times New Roman"/>
          <w:color w:val="000000" w:themeColor="text1"/>
          <w:kern w:val="0"/>
          <w:lang w:eastAsia="tr-TR"/>
          <w14:ligatures w14:val="none"/>
        </w:rPr>
        <w:t xml:space="preserve">Instead, he advocated a modernised </w:t>
      </w:r>
      <w:r w:rsidRPr="00D62CC3">
        <w:rPr>
          <w:rFonts w:ascii="Times New Roman" w:eastAsia="Times New Roman" w:hAnsi="Times New Roman" w:cs="Times New Roman"/>
          <w:i/>
          <w:iCs/>
          <w:color w:val="000000" w:themeColor="text1"/>
          <w:kern w:val="0"/>
          <w:lang w:eastAsia="tr-TR"/>
          <w14:ligatures w14:val="none"/>
        </w:rPr>
        <w:t>kalām</w:t>
      </w:r>
      <w:r w:rsidRPr="00D62CC3">
        <w:rPr>
          <w:rFonts w:ascii="Times New Roman" w:eastAsia="Times New Roman" w:hAnsi="Times New Roman" w:cs="Times New Roman"/>
          <w:color w:val="000000" w:themeColor="text1"/>
          <w:kern w:val="0"/>
          <w:lang w:eastAsia="tr-TR"/>
          <w14:ligatures w14:val="none"/>
        </w:rPr>
        <w:t xml:space="preserve"> grounded in classical theology, methodologically renewed through modern logic and selective engagement with Western philosophy compatible with Islamic principles, yet carefully delimited so as not to encroach upon the domain of the natural sciences.</w:t>
      </w:r>
      <w:r w:rsidRPr="00D62CC3">
        <w:rPr>
          <w:rStyle w:val="SonNotBavurusu"/>
          <w:rFonts w:ascii="Times New Roman" w:hAnsi="Times New Roman" w:cs="Times New Roman"/>
          <w:color w:val="000000" w:themeColor="text1"/>
          <w:lang w:eastAsia="tr-TR"/>
        </w:rPr>
        <w:endnoteReference w:id="76"/>
      </w:r>
      <w:r w:rsidRPr="00D62CC3">
        <w:rPr>
          <w:rFonts w:ascii="Times New Roman" w:hAnsi="Times New Roman" w:cs="Times New Roman"/>
          <w:color w:val="000000" w:themeColor="text1"/>
          <w:lang w:eastAsia="tr-TR"/>
        </w:rPr>
        <w:t xml:space="preserve"> </w:t>
      </w:r>
    </w:p>
    <w:p w14:paraId="6F1CB267" w14:textId="41BA8118" w:rsidR="00206E86" w:rsidRPr="00D62CC3" w:rsidRDefault="00206E86" w:rsidP="004249A3">
      <w:pPr>
        <w:pStyle w:val="AralkYok"/>
        <w:ind w:firstLine="708"/>
        <w:jc w:val="both"/>
        <w:rPr>
          <w:rFonts w:ascii="Times New Roman" w:hAnsi="Times New Roman" w:cs="Times New Roman"/>
          <w:color w:val="000000" w:themeColor="text1"/>
          <w:lang w:eastAsia="tr-TR"/>
        </w:rPr>
      </w:pPr>
      <w:r w:rsidRPr="00D62CC3">
        <w:rPr>
          <w:rFonts w:ascii="Times New Roman" w:hAnsi="Times New Roman" w:cs="Times New Roman"/>
          <w:color w:val="000000" w:themeColor="text1"/>
          <w:lang w:eastAsia="tr-TR"/>
        </w:rPr>
        <w:t xml:space="preserve">Central to İzmirli’s framework was the conviction that post-Ghazālīan </w:t>
      </w:r>
      <w:r w:rsidRPr="00D62CC3">
        <w:rPr>
          <w:rFonts w:ascii="Times New Roman" w:hAnsi="Times New Roman" w:cs="Times New Roman"/>
          <w:i/>
          <w:iCs/>
          <w:color w:val="000000" w:themeColor="text1"/>
          <w:lang w:eastAsia="tr-TR"/>
        </w:rPr>
        <w:t>kalām</w:t>
      </w:r>
      <w:r w:rsidRPr="00D62CC3">
        <w:rPr>
          <w:rFonts w:ascii="Times New Roman" w:hAnsi="Times New Roman" w:cs="Times New Roman"/>
          <w:color w:val="000000" w:themeColor="text1"/>
          <w:lang w:eastAsia="tr-TR"/>
        </w:rPr>
        <w:t xml:space="preserve"> represented one of Islam’s most creative intellectual achievements, precisely insofar as it synthesised and complemented religious law with Arabic philosophy. Within this synthesis, Ghazālī  occupied a pivotal position as an arbiter between Avicennan metaphysics and the Ashʿarī theology of his mentor al-Juwaynī. Ghazālī</w:t>
      </w:r>
      <w:r>
        <w:rPr>
          <w:rFonts w:ascii="Times New Roman" w:hAnsi="Times New Roman" w:cs="Times New Roman"/>
          <w:color w:val="000000" w:themeColor="text1"/>
          <w:lang w:eastAsia="tr-TR"/>
        </w:rPr>
        <w:t>’s</w:t>
      </w:r>
      <w:r w:rsidRPr="00D62CC3">
        <w:rPr>
          <w:rFonts w:ascii="Times New Roman" w:hAnsi="Times New Roman" w:cs="Times New Roman"/>
          <w:color w:val="000000" w:themeColor="text1"/>
          <w:lang w:eastAsia="tr-TR"/>
        </w:rPr>
        <w:t xml:space="preserve"> enduring legacy thus lay in demonstrating the necessary adoption of Aristotelian–Avicennan logic across a wide range of disciplines, including theology, jurisprudence, political theory, ethics, and Sufism.</w:t>
      </w:r>
      <w:r w:rsidRPr="00D62CC3">
        <w:rPr>
          <w:rStyle w:val="SonNotBavurusu"/>
          <w:rFonts w:ascii="Times New Roman" w:hAnsi="Times New Roman" w:cs="Times New Roman"/>
          <w:color w:val="000000" w:themeColor="text1"/>
          <w:lang w:eastAsia="tr-TR"/>
        </w:rPr>
        <w:endnoteReference w:id="77"/>
      </w:r>
      <w:r w:rsidRPr="00D62CC3">
        <w:rPr>
          <w:rFonts w:ascii="Times New Roman" w:hAnsi="Times New Roman" w:cs="Times New Roman"/>
          <w:color w:val="000000" w:themeColor="text1"/>
        </w:rPr>
        <w:t xml:space="preserve"> </w:t>
      </w:r>
      <w:r w:rsidRPr="00D62CC3">
        <w:rPr>
          <w:rFonts w:ascii="Times New Roman" w:eastAsia="Times New Roman" w:hAnsi="Times New Roman" w:cs="Times New Roman"/>
          <w:color w:val="000000" w:themeColor="text1"/>
          <w:kern w:val="0"/>
          <w:lang w:eastAsia="tr-TR"/>
          <w14:ligatures w14:val="none"/>
        </w:rPr>
        <w:t>Against narratives that reduce Islamic philosophy to passive Greek transmission,</w:t>
      </w:r>
      <w:r w:rsidRPr="00D62CC3">
        <w:rPr>
          <w:rStyle w:val="SonNotBavurusu"/>
          <w:rFonts w:ascii="Times New Roman" w:hAnsi="Times New Roman" w:cs="Times New Roman"/>
          <w:color w:val="000000" w:themeColor="text1"/>
          <w:lang w:eastAsia="tr-TR"/>
        </w:rPr>
        <w:endnoteReference w:id="78"/>
      </w:r>
      <w:r w:rsidRPr="00D62CC3">
        <w:rPr>
          <w:rFonts w:ascii="Times New Roman" w:eastAsia="Times New Roman" w:hAnsi="Times New Roman" w:cs="Times New Roman"/>
          <w:color w:val="000000" w:themeColor="text1"/>
          <w:kern w:val="0"/>
          <w:lang w:eastAsia="tr-TR"/>
          <w14:ligatures w14:val="none"/>
        </w:rPr>
        <w:t xml:space="preserve"> İzmirli emphasised its interpretive originality while locating Islam’s most distinctive </w:t>
      </w:r>
      <w:r>
        <w:rPr>
          <w:rFonts w:ascii="Times New Roman" w:eastAsia="Times New Roman" w:hAnsi="Times New Roman" w:cs="Times New Roman"/>
          <w:color w:val="000000" w:themeColor="text1"/>
          <w:kern w:val="0"/>
          <w:lang w:eastAsia="tr-TR"/>
          <w14:ligatures w14:val="none"/>
        </w:rPr>
        <w:t>scientific</w:t>
      </w:r>
      <w:r w:rsidRPr="00D62CC3">
        <w:rPr>
          <w:rFonts w:ascii="Times New Roman" w:eastAsia="Times New Roman" w:hAnsi="Times New Roman" w:cs="Times New Roman"/>
          <w:color w:val="000000" w:themeColor="text1"/>
          <w:kern w:val="0"/>
          <w:lang w:eastAsia="tr-TR"/>
          <w14:ligatures w14:val="none"/>
        </w:rPr>
        <w:t xml:space="preserve"> contribution specifically in the postclassical reconciliation of revelation and Aristotelian metaphysics,</w:t>
      </w:r>
      <w:r w:rsidRPr="00D62CC3">
        <w:rPr>
          <w:rStyle w:val="SonNotBavurusu"/>
          <w:rFonts w:ascii="Times New Roman" w:hAnsi="Times New Roman" w:cs="Times New Roman"/>
          <w:color w:val="000000" w:themeColor="text1"/>
          <w:lang w:eastAsia="tr-TR"/>
        </w:rPr>
        <w:endnoteReference w:id="79"/>
      </w:r>
      <w:r w:rsidRPr="00D62CC3">
        <w:rPr>
          <w:rFonts w:ascii="Times New Roman" w:eastAsia="Times New Roman" w:hAnsi="Times New Roman" w:cs="Times New Roman"/>
          <w:color w:val="000000" w:themeColor="text1"/>
          <w:kern w:val="0"/>
          <w:lang w:eastAsia="tr-TR"/>
          <w14:ligatures w14:val="none"/>
        </w:rPr>
        <w:t xml:space="preserve"> which he regarded as reaching its fullest synthesis among Turkish Muslim scholars through the arbitration of Avicennism, </w:t>
      </w:r>
      <w:r w:rsidRPr="00D62CC3">
        <w:rPr>
          <w:rFonts w:ascii="Times New Roman" w:eastAsia="Times New Roman" w:hAnsi="Times New Roman" w:cs="Times New Roman"/>
          <w:i/>
          <w:iCs/>
          <w:color w:val="000000" w:themeColor="text1"/>
          <w:kern w:val="0"/>
          <w:lang w:eastAsia="tr-TR"/>
          <w14:ligatures w14:val="none"/>
        </w:rPr>
        <w:t>kalām</w:t>
      </w:r>
      <w:r w:rsidRPr="00D62CC3">
        <w:rPr>
          <w:rFonts w:ascii="Times New Roman" w:eastAsia="Times New Roman" w:hAnsi="Times New Roman" w:cs="Times New Roman"/>
          <w:color w:val="000000" w:themeColor="text1"/>
          <w:kern w:val="0"/>
          <w:lang w:eastAsia="tr-TR"/>
          <w14:ligatures w14:val="none"/>
        </w:rPr>
        <w:t>, and Sufism.</w:t>
      </w:r>
      <w:r w:rsidRPr="00D62CC3">
        <w:rPr>
          <w:rStyle w:val="SonNotBavurusu"/>
          <w:rFonts w:ascii="Times New Roman" w:eastAsia="Times New Roman" w:hAnsi="Times New Roman" w:cs="Times New Roman"/>
          <w:color w:val="000000" w:themeColor="text1"/>
          <w:kern w:val="0"/>
          <w:lang w:eastAsia="tr-TR"/>
          <w14:ligatures w14:val="none"/>
        </w:rPr>
        <w:endnoteReference w:id="80"/>
      </w:r>
    </w:p>
    <w:p w14:paraId="3AF5187F" w14:textId="64248C04"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hAnsi="Times New Roman" w:cs="Times New Roman"/>
          <w:color w:val="000000" w:themeColor="text1"/>
        </w:rPr>
        <w:t xml:space="preserve">İzmirli produced an extensive body of work on the history of Islamic philosophy, consistently drawing conceptual parallels with European traditions in order to situate the Islamicate intellectual experience within a universal history of philosophy grounded in parallel development and mutual influence. In the </w:t>
      </w:r>
      <w:r w:rsidRPr="000103B5">
        <w:rPr>
          <w:rFonts w:ascii="Times New Roman" w:hAnsi="Times New Roman" w:cs="Times New Roman"/>
          <w:color w:val="000000" w:themeColor="text1"/>
        </w:rPr>
        <w:t>preface to his comparative study of Islamic and Western thinkers, completed in 1944 during the final years of his life, İzmirli recounts that, after r</w:t>
      </w:r>
      <w:r>
        <w:rPr>
          <w:rFonts w:ascii="Times New Roman" w:hAnsi="Times New Roman" w:cs="Times New Roman"/>
          <w:color w:val="000000" w:themeColor="text1"/>
        </w:rPr>
        <w:t>e-</w:t>
      </w:r>
      <w:r w:rsidRPr="000103B5">
        <w:rPr>
          <w:rFonts w:ascii="Times New Roman" w:hAnsi="Times New Roman" w:cs="Times New Roman"/>
          <w:color w:val="000000" w:themeColor="text1"/>
        </w:rPr>
        <w:t xml:space="preserve">examining works such as Renan’s writings on Averroism, Draper’s </w:t>
      </w:r>
      <w:r w:rsidRPr="000103B5">
        <w:rPr>
          <w:rFonts w:ascii="Times New Roman" w:hAnsi="Times New Roman" w:cs="Times New Roman"/>
          <w:i/>
          <w:iCs/>
          <w:color w:val="000000" w:themeColor="text1"/>
        </w:rPr>
        <w:t>History of the Conflict</w:t>
      </w:r>
      <w:r w:rsidRPr="000103B5">
        <w:rPr>
          <w:rFonts w:ascii="Times New Roman" w:hAnsi="Times New Roman" w:cs="Times New Roman"/>
          <w:color w:val="000000" w:themeColor="text1"/>
        </w:rPr>
        <w:t xml:space="preserve">, and T. J. de Boer’s Renan-influenced </w:t>
      </w:r>
      <w:r w:rsidRPr="000103B5">
        <w:rPr>
          <w:rFonts w:ascii="Times New Roman" w:hAnsi="Times New Roman" w:cs="Times New Roman"/>
          <w:i/>
          <w:iCs/>
          <w:color w:val="000000" w:themeColor="text1"/>
        </w:rPr>
        <w:t>History of Philosophy in Islam</w:t>
      </w:r>
      <w:r w:rsidRPr="000103B5">
        <w:rPr>
          <w:rFonts w:ascii="Times New Roman" w:hAnsi="Times New Roman" w:cs="Times New Roman"/>
          <w:color w:val="000000" w:themeColor="text1"/>
        </w:rPr>
        <w:t xml:space="preserve">, alongside </w:t>
      </w:r>
      <w:r w:rsidRPr="000103B5">
        <w:rPr>
          <w:rFonts w:ascii="Times New Roman" w:hAnsi="Times New Roman" w:cs="Times New Roman"/>
          <w:color w:val="000000" w:themeColor="text1"/>
          <w:lang w:val="tr-TR"/>
        </w:rPr>
        <w:t xml:space="preserve">Muḥammad Luṭfī Jumʿa’s </w:t>
      </w:r>
      <w:r w:rsidRPr="000103B5">
        <w:rPr>
          <w:rFonts w:ascii="Times New Roman" w:hAnsi="Times New Roman" w:cs="Times New Roman"/>
          <w:i/>
          <w:iCs/>
          <w:color w:val="000000" w:themeColor="text1"/>
          <w:lang w:val="tr-TR"/>
        </w:rPr>
        <w:t xml:space="preserve">Tārīkh al-falāsifa </w:t>
      </w:r>
      <w:r w:rsidRPr="000103B5">
        <w:rPr>
          <w:rFonts w:ascii="Times New Roman" w:hAnsi="Times New Roman" w:cs="Times New Roman"/>
          <w:color w:val="000000" w:themeColor="text1"/>
          <w:lang w:val="tr-TR"/>
        </w:rPr>
        <w:t xml:space="preserve">and Sayyid Amīr ʿAlī’s </w:t>
      </w:r>
      <w:r w:rsidRPr="000103B5">
        <w:rPr>
          <w:rFonts w:ascii="Times New Roman" w:hAnsi="Times New Roman" w:cs="Times New Roman"/>
          <w:i/>
          <w:iCs/>
          <w:color w:val="000000" w:themeColor="text1"/>
          <w:lang w:val="tr-TR"/>
        </w:rPr>
        <w:t>Rūḥ-e Islām</w:t>
      </w:r>
      <w:r w:rsidRPr="000103B5">
        <w:rPr>
          <w:rFonts w:ascii="Times New Roman" w:hAnsi="Times New Roman" w:cs="Times New Roman"/>
          <w:color w:val="000000" w:themeColor="text1"/>
          <w:lang w:val="tr-TR"/>
        </w:rPr>
        <w:t xml:space="preserve">, </w:t>
      </w:r>
      <w:r w:rsidRPr="000103B5">
        <w:rPr>
          <w:rFonts w:ascii="Times New Roman" w:hAnsi="Times New Roman" w:cs="Times New Roman"/>
          <w:color w:val="000000" w:themeColor="text1"/>
        </w:rPr>
        <w:t>he concluded that existing</w:t>
      </w:r>
      <w:r w:rsidRPr="00D62CC3">
        <w:rPr>
          <w:rFonts w:ascii="Times New Roman" w:hAnsi="Times New Roman" w:cs="Times New Roman"/>
          <w:color w:val="000000" w:themeColor="text1"/>
        </w:rPr>
        <w:t xml:space="preserve"> studies failed to grasp the deeper structural and conceptual connections between Islamic and European philosophy.</w:t>
      </w:r>
      <w:r w:rsidRPr="00D62CC3">
        <w:rPr>
          <w:rStyle w:val="SonNotBavurusu"/>
          <w:rFonts w:ascii="Times New Roman" w:hAnsi="Times New Roman" w:cs="Times New Roman"/>
          <w:color w:val="000000" w:themeColor="text1"/>
        </w:rPr>
        <w:endnoteReference w:id="81"/>
      </w:r>
      <w:r w:rsidRPr="00D62CC3">
        <w:rPr>
          <w:rFonts w:ascii="Times New Roman" w:hAnsi="Times New Roman" w:cs="Times New Roman"/>
          <w:color w:val="000000" w:themeColor="text1"/>
        </w:rPr>
        <w:t xml:space="preserve"> Accordingly, İzmirli sought to remedy this lacuna through extensive comparative analyses, often presented as bullet-pointed arguments in subchapters devoted to individual Islamic thinkers. Drawing on additional sources, he juxtaposed their doctrines with those of European philosophers, arguing that Islamic thinkers had anticipated or shared </w:t>
      </w:r>
      <w:r w:rsidRPr="00D62CC3">
        <w:rPr>
          <w:rFonts w:ascii="Times New Roman" w:hAnsi="Times New Roman" w:cs="Times New Roman"/>
          <w:color w:val="000000" w:themeColor="text1"/>
        </w:rPr>
        <w:lastRenderedPageBreak/>
        <w:t xml:space="preserve">positions </w:t>
      </w:r>
      <w:r>
        <w:rPr>
          <w:rFonts w:ascii="Times New Roman" w:hAnsi="Times New Roman" w:cs="Times New Roman"/>
          <w:color w:val="000000" w:themeColor="text1"/>
        </w:rPr>
        <w:t>often</w:t>
      </w:r>
      <w:r w:rsidRPr="00D62CC3">
        <w:rPr>
          <w:rFonts w:ascii="Times New Roman" w:hAnsi="Times New Roman" w:cs="Times New Roman"/>
          <w:color w:val="000000" w:themeColor="text1"/>
        </w:rPr>
        <w:t xml:space="preserve"> associated with Descartes, Malebranche, Leibniz, Hume, Kant, Hobbes, and Mill. Yet his intervention is not limited to establishing parallelisms. Equally significant is his insistence that Islamic philosophy neither terminates with Ghazālī nor lapses into stagnation thereafter, asserting its continued vitality through the postclassical period till the Ottoman eighteenth century. Moreover, the intellectual genealogy he constructs extends beyond philosophy and theology proper to encompass religious studies and Sufism, thereby articulating a capacious conception of </w:t>
      </w:r>
      <w:r w:rsidRPr="00D62CC3">
        <w:rPr>
          <w:rFonts w:ascii="Times New Roman" w:hAnsi="Times New Roman" w:cs="Times New Roman"/>
          <w:i/>
          <w:iCs/>
          <w:color w:val="000000" w:themeColor="text1"/>
        </w:rPr>
        <w:t>ʿilm-i Islām</w:t>
      </w:r>
      <w:r w:rsidRPr="00D62CC3">
        <w:rPr>
          <w:rFonts w:ascii="Times New Roman" w:hAnsi="Times New Roman" w:cs="Times New Roman"/>
          <w:color w:val="000000" w:themeColor="text1"/>
        </w:rPr>
        <w:t xml:space="preserve"> (Islamic </w:t>
      </w:r>
      <w:r w:rsidRPr="00D62CC3">
        <w:rPr>
          <w:rFonts w:ascii="Times New Roman" w:hAnsi="Times New Roman" w:cs="Times New Roman"/>
          <w:i/>
          <w:iCs/>
          <w:color w:val="000000" w:themeColor="text1"/>
        </w:rPr>
        <w:t>scientia</w:t>
      </w:r>
      <w:r w:rsidRPr="00D62CC3">
        <w:rPr>
          <w:rFonts w:ascii="Times New Roman" w:hAnsi="Times New Roman" w:cs="Times New Roman"/>
          <w:color w:val="000000" w:themeColor="text1"/>
        </w:rPr>
        <w:t xml:space="preserve">) that exceeds the confines of narrowly defined rational sciences. The post-Ghazālian period thus marks not a decline but a </w:t>
      </w:r>
      <w:r>
        <w:rPr>
          <w:rFonts w:ascii="Times New Roman" w:hAnsi="Times New Roman" w:cs="Times New Roman"/>
          <w:color w:val="000000" w:themeColor="text1"/>
        </w:rPr>
        <w:t>‘</w:t>
      </w:r>
      <w:r w:rsidRPr="00D62CC3">
        <w:rPr>
          <w:rFonts w:ascii="Times New Roman" w:hAnsi="Times New Roman" w:cs="Times New Roman"/>
          <w:color w:val="000000" w:themeColor="text1"/>
        </w:rPr>
        <w:t>synthetic culmination</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in which philosophy, </w:t>
      </w:r>
      <w:r w:rsidRPr="00D62CC3">
        <w:rPr>
          <w:rFonts w:ascii="Times New Roman" w:hAnsi="Times New Roman" w:cs="Times New Roman"/>
          <w:i/>
          <w:iCs/>
          <w:color w:val="000000" w:themeColor="text1"/>
        </w:rPr>
        <w:t>kalām</w:t>
      </w:r>
      <w:r w:rsidRPr="00D62CC3">
        <w:rPr>
          <w:rFonts w:ascii="Times New Roman" w:hAnsi="Times New Roman" w:cs="Times New Roman"/>
          <w:color w:val="000000" w:themeColor="text1"/>
        </w:rPr>
        <w:t>, and Sufism converge into an integrated intellectual formation.</w:t>
      </w:r>
      <w:r w:rsidRPr="00D62CC3">
        <w:rPr>
          <w:rStyle w:val="SonNotBavurusu"/>
          <w:rFonts w:ascii="Times New Roman" w:hAnsi="Times New Roman" w:cs="Times New Roman"/>
          <w:color w:val="000000" w:themeColor="text1"/>
        </w:rPr>
        <w:endnoteReference w:id="82"/>
      </w:r>
    </w:p>
    <w:p w14:paraId="67B99C5F" w14:textId="3B26D92E"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eastAsia="Times New Roman" w:hAnsi="Times New Roman" w:cs="Times New Roman"/>
          <w:color w:val="000000" w:themeColor="text1"/>
          <w:kern w:val="0"/>
          <w:lang w:eastAsia="tr-TR"/>
          <w14:ligatures w14:val="none"/>
        </w:rPr>
        <w:t xml:space="preserve">One of the most striking features of </w:t>
      </w:r>
      <w:r>
        <w:rPr>
          <w:rFonts w:ascii="Times New Roman" w:eastAsia="Times New Roman" w:hAnsi="Times New Roman" w:cs="Times New Roman"/>
          <w:color w:val="000000" w:themeColor="text1"/>
          <w:kern w:val="0"/>
          <w:lang w:eastAsia="tr-TR"/>
          <w14:ligatures w14:val="none"/>
        </w:rPr>
        <w:t>İzmirli’s comparative analysis</w:t>
      </w:r>
      <w:r w:rsidRPr="00D62CC3">
        <w:rPr>
          <w:rFonts w:ascii="Times New Roman" w:eastAsia="Times New Roman" w:hAnsi="Times New Roman" w:cs="Times New Roman"/>
          <w:color w:val="000000" w:themeColor="text1"/>
          <w:kern w:val="0"/>
          <w:lang w:eastAsia="tr-TR"/>
          <w14:ligatures w14:val="none"/>
        </w:rPr>
        <w:t xml:space="preserve"> is its engagement with Darwinian evolutionary (</w:t>
      </w:r>
      <w:r w:rsidRPr="00D62CC3">
        <w:rPr>
          <w:rFonts w:ascii="Times New Roman" w:eastAsia="Times New Roman" w:hAnsi="Times New Roman" w:cs="Times New Roman"/>
          <w:i/>
          <w:iCs/>
          <w:color w:val="000000" w:themeColor="text1"/>
          <w:kern w:val="0"/>
          <w:lang w:eastAsia="tr-TR"/>
          <w14:ligatures w14:val="none"/>
        </w:rPr>
        <w:t>tekâmül</w:t>
      </w:r>
      <w:r w:rsidRPr="00D62CC3">
        <w:rPr>
          <w:rFonts w:ascii="Times New Roman" w:eastAsia="Times New Roman" w:hAnsi="Times New Roman" w:cs="Times New Roman"/>
          <w:color w:val="000000" w:themeColor="text1"/>
          <w:kern w:val="0"/>
          <w:lang w:eastAsia="tr-TR"/>
          <w14:ligatures w14:val="none"/>
        </w:rPr>
        <w:t xml:space="preserve">) theory, the most controversial aspect of Draper’s </w:t>
      </w:r>
      <w:r w:rsidRPr="00D62CC3">
        <w:rPr>
          <w:rFonts w:ascii="Times New Roman" w:eastAsia="Times New Roman" w:hAnsi="Times New Roman" w:cs="Times New Roman"/>
          <w:i/>
          <w:iCs/>
          <w:color w:val="000000" w:themeColor="text1"/>
          <w:kern w:val="0"/>
          <w:lang w:eastAsia="tr-TR"/>
          <w14:ligatures w14:val="none"/>
        </w:rPr>
        <w:t>History of the Conflict</w:t>
      </w:r>
      <w:r w:rsidRPr="00D62CC3">
        <w:rPr>
          <w:rFonts w:ascii="Times New Roman" w:eastAsia="Times New Roman" w:hAnsi="Times New Roman" w:cs="Times New Roman"/>
          <w:color w:val="000000" w:themeColor="text1"/>
          <w:kern w:val="0"/>
          <w:lang w:eastAsia="tr-TR"/>
          <w14:ligatures w14:val="none"/>
        </w:rPr>
        <w:t>, where evolution is cast in sharp opposition to creationism and became the primary target of Catholic critiques.</w:t>
      </w:r>
      <w:r w:rsidRPr="00D62CC3">
        <w:rPr>
          <w:rStyle w:val="SonNotBavurusu"/>
          <w:rFonts w:ascii="Times New Roman" w:eastAsia="Times New Roman" w:hAnsi="Times New Roman" w:cs="Times New Roman"/>
          <w:color w:val="000000" w:themeColor="text1"/>
          <w:kern w:val="0"/>
          <w:lang w:eastAsia="tr-TR"/>
          <w14:ligatures w14:val="none"/>
        </w:rPr>
        <w:endnoteReference w:id="83"/>
      </w:r>
      <w:r w:rsidRPr="00D62CC3">
        <w:rPr>
          <w:rFonts w:ascii="Times New Roman" w:eastAsia="Times New Roman" w:hAnsi="Times New Roman" w:cs="Times New Roman"/>
          <w:color w:val="000000" w:themeColor="text1"/>
          <w:kern w:val="0"/>
          <w:lang w:eastAsia="tr-TR"/>
          <w14:ligatures w14:val="none"/>
        </w:rPr>
        <w:t xml:space="preserve"> Drawing explicitly on Draper, İzmirli argues that proto-evolutionary ideas can already be discerned notably in the writings of the nineth-century Arab </w:t>
      </w:r>
      <w:r w:rsidRPr="00D62CC3">
        <w:rPr>
          <w:rFonts w:ascii="Times New Roman" w:hAnsi="Times New Roman" w:cs="Times New Roman"/>
          <w:color w:val="000000" w:themeColor="text1"/>
        </w:rPr>
        <w:t>litt</w:t>
      </w:r>
      <w:r w:rsidRPr="00D62CC3">
        <w:rPr>
          <w:rFonts w:ascii="Times New Roman" w:hAnsi="Times New Roman" w:cs="Times New Roman"/>
          <w:color w:val="000000" w:themeColor="text1"/>
          <w:shd w:val="clear" w:color="auto" w:fill="FFFFFF"/>
        </w:rPr>
        <w:t>é</w:t>
      </w:r>
      <w:r w:rsidRPr="00D62CC3">
        <w:rPr>
          <w:rFonts w:ascii="Times New Roman" w:hAnsi="Times New Roman" w:cs="Times New Roman"/>
          <w:color w:val="000000" w:themeColor="text1"/>
        </w:rPr>
        <w:t>rateur</w:t>
      </w:r>
      <w:r w:rsidRPr="00D62CC3">
        <w:rPr>
          <w:rFonts w:ascii="Times New Roman" w:eastAsia="Times New Roman" w:hAnsi="Times New Roman" w:cs="Times New Roman"/>
          <w:color w:val="000000" w:themeColor="text1"/>
          <w:kern w:val="0"/>
          <w:lang w:eastAsia="tr-TR"/>
          <w14:ligatures w14:val="none"/>
        </w:rPr>
        <w:t xml:space="preserve"> al-Jāḥiẓ and the Brethren of Purity, the anonymous philosophical collective from tenth-century Baṣra.</w:t>
      </w:r>
      <w:r w:rsidRPr="00D62CC3">
        <w:rPr>
          <w:rStyle w:val="SonNotBavurusu"/>
          <w:rFonts w:ascii="Times New Roman" w:hAnsi="Times New Roman" w:cs="Times New Roman"/>
          <w:color w:val="000000" w:themeColor="text1"/>
        </w:rPr>
        <w:endnoteReference w:id="84"/>
      </w:r>
    </w:p>
    <w:p w14:paraId="56B0D95A" w14:textId="41A816F3"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eastAsia="Times New Roman" w:hAnsi="Times New Roman" w:cs="Times New Roman"/>
          <w:color w:val="000000" w:themeColor="text1"/>
          <w:kern w:val="0"/>
          <w:lang w:eastAsia="tr-TR"/>
          <w14:ligatures w14:val="none"/>
        </w:rPr>
        <w:t xml:space="preserve">As part of his effort to revitalise a holistic conception of </w:t>
      </w:r>
      <w:r w:rsidRPr="00D62CC3">
        <w:rPr>
          <w:rFonts w:ascii="Times New Roman" w:eastAsia="Times New Roman" w:hAnsi="Times New Roman" w:cs="Times New Roman"/>
          <w:i/>
          <w:iCs/>
          <w:color w:val="000000" w:themeColor="text1"/>
          <w:kern w:val="0"/>
          <w:lang w:eastAsia="tr-TR"/>
          <w14:ligatures w14:val="none"/>
        </w:rPr>
        <w:t>ʿilm-i Islām</w:t>
      </w:r>
      <w:r w:rsidRPr="00D62CC3">
        <w:rPr>
          <w:rFonts w:ascii="Times New Roman" w:eastAsia="Times New Roman" w:hAnsi="Times New Roman" w:cs="Times New Roman"/>
          <w:color w:val="000000" w:themeColor="text1"/>
          <w:kern w:val="0"/>
          <w:lang w:eastAsia="tr-TR"/>
          <w14:ligatures w14:val="none"/>
        </w:rPr>
        <w:t>, İzmirli devoted sustained attention to Ghazālī. In the late 1910s, he published a series of articles on Islamic philosoph</w:t>
      </w:r>
      <w:r>
        <w:rPr>
          <w:rFonts w:ascii="Times New Roman" w:eastAsia="Times New Roman" w:hAnsi="Times New Roman" w:cs="Times New Roman"/>
          <w:color w:val="000000" w:themeColor="text1"/>
          <w:kern w:val="0"/>
          <w:lang w:eastAsia="tr-TR"/>
          <w14:ligatures w14:val="none"/>
        </w:rPr>
        <w:t>y</w:t>
      </w:r>
      <w:r w:rsidRPr="00D62CC3">
        <w:rPr>
          <w:rFonts w:ascii="Times New Roman" w:eastAsia="Times New Roman" w:hAnsi="Times New Roman" w:cs="Times New Roman"/>
          <w:color w:val="000000" w:themeColor="text1"/>
          <w:kern w:val="0"/>
          <w:lang w:eastAsia="tr-TR"/>
          <w14:ligatures w14:val="none"/>
        </w:rPr>
        <w:t xml:space="preserve"> across several journals, most notably </w:t>
      </w:r>
      <w:r w:rsidRPr="00D62CC3">
        <w:rPr>
          <w:rFonts w:ascii="Times New Roman" w:eastAsia="Times New Roman" w:hAnsi="Times New Roman" w:cs="Times New Roman"/>
          <w:i/>
          <w:iCs/>
          <w:color w:val="000000" w:themeColor="text1"/>
          <w:kern w:val="0"/>
          <w:lang w:eastAsia="tr-TR"/>
          <w14:ligatures w14:val="none"/>
        </w:rPr>
        <w:t>Cerīde-i ʿilmiyye</w:t>
      </w:r>
      <w:r w:rsidRPr="00D62CC3">
        <w:rPr>
          <w:rFonts w:ascii="Times New Roman" w:eastAsia="Times New Roman" w:hAnsi="Times New Roman" w:cs="Times New Roman"/>
          <w:color w:val="000000" w:themeColor="text1"/>
          <w:kern w:val="0"/>
          <w:lang w:eastAsia="tr-TR"/>
          <w14:ligatures w14:val="none"/>
        </w:rPr>
        <w:t xml:space="preserve">, which was founded as the official journal of the Office of the </w:t>
      </w:r>
      <w:r>
        <w:rPr>
          <w:rFonts w:ascii="Times New Roman" w:eastAsia="Times New Roman" w:hAnsi="Times New Roman" w:cs="Times New Roman"/>
          <w:color w:val="000000" w:themeColor="text1"/>
          <w:kern w:val="0"/>
          <w:lang w:eastAsia="tr-TR"/>
          <w14:ligatures w14:val="none"/>
        </w:rPr>
        <w:t>Shaykh al-I</w:t>
      </w:r>
      <w:r w:rsidRPr="00D62CC3">
        <w:rPr>
          <w:rFonts w:ascii="Times New Roman" w:eastAsia="Times New Roman" w:hAnsi="Times New Roman" w:cs="Times New Roman"/>
          <w:color w:val="000000" w:themeColor="text1"/>
          <w:kern w:val="0"/>
          <w:lang w:eastAsia="tr-TR"/>
          <w14:ligatures w14:val="none"/>
        </w:rPr>
        <w:t>slām and later issued under the auspices of the Islamic Council of Higher Learning (</w:t>
      </w:r>
      <w:r w:rsidRPr="00D62CC3">
        <w:rPr>
          <w:rFonts w:ascii="Times New Roman" w:eastAsia="Times New Roman" w:hAnsi="Times New Roman" w:cs="Times New Roman"/>
          <w:i/>
          <w:iCs/>
          <w:color w:val="000000" w:themeColor="text1"/>
          <w:kern w:val="0"/>
          <w:lang w:eastAsia="tr-TR"/>
          <w14:ligatures w14:val="none"/>
        </w:rPr>
        <w:t>Dārü’l-Ḥikmeti’l-</w:t>
      </w:r>
      <w:r>
        <w:rPr>
          <w:rFonts w:ascii="Times New Roman" w:eastAsia="Times New Roman" w:hAnsi="Times New Roman" w:cs="Times New Roman"/>
          <w:i/>
          <w:iCs/>
          <w:color w:val="000000" w:themeColor="text1"/>
          <w:kern w:val="0"/>
          <w:lang w:eastAsia="tr-TR"/>
          <w14:ligatures w14:val="none"/>
        </w:rPr>
        <w:t>İ</w:t>
      </w:r>
      <w:r w:rsidRPr="00D62CC3">
        <w:rPr>
          <w:rFonts w:ascii="Times New Roman" w:eastAsia="Times New Roman" w:hAnsi="Times New Roman" w:cs="Times New Roman"/>
          <w:i/>
          <w:iCs/>
          <w:color w:val="000000" w:themeColor="text1"/>
          <w:kern w:val="0"/>
          <w:lang w:eastAsia="tr-TR"/>
          <w14:ligatures w14:val="none"/>
        </w:rPr>
        <w:t>slāmiyye</w:t>
      </w:r>
      <w:r w:rsidRPr="00D62CC3">
        <w:rPr>
          <w:rFonts w:ascii="Times New Roman" w:eastAsia="Times New Roman" w:hAnsi="Times New Roman" w:cs="Times New Roman"/>
          <w:color w:val="000000" w:themeColor="text1"/>
          <w:kern w:val="0"/>
          <w:lang w:eastAsia="tr-TR"/>
          <w14:ligatures w14:val="none"/>
        </w:rPr>
        <w:t xml:space="preserve">), the advisory body established to reform and modernise </w:t>
      </w:r>
      <w:r>
        <w:rPr>
          <w:rFonts w:ascii="Times New Roman" w:eastAsia="Times New Roman" w:hAnsi="Times New Roman" w:cs="Times New Roman"/>
          <w:color w:val="000000" w:themeColor="text1"/>
          <w:kern w:val="0"/>
          <w:lang w:eastAsia="tr-TR"/>
          <w14:ligatures w14:val="none"/>
        </w:rPr>
        <w:t xml:space="preserve">the study of </w:t>
      </w:r>
      <w:r w:rsidRPr="00D62CC3">
        <w:rPr>
          <w:rFonts w:ascii="Times New Roman" w:eastAsia="Times New Roman" w:hAnsi="Times New Roman" w:cs="Times New Roman"/>
          <w:color w:val="000000" w:themeColor="text1"/>
          <w:kern w:val="0"/>
          <w:lang w:eastAsia="tr-TR"/>
          <w14:ligatures w14:val="none"/>
        </w:rPr>
        <w:t>theolog</w:t>
      </w:r>
      <w:r>
        <w:rPr>
          <w:rFonts w:ascii="Times New Roman" w:eastAsia="Times New Roman" w:hAnsi="Times New Roman" w:cs="Times New Roman"/>
          <w:color w:val="000000" w:themeColor="text1"/>
          <w:kern w:val="0"/>
          <w:lang w:eastAsia="tr-TR"/>
          <w14:ligatures w14:val="none"/>
        </w:rPr>
        <w:t>y</w:t>
      </w:r>
      <w:r w:rsidRPr="00D62CC3">
        <w:rPr>
          <w:rFonts w:ascii="Times New Roman" w:eastAsia="Times New Roman" w:hAnsi="Times New Roman" w:cs="Times New Roman"/>
          <w:color w:val="000000" w:themeColor="text1"/>
          <w:kern w:val="0"/>
          <w:lang w:eastAsia="tr-TR"/>
          <w14:ligatures w14:val="none"/>
        </w:rPr>
        <w:t xml:space="preserve">. In these writings, İzmirli refused to confine Ghazālī to the role of theologian, presenting him instead as a comprehensive Muslim scholar who moved through multiple epistemological frameworks over the course of his life in a sustained quest for truth. He reconstructed Ghazālī’s intellectual biography as a staged trajectory: an initial engagement with Avicennan philosophy followed by growing disillusionment; a subsequent turn to Ashʿarī </w:t>
      </w:r>
      <w:r w:rsidRPr="00D62CC3">
        <w:rPr>
          <w:rFonts w:ascii="Times New Roman" w:eastAsia="Times New Roman" w:hAnsi="Times New Roman" w:cs="Times New Roman"/>
          <w:i/>
          <w:iCs/>
          <w:color w:val="000000" w:themeColor="text1"/>
          <w:kern w:val="0"/>
          <w:lang w:eastAsia="tr-TR"/>
          <w14:ligatures w14:val="none"/>
        </w:rPr>
        <w:t>kalām</w:t>
      </w:r>
      <w:r w:rsidRPr="00D62CC3">
        <w:rPr>
          <w:rFonts w:ascii="Times New Roman" w:eastAsia="Times New Roman" w:hAnsi="Times New Roman" w:cs="Times New Roman"/>
          <w:color w:val="000000" w:themeColor="text1"/>
          <w:kern w:val="0"/>
          <w:lang w:eastAsia="tr-TR"/>
          <w14:ligatures w14:val="none"/>
        </w:rPr>
        <w:t>, treated as provisional; and, finally, a movement toward Sufi epistemology in response to the perceived limitations of both philosophy and speculative theology, with this later phase also bearing Salafī inflections.</w:t>
      </w:r>
      <w:r w:rsidRPr="00D62CC3">
        <w:rPr>
          <w:rStyle w:val="SonNotBavurusu"/>
          <w:rFonts w:ascii="Times New Roman" w:eastAsia="Times New Roman" w:hAnsi="Times New Roman" w:cs="Times New Roman"/>
          <w:color w:val="000000" w:themeColor="text1"/>
          <w:kern w:val="0"/>
          <w:lang w:eastAsia="tr-TR"/>
          <w14:ligatures w14:val="none"/>
        </w:rPr>
        <w:endnoteReference w:id="85"/>
      </w:r>
    </w:p>
    <w:p w14:paraId="598F40AA" w14:textId="22810EC9" w:rsidR="00206E86" w:rsidRDefault="00206E86" w:rsidP="004249A3">
      <w:pPr>
        <w:pStyle w:val="AralkYok"/>
        <w:ind w:firstLine="708"/>
        <w:jc w:val="both"/>
        <w:rPr>
          <w:rFonts w:ascii="Times New Roman" w:hAnsi="Times New Roman" w:cs="Times New Roman"/>
          <w:color w:val="000000" w:themeColor="text1"/>
        </w:rPr>
      </w:pPr>
      <w:r w:rsidRPr="00D62CC3">
        <w:rPr>
          <w:rFonts w:ascii="Times New Roman" w:eastAsia="Times New Roman" w:hAnsi="Times New Roman" w:cs="Times New Roman"/>
          <w:color w:val="000000" w:themeColor="text1"/>
          <w:kern w:val="0"/>
          <w:lang w:eastAsia="tr-TR"/>
          <w14:ligatures w14:val="none"/>
        </w:rPr>
        <w:t xml:space="preserve">These articles were later revised and expanded for the </w:t>
      </w:r>
      <w:r w:rsidRPr="00D62CC3">
        <w:rPr>
          <w:rFonts w:ascii="Times New Roman" w:eastAsia="Times New Roman" w:hAnsi="Times New Roman" w:cs="Times New Roman"/>
          <w:i/>
          <w:iCs/>
          <w:color w:val="000000" w:themeColor="text1"/>
          <w:kern w:val="0"/>
          <w:lang w:eastAsia="tr-TR"/>
          <w14:ligatures w14:val="none"/>
        </w:rPr>
        <w:t>Journal of the Faculty of Theology</w:t>
      </w:r>
      <w:r w:rsidRPr="00D62CC3">
        <w:rPr>
          <w:rFonts w:ascii="Times New Roman" w:eastAsia="Times New Roman" w:hAnsi="Times New Roman" w:cs="Times New Roman"/>
          <w:color w:val="000000" w:themeColor="text1"/>
          <w:kern w:val="0"/>
          <w:lang w:eastAsia="tr-TR"/>
          <w14:ligatures w14:val="none"/>
        </w:rPr>
        <w:t xml:space="preserve"> at the </w:t>
      </w:r>
      <w:r w:rsidRPr="00D62CC3">
        <w:rPr>
          <w:rFonts w:ascii="Times New Roman" w:eastAsia="Times New Roman" w:hAnsi="Times New Roman" w:cs="Times New Roman"/>
          <w:i/>
          <w:iCs/>
          <w:color w:val="000000" w:themeColor="text1"/>
          <w:kern w:val="0"/>
          <w:lang w:eastAsia="tr-TR"/>
          <w14:ligatures w14:val="none"/>
        </w:rPr>
        <w:t>Dārülfünūn</w:t>
      </w:r>
      <w:r w:rsidRPr="00D62CC3">
        <w:rPr>
          <w:rFonts w:ascii="Times New Roman" w:eastAsia="Times New Roman" w:hAnsi="Times New Roman" w:cs="Times New Roman"/>
          <w:color w:val="000000" w:themeColor="text1"/>
          <w:kern w:val="0"/>
          <w:lang w:eastAsia="tr-TR"/>
          <w14:ligatures w14:val="none"/>
        </w:rPr>
        <w:t xml:space="preserve"> in the 1920s. In these studies, İzmirli situated both Ghazālī and Ibn Rushd within the </w:t>
      </w:r>
      <w:r w:rsidRPr="00D62CC3">
        <w:rPr>
          <w:rFonts w:ascii="Times New Roman" w:eastAsia="Times New Roman" w:hAnsi="Times New Roman" w:cs="Times New Roman"/>
          <w:i/>
          <w:iCs/>
          <w:color w:val="000000" w:themeColor="text1"/>
          <w:kern w:val="0"/>
          <w:lang w:eastAsia="tr-TR"/>
          <w14:ligatures w14:val="none"/>
        </w:rPr>
        <w:t xml:space="preserve">longue durée </w:t>
      </w:r>
      <w:r w:rsidRPr="00D62CC3">
        <w:rPr>
          <w:rFonts w:ascii="Times New Roman" w:eastAsia="Times New Roman" w:hAnsi="Times New Roman" w:cs="Times New Roman"/>
          <w:color w:val="000000" w:themeColor="text1"/>
          <w:kern w:val="0"/>
          <w:lang w:eastAsia="tr-TR"/>
          <w14:ligatures w14:val="none"/>
        </w:rPr>
        <w:t xml:space="preserve">of </w:t>
      </w:r>
      <w:r>
        <w:rPr>
          <w:rFonts w:ascii="Times New Roman" w:eastAsia="Times New Roman" w:hAnsi="Times New Roman" w:cs="Times New Roman"/>
          <w:color w:val="000000" w:themeColor="text1"/>
          <w:kern w:val="0"/>
          <w:lang w:eastAsia="tr-TR"/>
          <w14:ligatures w14:val="none"/>
        </w:rPr>
        <w:t>Islamic</w:t>
      </w:r>
      <w:r w:rsidRPr="00D62CC3">
        <w:rPr>
          <w:rFonts w:ascii="Times New Roman" w:eastAsia="Times New Roman" w:hAnsi="Times New Roman" w:cs="Times New Roman"/>
          <w:color w:val="000000" w:themeColor="text1"/>
          <w:kern w:val="0"/>
          <w:lang w:eastAsia="tr-TR"/>
          <w14:ligatures w14:val="none"/>
        </w:rPr>
        <w:t xml:space="preserve"> philosophy, with particular emphasis on </w:t>
      </w:r>
      <w:r>
        <w:rPr>
          <w:rFonts w:ascii="Times New Roman" w:eastAsia="Times New Roman" w:hAnsi="Times New Roman" w:cs="Times New Roman"/>
          <w:color w:val="000000" w:themeColor="text1"/>
          <w:kern w:val="0"/>
          <w:lang w:eastAsia="tr-TR"/>
          <w14:ligatures w14:val="none"/>
        </w:rPr>
        <w:t>the former’s</w:t>
      </w:r>
      <w:r w:rsidRPr="00D62CC3">
        <w:rPr>
          <w:rFonts w:ascii="Times New Roman" w:eastAsia="Times New Roman" w:hAnsi="Times New Roman" w:cs="Times New Roman"/>
          <w:color w:val="000000" w:themeColor="text1"/>
          <w:kern w:val="0"/>
          <w:lang w:eastAsia="tr-TR"/>
          <w14:ligatures w14:val="none"/>
        </w:rPr>
        <w:t xml:space="preserve"> critique of the Peripatetic tradition. </w:t>
      </w:r>
      <w:r w:rsidRPr="00D62CC3">
        <w:rPr>
          <w:rFonts w:ascii="Times New Roman" w:hAnsi="Times New Roman" w:cs="Times New Roman"/>
          <w:color w:val="000000" w:themeColor="text1"/>
        </w:rPr>
        <w:t>These writings pursue an agenda that extends beyond mere exposition of doctrinal differences. Much like the model of congruence advanced by Midhat, Kazım and Suavi, İzmirli seeks to demonstrate the fundamental compatibility, rather than opposition, between Ghazālī and Ibn Rushd, conceiving religion and philosophy as internally related and mutually constitutive domains.</w:t>
      </w:r>
    </w:p>
    <w:p w14:paraId="67B093F8" w14:textId="0B05CC69" w:rsidR="00206E86" w:rsidRPr="0027547B" w:rsidRDefault="00206E86" w:rsidP="0027547B">
      <w:pPr>
        <w:pStyle w:val="AralkYok"/>
        <w:ind w:firstLine="708"/>
        <w:jc w:val="both"/>
        <w:rPr>
          <w:rFonts w:ascii="Times New Roman" w:hAnsi="Times New Roman" w:cs="Times New Roman"/>
        </w:rPr>
      </w:pPr>
      <w:r w:rsidRPr="0027547B">
        <w:rPr>
          <w:rFonts w:ascii="Times New Roman" w:hAnsi="Times New Roman" w:cs="Times New Roman"/>
        </w:rPr>
        <w:t xml:space="preserve">With respect to Ghazālī in particular, İzmirli treats the </w:t>
      </w:r>
      <w:r w:rsidRPr="0027547B">
        <w:rPr>
          <w:rFonts w:ascii="Times New Roman" w:hAnsi="Times New Roman" w:cs="Times New Roman"/>
          <w:i/>
          <w:iCs/>
        </w:rPr>
        <w:t>Tahāfut</w:t>
      </w:r>
      <w:r w:rsidRPr="0027547B">
        <w:rPr>
          <w:rFonts w:ascii="Times New Roman" w:hAnsi="Times New Roman" w:cs="Times New Roman"/>
        </w:rPr>
        <w:t xml:space="preserve"> as what he terms the fourth phase of Islamic philosophy: a rigorously philosophical intervention rather than a repudiation of philosophy as such. On this reading, Ghazālī recalibrated the epistemic standards of philosophical inquiry, compelling theologians and jurists alike to adopt logical rigor and demonstrative reasoning as criteria of religious investigation,</w:t>
      </w:r>
      <w:r w:rsidRPr="0027547B">
        <w:rPr>
          <w:rStyle w:val="SonNotBavurusu"/>
          <w:rFonts w:ascii="Times New Roman" w:hAnsi="Times New Roman" w:cs="Times New Roman"/>
          <w:color w:val="000000" w:themeColor="text1"/>
        </w:rPr>
        <w:endnoteReference w:id="86"/>
      </w:r>
      <w:r w:rsidRPr="0027547B">
        <w:rPr>
          <w:rFonts w:ascii="Times New Roman" w:hAnsi="Times New Roman" w:cs="Times New Roman"/>
        </w:rPr>
        <w:t xml:space="preserve"> and thereby inaugurating three decisive transformations in Islamic scholarship: </w:t>
      </w:r>
      <w:r w:rsidRPr="0027547B">
        <w:rPr>
          <w:rFonts w:ascii="Times New Roman" w:hAnsi="Times New Roman" w:cs="Times New Roman"/>
          <w:b/>
          <w:bCs/>
        </w:rPr>
        <w:t>(i)</w:t>
      </w:r>
      <w:r w:rsidRPr="0027547B">
        <w:rPr>
          <w:rFonts w:ascii="Times New Roman" w:hAnsi="Times New Roman" w:cs="Times New Roman"/>
        </w:rPr>
        <w:t xml:space="preserve"> the unconditional acceptance of logic as a formal method in religious sciences; </w:t>
      </w:r>
      <w:r w:rsidRPr="0027547B">
        <w:rPr>
          <w:rFonts w:ascii="Times New Roman" w:hAnsi="Times New Roman" w:cs="Times New Roman"/>
          <w:b/>
          <w:bCs/>
        </w:rPr>
        <w:t xml:space="preserve">(ii) </w:t>
      </w:r>
      <w:r w:rsidRPr="0027547B">
        <w:rPr>
          <w:rFonts w:ascii="Times New Roman" w:hAnsi="Times New Roman" w:cs="Times New Roman"/>
        </w:rPr>
        <w:t xml:space="preserve">the rejection of </w:t>
      </w:r>
      <w:r w:rsidRPr="0027547B">
        <w:rPr>
          <w:rFonts w:ascii="Times New Roman" w:hAnsi="Times New Roman" w:cs="Times New Roman"/>
          <w:i/>
          <w:iCs/>
        </w:rPr>
        <w:t>inʿikās-ı edille</w:t>
      </w:r>
      <w:r w:rsidRPr="0027547B">
        <w:rPr>
          <w:rFonts w:ascii="Times New Roman" w:hAnsi="Times New Roman" w:cs="Times New Roman"/>
        </w:rPr>
        <w:t xml:space="preserve">, i.e., the logical inference that the falsity of a proof entails the falsity of the claim itself, and </w:t>
      </w:r>
      <w:r w:rsidRPr="0027547B">
        <w:rPr>
          <w:rFonts w:ascii="Times New Roman" w:hAnsi="Times New Roman" w:cs="Times New Roman"/>
          <w:b/>
          <w:bCs/>
        </w:rPr>
        <w:t>(iii)</w:t>
      </w:r>
      <w:r w:rsidRPr="0027547B">
        <w:rPr>
          <w:rFonts w:ascii="Times New Roman" w:hAnsi="Times New Roman" w:cs="Times New Roman"/>
        </w:rPr>
        <w:t xml:space="preserve"> the permanent integration of philosophical problematics into </w:t>
      </w:r>
      <w:r w:rsidRPr="0027547B">
        <w:rPr>
          <w:rFonts w:ascii="Times New Roman" w:hAnsi="Times New Roman" w:cs="Times New Roman"/>
          <w:i/>
          <w:iCs/>
        </w:rPr>
        <w:t>kalām</w:t>
      </w:r>
      <w:r w:rsidRPr="0027547B">
        <w:rPr>
          <w:rFonts w:ascii="Times New Roman" w:hAnsi="Times New Roman" w:cs="Times New Roman"/>
        </w:rPr>
        <w:t xml:space="preserve"> literature.</w:t>
      </w:r>
      <w:r w:rsidRPr="0027547B">
        <w:rPr>
          <w:rStyle w:val="SonNotBavurusu"/>
          <w:rFonts w:ascii="Times New Roman" w:hAnsi="Times New Roman" w:cs="Times New Roman"/>
          <w:color w:val="000000" w:themeColor="text1"/>
        </w:rPr>
        <w:endnoteReference w:id="87"/>
      </w:r>
      <w:r w:rsidRPr="0027547B">
        <w:rPr>
          <w:rFonts w:ascii="Times New Roman" w:hAnsi="Times New Roman" w:cs="Times New Roman"/>
        </w:rPr>
        <w:t xml:space="preserve"> His polemical attacks thus reinforced the normative claims of the Sharīʿa through philosophically disciplined critique, presenting Ghazālī as a synthesising figure who subjected philosophical method itself to systematic scrutiny.</w:t>
      </w:r>
      <w:r w:rsidRPr="0027547B">
        <w:rPr>
          <w:rStyle w:val="SonNotBavurusu"/>
          <w:rFonts w:ascii="Times New Roman" w:hAnsi="Times New Roman" w:cs="Times New Roman"/>
          <w:color w:val="000000" w:themeColor="text1"/>
        </w:rPr>
        <w:endnoteReference w:id="88"/>
      </w:r>
    </w:p>
    <w:p w14:paraId="7C29859B" w14:textId="7CF9ABBC" w:rsidR="00206E86" w:rsidRPr="00D62CC3" w:rsidRDefault="00206E86" w:rsidP="00E94032">
      <w:pPr>
        <w:pStyle w:val="AralkYok"/>
        <w:ind w:firstLine="708"/>
        <w:jc w:val="both"/>
        <w:rPr>
          <w:rFonts w:ascii="Times New Roman" w:eastAsia="Times New Roman" w:hAnsi="Times New Roman" w:cs="Times New Roman"/>
          <w:color w:val="000000" w:themeColor="text1"/>
          <w:kern w:val="0"/>
          <w:lang w:eastAsia="tr-TR"/>
          <w14:ligatures w14:val="none"/>
        </w:rPr>
      </w:pPr>
      <w:r w:rsidRPr="00D62CC3">
        <w:rPr>
          <w:rFonts w:ascii="Times New Roman" w:hAnsi="Times New Roman" w:cs="Times New Roman"/>
          <w:color w:val="000000" w:themeColor="text1"/>
        </w:rPr>
        <w:t>On Ibn Rushd, İzmirli challenges the dominant antagonistic reading of his relation to Ghazālī, arguing that modern scholarship overstates their divergence by overlooking their shared affirmation of both scientific inquiry and revelation as epistemically legitimate.</w:t>
      </w:r>
      <w:r w:rsidRPr="00D62CC3">
        <w:rPr>
          <w:rStyle w:val="SonNotBavurusu"/>
          <w:rFonts w:ascii="Times New Roman" w:hAnsi="Times New Roman" w:cs="Times New Roman"/>
          <w:color w:val="000000" w:themeColor="text1"/>
        </w:rPr>
        <w:endnoteReference w:id="89"/>
      </w:r>
      <w:r w:rsidRPr="00D62CC3">
        <w:rPr>
          <w:rFonts w:ascii="Times New Roman" w:hAnsi="Times New Roman" w:cs="Times New Roman"/>
          <w:color w:val="000000" w:themeColor="text1"/>
        </w:rPr>
        <w:t xml:space="preserve"> </w:t>
      </w:r>
      <w:r w:rsidRPr="00D62CC3">
        <w:rPr>
          <w:rFonts w:ascii="Times New Roman" w:eastAsia="Times New Roman" w:hAnsi="Times New Roman" w:cs="Times New Roman"/>
          <w:color w:val="000000" w:themeColor="text1"/>
          <w:kern w:val="0"/>
          <w:lang w:eastAsia="tr-TR"/>
          <w14:ligatures w14:val="none"/>
        </w:rPr>
        <w:t xml:space="preserve">Although Ibn Rushd emerges as an uncompromising defender of Aristotelianism and famously dismisses </w:t>
      </w:r>
      <w:r w:rsidRPr="00D62CC3">
        <w:rPr>
          <w:rFonts w:ascii="Times New Roman" w:eastAsia="Times New Roman" w:hAnsi="Times New Roman" w:cs="Times New Roman"/>
          <w:i/>
          <w:iCs/>
          <w:color w:val="000000" w:themeColor="text1"/>
          <w:kern w:val="0"/>
          <w:lang w:eastAsia="tr-TR"/>
          <w14:ligatures w14:val="none"/>
        </w:rPr>
        <w:t>kalām</w:t>
      </w:r>
      <w:r w:rsidRPr="00D62CC3">
        <w:rPr>
          <w:rFonts w:ascii="Times New Roman" w:eastAsia="Times New Roman" w:hAnsi="Times New Roman" w:cs="Times New Roman"/>
          <w:color w:val="000000" w:themeColor="text1"/>
          <w:kern w:val="0"/>
          <w:lang w:eastAsia="tr-TR"/>
          <w14:ligatures w14:val="none"/>
        </w:rPr>
        <w:t xml:space="preserve"> as methodologically inadequate, at times characterizing Ghazālī as a sophist who relies on equivocation rather than </w:t>
      </w:r>
      <w:r w:rsidRPr="00D62CC3">
        <w:rPr>
          <w:rFonts w:ascii="Times New Roman" w:eastAsia="Times New Roman" w:hAnsi="Times New Roman" w:cs="Times New Roman"/>
          <w:color w:val="000000" w:themeColor="text1"/>
          <w:kern w:val="0"/>
          <w:lang w:eastAsia="tr-TR"/>
          <w14:ligatures w14:val="none"/>
        </w:rPr>
        <w:lastRenderedPageBreak/>
        <w:t>demonstrative reasoning, he nonetheless exhibits profound reverence for the Sharīʿa.</w:t>
      </w:r>
      <w:r w:rsidRPr="00D62CC3">
        <w:rPr>
          <w:rStyle w:val="SonNotBavurusu"/>
          <w:rFonts w:ascii="Times New Roman" w:hAnsi="Times New Roman" w:cs="Times New Roman"/>
          <w:color w:val="000000" w:themeColor="text1"/>
        </w:rPr>
        <w:endnoteReference w:id="90"/>
      </w:r>
      <w:r w:rsidRPr="00D62CC3">
        <w:rPr>
          <w:rFonts w:ascii="Times New Roman" w:eastAsia="Times New Roman" w:hAnsi="Times New Roman" w:cs="Times New Roman"/>
          <w:color w:val="000000" w:themeColor="text1"/>
          <w:kern w:val="0"/>
          <w:lang w:eastAsia="tr-TR"/>
          <w14:ligatures w14:val="none"/>
        </w:rPr>
        <w:t xml:space="preserve"> He insists that divine law must be properly apprehended through rational investigation and affirms religion as a bearer of truth (</w:t>
      </w:r>
      <w:r w:rsidRPr="00D62CC3">
        <w:rPr>
          <w:rFonts w:ascii="Times New Roman" w:eastAsia="Times New Roman" w:hAnsi="Times New Roman" w:cs="Times New Roman"/>
          <w:i/>
          <w:iCs/>
          <w:color w:val="000000" w:themeColor="text1"/>
          <w:kern w:val="0"/>
          <w:lang w:eastAsia="tr-TR"/>
          <w14:ligatures w14:val="none"/>
        </w:rPr>
        <w:t>ḥaqq</w:t>
      </w:r>
      <w:r w:rsidRPr="00D62CC3">
        <w:rPr>
          <w:rFonts w:ascii="Times New Roman" w:eastAsia="Times New Roman" w:hAnsi="Times New Roman" w:cs="Times New Roman"/>
          <w:color w:val="000000" w:themeColor="text1"/>
          <w:kern w:val="0"/>
          <w:lang w:eastAsia="tr-TR"/>
          <w14:ligatures w14:val="none"/>
        </w:rPr>
        <w:t>)</w:t>
      </w:r>
      <w:r>
        <w:rPr>
          <w:rFonts w:ascii="Times New Roman" w:eastAsia="Times New Roman" w:hAnsi="Times New Roman" w:cs="Times New Roman"/>
          <w:color w:val="000000" w:themeColor="text1"/>
          <w:kern w:val="0"/>
          <w:lang w:eastAsia="tr-TR"/>
          <w14:ligatures w14:val="none"/>
        </w:rPr>
        <w:t>—not</w:t>
      </w:r>
      <w:r w:rsidRPr="00D62CC3">
        <w:rPr>
          <w:rFonts w:ascii="Times New Roman" w:eastAsia="Times New Roman" w:hAnsi="Times New Roman" w:cs="Times New Roman"/>
          <w:color w:val="000000" w:themeColor="text1"/>
          <w:kern w:val="0"/>
          <w:lang w:eastAsia="tr-TR"/>
          <w14:ligatures w14:val="none"/>
        </w:rPr>
        <w:t xml:space="preserve"> its negation.</w:t>
      </w:r>
      <w:r w:rsidRPr="00D62CC3">
        <w:rPr>
          <w:rStyle w:val="SonNotBavurusu"/>
          <w:rFonts w:ascii="Times New Roman" w:hAnsi="Times New Roman" w:cs="Times New Roman"/>
          <w:color w:val="000000" w:themeColor="text1"/>
        </w:rPr>
        <w:endnoteReference w:id="91"/>
      </w:r>
      <w:r w:rsidRPr="00D62CC3">
        <w:rPr>
          <w:rFonts w:ascii="Times New Roman" w:hAnsi="Times New Roman" w:cs="Times New Roman"/>
          <w:color w:val="000000" w:themeColor="text1"/>
        </w:rPr>
        <w:t xml:space="preserve"> </w:t>
      </w:r>
      <w:r w:rsidRPr="00D62CC3">
        <w:rPr>
          <w:rFonts w:ascii="Times New Roman" w:eastAsia="Times New Roman" w:hAnsi="Times New Roman" w:cs="Times New Roman"/>
          <w:color w:val="000000" w:themeColor="text1"/>
          <w:kern w:val="0"/>
          <w:lang w:eastAsia="tr-TR"/>
          <w14:ligatures w14:val="none"/>
        </w:rPr>
        <w:t xml:space="preserve">Ibn Rushd radicalises rather than abandons Ghazālī’s fundamental orientation: for </w:t>
      </w:r>
      <w:r>
        <w:rPr>
          <w:rFonts w:ascii="Times New Roman" w:eastAsia="Times New Roman" w:hAnsi="Times New Roman" w:cs="Times New Roman"/>
          <w:color w:val="000000" w:themeColor="text1"/>
          <w:kern w:val="0"/>
          <w:lang w:eastAsia="tr-TR"/>
          <w14:ligatures w14:val="none"/>
        </w:rPr>
        <w:t>İzmirli</w:t>
      </w:r>
      <w:r w:rsidRPr="00D62CC3">
        <w:rPr>
          <w:rFonts w:ascii="Times New Roman" w:eastAsia="Times New Roman" w:hAnsi="Times New Roman" w:cs="Times New Roman"/>
          <w:color w:val="000000" w:themeColor="text1"/>
          <w:kern w:val="0"/>
          <w:lang w:eastAsia="tr-TR"/>
          <w14:ligatures w14:val="none"/>
        </w:rPr>
        <w:t xml:space="preserve">, the </w:t>
      </w:r>
      <w:r w:rsidRPr="00D62CC3">
        <w:rPr>
          <w:rFonts w:ascii="Times New Roman" w:eastAsia="Times New Roman" w:hAnsi="Times New Roman" w:cs="Times New Roman"/>
          <w:i/>
          <w:iCs/>
          <w:color w:val="000000" w:themeColor="text1"/>
          <w:kern w:val="0"/>
          <w:lang w:eastAsia="tr-TR"/>
          <w14:ligatures w14:val="none"/>
        </w:rPr>
        <w:t>telos</w:t>
      </w:r>
      <w:r w:rsidRPr="00D62CC3">
        <w:rPr>
          <w:rFonts w:ascii="Times New Roman" w:eastAsia="Times New Roman" w:hAnsi="Times New Roman" w:cs="Times New Roman"/>
          <w:color w:val="000000" w:themeColor="text1"/>
          <w:kern w:val="0"/>
          <w:lang w:eastAsia="tr-TR"/>
          <w14:ligatures w14:val="none"/>
        </w:rPr>
        <w:t xml:space="preserve"> of philosophy lies in knowledge of the divine acts (</w:t>
      </w:r>
      <w:r w:rsidRPr="00D62CC3">
        <w:rPr>
          <w:rFonts w:ascii="Times New Roman" w:eastAsia="Times New Roman" w:hAnsi="Times New Roman" w:cs="Times New Roman"/>
          <w:i/>
          <w:iCs/>
          <w:color w:val="000000" w:themeColor="text1"/>
          <w:kern w:val="0"/>
          <w:lang w:eastAsia="tr-TR"/>
          <w14:ligatures w14:val="none"/>
        </w:rPr>
        <w:t>afʿāl ilāhiyya</w:t>
      </w:r>
      <w:r w:rsidRPr="00D62CC3">
        <w:rPr>
          <w:rFonts w:ascii="Times New Roman" w:eastAsia="Times New Roman" w:hAnsi="Times New Roman" w:cs="Times New Roman"/>
          <w:color w:val="000000" w:themeColor="text1"/>
          <w:kern w:val="0"/>
          <w:lang w:eastAsia="tr-TR"/>
          <w14:ligatures w14:val="none"/>
        </w:rPr>
        <w:t xml:space="preserve">) and of God Himself, attained through the investigation of </w:t>
      </w:r>
      <w:r w:rsidRPr="00D62CC3">
        <w:rPr>
          <w:rFonts w:ascii="Times New Roman" w:eastAsia="Times New Roman" w:hAnsi="Times New Roman" w:cs="Times New Roman"/>
          <w:i/>
          <w:iCs/>
          <w:color w:val="000000" w:themeColor="text1"/>
          <w:kern w:val="0"/>
          <w:lang w:eastAsia="tr-TR"/>
          <w14:ligatures w14:val="none"/>
        </w:rPr>
        <w:t>ʿilm-i Islām</w:t>
      </w:r>
      <w:r w:rsidRPr="00D62CC3">
        <w:rPr>
          <w:rFonts w:ascii="Times New Roman" w:eastAsia="Times New Roman" w:hAnsi="Times New Roman" w:cs="Times New Roman"/>
          <w:color w:val="000000" w:themeColor="text1"/>
          <w:kern w:val="0"/>
          <w:lang w:eastAsia="tr-TR"/>
          <w14:ligatures w14:val="none"/>
        </w:rPr>
        <w:t xml:space="preserve"> in light of the Qurʾān.</w:t>
      </w:r>
      <w:r w:rsidRPr="00D62CC3">
        <w:rPr>
          <w:rStyle w:val="SonNotBavurusu"/>
          <w:rFonts w:ascii="Times New Roman" w:hAnsi="Times New Roman" w:cs="Times New Roman"/>
          <w:color w:val="000000" w:themeColor="text1"/>
        </w:rPr>
        <w:endnoteReference w:id="92"/>
      </w:r>
      <w:r w:rsidRPr="00D62CC3">
        <w:rPr>
          <w:rFonts w:ascii="Times New Roman" w:eastAsia="Times New Roman" w:hAnsi="Times New Roman" w:cs="Times New Roman"/>
          <w:color w:val="000000" w:themeColor="text1"/>
          <w:kern w:val="0"/>
          <w:lang w:eastAsia="tr-TR"/>
          <w14:ligatures w14:val="none"/>
        </w:rPr>
        <w:t xml:space="preserve"> On this account, Ibn Rushd surpasses Ghazālī in defending the Sharīʿa, not by subordinating philosophy to law, but by demonstrating their intrinsic congruence and rejecting any claim that philosophical inquiry stands in opposition to revelation.</w:t>
      </w:r>
      <w:r w:rsidRPr="00D62CC3">
        <w:rPr>
          <w:rStyle w:val="SonNotBavurusu"/>
          <w:rFonts w:ascii="Times New Roman" w:hAnsi="Times New Roman" w:cs="Times New Roman"/>
          <w:color w:val="000000" w:themeColor="text1"/>
        </w:rPr>
        <w:endnoteReference w:id="93"/>
      </w:r>
    </w:p>
    <w:p w14:paraId="5FF77674" w14:textId="53E85779"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eastAsia="Times New Roman" w:hAnsi="Times New Roman" w:cs="Times New Roman"/>
          <w:color w:val="000000" w:themeColor="text1"/>
          <w:kern w:val="0"/>
          <w:lang w:eastAsia="tr-TR"/>
          <w14:ligatures w14:val="none"/>
        </w:rPr>
        <w:t xml:space="preserve">In conclusion, İzmirli came to regard Ghazālī’s </w:t>
      </w:r>
      <w:r w:rsidRPr="00D62CC3">
        <w:rPr>
          <w:rFonts w:ascii="Times New Roman" w:eastAsia="Times New Roman" w:hAnsi="Times New Roman" w:cs="Times New Roman"/>
          <w:i/>
          <w:iCs/>
          <w:color w:val="000000" w:themeColor="text1"/>
          <w:kern w:val="0"/>
          <w:lang w:eastAsia="tr-TR"/>
          <w14:ligatures w14:val="none"/>
        </w:rPr>
        <w:t>Tahāfut</w:t>
      </w:r>
      <w:r w:rsidRPr="00D62CC3">
        <w:rPr>
          <w:rFonts w:ascii="Times New Roman" w:eastAsia="Times New Roman" w:hAnsi="Times New Roman" w:cs="Times New Roman"/>
          <w:color w:val="000000" w:themeColor="text1"/>
          <w:kern w:val="0"/>
          <w:lang w:eastAsia="tr-TR"/>
          <w14:ligatures w14:val="none"/>
        </w:rPr>
        <w:t xml:space="preserve"> as a mediating threshold</w:t>
      </w:r>
      <w:r>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eastAsia="Times New Roman" w:hAnsi="Times New Roman" w:cs="Times New Roman"/>
          <w:i/>
          <w:iCs/>
          <w:color w:val="000000" w:themeColor="text1"/>
          <w:kern w:val="0"/>
          <w:lang w:eastAsia="tr-TR"/>
          <w14:ligatures w14:val="none"/>
        </w:rPr>
        <w:t>barzakh</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between Islam and Peripatetic philosophy.</w:t>
      </w:r>
      <w:r w:rsidRPr="00D62CC3">
        <w:rPr>
          <w:rStyle w:val="SonNotBavurusu"/>
          <w:rFonts w:ascii="Times New Roman" w:hAnsi="Times New Roman" w:cs="Times New Roman"/>
          <w:color w:val="000000" w:themeColor="text1"/>
        </w:rPr>
        <w:endnoteReference w:id="94"/>
      </w:r>
      <w:r w:rsidRPr="00D62CC3">
        <w:rPr>
          <w:rFonts w:ascii="Times New Roman" w:eastAsia="Times New Roman" w:hAnsi="Times New Roman" w:cs="Times New Roman"/>
          <w:color w:val="000000" w:themeColor="text1"/>
          <w:kern w:val="0"/>
          <w:lang w:eastAsia="tr-TR"/>
          <w14:ligatures w14:val="none"/>
        </w:rPr>
        <w:t xml:space="preserve"> </w:t>
      </w:r>
      <w:r>
        <w:rPr>
          <w:rFonts w:ascii="Times New Roman" w:eastAsia="Times New Roman" w:hAnsi="Times New Roman" w:cs="Times New Roman"/>
          <w:color w:val="000000" w:themeColor="text1"/>
          <w:kern w:val="0"/>
          <w:lang w:eastAsia="tr-TR"/>
          <w14:ligatures w14:val="none"/>
        </w:rPr>
        <w:t>P</w:t>
      </w:r>
      <w:r w:rsidRPr="00D62CC3">
        <w:rPr>
          <w:rFonts w:ascii="Times New Roman" w:eastAsia="Times New Roman" w:hAnsi="Times New Roman" w:cs="Times New Roman"/>
          <w:color w:val="000000" w:themeColor="text1"/>
          <w:kern w:val="0"/>
          <w:lang w:eastAsia="tr-TR"/>
          <w14:ligatures w14:val="none"/>
        </w:rPr>
        <w:t xml:space="preserve">hilosophy did not merely </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correct</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or </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repair</w:t>
      </w:r>
      <w:r>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eastAsia="Times New Roman" w:hAnsi="Times New Roman" w:cs="Times New Roman"/>
          <w:i/>
          <w:iCs/>
          <w:color w:val="000000" w:themeColor="text1"/>
          <w:kern w:val="0"/>
          <w:lang w:eastAsia="tr-TR"/>
          <w14:ligatures w14:val="none"/>
        </w:rPr>
        <w:t>kalām</w:t>
      </w:r>
      <w:r w:rsidRPr="00D62CC3">
        <w:rPr>
          <w:rFonts w:ascii="Times New Roman" w:eastAsia="Times New Roman" w:hAnsi="Times New Roman" w:cs="Times New Roman"/>
          <w:color w:val="000000" w:themeColor="text1"/>
          <w:kern w:val="0"/>
          <w:lang w:eastAsia="tr-TR"/>
          <w14:ligatures w14:val="none"/>
        </w:rPr>
        <w:t xml:space="preserve">; rather, the two disciplines increasingly operated in tandem, jointly refining philosophical inquiry into what İzmirli conceptualised as a comprehensive and internally coherent </w:t>
      </w:r>
      <w:r w:rsidRPr="00D62CC3">
        <w:rPr>
          <w:rFonts w:ascii="Times New Roman" w:eastAsia="Times New Roman" w:hAnsi="Times New Roman" w:cs="Times New Roman"/>
          <w:i/>
          <w:iCs/>
          <w:color w:val="000000" w:themeColor="text1"/>
          <w:kern w:val="0"/>
          <w:lang w:eastAsia="tr-TR"/>
          <w14:ligatures w14:val="none"/>
        </w:rPr>
        <w:t>ʿilm-i Islām</w:t>
      </w:r>
      <w:r w:rsidRPr="00D62CC3">
        <w:rPr>
          <w:rFonts w:ascii="Times New Roman" w:eastAsia="Times New Roman" w:hAnsi="Times New Roman" w:cs="Times New Roman"/>
          <w:color w:val="000000" w:themeColor="text1"/>
          <w:kern w:val="0"/>
          <w:lang w:eastAsia="tr-TR"/>
          <w14:ligatures w14:val="none"/>
        </w:rPr>
        <w:t>.</w:t>
      </w:r>
      <w:r w:rsidRPr="00D62CC3">
        <w:rPr>
          <w:rStyle w:val="SonNotBavurusu"/>
          <w:rFonts w:ascii="Times New Roman" w:eastAsia="Times New Roman" w:hAnsi="Times New Roman" w:cs="Times New Roman"/>
          <w:color w:val="000000" w:themeColor="text1"/>
          <w:kern w:val="0"/>
          <w:lang w:eastAsia="tr-TR"/>
          <w14:ligatures w14:val="none"/>
        </w:rPr>
        <w:endnoteReference w:id="95"/>
      </w:r>
      <w:r w:rsidRPr="00D62CC3">
        <w:rPr>
          <w:rFonts w:ascii="Times New Roman" w:eastAsia="Times New Roman" w:hAnsi="Times New Roman" w:cs="Times New Roman"/>
          <w:color w:val="000000" w:themeColor="text1"/>
          <w:kern w:val="0"/>
          <w:lang w:eastAsia="tr-TR"/>
          <w14:ligatures w14:val="none"/>
        </w:rPr>
        <w:t xml:space="preserve"> This synthetic orientation, for İzmirli, reached its fullest articulation in the Ottoman </w:t>
      </w:r>
      <w:r w:rsidRPr="00D62CC3">
        <w:rPr>
          <w:rFonts w:ascii="Times New Roman" w:eastAsia="Times New Roman" w:hAnsi="Times New Roman" w:cs="Times New Roman"/>
          <w:i/>
          <w:iCs/>
          <w:color w:val="000000" w:themeColor="text1"/>
          <w:kern w:val="0"/>
          <w:lang w:eastAsia="tr-TR"/>
          <w14:ligatures w14:val="none"/>
        </w:rPr>
        <w:t>Tahāfut</w:t>
      </w:r>
      <w:r w:rsidRPr="00D62CC3">
        <w:rPr>
          <w:rFonts w:ascii="Times New Roman" w:eastAsia="Times New Roman" w:hAnsi="Times New Roman" w:cs="Times New Roman"/>
          <w:color w:val="000000" w:themeColor="text1"/>
          <w:kern w:val="0"/>
          <w:lang w:eastAsia="tr-TR"/>
          <w14:ligatures w14:val="none"/>
        </w:rPr>
        <w:t xml:space="preserve"> adjudications, which institutionalised their congruence through a postclassical convergence of philosophical theology and Avicennan metaphysics, extending to shape natural philosophy and Sufism in the centuries that followed.</w:t>
      </w:r>
      <w:r w:rsidRPr="00D62CC3">
        <w:rPr>
          <w:rStyle w:val="SonNotBavurusu"/>
          <w:rFonts w:ascii="Times New Roman" w:hAnsi="Times New Roman" w:cs="Times New Roman"/>
          <w:color w:val="000000" w:themeColor="text1"/>
        </w:rPr>
        <w:endnoteReference w:id="96"/>
      </w:r>
      <w:r w:rsidRPr="00D62CC3">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hAnsi="Times New Roman" w:cs="Times New Roman"/>
          <w:color w:val="000000" w:themeColor="text1"/>
        </w:rPr>
        <w:t xml:space="preserve">His account thus exemplifies a model of </w:t>
      </w:r>
      <w:r>
        <w:rPr>
          <w:rFonts w:ascii="Times New Roman" w:hAnsi="Times New Roman" w:cs="Times New Roman"/>
          <w:color w:val="000000" w:themeColor="text1"/>
        </w:rPr>
        <w:t>‘</w:t>
      </w:r>
      <w:r w:rsidRPr="00D62CC3">
        <w:rPr>
          <w:rFonts w:ascii="Times New Roman" w:hAnsi="Times New Roman" w:cs="Times New Roman"/>
          <w:color w:val="000000" w:themeColor="text1"/>
        </w:rPr>
        <w:t>integration</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in which science and religion contribute jointly to the construction of a systematic synthesis: a coherent worldview grounded in an inclusive metaphysics.</w:t>
      </w:r>
      <w:r w:rsidRPr="00D62CC3">
        <w:rPr>
          <w:rStyle w:val="SonNotBavurusu"/>
          <w:rFonts w:ascii="Times New Roman" w:hAnsi="Times New Roman" w:cs="Times New Roman"/>
          <w:color w:val="000000" w:themeColor="text1"/>
        </w:rPr>
        <w:endnoteReference w:id="97"/>
      </w:r>
    </w:p>
    <w:p w14:paraId="3388369A" w14:textId="77777777" w:rsidR="00206E86" w:rsidRPr="00D62CC3" w:rsidRDefault="00206E86" w:rsidP="004249A3">
      <w:pPr>
        <w:pStyle w:val="AralkYok"/>
        <w:jc w:val="both"/>
        <w:rPr>
          <w:rFonts w:ascii="Times New Roman" w:hAnsi="Times New Roman" w:cs="Times New Roman"/>
          <w:color w:val="000000" w:themeColor="text1"/>
          <w:lang w:eastAsia="tr-TR"/>
        </w:rPr>
      </w:pPr>
    </w:p>
    <w:p w14:paraId="0BA39275" w14:textId="6159D2B5" w:rsidR="00206E86" w:rsidRPr="00D62CC3" w:rsidRDefault="00206E86" w:rsidP="004249A3">
      <w:pPr>
        <w:pStyle w:val="AralkYok"/>
        <w:jc w:val="both"/>
        <w:rPr>
          <w:rFonts w:ascii="Times New Roman" w:hAnsi="Times New Roman" w:cs="Times New Roman"/>
          <w:b/>
          <w:bCs/>
          <w:color w:val="000000" w:themeColor="text1"/>
          <w:lang w:eastAsia="tr-TR"/>
        </w:rPr>
      </w:pPr>
      <w:r w:rsidRPr="00D62CC3">
        <w:rPr>
          <w:rFonts w:ascii="Times New Roman" w:eastAsia="Times New Roman" w:hAnsi="Times New Roman" w:cs="Times New Roman"/>
          <w:b/>
          <w:bCs/>
          <w:color w:val="000000" w:themeColor="text1"/>
          <w:kern w:val="0"/>
          <w:lang w:eastAsia="tr-TR"/>
          <w14:ligatures w14:val="none"/>
        </w:rPr>
        <w:t xml:space="preserve">Conclusion: </w:t>
      </w:r>
      <w:r>
        <w:rPr>
          <w:rFonts w:ascii="Times New Roman" w:eastAsia="Times New Roman" w:hAnsi="Times New Roman" w:cs="Times New Roman"/>
          <w:b/>
          <w:bCs/>
          <w:color w:val="000000" w:themeColor="text1"/>
          <w:kern w:val="0"/>
          <w:lang w:eastAsia="tr-TR"/>
          <w14:ligatures w14:val="none"/>
        </w:rPr>
        <w:t>t</w:t>
      </w:r>
      <w:r w:rsidRPr="00D62CC3">
        <w:rPr>
          <w:rFonts w:ascii="Times New Roman" w:eastAsia="Times New Roman" w:hAnsi="Times New Roman" w:cs="Times New Roman"/>
          <w:b/>
          <w:bCs/>
          <w:color w:val="000000" w:themeColor="text1"/>
          <w:kern w:val="0"/>
          <w:lang w:eastAsia="tr-TR"/>
          <w14:ligatures w14:val="none"/>
        </w:rPr>
        <w:t xml:space="preserve">he Ottoman </w:t>
      </w:r>
      <w:r>
        <w:rPr>
          <w:rFonts w:ascii="Times New Roman" w:eastAsia="Times New Roman" w:hAnsi="Times New Roman" w:cs="Times New Roman"/>
          <w:b/>
          <w:bCs/>
          <w:color w:val="000000" w:themeColor="text1"/>
          <w:kern w:val="0"/>
          <w:lang w:eastAsia="tr-TR"/>
          <w14:ligatures w14:val="none"/>
        </w:rPr>
        <w:t>c</w:t>
      </w:r>
      <w:r w:rsidRPr="00D62CC3">
        <w:rPr>
          <w:rFonts w:ascii="Times New Roman" w:eastAsia="Times New Roman" w:hAnsi="Times New Roman" w:cs="Times New Roman"/>
          <w:b/>
          <w:bCs/>
          <w:color w:val="000000" w:themeColor="text1"/>
          <w:kern w:val="0"/>
          <w:lang w:eastAsia="tr-TR"/>
          <w14:ligatures w14:val="none"/>
        </w:rPr>
        <w:t xml:space="preserve">ongruence </w:t>
      </w:r>
      <w:r>
        <w:rPr>
          <w:rFonts w:ascii="Times New Roman" w:eastAsia="Times New Roman" w:hAnsi="Times New Roman" w:cs="Times New Roman"/>
          <w:b/>
          <w:bCs/>
          <w:color w:val="000000" w:themeColor="text1"/>
          <w:kern w:val="0"/>
          <w:lang w:eastAsia="tr-TR"/>
          <w14:ligatures w14:val="none"/>
        </w:rPr>
        <w:t>m</w:t>
      </w:r>
      <w:r w:rsidRPr="00D62CC3">
        <w:rPr>
          <w:rFonts w:ascii="Times New Roman" w:eastAsia="Times New Roman" w:hAnsi="Times New Roman" w:cs="Times New Roman"/>
          <w:b/>
          <w:bCs/>
          <w:color w:val="000000" w:themeColor="text1"/>
          <w:kern w:val="0"/>
          <w:lang w:eastAsia="tr-TR"/>
          <w14:ligatures w14:val="none"/>
        </w:rPr>
        <w:t xml:space="preserve">odel of the </w:t>
      </w:r>
      <w:r w:rsidRPr="00D62CC3">
        <w:rPr>
          <w:rFonts w:ascii="Times New Roman" w:eastAsia="Times New Roman" w:hAnsi="Times New Roman" w:cs="Times New Roman"/>
          <w:b/>
          <w:bCs/>
          <w:i/>
          <w:iCs/>
          <w:color w:val="000000" w:themeColor="text1"/>
          <w:kern w:val="0"/>
          <w:lang w:eastAsia="tr-TR"/>
          <w14:ligatures w14:val="none"/>
        </w:rPr>
        <w:t>Tahāfut</w:t>
      </w:r>
      <w:r w:rsidRPr="00D62CC3">
        <w:rPr>
          <w:rFonts w:ascii="Times New Roman" w:eastAsia="Times New Roman" w:hAnsi="Times New Roman" w:cs="Times New Roman"/>
          <w:b/>
          <w:bCs/>
          <w:color w:val="000000" w:themeColor="text1"/>
          <w:kern w:val="0"/>
          <w:lang w:eastAsia="tr-TR"/>
          <w14:ligatures w14:val="none"/>
        </w:rPr>
        <w:t xml:space="preserve">s </w:t>
      </w:r>
      <w:r>
        <w:rPr>
          <w:rFonts w:ascii="Times New Roman" w:eastAsia="Times New Roman" w:hAnsi="Times New Roman" w:cs="Times New Roman"/>
          <w:b/>
          <w:bCs/>
          <w:color w:val="000000" w:themeColor="text1"/>
          <w:kern w:val="0"/>
          <w:lang w:eastAsia="tr-TR"/>
          <w14:ligatures w14:val="none"/>
        </w:rPr>
        <w:t>against</w:t>
      </w:r>
      <w:r w:rsidRPr="00D62CC3">
        <w:rPr>
          <w:rFonts w:ascii="Times New Roman" w:eastAsia="Times New Roman" w:hAnsi="Times New Roman" w:cs="Times New Roman"/>
          <w:b/>
          <w:bCs/>
          <w:color w:val="000000" w:themeColor="text1"/>
          <w:kern w:val="0"/>
          <w:lang w:eastAsia="tr-TR"/>
          <w14:ligatures w14:val="none"/>
        </w:rPr>
        <w:t xml:space="preserve"> </w:t>
      </w:r>
      <w:r>
        <w:rPr>
          <w:rFonts w:ascii="Times New Roman" w:eastAsia="Times New Roman" w:hAnsi="Times New Roman" w:cs="Times New Roman"/>
          <w:b/>
          <w:bCs/>
          <w:color w:val="000000" w:themeColor="text1"/>
          <w:kern w:val="0"/>
          <w:lang w:eastAsia="tr-TR"/>
          <w14:ligatures w14:val="none"/>
        </w:rPr>
        <w:t>d</w:t>
      </w:r>
      <w:r w:rsidRPr="00D62CC3">
        <w:rPr>
          <w:rFonts w:ascii="Times New Roman" w:eastAsia="Times New Roman" w:hAnsi="Times New Roman" w:cs="Times New Roman"/>
          <w:b/>
          <w:bCs/>
          <w:color w:val="000000" w:themeColor="text1"/>
          <w:kern w:val="0"/>
          <w:lang w:eastAsia="tr-TR"/>
          <w14:ligatures w14:val="none"/>
        </w:rPr>
        <w:t xml:space="preserve">ecline and </w:t>
      </w:r>
      <w:r>
        <w:rPr>
          <w:rFonts w:ascii="Times New Roman" w:eastAsia="Times New Roman" w:hAnsi="Times New Roman" w:cs="Times New Roman"/>
          <w:b/>
          <w:bCs/>
          <w:color w:val="000000" w:themeColor="text1"/>
          <w:kern w:val="0"/>
          <w:lang w:eastAsia="tr-TR"/>
          <w14:ligatures w14:val="none"/>
        </w:rPr>
        <w:t>s</w:t>
      </w:r>
      <w:r w:rsidRPr="00D62CC3">
        <w:rPr>
          <w:rFonts w:ascii="Times New Roman" w:eastAsia="Times New Roman" w:hAnsi="Times New Roman" w:cs="Times New Roman"/>
          <w:b/>
          <w:bCs/>
          <w:color w:val="000000" w:themeColor="text1"/>
          <w:kern w:val="0"/>
          <w:lang w:eastAsia="tr-TR"/>
          <w14:ligatures w14:val="none"/>
        </w:rPr>
        <w:t>cience–</w:t>
      </w:r>
      <w:r>
        <w:rPr>
          <w:rFonts w:ascii="Times New Roman" w:eastAsia="Times New Roman" w:hAnsi="Times New Roman" w:cs="Times New Roman"/>
          <w:b/>
          <w:bCs/>
          <w:color w:val="000000" w:themeColor="text1"/>
          <w:kern w:val="0"/>
          <w:lang w:eastAsia="tr-TR"/>
          <w14:ligatures w14:val="none"/>
        </w:rPr>
        <w:t>r</w:t>
      </w:r>
      <w:r w:rsidRPr="00D62CC3">
        <w:rPr>
          <w:rFonts w:ascii="Times New Roman" w:eastAsia="Times New Roman" w:hAnsi="Times New Roman" w:cs="Times New Roman"/>
          <w:b/>
          <w:bCs/>
          <w:color w:val="000000" w:themeColor="text1"/>
          <w:kern w:val="0"/>
          <w:lang w:eastAsia="tr-TR"/>
          <w14:ligatures w14:val="none"/>
        </w:rPr>
        <w:t xml:space="preserve">eligion </w:t>
      </w:r>
      <w:r>
        <w:rPr>
          <w:rFonts w:ascii="Times New Roman" w:eastAsia="Times New Roman" w:hAnsi="Times New Roman" w:cs="Times New Roman"/>
          <w:b/>
          <w:bCs/>
          <w:color w:val="000000" w:themeColor="text1"/>
          <w:kern w:val="0"/>
          <w:lang w:eastAsia="tr-TR"/>
          <w14:ligatures w14:val="none"/>
        </w:rPr>
        <w:t>c</w:t>
      </w:r>
      <w:r w:rsidRPr="00D62CC3">
        <w:rPr>
          <w:rFonts w:ascii="Times New Roman" w:eastAsia="Times New Roman" w:hAnsi="Times New Roman" w:cs="Times New Roman"/>
          <w:b/>
          <w:bCs/>
          <w:color w:val="000000" w:themeColor="text1"/>
          <w:kern w:val="0"/>
          <w:lang w:eastAsia="tr-TR"/>
          <w14:ligatures w14:val="none"/>
        </w:rPr>
        <w:t xml:space="preserve">onflict </w:t>
      </w:r>
      <w:r>
        <w:rPr>
          <w:rFonts w:ascii="Times New Roman" w:eastAsia="Times New Roman" w:hAnsi="Times New Roman" w:cs="Times New Roman"/>
          <w:b/>
          <w:bCs/>
          <w:color w:val="000000" w:themeColor="text1"/>
          <w:kern w:val="0"/>
          <w:lang w:eastAsia="tr-TR"/>
          <w14:ligatures w14:val="none"/>
        </w:rPr>
        <w:t>n</w:t>
      </w:r>
      <w:r w:rsidRPr="00D62CC3">
        <w:rPr>
          <w:rFonts w:ascii="Times New Roman" w:eastAsia="Times New Roman" w:hAnsi="Times New Roman" w:cs="Times New Roman"/>
          <w:b/>
          <w:bCs/>
          <w:color w:val="000000" w:themeColor="text1"/>
          <w:kern w:val="0"/>
          <w:lang w:eastAsia="tr-TR"/>
          <w14:ligatures w14:val="none"/>
        </w:rPr>
        <w:t>arratives</w:t>
      </w:r>
    </w:p>
    <w:p w14:paraId="1D36442F" w14:textId="04D941E1" w:rsidR="00206E86" w:rsidRPr="00D62CC3" w:rsidRDefault="00206E86" w:rsidP="004249A3">
      <w:pPr>
        <w:pStyle w:val="AralkYok"/>
        <w:jc w:val="both"/>
        <w:rPr>
          <w:rFonts w:ascii="Times New Roman" w:hAnsi="Times New Roman" w:cs="Times New Roman"/>
          <w:color w:val="000000" w:themeColor="text1"/>
        </w:rPr>
      </w:pPr>
      <w:r w:rsidRPr="00D62CC3">
        <w:rPr>
          <w:rFonts w:ascii="Times New Roman" w:hAnsi="Times New Roman" w:cs="Times New Roman"/>
          <w:color w:val="000000" w:themeColor="text1"/>
        </w:rPr>
        <w:t xml:space="preserve">In response to claims of Islam’s decline in rationalism, reinforced in the nineteenth century by positivism and the theory of an inherent conflict between religion and science, late Ottoman thinkers articulated a defence of Islam as a civilisational project grounded in rational practice rather than abstract dogma. They did so by foregrounding concrete instances of scientific achievement, cultural exchange, and intellectual transmission, while rejecting attempts to confine Islamic intellectual vitality to a singular </w:t>
      </w:r>
      <w:r>
        <w:rPr>
          <w:rFonts w:ascii="Times New Roman" w:hAnsi="Times New Roman" w:cs="Times New Roman"/>
          <w:color w:val="000000" w:themeColor="text1"/>
          <w:lang w:val="en-US"/>
        </w:rPr>
        <w:t>‘</w:t>
      </w:r>
      <w:r w:rsidRPr="00D62CC3">
        <w:rPr>
          <w:rFonts w:ascii="Times New Roman" w:hAnsi="Times New Roman" w:cs="Times New Roman"/>
          <w:color w:val="000000" w:themeColor="text1"/>
        </w:rPr>
        <w:t>golden age</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centred on</w:t>
      </w:r>
      <w:r>
        <w:rPr>
          <w:rFonts w:ascii="Times New Roman" w:hAnsi="Times New Roman" w:cs="Times New Roman"/>
          <w:color w:val="000000" w:themeColor="text1"/>
        </w:rPr>
        <w:t xml:space="preserve"> the Abbasid</w:t>
      </w:r>
      <w:r w:rsidRPr="00D62CC3">
        <w:rPr>
          <w:rFonts w:ascii="Times New Roman" w:hAnsi="Times New Roman" w:cs="Times New Roman"/>
          <w:color w:val="000000" w:themeColor="text1"/>
        </w:rPr>
        <w:t xml:space="preserve"> Baghdad. In debates over the meaning and historical scope of </w:t>
      </w:r>
      <w:r w:rsidRPr="00D62CC3">
        <w:rPr>
          <w:rFonts w:ascii="Times New Roman" w:eastAsia="Times New Roman" w:hAnsi="Times New Roman" w:cs="Times New Roman"/>
          <w:i/>
          <w:iCs/>
          <w:color w:val="000000" w:themeColor="text1"/>
        </w:rPr>
        <w:t>medeniyet-i İslāmiyye</w:t>
      </w:r>
      <w:r w:rsidRPr="00D62CC3">
        <w:rPr>
          <w:rFonts w:ascii="Times New Roman" w:hAnsi="Times New Roman" w:cs="Times New Roman"/>
          <w:color w:val="000000" w:themeColor="text1"/>
        </w:rPr>
        <w:t xml:space="preserve">, figures such as Kemal and Sami forcefully rejected reductions of Islam to a purely confessional or ethnolinguistic category, insisting instead that it cannot be historically construed as antagonistic to the sciences. To substantiate this claim, they invoked alternative genealogies of Islamic scientific patronage, presenting Islam as a broad civilisational formation, stretching from Central Asia and India to Andalus, that played a decisive role in the development and transmission of </w:t>
      </w:r>
      <w:r>
        <w:rPr>
          <w:rFonts w:ascii="Times New Roman" w:hAnsi="Times New Roman" w:cs="Times New Roman"/>
          <w:color w:val="000000" w:themeColor="text1"/>
        </w:rPr>
        <w:t xml:space="preserve">European </w:t>
      </w:r>
      <w:r w:rsidRPr="00D62CC3">
        <w:rPr>
          <w:rFonts w:ascii="Times New Roman" w:hAnsi="Times New Roman" w:cs="Times New Roman"/>
          <w:color w:val="000000" w:themeColor="text1"/>
        </w:rPr>
        <w:t xml:space="preserve">scientific knowledge. </w:t>
      </w:r>
    </w:p>
    <w:p w14:paraId="45E282F6" w14:textId="283D0015" w:rsidR="00206E86" w:rsidRPr="00AB7526" w:rsidRDefault="00206E86" w:rsidP="00AB7526">
      <w:pPr>
        <w:pStyle w:val="AralkYok"/>
        <w:ind w:firstLine="708"/>
        <w:jc w:val="both"/>
        <w:rPr>
          <w:rFonts w:ascii="Times New Roman" w:hAnsi="Times New Roman" w:cs="Times New Roman"/>
        </w:rPr>
      </w:pPr>
      <w:r w:rsidRPr="00AB7526">
        <w:rPr>
          <w:rFonts w:ascii="Times New Roman" w:hAnsi="Times New Roman" w:cs="Times New Roman"/>
        </w:rPr>
        <w:t xml:space="preserve">Such late nineteenth-century reflections on Islamic civilisation and the Ottoman Empire’s place within a universal history of knowledge unfolded in tandem with the growing prominence of Draper’s ‘conflict thesis’, which posited a perennial antagonism between science and religion. Building on Orientalist stereotypes that opposed Ghazālī as a paradigmatic anti-rationalist to Ibn Rushd as a proto-modern scientific rationalist, the </w:t>
      </w:r>
      <w:r w:rsidRPr="00AB7526">
        <w:rPr>
          <w:rFonts w:ascii="Times New Roman" w:hAnsi="Times New Roman" w:cs="Times New Roman"/>
          <w:i/>
          <w:iCs/>
        </w:rPr>
        <w:t>Tahāfut</w:t>
      </w:r>
      <w:r w:rsidRPr="00AB7526">
        <w:rPr>
          <w:rFonts w:ascii="Times New Roman" w:hAnsi="Times New Roman" w:cs="Times New Roman"/>
        </w:rPr>
        <w:t xml:space="preserve"> debate was once again elevated as the emblematic site through which narratives of Islamic scientific decline were articulated. In response, Ottoman figures such as Kazım, Suavi, and İzmirli undertook close, textually grounded re-examinations of the </w:t>
      </w:r>
      <w:r w:rsidRPr="00AB7526">
        <w:rPr>
          <w:rFonts w:ascii="Times New Roman" w:hAnsi="Times New Roman" w:cs="Times New Roman"/>
          <w:i/>
          <w:iCs/>
        </w:rPr>
        <w:t>Tahāfut</w:t>
      </w:r>
      <w:r w:rsidRPr="00AB7526">
        <w:rPr>
          <w:rFonts w:ascii="Times New Roman" w:hAnsi="Times New Roman" w:cs="Times New Roman"/>
        </w:rPr>
        <w:t>s, arguing that a debate long construed as paradigmatic of conflict had been fundamentally misread through Orientalist presuppositions and that significant religious affinities could nonetheless obtain between figures conventionally cast as opponents.</w:t>
      </w:r>
      <w:r w:rsidRPr="00AB7526">
        <w:rPr>
          <w:rStyle w:val="SonNotBavurusu"/>
          <w:rFonts w:ascii="Times New Roman" w:eastAsia="Times New Roman" w:hAnsi="Times New Roman" w:cs="Times New Roman"/>
          <w:color w:val="000000" w:themeColor="text1"/>
          <w:kern w:val="0"/>
          <w:lang w:eastAsia="tr-TR"/>
          <w14:ligatures w14:val="none"/>
        </w:rPr>
        <w:endnoteReference w:id="98"/>
      </w:r>
      <w:r w:rsidRPr="00AB7526">
        <w:rPr>
          <w:rFonts w:ascii="Times New Roman" w:hAnsi="Times New Roman" w:cs="Times New Roman"/>
        </w:rPr>
        <w:t xml:space="preserve"> Read instead as a complex internal negotiation over the methods, aims, and limits of philosophical inquiry, the </w:t>
      </w:r>
      <w:r w:rsidRPr="00AB7526">
        <w:rPr>
          <w:rFonts w:ascii="Times New Roman" w:hAnsi="Times New Roman" w:cs="Times New Roman"/>
          <w:i/>
          <w:iCs/>
        </w:rPr>
        <w:t>Tahāfut</w:t>
      </w:r>
      <w:r>
        <w:rPr>
          <w:rFonts w:ascii="Times New Roman" w:hAnsi="Times New Roman" w:cs="Times New Roman"/>
        </w:rPr>
        <w:t xml:space="preserve">s </w:t>
      </w:r>
      <w:r w:rsidRPr="00AB7526">
        <w:rPr>
          <w:rFonts w:ascii="Times New Roman" w:hAnsi="Times New Roman" w:cs="Times New Roman"/>
        </w:rPr>
        <w:t>revealed, in their view, the deep congruence and integration of philosophy and theology within Islamic science. On this account, Ghazālī and Ibn Rushd ultimately shared core epistemic commitments despite their divergent methodological registers: Ghazālī’s legacy lay in integrating the rigor of philosophical methods into the religious sciences, while Ibn Rushd, as a jurist committed to the truth of the Sharīʿa, sought to demonstrate the fundamental, and indeed mutually necessary, compatibility of philosophical inquiry and revealed law.</w:t>
      </w:r>
    </w:p>
    <w:p w14:paraId="5984D9AF" w14:textId="513F2B4D" w:rsidR="00206E86" w:rsidRPr="00D62CC3" w:rsidRDefault="00206E86" w:rsidP="004249A3">
      <w:pPr>
        <w:pStyle w:val="AralkYok"/>
        <w:ind w:firstLine="708"/>
        <w:jc w:val="both"/>
        <w:rPr>
          <w:rFonts w:ascii="Times New Roman" w:hAnsi="Times New Roman" w:cs="Times New Roman"/>
          <w:color w:val="000000" w:themeColor="text1"/>
        </w:rPr>
      </w:pPr>
      <w:r w:rsidRPr="00D62CC3">
        <w:rPr>
          <w:rFonts w:ascii="Times New Roman" w:eastAsia="Times New Roman" w:hAnsi="Times New Roman" w:cs="Times New Roman"/>
          <w:color w:val="000000" w:themeColor="text1"/>
          <w:kern w:val="0"/>
          <w:lang w:eastAsia="tr-TR"/>
          <w14:ligatures w14:val="none"/>
        </w:rPr>
        <w:lastRenderedPageBreak/>
        <w:t xml:space="preserve">Building on this shared reading of the </w:t>
      </w:r>
      <w:r>
        <w:rPr>
          <w:rFonts w:ascii="Times New Roman" w:eastAsia="Times New Roman" w:hAnsi="Times New Roman" w:cs="Times New Roman"/>
          <w:color w:val="000000" w:themeColor="text1"/>
          <w:kern w:val="0"/>
          <w:lang w:eastAsia="tr-TR"/>
          <w14:ligatures w14:val="none"/>
        </w:rPr>
        <w:t>debate,</w:t>
      </w:r>
      <w:r w:rsidRPr="00D62CC3">
        <w:rPr>
          <w:rFonts w:ascii="Times New Roman" w:eastAsia="Times New Roman" w:hAnsi="Times New Roman" w:cs="Times New Roman"/>
          <w:color w:val="000000" w:themeColor="text1"/>
          <w:kern w:val="0"/>
          <w:lang w:eastAsia="tr-TR"/>
          <w14:ligatures w14:val="none"/>
        </w:rPr>
        <w:t xml:space="preserve"> İzmirli interprets the Ottoman </w:t>
      </w:r>
      <w:r w:rsidRPr="00D62CC3">
        <w:rPr>
          <w:rFonts w:ascii="Times New Roman" w:eastAsia="Times New Roman" w:hAnsi="Times New Roman" w:cs="Times New Roman"/>
          <w:i/>
          <w:iCs/>
          <w:color w:val="000000" w:themeColor="text1"/>
          <w:kern w:val="0"/>
          <w:lang w:eastAsia="tr-TR"/>
          <w14:ligatures w14:val="none"/>
        </w:rPr>
        <w:t>Tahāfuts</w:t>
      </w:r>
      <w:r w:rsidRPr="00D62CC3">
        <w:rPr>
          <w:rFonts w:ascii="Times New Roman" w:eastAsia="Times New Roman" w:hAnsi="Times New Roman" w:cs="Times New Roman"/>
          <w:color w:val="000000" w:themeColor="text1"/>
          <w:kern w:val="0"/>
          <w:lang w:eastAsia="tr-TR"/>
          <w14:ligatures w14:val="none"/>
        </w:rPr>
        <w:t xml:space="preserve"> commissioned under Sultan Meḥmed II as decisive evidence that the epistemological dialectic between philosophy and theology had been effectively resolved. Far from marking an intellectual terminus, these adjudications signaled the maturation of postclassical sciences as a high point of scholarly production in the Islamicate world. İzmirli’s expansive surveys thus move beyond Ghazālī and Arabic-language philosophy, encompassing postclassical theologians and Sufi thinkers, an interpretive framework that would later inform early Republican historiography of science.</w:t>
      </w:r>
      <w:r w:rsidRPr="00D62CC3">
        <w:rPr>
          <w:rStyle w:val="SonNotBavurusu"/>
          <w:rFonts w:ascii="Times New Roman" w:hAnsi="Times New Roman" w:cs="Times New Roman"/>
          <w:color w:val="000000" w:themeColor="text1"/>
        </w:rPr>
        <w:endnoteReference w:id="99"/>
      </w:r>
      <w:r w:rsidRPr="00D62CC3">
        <w:rPr>
          <w:rFonts w:ascii="Times New Roman" w:eastAsia="Times New Roman" w:hAnsi="Times New Roman" w:cs="Times New Roman"/>
          <w:color w:val="000000" w:themeColor="text1"/>
          <w:kern w:val="0"/>
          <w:lang w:eastAsia="tr-TR"/>
          <w14:ligatures w14:val="none"/>
        </w:rPr>
        <w:t xml:space="preserve"> </w:t>
      </w:r>
      <w:r w:rsidRPr="00D62CC3">
        <w:rPr>
          <w:rFonts w:ascii="Times New Roman" w:hAnsi="Times New Roman" w:cs="Times New Roman"/>
          <w:color w:val="000000" w:themeColor="text1"/>
        </w:rPr>
        <w:t>More broadly, this perspective also parallels recent Renaissance historiography that has challenged the assumption that Platonism and Aristotelianism constituted mutually exclusive intellectual traditions in the early modern world. Likewise, the Ottoman reception of Ghazālī and Ibn Rushd is better understood not as a doctrinal synthesis that erased disagreement, but as the historical construction of a shared epistemic framework within which distinct traditions could function as complementary authorities while retaining their substantive differences.</w:t>
      </w:r>
      <w:r w:rsidRPr="00D62CC3">
        <w:rPr>
          <w:rStyle w:val="SonNotBavurusu"/>
          <w:rFonts w:ascii="Times New Roman" w:hAnsi="Times New Roman" w:cs="Times New Roman"/>
          <w:color w:val="000000" w:themeColor="text1"/>
        </w:rPr>
        <w:endnoteReference w:id="100"/>
      </w:r>
    </w:p>
    <w:p w14:paraId="0771FEA1" w14:textId="79AAAF04" w:rsidR="00C52051" w:rsidRPr="00D62CC3" w:rsidRDefault="00206E86" w:rsidP="004249A3">
      <w:pPr>
        <w:pStyle w:val="AralkYok"/>
        <w:ind w:firstLine="708"/>
        <w:jc w:val="both"/>
        <w:rPr>
          <w:rFonts w:ascii="Times New Roman" w:hAnsi="Times New Roman" w:cs="Times New Roman"/>
          <w:color w:val="000000" w:themeColor="text1"/>
        </w:rPr>
      </w:pPr>
      <w:r>
        <w:rPr>
          <w:rFonts w:ascii="Times New Roman" w:hAnsi="Times New Roman" w:cs="Times New Roman"/>
          <w:color w:val="000000" w:themeColor="text1"/>
        </w:rPr>
        <w:t>A</w:t>
      </w:r>
      <w:r w:rsidRPr="00D62CC3">
        <w:rPr>
          <w:rFonts w:ascii="Times New Roman" w:hAnsi="Times New Roman" w:cs="Times New Roman"/>
          <w:color w:val="000000" w:themeColor="text1"/>
        </w:rPr>
        <w:t xml:space="preserve">rticulated against the science–religion binary, </w:t>
      </w:r>
      <w:r>
        <w:rPr>
          <w:rFonts w:ascii="Times New Roman" w:hAnsi="Times New Roman" w:cs="Times New Roman"/>
          <w:color w:val="000000" w:themeColor="text1"/>
        </w:rPr>
        <w:t>t</w:t>
      </w:r>
      <w:r w:rsidRPr="00D62CC3">
        <w:rPr>
          <w:rFonts w:ascii="Times New Roman" w:hAnsi="Times New Roman" w:cs="Times New Roman"/>
          <w:color w:val="000000" w:themeColor="text1"/>
        </w:rPr>
        <w:t>he Ottoman congruence model, functioned as an epistemological intervention. Strikingly, recent scholarship has arrived, through different methodological pathways, at conclusions that closely parallel those advanced by Midhat, Kazım, Suavi, and İzmirli, particularly in reassessing Ghazālī’s appropriation of philosophical concepts and methods. Rather than undermining philosophical inquiry, Ghazālī is now widely understood in the secondary literature to have played a crucial role in transmitting and integrating Avicennan terminology and methods into the religious sciences.</w:t>
      </w:r>
      <w:r w:rsidRPr="00D62CC3">
        <w:rPr>
          <w:rStyle w:val="SonNotBavurusu"/>
          <w:rFonts w:ascii="Times New Roman" w:hAnsi="Times New Roman" w:cs="Times New Roman"/>
          <w:bCs/>
          <w:color w:val="000000" w:themeColor="text1"/>
        </w:rPr>
        <w:endnoteReference w:id="101"/>
      </w:r>
      <w:r w:rsidRPr="00D62CC3">
        <w:rPr>
          <w:rFonts w:ascii="Times New Roman" w:hAnsi="Times New Roman" w:cs="Times New Roman"/>
          <w:color w:val="000000" w:themeColor="text1"/>
        </w:rPr>
        <w:t xml:space="preserve"> Viewed through recent work in the history of science and knowledge, this congruence may be understood as the product of a historically specific ordering of knowledge that rendered Aristotelian philosophy </w:t>
      </w:r>
      <w:r>
        <w:rPr>
          <w:rFonts w:ascii="Times New Roman" w:hAnsi="Times New Roman" w:cs="Times New Roman"/>
          <w:color w:val="000000" w:themeColor="text1"/>
        </w:rPr>
        <w:t xml:space="preserve">and Muslim </w:t>
      </w:r>
      <w:r w:rsidRPr="00D62CC3">
        <w:rPr>
          <w:rFonts w:ascii="Times New Roman" w:hAnsi="Times New Roman" w:cs="Times New Roman"/>
          <w:color w:val="000000" w:themeColor="text1"/>
        </w:rPr>
        <w:t>theology methodologically commensurable within a shared scholarly culture.</w:t>
      </w:r>
      <w:r w:rsidRPr="00D62CC3">
        <w:rPr>
          <w:rStyle w:val="SonNotBavurusu"/>
          <w:rFonts w:ascii="Times New Roman" w:hAnsi="Times New Roman" w:cs="Times New Roman"/>
          <w:color w:val="000000" w:themeColor="text1"/>
        </w:rPr>
        <w:endnoteReference w:id="102"/>
      </w:r>
      <w:r w:rsidRPr="00D62CC3">
        <w:rPr>
          <w:rFonts w:ascii="Times New Roman" w:hAnsi="Times New Roman" w:cs="Times New Roman"/>
          <w:color w:val="000000" w:themeColor="text1"/>
        </w:rPr>
        <w:t xml:space="preserve"> Ernan McMullin’s notion of </w:t>
      </w:r>
      <w:r>
        <w:rPr>
          <w:rFonts w:ascii="Times New Roman" w:hAnsi="Times New Roman" w:cs="Times New Roman"/>
          <w:color w:val="000000" w:themeColor="text1"/>
        </w:rPr>
        <w:t>‘</w:t>
      </w:r>
      <w:r w:rsidRPr="00D62CC3">
        <w:rPr>
          <w:rFonts w:ascii="Times New Roman" w:hAnsi="Times New Roman" w:cs="Times New Roman"/>
          <w:color w:val="000000" w:themeColor="text1"/>
        </w:rPr>
        <w:t>consonance</w:t>
      </w:r>
      <w:r>
        <w:rPr>
          <w:rFonts w:ascii="Times New Roman" w:hAnsi="Times New Roman" w:cs="Times New Roman"/>
          <w:color w:val="000000" w:themeColor="text1"/>
        </w:rPr>
        <w:t>’</w:t>
      </w:r>
      <w:r w:rsidRPr="00D62CC3">
        <w:rPr>
          <w:rFonts w:ascii="Times New Roman" w:hAnsi="Times New Roman" w:cs="Times New Roman"/>
          <w:color w:val="000000" w:themeColor="text1"/>
        </w:rPr>
        <w:t xml:space="preserve"> offers a limited modern analogy: domains with distinct subject matters may remain mutually coherent without becoming identical or collapsing into conflict. Yet, as history demonstrates, such consonance is never fixed but remains historically contingent and subject to continual renegotiation.</w:t>
      </w:r>
      <w:r w:rsidRPr="00D62CC3">
        <w:rPr>
          <w:rStyle w:val="SonNotBavurusu"/>
          <w:rFonts w:ascii="Times New Roman" w:hAnsi="Times New Roman" w:cs="Times New Roman"/>
          <w:color w:val="000000" w:themeColor="text1"/>
        </w:rPr>
        <w:endnoteReference w:id="103"/>
      </w:r>
      <w:r w:rsidRPr="00D62CC3">
        <w:rPr>
          <w:rFonts w:ascii="Times New Roman" w:hAnsi="Times New Roman" w:cs="Times New Roman"/>
          <w:color w:val="000000" w:themeColor="text1"/>
        </w:rPr>
        <w:t xml:space="preserve"> </w:t>
      </w:r>
      <w:r w:rsidR="00C1740D" w:rsidRPr="00D62CC3">
        <w:rPr>
          <w:rFonts w:ascii="Times New Roman" w:hAnsi="Times New Roman" w:cs="Times New Roman"/>
          <w:color w:val="000000" w:themeColor="text1"/>
        </w:rPr>
        <w:t>Similarly, Ottoman interpreters presented Ghazālī and Ibn Rushd, and, through them, theology and philosophy, as participants in a differentiated intellectual tradition capable of sustaining methodological compatibility, doctrinal contestation, and synthetic accommodation.</w:t>
      </w:r>
    </w:p>
    <w:p w14:paraId="48C9CA5F" w14:textId="2FCD6F2A" w:rsidR="00441AF6" w:rsidRDefault="00BE3EE7" w:rsidP="004249A3">
      <w:pPr>
        <w:pStyle w:val="AralkYok"/>
        <w:ind w:firstLine="708"/>
        <w:jc w:val="both"/>
        <w:rPr>
          <w:rFonts w:ascii="Times New Roman" w:hAnsi="Times New Roman" w:cs="Times New Roman"/>
          <w:color w:val="000000" w:themeColor="text1"/>
        </w:rPr>
      </w:pPr>
      <w:r w:rsidRPr="00D62CC3">
        <w:rPr>
          <w:rFonts w:ascii="Times New Roman" w:eastAsia="Times New Roman" w:hAnsi="Times New Roman" w:cs="Times New Roman"/>
          <w:color w:val="000000" w:themeColor="text1"/>
          <w:kern w:val="0"/>
          <w:lang w:eastAsia="tr-TR"/>
          <w14:ligatures w14:val="none"/>
        </w:rPr>
        <w:t xml:space="preserve">By </w:t>
      </w:r>
      <w:r w:rsidR="00160C00" w:rsidRPr="00D62CC3">
        <w:rPr>
          <w:rFonts w:ascii="Times New Roman" w:eastAsia="Times New Roman" w:hAnsi="Times New Roman" w:cs="Times New Roman"/>
          <w:color w:val="000000" w:themeColor="text1"/>
          <w:kern w:val="0"/>
          <w:lang w:eastAsia="tr-TR"/>
          <w14:ligatures w14:val="none"/>
        </w:rPr>
        <w:t xml:space="preserve">challenging </w:t>
      </w:r>
      <w:r w:rsidRPr="00D62CC3">
        <w:rPr>
          <w:rFonts w:ascii="Times New Roman" w:eastAsia="Times New Roman" w:hAnsi="Times New Roman" w:cs="Times New Roman"/>
          <w:color w:val="000000" w:themeColor="text1"/>
          <w:kern w:val="0"/>
          <w:lang w:eastAsia="tr-TR"/>
          <w14:ligatures w14:val="none"/>
        </w:rPr>
        <w:t xml:space="preserve">the premise of inherent conflict, late Ottoman thinkers sought to legitimate Islam as a </w:t>
      </w:r>
      <w:r w:rsidR="00525618" w:rsidRPr="00D62CC3">
        <w:rPr>
          <w:rFonts w:ascii="Times New Roman" w:eastAsia="Times New Roman" w:hAnsi="Times New Roman" w:cs="Times New Roman"/>
          <w:color w:val="000000" w:themeColor="text1"/>
          <w:kern w:val="0"/>
          <w:lang w:eastAsia="tr-TR"/>
          <w14:ligatures w14:val="none"/>
        </w:rPr>
        <w:t>civilisation</w:t>
      </w:r>
      <w:r w:rsidRPr="00D62CC3">
        <w:rPr>
          <w:rFonts w:ascii="Times New Roman" w:eastAsia="Times New Roman" w:hAnsi="Times New Roman" w:cs="Times New Roman"/>
          <w:color w:val="000000" w:themeColor="text1"/>
          <w:kern w:val="0"/>
          <w:lang w:eastAsia="tr-TR"/>
          <w14:ligatures w14:val="none"/>
        </w:rPr>
        <w:t xml:space="preserve"> capable of sustained rational inquiry at the very moment of European modern science’s ascendancy, while simultaneously consolidating an Ottoman self-conception as an authoritative interlocutor for the Islamic world within global intellectual history. In advancing the convergence of Ghazālī and Ibn Rushd, they pursued a broader project of educational and religious reform in which rational and revealed sciences were understood not merely as </w:t>
      </w:r>
      <w:r w:rsidR="009E526F">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allies</w:t>
      </w:r>
      <w:r w:rsidR="009E526F">
        <w:rPr>
          <w:rFonts w:ascii="Times New Roman" w:eastAsia="Times New Roman" w:hAnsi="Times New Roman" w:cs="Times New Roman"/>
          <w:color w:val="000000" w:themeColor="text1"/>
          <w:kern w:val="0"/>
          <w:lang w:val="en-US" w:eastAsia="tr-TR"/>
          <w14:ligatures w14:val="none"/>
        </w:rPr>
        <w:t>’</w:t>
      </w:r>
      <w:r w:rsidRPr="00D62CC3">
        <w:rPr>
          <w:rFonts w:ascii="Times New Roman" w:eastAsia="Times New Roman" w:hAnsi="Times New Roman" w:cs="Times New Roman"/>
          <w:color w:val="000000" w:themeColor="text1"/>
          <w:kern w:val="0"/>
          <w:lang w:eastAsia="tr-TR"/>
          <w14:ligatures w14:val="none"/>
        </w:rPr>
        <w:t xml:space="preserve"> but as mutually constitutive modes of knowledge. Recasting the </w:t>
      </w:r>
      <w:r w:rsidRPr="00D62CC3">
        <w:rPr>
          <w:rFonts w:ascii="Times New Roman" w:eastAsia="Times New Roman" w:hAnsi="Times New Roman" w:cs="Times New Roman"/>
          <w:i/>
          <w:iCs/>
          <w:color w:val="000000" w:themeColor="text1"/>
          <w:kern w:val="0"/>
          <w:lang w:eastAsia="tr-TR"/>
          <w14:ligatures w14:val="none"/>
        </w:rPr>
        <w:t>Tahāfut</w:t>
      </w:r>
      <w:r w:rsidRPr="00D62CC3">
        <w:rPr>
          <w:rFonts w:ascii="Times New Roman" w:eastAsia="Times New Roman" w:hAnsi="Times New Roman" w:cs="Times New Roman"/>
          <w:color w:val="000000" w:themeColor="text1"/>
          <w:kern w:val="0"/>
          <w:lang w:eastAsia="tr-TR"/>
          <w14:ligatures w14:val="none"/>
        </w:rPr>
        <w:t xml:space="preserve"> as a culminating moment of epistemic compatibility rather than rupture, they transformed it into an Ottoman allegory of contemporary concerns: a cornerstone in refutations of decline and conflict narratives and a conceptual framework for incorporating European modern sciences into Ottoman education without forfeiting religio</w:t>
      </w:r>
      <w:r w:rsidR="005B613E">
        <w:rPr>
          <w:rFonts w:ascii="Times New Roman" w:eastAsia="Times New Roman" w:hAnsi="Times New Roman" w:cs="Times New Roman"/>
          <w:color w:val="000000" w:themeColor="text1"/>
          <w:kern w:val="0"/>
          <w:lang w:eastAsia="tr-TR"/>
          <w14:ligatures w14:val="none"/>
        </w:rPr>
        <w:t>-</w:t>
      </w:r>
      <w:r w:rsidRPr="00D62CC3">
        <w:rPr>
          <w:rFonts w:ascii="Times New Roman" w:eastAsia="Times New Roman" w:hAnsi="Times New Roman" w:cs="Times New Roman"/>
          <w:color w:val="000000" w:themeColor="text1"/>
          <w:kern w:val="0"/>
          <w:lang w:eastAsia="tr-TR"/>
          <w14:ligatures w14:val="none"/>
        </w:rPr>
        <w:t>cultural identity</w:t>
      </w:r>
      <w:r w:rsidR="00755CB9" w:rsidRPr="00D62CC3">
        <w:rPr>
          <w:rFonts w:ascii="Times New Roman" w:eastAsia="Times New Roman" w:hAnsi="Times New Roman" w:cs="Times New Roman"/>
          <w:color w:val="000000" w:themeColor="text1"/>
          <w:kern w:val="0"/>
          <w:lang w:eastAsia="tr-TR"/>
          <w14:ligatures w14:val="none"/>
        </w:rPr>
        <w:t>.</w:t>
      </w:r>
      <w:r w:rsidR="00755CB9" w:rsidRPr="00D62CC3">
        <w:rPr>
          <w:rFonts w:ascii="Times New Roman" w:hAnsi="Times New Roman" w:cs="Times New Roman"/>
          <w:color w:val="000000" w:themeColor="text1"/>
        </w:rPr>
        <w:t xml:space="preserve"> In so doing, they not only affirmed Ottoman scholarship as capable of sustaining a productive postclassical synthesis of </w:t>
      </w:r>
      <w:r w:rsidR="005B613E">
        <w:rPr>
          <w:rFonts w:ascii="Times New Roman" w:hAnsi="Times New Roman" w:cs="Times New Roman"/>
          <w:color w:val="000000" w:themeColor="text1"/>
        </w:rPr>
        <w:t xml:space="preserve">Avicennan </w:t>
      </w:r>
      <w:r w:rsidR="00755CB9" w:rsidRPr="00D62CC3">
        <w:rPr>
          <w:rFonts w:ascii="Times New Roman" w:hAnsi="Times New Roman" w:cs="Times New Roman"/>
          <w:color w:val="000000" w:themeColor="text1"/>
        </w:rPr>
        <w:t>philosophy</w:t>
      </w:r>
      <w:r w:rsidR="005B613E">
        <w:rPr>
          <w:rFonts w:ascii="Times New Roman" w:hAnsi="Times New Roman" w:cs="Times New Roman"/>
          <w:color w:val="000000" w:themeColor="text1"/>
        </w:rPr>
        <w:t>,</w:t>
      </w:r>
      <w:r w:rsidR="00755CB9" w:rsidRPr="00D62CC3">
        <w:rPr>
          <w:rFonts w:ascii="Times New Roman" w:hAnsi="Times New Roman" w:cs="Times New Roman"/>
          <w:color w:val="000000" w:themeColor="text1"/>
        </w:rPr>
        <w:t xml:space="preserve"> </w:t>
      </w:r>
      <w:r w:rsidR="005B613E" w:rsidRPr="005B613E">
        <w:rPr>
          <w:rFonts w:ascii="Times New Roman" w:hAnsi="Times New Roman" w:cs="Times New Roman"/>
          <w:i/>
          <w:iCs/>
          <w:color w:val="000000" w:themeColor="text1"/>
        </w:rPr>
        <w:t>kal</w:t>
      </w:r>
      <w:r w:rsidR="005B613E" w:rsidRPr="00D62CC3">
        <w:rPr>
          <w:rFonts w:ascii="Times New Roman" w:eastAsia="Times New Roman" w:hAnsi="Times New Roman" w:cs="Times New Roman"/>
          <w:i/>
          <w:iCs/>
          <w:color w:val="000000" w:themeColor="text1"/>
          <w:kern w:val="0"/>
          <w:lang w:eastAsia="tr-TR"/>
          <w14:ligatures w14:val="none"/>
        </w:rPr>
        <w:t>ā</w:t>
      </w:r>
      <w:r w:rsidR="005B613E" w:rsidRPr="005B613E">
        <w:rPr>
          <w:rFonts w:ascii="Times New Roman" w:hAnsi="Times New Roman" w:cs="Times New Roman"/>
          <w:i/>
          <w:iCs/>
          <w:color w:val="000000" w:themeColor="text1"/>
        </w:rPr>
        <w:t>m</w:t>
      </w:r>
      <w:r w:rsidR="005B613E">
        <w:rPr>
          <w:rFonts w:ascii="Times New Roman" w:hAnsi="Times New Roman" w:cs="Times New Roman"/>
          <w:color w:val="000000" w:themeColor="text1"/>
        </w:rPr>
        <w:t>, and Sufism</w:t>
      </w:r>
      <w:r w:rsidR="00755CB9" w:rsidRPr="00D62CC3">
        <w:rPr>
          <w:rFonts w:ascii="Times New Roman" w:hAnsi="Times New Roman" w:cs="Times New Roman"/>
          <w:color w:val="000000" w:themeColor="text1"/>
        </w:rPr>
        <w:t>, but also positioned the Ottoman Empire as a legitimate participant in universal narratives of science, claiming authority in the moderni</w:t>
      </w:r>
      <w:r w:rsidR="00D71CA8" w:rsidRPr="00D62CC3">
        <w:rPr>
          <w:rFonts w:ascii="Times New Roman" w:hAnsi="Times New Roman" w:cs="Times New Roman"/>
          <w:color w:val="000000" w:themeColor="text1"/>
        </w:rPr>
        <w:t>s</w:t>
      </w:r>
      <w:r w:rsidR="00755CB9" w:rsidRPr="00D62CC3">
        <w:rPr>
          <w:rFonts w:ascii="Times New Roman" w:hAnsi="Times New Roman" w:cs="Times New Roman"/>
          <w:color w:val="000000" w:themeColor="text1"/>
        </w:rPr>
        <w:t xml:space="preserve">ation of Islamic </w:t>
      </w:r>
      <w:r w:rsidR="00525618" w:rsidRPr="00D62CC3">
        <w:rPr>
          <w:rFonts w:ascii="Times New Roman" w:hAnsi="Times New Roman" w:cs="Times New Roman"/>
          <w:color w:val="000000" w:themeColor="text1"/>
        </w:rPr>
        <w:t>civilisation</w:t>
      </w:r>
      <w:r w:rsidR="00755CB9" w:rsidRPr="00D62CC3">
        <w:rPr>
          <w:rFonts w:ascii="Times New Roman" w:hAnsi="Times New Roman" w:cs="Times New Roman"/>
          <w:color w:val="000000" w:themeColor="text1"/>
        </w:rPr>
        <w:t>.</w:t>
      </w:r>
    </w:p>
    <w:p w14:paraId="55F3B076" w14:textId="77777777" w:rsidR="004249A3" w:rsidRPr="00D62CC3" w:rsidRDefault="004249A3" w:rsidP="004249A3">
      <w:pPr>
        <w:pStyle w:val="AralkYok"/>
        <w:ind w:firstLine="708"/>
        <w:jc w:val="both"/>
        <w:rPr>
          <w:rFonts w:ascii="Times New Roman" w:eastAsia="Times New Roman" w:hAnsi="Times New Roman" w:cs="Times New Roman"/>
          <w:color w:val="000000" w:themeColor="text1"/>
          <w:kern w:val="0"/>
          <w:lang w:eastAsia="tr-TR"/>
          <w14:ligatures w14:val="none"/>
        </w:rPr>
      </w:pPr>
    </w:p>
    <w:p w14:paraId="308C6E87" w14:textId="77777777" w:rsidR="00441AF6" w:rsidRPr="00D62CC3" w:rsidRDefault="00441AF6" w:rsidP="004249A3">
      <w:pPr>
        <w:pStyle w:val="AralkYok"/>
        <w:rPr>
          <w:rFonts w:ascii="Times New Roman" w:hAnsi="Times New Roman" w:cs="Times New Roman"/>
          <w:b/>
          <w:bCs/>
          <w:color w:val="000000" w:themeColor="text1"/>
          <w:sz w:val="22"/>
          <w:szCs w:val="22"/>
        </w:rPr>
      </w:pPr>
      <w:r w:rsidRPr="00D62CC3">
        <w:rPr>
          <w:rFonts w:ascii="Times New Roman" w:hAnsi="Times New Roman" w:cs="Times New Roman"/>
          <w:b/>
          <w:bCs/>
          <w:color w:val="000000" w:themeColor="text1"/>
          <w:sz w:val="22"/>
          <w:szCs w:val="22"/>
        </w:rPr>
        <w:t>Acknowledgment</w:t>
      </w:r>
    </w:p>
    <w:p w14:paraId="16790843" w14:textId="1F205BB1" w:rsidR="00441AF6" w:rsidRPr="00D62CC3" w:rsidRDefault="00441AF6" w:rsidP="004249A3">
      <w:pPr>
        <w:pStyle w:val="AralkYok"/>
        <w:jc w:val="both"/>
        <w:rPr>
          <w:rFonts w:ascii="Times New Roman" w:hAnsi="Times New Roman" w:cs="Times New Roman"/>
          <w:color w:val="000000" w:themeColor="text1"/>
          <w:sz w:val="22"/>
          <w:szCs w:val="22"/>
        </w:rPr>
      </w:pPr>
      <w:r w:rsidRPr="00D62CC3">
        <w:rPr>
          <w:rFonts w:ascii="Times New Roman" w:hAnsi="Times New Roman" w:cs="Times New Roman"/>
          <w:color w:val="000000" w:themeColor="text1"/>
          <w:sz w:val="22"/>
          <w:szCs w:val="22"/>
        </w:rPr>
        <w:t>The current study conducted within the framework of the project “In Defense of Philosophy: Verifying Causes, Nature, and the Universe in Early Modern Ottoman Scholarship</w:t>
      </w:r>
      <w:r w:rsidR="00476580">
        <w:rPr>
          <w:rFonts w:ascii="Times New Roman" w:hAnsi="Times New Roman" w:cs="Times New Roman"/>
          <w:color w:val="000000" w:themeColor="text1"/>
          <w:sz w:val="22"/>
          <w:szCs w:val="22"/>
        </w:rPr>
        <w:t>”,</w:t>
      </w:r>
      <w:r w:rsidRPr="00D62CC3">
        <w:rPr>
          <w:rFonts w:ascii="Times New Roman" w:hAnsi="Times New Roman" w:cs="Times New Roman"/>
          <w:color w:val="000000" w:themeColor="text1"/>
          <w:sz w:val="22"/>
          <w:szCs w:val="22"/>
        </w:rPr>
        <w:t xml:space="preserve"> CUP: H73C24001800001 - Project code: SOE2024_0000123, funded by the European Union - NextGenerationEU - NATIONAL RECOVERY AND RESILIENCE PLAN (PNRR) - MISSION 4 COMPONENT 2, INVESTMENT NO. 1.2 “Funding of projects submitted by young researchers</w:t>
      </w:r>
      <w:r w:rsidR="00476580">
        <w:rPr>
          <w:rFonts w:ascii="Times New Roman" w:hAnsi="Times New Roman" w:cs="Times New Roman"/>
          <w:color w:val="000000" w:themeColor="text1"/>
          <w:sz w:val="22"/>
          <w:szCs w:val="22"/>
        </w:rPr>
        <w:t>”.</w:t>
      </w:r>
      <w:r w:rsidRPr="00D62CC3">
        <w:rPr>
          <w:rFonts w:ascii="Times New Roman" w:hAnsi="Times New Roman" w:cs="Times New Roman"/>
          <w:color w:val="000000" w:themeColor="text1"/>
          <w:sz w:val="22"/>
          <w:szCs w:val="22"/>
        </w:rPr>
        <w:t xml:space="preserve"> The views and opinions expressed are, however, solely those of the authors and do not necessarily reflect those of the European Union or the European Commission. Neither the European </w:t>
      </w:r>
      <w:r w:rsidRPr="00D62CC3">
        <w:rPr>
          <w:rFonts w:ascii="Times New Roman" w:hAnsi="Times New Roman" w:cs="Times New Roman"/>
          <w:color w:val="000000" w:themeColor="text1"/>
          <w:sz w:val="22"/>
          <w:szCs w:val="22"/>
        </w:rPr>
        <w:lastRenderedPageBreak/>
        <w:t>Union nor the European Commission can be held responsible for them. In addition to the editors of</w:t>
      </w:r>
      <w:r w:rsidR="004317A2" w:rsidRPr="00D62CC3">
        <w:rPr>
          <w:rFonts w:ascii="Times New Roman" w:hAnsi="Times New Roman" w:cs="Times New Roman"/>
          <w:color w:val="000000" w:themeColor="text1"/>
          <w:sz w:val="22"/>
          <w:szCs w:val="22"/>
        </w:rPr>
        <w:t xml:space="preserve"> </w:t>
      </w:r>
      <w:r w:rsidR="004317A2" w:rsidRPr="00D62CC3">
        <w:rPr>
          <w:rFonts w:ascii="Times New Roman" w:hAnsi="Times New Roman" w:cs="Times New Roman"/>
          <w:i/>
          <w:iCs/>
          <w:color w:val="000000" w:themeColor="text1"/>
          <w:sz w:val="22"/>
          <w:szCs w:val="22"/>
        </w:rPr>
        <w:t>The British Journal of the History of Science</w:t>
      </w:r>
      <w:r w:rsidRPr="00D62CC3">
        <w:rPr>
          <w:rFonts w:ascii="Times New Roman" w:hAnsi="Times New Roman" w:cs="Times New Roman"/>
          <w:color w:val="000000" w:themeColor="text1"/>
          <w:sz w:val="22"/>
          <w:szCs w:val="22"/>
        </w:rPr>
        <w:t xml:space="preserve"> and the two anonymous reviewers, I would also like to thank Murat Şiviloğlu and Arsen Nişanyan for their comments and suggestions.</w:t>
      </w:r>
    </w:p>
    <w:p w14:paraId="1F44E185" w14:textId="77777777" w:rsidR="00441AF6" w:rsidRPr="00D62CC3" w:rsidRDefault="00441AF6" w:rsidP="004249A3">
      <w:pPr>
        <w:pStyle w:val="AralkYok"/>
        <w:jc w:val="both"/>
        <w:rPr>
          <w:rFonts w:ascii="Times New Roman" w:hAnsi="Times New Roman" w:cs="Times New Roman"/>
          <w:b/>
          <w:bCs/>
          <w:color w:val="000000" w:themeColor="text1"/>
        </w:rPr>
      </w:pPr>
    </w:p>
    <w:p w14:paraId="7473A9FE" w14:textId="77777777" w:rsidR="00AB5725" w:rsidRPr="00D62CC3" w:rsidRDefault="00AB5725" w:rsidP="004249A3">
      <w:pPr>
        <w:rPr>
          <w:color w:val="000000" w:themeColor="text1"/>
        </w:rPr>
      </w:pPr>
    </w:p>
    <w:p w14:paraId="7A58BE39" w14:textId="77777777" w:rsidR="00963501" w:rsidRPr="00D62CC3" w:rsidRDefault="00963501" w:rsidP="004249A3">
      <w:pPr>
        <w:rPr>
          <w:color w:val="000000" w:themeColor="text1"/>
        </w:rPr>
      </w:pPr>
    </w:p>
    <w:sectPr w:rsidR="00963501" w:rsidRPr="00D62CC3" w:rsidSect="00A965B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3704B9" w14:textId="77777777" w:rsidR="00832102" w:rsidRDefault="00832102" w:rsidP="00E248A5">
      <w:r>
        <w:separator/>
      </w:r>
    </w:p>
  </w:endnote>
  <w:endnote w:type="continuationSeparator" w:id="0">
    <w:p w14:paraId="6C81E07E" w14:textId="77777777" w:rsidR="00832102" w:rsidRDefault="00832102" w:rsidP="00E248A5">
      <w:r>
        <w:continuationSeparator/>
      </w:r>
    </w:p>
  </w:endnote>
  <w:endnote w:id="1">
    <w:p w14:paraId="4203C6DC" w14:textId="18839CD7"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On Ghazālī’s treatment of unbelief and their later juridical implications, see Frank Griffel, “Toleration and </w:t>
      </w:r>
      <w:r>
        <w:rPr>
          <w:color w:val="000000" w:themeColor="text1"/>
        </w:rPr>
        <w:t>e</w:t>
      </w:r>
      <w:r w:rsidRPr="00206E86">
        <w:rPr>
          <w:color w:val="000000" w:themeColor="text1"/>
        </w:rPr>
        <w:t xml:space="preserve">xclusion: al-Shāfiʿī and al-Ghazālī on the </w:t>
      </w:r>
      <w:r>
        <w:rPr>
          <w:color w:val="000000" w:themeColor="text1"/>
        </w:rPr>
        <w:t>t</w:t>
      </w:r>
      <w:r w:rsidRPr="00206E86">
        <w:rPr>
          <w:color w:val="000000" w:themeColor="text1"/>
        </w:rPr>
        <w:t xml:space="preserve">reatment of </w:t>
      </w:r>
      <w:r>
        <w:rPr>
          <w:color w:val="000000" w:themeColor="text1"/>
        </w:rPr>
        <w:t>a</w:t>
      </w:r>
      <w:r w:rsidRPr="00206E86">
        <w:rPr>
          <w:color w:val="000000" w:themeColor="text1"/>
        </w:rPr>
        <w:t xml:space="preserve">postates”, </w:t>
      </w:r>
      <w:r w:rsidRPr="00206E86">
        <w:rPr>
          <w:i/>
          <w:iCs/>
          <w:color w:val="000000" w:themeColor="text1"/>
        </w:rPr>
        <w:t>Bulletin of the School of Oriental and African Studies</w:t>
      </w:r>
      <w:r w:rsidRPr="00206E86">
        <w:rPr>
          <w:color w:val="000000" w:themeColor="text1"/>
        </w:rPr>
        <w:t xml:space="preserve"> (2001) 64 (3), pp. 339-54, 344–54; Nabil Al-Tikriti, “</w:t>
      </w:r>
      <w:r w:rsidRPr="00206E86">
        <w:rPr>
          <w:i/>
          <w:iCs/>
          <w:color w:val="000000" w:themeColor="text1"/>
        </w:rPr>
        <w:t>Kalam</w:t>
      </w:r>
      <w:r w:rsidRPr="00206E86">
        <w:rPr>
          <w:color w:val="000000" w:themeColor="text1"/>
        </w:rPr>
        <w:t xml:space="preserve"> in the </w:t>
      </w:r>
      <w:r>
        <w:rPr>
          <w:color w:val="000000" w:themeColor="text1"/>
        </w:rPr>
        <w:t>s</w:t>
      </w:r>
      <w:r w:rsidRPr="00206E86">
        <w:rPr>
          <w:color w:val="000000" w:themeColor="text1"/>
        </w:rPr>
        <w:t xml:space="preserve">ervice of </w:t>
      </w:r>
      <w:r>
        <w:rPr>
          <w:color w:val="000000" w:themeColor="text1"/>
        </w:rPr>
        <w:t>s</w:t>
      </w:r>
      <w:r w:rsidRPr="00206E86">
        <w:rPr>
          <w:color w:val="000000" w:themeColor="text1"/>
        </w:rPr>
        <w:t xml:space="preserve">tate: </w:t>
      </w:r>
      <w:r>
        <w:rPr>
          <w:color w:val="000000" w:themeColor="text1"/>
        </w:rPr>
        <w:t>a</w:t>
      </w:r>
      <w:r w:rsidRPr="00206E86">
        <w:rPr>
          <w:color w:val="000000" w:themeColor="text1"/>
        </w:rPr>
        <w:t xml:space="preserve">postasy and the </w:t>
      </w:r>
      <w:r>
        <w:rPr>
          <w:color w:val="000000" w:themeColor="text1"/>
        </w:rPr>
        <w:t>d</w:t>
      </w:r>
      <w:r w:rsidRPr="00206E86">
        <w:rPr>
          <w:color w:val="000000" w:themeColor="text1"/>
        </w:rPr>
        <w:t xml:space="preserve">efining of Ottoman Islamic </w:t>
      </w:r>
      <w:r>
        <w:rPr>
          <w:color w:val="000000" w:themeColor="text1"/>
        </w:rPr>
        <w:t>i</w:t>
      </w:r>
      <w:r w:rsidRPr="00206E86">
        <w:rPr>
          <w:color w:val="000000" w:themeColor="text1"/>
        </w:rPr>
        <w:t xml:space="preserve">dentity”, in Hakan Karateke and Maurus Reinkowski (eds.), </w:t>
      </w:r>
      <w:r w:rsidRPr="00206E86">
        <w:rPr>
          <w:i/>
          <w:iCs/>
          <w:color w:val="000000" w:themeColor="text1"/>
        </w:rPr>
        <w:t>Legitimizing the Order: The Ottoman Rhetoric of State Power</w:t>
      </w:r>
      <w:r w:rsidRPr="00206E86">
        <w:rPr>
          <w:color w:val="000000" w:themeColor="text1"/>
        </w:rPr>
        <w:t xml:space="preserve">, Leiden: Brill, 2005, pp. 131–50; idem., “A </w:t>
      </w:r>
      <w:r>
        <w:rPr>
          <w:color w:val="000000" w:themeColor="text1"/>
        </w:rPr>
        <w:t>c</w:t>
      </w:r>
      <w:r w:rsidRPr="00206E86">
        <w:rPr>
          <w:color w:val="000000" w:themeColor="text1"/>
        </w:rPr>
        <w:t xml:space="preserve">ontrarian </w:t>
      </w:r>
      <w:r>
        <w:rPr>
          <w:color w:val="000000" w:themeColor="text1"/>
        </w:rPr>
        <w:t>v</w:t>
      </w:r>
      <w:r w:rsidRPr="00206E86">
        <w:rPr>
          <w:color w:val="000000" w:themeColor="text1"/>
        </w:rPr>
        <w:t xml:space="preserve">oice: Şehzāde Ḳorḳud’s (d. 919/1513) </w:t>
      </w:r>
      <w:r>
        <w:rPr>
          <w:color w:val="000000" w:themeColor="text1"/>
        </w:rPr>
        <w:t>w</w:t>
      </w:r>
      <w:r w:rsidRPr="00206E86">
        <w:rPr>
          <w:color w:val="000000" w:themeColor="text1"/>
        </w:rPr>
        <w:t xml:space="preserve">ritings on </w:t>
      </w:r>
      <w:r>
        <w:rPr>
          <w:i/>
          <w:iCs/>
          <w:color w:val="000000" w:themeColor="text1"/>
        </w:rPr>
        <w:t>k</w:t>
      </w:r>
      <w:r w:rsidRPr="00206E86">
        <w:rPr>
          <w:i/>
          <w:iCs/>
          <w:color w:val="000000" w:themeColor="text1"/>
        </w:rPr>
        <w:t>alām</w:t>
      </w:r>
      <w:r w:rsidRPr="00206E86">
        <w:rPr>
          <w:color w:val="000000" w:themeColor="text1"/>
        </w:rPr>
        <w:t xml:space="preserve"> and the </w:t>
      </w:r>
      <w:r>
        <w:rPr>
          <w:color w:val="000000" w:themeColor="text1"/>
        </w:rPr>
        <w:t>e</w:t>
      </w:r>
      <w:r w:rsidRPr="00206E86">
        <w:rPr>
          <w:color w:val="000000" w:themeColor="text1"/>
        </w:rPr>
        <w:t xml:space="preserve">arly </w:t>
      </w:r>
      <w:r>
        <w:rPr>
          <w:color w:val="000000" w:themeColor="text1"/>
        </w:rPr>
        <w:t>a</w:t>
      </w:r>
      <w:r w:rsidRPr="00206E86">
        <w:rPr>
          <w:color w:val="000000" w:themeColor="text1"/>
        </w:rPr>
        <w:t xml:space="preserve">rticulation of Ottoman Sunnism”, in Tijana Krstić and Derin Terzioğlu (eds.), </w:t>
      </w:r>
      <w:r w:rsidRPr="00206E86">
        <w:rPr>
          <w:i/>
          <w:iCs/>
          <w:color w:val="000000" w:themeColor="text1"/>
        </w:rPr>
        <w:t>Historicizing Sunni Islam in the Ottoman Empire, c. 1450–c. 1750</w:t>
      </w:r>
      <w:r w:rsidRPr="00206E86">
        <w:rPr>
          <w:color w:val="000000" w:themeColor="text1"/>
        </w:rPr>
        <w:t>, Leiden: Brill, 2020, pp. 62-100, 66.</w:t>
      </w:r>
    </w:p>
  </w:endnote>
  <w:endnote w:id="2">
    <w:p w14:paraId="3FDF9BE0" w14:textId="66A8FE14" w:rsidR="00206E86" w:rsidRPr="00206E86" w:rsidRDefault="00206E86" w:rsidP="00206E86">
      <w:pPr>
        <w:pStyle w:val="SonNotMetni"/>
        <w:jc w:val="both"/>
      </w:pPr>
      <w:r w:rsidRPr="00206E86">
        <w:rPr>
          <w:rStyle w:val="SonNotBavurusu"/>
        </w:rPr>
        <w:endnoteRef/>
      </w:r>
      <w:r w:rsidRPr="00206E86">
        <w:t xml:space="preserve"> Efe Balıkçıoğlu, “A </w:t>
      </w:r>
      <w:r>
        <w:t>c</w:t>
      </w:r>
      <w:r w:rsidRPr="00206E86">
        <w:t xml:space="preserve">oherence of </w:t>
      </w:r>
      <w:r>
        <w:t>i</w:t>
      </w:r>
      <w:r w:rsidRPr="00206E86">
        <w:t xml:space="preserve">ncoherences: Graeco-Arabic </w:t>
      </w:r>
      <w:r>
        <w:t>p</w:t>
      </w:r>
      <w:r w:rsidRPr="00206E86">
        <w:t xml:space="preserve">hilosophy and the </w:t>
      </w:r>
      <w:r>
        <w:t>f</w:t>
      </w:r>
      <w:r w:rsidRPr="00206E86">
        <w:t>ifteenth-</w:t>
      </w:r>
      <w:r>
        <w:t>c</w:t>
      </w:r>
      <w:r w:rsidRPr="00206E86">
        <w:t xml:space="preserve">entury Ottoman </w:t>
      </w:r>
      <w:r>
        <w:t>s</w:t>
      </w:r>
      <w:r w:rsidRPr="00206E86">
        <w:t xml:space="preserve">ynthesis of </w:t>
      </w:r>
      <w:r>
        <w:t>p</w:t>
      </w:r>
      <w:r w:rsidRPr="00206E86">
        <w:t>hilosophy with Sharia”, PhD diss., Harvard University, 2019, chap. 8.</w:t>
      </w:r>
    </w:p>
  </w:endnote>
  <w:endnote w:id="3">
    <w:p w14:paraId="373AD561" w14:textId="12CA96D8" w:rsidR="00206E86" w:rsidRPr="00206E86" w:rsidRDefault="00206E86" w:rsidP="00206E86">
      <w:pPr>
        <w:pStyle w:val="AralkYok"/>
        <w:jc w:val="both"/>
        <w:rPr>
          <w:rFonts w:ascii="Times New Roman" w:hAnsi="Times New Roman" w:cs="Times New Roman"/>
          <w:color w:val="000000" w:themeColor="text1"/>
          <w:sz w:val="20"/>
          <w:szCs w:val="20"/>
        </w:rPr>
      </w:pPr>
      <w:r w:rsidRPr="00206E86">
        <w:rPr>
          <w:rStyle w:val="SonNotBavurusu"/>
          <w:rFonts w:ascii="Times New Roman" w:eastAsia="Times New Roman" w:hAnsi="Times New Roman" w:cs="Times New Roman"/>
          <w:color w:val="000000" w:themeColor="text1"/>
          <w:kern w:val="0"/>
          <w:sz w:val="20"/>
          <w:szCs w:val="20"/>
          <w:lang w:eastAsia="tr-TR"/>
          <w14:ligatures w14:val="none"/>
        </w:rPr>
        <w:endnoteRef/>
      </w:r>
      <w:r w:rsidRPr="00206E86">
        <w:rPr>
          <w:rFonts w:ascii="Times New Roman" w:hAnsi="Times New Roman" w:cs="Times New Roman"/>
          <w:color w:val="000000" w:themeColor="text1"/>
          <w:sz w:val="20"/>
          <w:szCs w:val="20"/>
        </w:rPr>
        <w:t xml:space="preserve"> Nelly Lahoud, “Islamic </w:t>
      </w:r>
      <w:r>
        <w:rPr>
          <w:rFonts w:ascii="Times New Roman" w:hAnsi="Times New Roman" w:cs="Times New Roman"/>
          <w:color w:val="000000" w:themeColor="text1"/>
          <w:sz w:val="20"/>
          <w:szCs w:val="20"/>
        </w:rPr>
        <w:t>r</w:t>
      </w:r>
      <w:r w:rsidRPr="00206E86">
        <w:rPr>
          <w:rFonts w:ascii="Times New Roman" w:hAnsi="Times New Roman" w:cs="Times New Roman"/>
          <w:color w:val="000000" w:themeColor="text1"/>
          <w:sz w:val="20"/>
          <w:szCs w:val="20"/>
        </w:rPr>
        <w:t xml:space="preserve">esponses to Europe at the </w:t>
      </w:r>
      <w:r>
        <w:rPr>
          <w:rFonts w:ascii="Times New Roman" w:hAnsi="Times New Roman" w:cs="Times New Roman"/>
          <w:color w:val="000000" w:themeColor="text1"/>
          <w:sz w:val="20"/>
          <w:szCs w:val="20"/>
        </w:rPr>
        <w:t>d</w:t>
      </w:r>
      <w:r w:rsidRPr="00206E86">
        <w:rPr>
          <w:rFonts w:ascii="Times New Roman" w:hAnsi="Times New Roman" w:cs="Times New Roman"/>
          <w:color w:val="000000" w:themeColor="text1"/>
          <w:sz w:val="20"/>
          <w:szCs w:val="20"/>
        </w:rPr>
        <w:t xml:space="preserve">awn of </w:t>
      </w:r>
      <w:r>
        <w:rPr>
          <w:rFonts w:ascii="Times New Roman" w:hAnsi="Times New Roman" w:cs="Times New Roman"/>
          <w:color w:val="000000" w:themeColor="text1"/>
          <w:sz w:val="20"/>
          <w:szCs w:val="20"/>
        </w:rPr>
        <w:t>c</w:t>
      </w:r>
      <w:r w:rsidRPr="00206E86">
        <w:rPr>
          <w:rFonts w:ascii="Times New Roman" w:hAnsi="Times New Roman" w:cs="Times New Roman"/>
          <w:color w:val="000000" w:themeColor="text1"/>
          <w:sz w:val="20"/>
          <w:szCs w:val="20"/>
        </w:rPr>
        <w:t xml:space="preserve">olonialism”, in Cary Nederman and Takashi Shogimen (eds.), </w:t>
      </w:r>
      <w:r w:rsidRPr="00206E86">
        <w:rPr>
          <w:rFonts w:ascii="Times New Roman" w:hAnsi="Times New Roman" w:cs="Times New Roman"/>
          <w:i/>
          <w:iCs/>
          <w:color w:val="000000" w:themeColor="text1"/>
          <w:sz w:val="20"/>
          <w:szCs w:val="20"/>
        </w:rPr>
        <w:t>Western Political Thought in Dialogue with Asia,</w:t>
      </w:r>
      <w:r w:rsidRPr="00206E86">
        <w:rPr>
          <w:rFonts w:ascii="Times New Roman" w:hAnsi="Times New Roman" w:cs="Times New Roman"/>
          <w:color w:val="000000" w:themeColor="text1"/>
          <w:sz w:val="20"/>
          <w:szCs w:val="20"/>
        </w:rPr>
        <w:t xml:space="preserve"> Lanham, MD: Lexington, 2009, pp. 163-85, 163–6.</w:t>
      </w:r>
    </w:p>
  </w:endnote>
  <w:endnote w:id="4">
    <w:p w14:paraId="3C8516F9" w14:textId="77777777" w:rsidR="00206E86" w:rsidRPr="00206E86" w:rsidRDefault="00206E86" w:rsidP="00206E86">
      <w:pPr>
        <w:pStyle w:val="AralkYok"/>
        <w:jc w:val="both"/>
        <w:rPr>
          <w:rFonts w:ascii="Times New Roman" w:hAnsi="Times New Roman" w:cs="Times New Roman"/>
          <w:color w:val="000000" w:themeColor="text1"/>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rPr>
        <w:t xml:space="preserve"> Robert Irwin, </w:t>
      </w:r>
      <w:r w:rsidRPr="00206E86">
        <w:rPr>
          <w:rFonts w:ascii="Times New Roman" w:hAnsi="Times New Roman" w:cs="Times New Roman"/>
          <w:i/>
          <w:iCs/>
          <w:color w:val="000000" w:themeColor="text1"/>
          <w:sz w:val="20"/>
          <w:szCs w:val="20"/>
        </w:rPr>
        <w:t xml:space="preserve">For Lust of Knowing, </w:t>
      </w:r>
      <w:r w:rsidRPr="00206E86">
        <w:rPr>
          <w:rFonts w:ascii="Times New Roman" w:hAnsi="Times New Roman" w:cs="Times New Roman"/>
          <w:color w:val="000000" w:themeColor="text1"/>
          <w:sz w:val="20"/>
          <w:szCs w:val="20"/>
        </w:rPr>
        <w:t>London: Penguin, 2006, p. 167.</w:t>
      </w:r>
    </w:p>
  </w:endnote>
  <w:endnote w:id="5">
    <w:p w14:paraId="39BFE09D" w14:textId="377CE00D"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Edward Said, </w:t>
      </w:r>
      <w:r w:rsidRPr="00206E86">
        <w:rPr>
          <w:i/>
          <w:iCs/>
          <w:color w:val="000000" w:themeColor="text1"/>
        </w:rPr>
        <w:t>Orientalism</w:t>
      </w:r>
      <w:r w:rsidRPr="00206E86">
        <w:rPr>
          <w:color w:val="000000" w:themeColor="text1"/>
        </w:rPr>
        <w:t>, New York: Vintage, 2004, pp. 130–5, 140–6.</w:t>
      </w:r>
    </w:p>
  </w:endnote>
  <w:endnote w:id="6">
    <w:p w14:paraId="1118BFFA" w14:textId="2D5D6C62"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w:t>
      </w:r>
      <w:r w:rsidRPr="00206E86">
        <w:t xml:space="preserve">On Renan and the Islam–science debate, </w:t>
      </w:r>
      <w:r w:rsidRPr="00206E86">
        <w:rPr>
          <w:color w:val="000000" w:themeColor="text1"/>
        </w:rPr>
        <w:t xml:space="preserve">see Hichem Djait, </w:t>
      </w:r>
      <w:r w:rsidRPr="00206E86">
        <w:rPr>
          <w:i/>
          <w:iCs/>
          <w:color w:val="000000" w:themeColor="text1"/>
        </w:rPr>
        <w:t>Europe and Islam</w:t>
      </w:r>
      <w:r w:rsidRPr="00206E86">
        <w:rPr>
          <w:color w:val="000000" w:themeColor="text1"/>
        </w:rPr>
        <w:t xml:space="preserve"> (tr. Peter Heinegg), Berkeley: UC Press, 1985, pp. 42–53; Monica Ringer, </w:t>
      </w:r>
      <w:r w:rsidRPr="00206E86">
        <w:rPr>
          <w:i/>
          <w:iCs/>
          <w:color w:val="000000" w:themeColor="text1"/>
        </w:rPr>
        <w:t>Islamic Modernism and the Re-Enchantment of the Sacred in the Age of History</w:t>
      </w:r>
      <w:r w:rsidRPr="00206E86">
        <w:rPr>
          <w:color w:val="000000" w:themeColor="text1"/>
        </w:rPr>
        <w:t xml:space="preserve">, Edinburgh: Edinburgh University Press, 2020, pp. 1-3, 55-60, 119-28. </w:t>
      </w:r>
      <w:r w:rsidRPr="00206E86">
        <w:t xml:space="preserve">For translations and responses to </w:t>
      </w:r>
      <w:r w:rsidRPr="00206E86">
        <w:rPr>
          <w:i/>
          <w:iCs/>
        </w:rPr>
        <w:t>L’Islamisme et la science</w:t>
      </w:r>
      <w:r w:rsidRPr="00206E86">
        <w:t xml:space="preserve">, see </w:t>
      </w:r>
      <w:r w:rsidRPr="00206E86">
        <w:rPr>
          <w:color w:val="000000" w:themeColor="text1"/>
        </w:rPr>
        <w:t>Dücane Cündioğlu, “Ernest Renan ve ‘</w:t>
      </w:r>
      <w:r>
        <w:rPr>
          <w:color w:val="000000" w:themeColor="text1"/>
        </w:rPr>
        <w:t>r</w:t>
      </w:r>
      <w:r w:rsidRPr="00206E86">
        <w:rPr>
          <w:color w:val="000000" w:themeColor="text1"/>
        </w:rPr>
        <w:t xml:space="preserve">eddiyeler’ </w:t>
      </w:r>
      <w:r>
        <w:rPr>
          <w:color w:val="000000" w:themeColor="text1"/>
        </w:rPr>
        <w:t>b</w:t>
      </w:r>
      <w:r w:rsidRPr="00206E86">
        <w:rPr>
          <w:color w:val="000000" w:themeColor="text1"/>
        </w:rPr>
        <w:t>ağlamında İslam–</w:t>
      </w:r>
      <w:r>
        <w:rPr>
          <w:color w:val="000000" w:themeColor="text1"/>
        </w:rPr>
        <w:t>b</w:t>
      </w:r>
      <w:r w:rsidRPr="00206E86">
        <w:rPr>
          <w:color w:val="000000" w:themeColor="text1"/>
        </w:rPr>
        <w:t xml:space="preserve">ilim </w:t>
      </w:r>
      <w:r>
        <w:rPr>
          <w:color w:val="000000" w:themeColor="text1"/>
        </w:rPr>
        <w:t>t</w:t>
      </w:r>
      <w:r w:rsidRPr="00206E86">
        <w:rPr>
          <w:color w:val="000000" w:themeColor="text1"/>
        </w:rPr>
        <w:t xml:space="preserve">artışmalarına </w:t>
      </w:r>
      <w:r>
        <w:rPr>
          <w:color w:val="000000" w:themeColor="text1"/>
        </w:rPr>
        <w:t>b</w:t>
      </w:r>
      <w:r w:rsidRPr="00206E86">
        <w:rPr>
          <w:color w:val="000000" w:themeColor="text1"/>
        </w:rPr>
        <w:t xml:space="preserve">ibliyografik </w:t>
      </w:r>
      <w:r>
        <w:rPr>
          <w:color w:val="000000" w:themeColor="text1"/>
        </w:rPr>
        <w:t>bi</w:t>
      </w:r>
      <w:r w:rsidRPr="00206E86">
        <w:rPr>
          <w:color w:val="000000" w:themeColor="text1"/>
        </w:rPr>
        <w:t xml:space="preserve">r </w:t>
      </w:r>
      <w:r>
        <w:rPr>
          <w:color w:val="000000" w:themeColor="text1"/>
        </w:rPr>
        <w:t>k</w:t>
      </w:r>
      <w:r w:rsidRPr="00206E86">
        <w:rPr>
          <w:color w:val="000000" w:themeColor="text1"/>
        </w:rPr>
        <w:t xml:space="preserve">atkı”, </w:t>
      </w:r>
      <w:r w:rsidRPr="00206E86">
        <w:rPr>
          <w:i/>
          <w:iCs/>
          <w:color w:val="000000" w:themeColor="text1"/>
        </w:rPr>
        <w:t>Dîvân</w:t>
      </w:r>
      <w:r w:rsidRPr="00206E86">
        <w:rPr>
          <w:color w:val="000000" w:themeColor="text1"/>
        </w:rPr>
        <w:t xml:space="preserve"> (1996) 2, pp. 1-94, 16–25.</w:t>
      </w:r>
    </w:p>
  </w:endnote>
  <w:endnote w:id="7">
    <w:p w14:paraId="7D89A498" w14:textId="2B16CF13"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rPr>
        <w:t xml:space="preserve"> Ernst Renan, </w:t>
      </w:r>
      <w:r w:rsidRPr="00206E86">
        <w:rPr>
          <w:i/>
          <w:iCs/>
          <w:color w:val="000000" w:themeColor="text1"/>
        </w:rPr>
        <w:t>Islam and Science: A lecture presented at La Sorbonne</w:t>
      </w:r>
      <w:r w:rsidRPr="00206E86">
        <w:rPr>
          <w:color w:val="000000" w:themeColor="text1"/>
        </w:rPr>
        <w:t xml:space="preserve">, 29 March 1883, tr. Sally Ragep (2011), p. 7, &lt; </w:t>
      </w:r>
      <w:hyperlink r:id="rId1" w:history="1">
        <w:r w:rsidRPr="00206E86">
          <w:rPr>
            <w:rStyle w:val="Kpr"/>
            <w:color w:val="000000" w:themeColor="text1"/>
            <w:u w:val="none"/>
          </w:rPr>
          <w:t>https://www.mcgill.ca/islamicstudies/files/islamicstudies/renan_islamism_cversion.pdf</w:t>
        </w:r>
      </w:hyperlink>
      <w:r w:rsidRPr="00206E86">
        <w:rPr>
          <w:color w:val="000000" w:themeColor="text1"/>
        </w:rPr>
        <w:t>&gt; accessed [12 January 2026].</w:t>
      </w:r>
    </w:p>
  </w:endnote>
  <w:endnote w:id="8">
    <w:p w14:paraId="247C6610" w14:textId="65FC3B74" w:rsidR="00206E86" w:rsidRPr="00206E86" w:rsidRDefault="00206E86" w:rsidP="00206E86">
      <w:pPr>
        <w:autoSpaceDE w:val="0"/>
        <w:autoSpaceDN w:val="0"/>
        <w:adjustRightInd w:val="0"/>
        <w:jc w:val="both"/>
        <w:rPr>
          <w:rFonts w:eastAsiaTheme="minorHAnsi"/>
          <w:color w:val="000000" w:themeColor="text1"/>
          <w:sz w:val="20"/>
          <w:szCs w:val="20"/>
          <w:lang w:val="tr-TR" w:eastAsia="en-US"/>
          <w14:ligatures w14:val="standardContextual"/>
        </w:rPr>
      </w:pPr>
      <w:r w:rsidRPr="00206E86">
        <w:rPr>
          <w:rStyle w:val="SonNotBavurusu"/>
          <w:color w:val="000000" w:themeColor="text1"/>
          <w:sz w:val="20"/>
          <w:szCs w:val="20"/>
        </w:rPr>
        <w:endnoteRef/>
      </w:r>
      <w:r w:rsidRPr="00206E86">
        <w:rPr>
          <w:color w:val="000000" w:themeColor="text1"/>
          <w:sz w:val="20"/>
          <w:szCs w:val="20"/>
        </w:rPr>
        <w:t xml:space="preserve"> For Renan’s Ghazālī, see </w:t>
      </w:r>
      <w:r w:rsidRPr="00206E86">
        <w:rPr>
          <w:rFonts w:eastAsiaTheme="minorHAnsi"/>
          <w:color w:val="000000" w:themeColor="text1"/>
          <w:sz w:val="20"/>
          <w:szCs w:val="20"/>
          <w:lang w:val="tr-TR" w:eastAsia="en-US"/>
          <w14:ligatures w14:val="standardContextual"/>
        </w:rPr>
        <w:t>Frank Griffel, “The </w:t>
      </w:r>
      <w:r>
        <w:rPr>
          <w:rFonts w:eastAsiaTheme="minorHAnsi"/>
          <w:color w:val="000000" w:themeColor="text1"/>
          <w:sz w:val="20"/>
          <w:szCs w:val="20"/>
          <w:lang w:val="tr-TR" w:eastAsia="en-US"/>
          <w14:ligatures w14:val="standardContextual"/>
        </w:rPr>
        <w:t>w</w:t>
      </w:r>
      <w:r w:rsidRPr="00206E86">
        <w:rPr>
          <w:rFonts w:eastAsiaTheme="minorHAnsi"/>
          <w:color w:val="000000" w:themeColor="text1"/>
          <w:sz w:val="20"/>
          <w:szCs w:val="20"/>
          <w:lang w:val="tr-TR" w:eastAsia="en-US"/>
          <w14:ligatures w14:val="standardContextual"/>
        </w:rPr>
        <w:t>estern </w:t>
      </w:r>
      <w:r>
        <w:rPr>
          <w:rFonts w:eastAsiaTheme="minorHAnsi"/>
          <w:color w:val="000000" w:themeColor="text1"/>
          <w:sz w:val="20"/>
          <w:szCs w:val="20"/>
          <w:lang w:val="tr-TR" w:eastAsia="en-US"/>
          <w14:ligatures w14:val="standardContextual"/>
        </w:rPr>
        <w:t>r</w:t>
      </w:r>
      <w:r w:rsidRPr="00206E86">
        <w:rPr>
          <w:rFonts w:eastAsiaTheme="minorHAnsi"/>
          <w:color w:val="000000" w:themeColor="text1"/>
          <w:sz w:val="20"/>
          <w:szCs w:val="20"/>
          <w:lang w:val="tr-TR" w:eastAsia="en-US"/>
          <w14:ligatures w14:val="standardContextual"/>
        </w:rPr>
        <w:t xml:space="preserve">eception of al-Ghazali’s </w:t>
      </w:r>
      <w:r>
        <w:rPr>
          <w:rFonts w:eastAsiaTheme="minorHAnsi"/>
          <w:color w:val="000000" w:themeColor="text1"/>
          <w:sz w:val="20"/>
          <w:szCs w:val="20"/>
          <w:lang w:val="tr-TR" w:eastAsia="en-US"/>
          <w14:ligatures w14:val="standardContextual"/>
        </w:rPr>
        <w:t>c</w:t>
      </w:r>
      <w:r w:rsidRPr="00206E86">
        <w:rPr>
          <w:rFonts w:eastAsiaTheme="minorHAnsi"/>
          <w:color w:val="000000" w:themeColor="text1"/>
          <w:sz w:val="20"/>
          <w:szCs w:val="20"/>
          <w:lang w:val="tr-TR" w:eastAsia="en-US"/>
          <w14:ligatures w14:val="standardContextual"/>
        </w:rPr>
        <w:t>osmology from the Middle Ages to the 21</w:t>
      </w:r>
      <w:r w:rsidRPr="00206E86">
        <w:rPr>
          <w:rFonts w:eastAsiaTheme="minorHAnsi"/>
          <w:color w:val="000000" w:themeColor="text1"/>
          <w:sz w:val="20"/>
          <w:szCs w:val="20"/>
          <w:vertAlign w:val="superscript"/>
          <w:lang w:val="tr-TR" w:eastAsia="en-US"/>
          <w14:ligatures w14:val="standardContextual"/>
        </w:rPr>
        <w:t>st</w:t>
      </w:r>
      <w:r>
        <w:rPr>
          <w:rFonts w:eastAsiaTheme="minorHAnsi"/>
          <w:color w:val="000000" w:themeColor="text1"/>
          <w:sz w:val="20"/>
          <w:szCs w:val="20"/>
          <w:lang w:val="tr-TR" w:eastAsia="en-US"/>
          <w14:ligatures w14:val="standardContextual"/>
        </w:rPr>
        <w:t xml:space="preserve"> c</w:t>
      </w:r>
      <w:r w:rsidRPr="00206E86">
        <w:rPr>
          <w:rFonts w:eastAsiaTheme="minorHAnsi"/>
          <w:color w:val="000000" w:themeColor="text1"/>
          <w:sz w:val="20"/>
          <w:szCs w:val="20"/>
          <w:lang w:val="tr-TR" w:eastAsia="en-US"/>
          <w14:ligatures w14:val="standardContextual"/>
        </w:rPr>
        <w:t xml:space="preserve">entury”, </w:t>
      </w:r>
      <w:r w:rsidRPr="00206E86">
        <w:rPr>
          <w:rFonts w:eastAsiaTheme="minorHAnsi"/>
          <w:i/>
          <w:iCs/>
          <w:color w:val="000000" w:themeColor="text1"/>
          <w:sz w:val="20"/>
          <w:szCs w:val="20"/>
          <w:lang w:val="tr-TR" w:eastAsia="en-US"/>
          <w14:ligatures w14:val="standardContextual"/>
        </w:rPr>
        <w:t xml:space="preserve">Dîvân </w:t>
      </w:r>
      <w:r w:rsidRPr="00206E86">
        <w:rPr>
          <w:rFonts w:eastAsiaTheme="minorHAnsi"/>
          <w:color w:val="000000" w:themeColor="text1"/>
          <w:sz w:val="20"/>
          <w:szCs w:val="20"/>
          <w:lang w:val="tr-TR" w:eastAsia="en-US"/>
          <w14:ligatures w14:val="standardContextual"/>
        </w:rPr>
        <w:t xml:space="preserve">(2011) 16 (30), pp. 33-62, 36-43. </w:t>
      </w:r>
      <w:r w:rsidRPr="00206E86">
        <w:rPr>
          <w:sz w:val="20"/>
          <w:szCs w:val="20"/>
        </w:rPr>
        <w:t xml:space="preserve">For an early critical assessment of Renan’s prevalent view in twentieth-century historiography, see Henry Corbin, </w:t>
      </w:r>
      <w:r w:rsidRPr="00206E86">
        <w:rPr>
          <w:i/>
          <w:iCs/>
          <w:sz w:val="20"/>
          <w:szCs w:val="20"/>
        </w:rPr>
        <w:t>Histoire de la philosophie islamique</w:t>
      </w:r>
      <w:r w:rsidRPr="00206E86">
        <w:rPr>
          <w:sz w:val="20"/>
          <w:szCs w:val="20"/>
        </w:rPr>
        <w:t>, Paris: Gallimard, 1964, pp. xvii, 33, 36.</w:t>
      </w:r>
    </w:p>
  </w:endnote>
  <w:endnote w:id="9">
    <w:p w14:paraId="53643D9E" w14:textId="2746BF50" w:rsidR="00206E86" w:rsidRPr="00206E86" w:rsidRDefault="00206E86" w:rsidP="00206E86">
      <w:pPr>
        <w:pStyle w:val="p1"/>
        <w:jc w:val="both"/>
        <w:rPr>
          <w:rFonts w:ascii="Times New Roman" w:hAnsi="Times New Roman"/>
          <w:color w:val="000000" w:themeColor="text1"/>
          <w:sz w:val="20"/>
          <w:szCs w:val="20"/>
        </w:rPr>
      </w:pPr>
      <w:r w:rsidRPr="00206E86">
        <w:rPr>
          <w:rStyle w:val="SonNotBavurusu"/>
          <w:rFonts w:ascii="Times New Roman" w:hAnsi="Times New Roman"/>
          <w:color w:val="000000" w:themeColor="text1"/>
          <w:sz w:val="20"/>
          <w:szCs w:val="20"/>
        </w:rPr>
        <w:endnoteRef/>
      </w:r>
      <w:r w:rsidRPr="00206E86">
        <w:rPr>
          <w:rFonts w:ascii="Times New Roman" w:hAnsi="Times New Roman"/>
          <w:color w:val="000000" w:themeColor="text1"/>
          <w:sz w:val="20"/>
          <w:szCs w:val="20"/>
        </w:rPr>
        <w:t xml:space="preserve"> Ernst Renan, </w:t>
      </w:r>
      <w:r w:rsidRPr="00206E86">
        <w:rPr>
          <w:rFonts w:ascii="Times New Roman" w:hAnsi="Times New Roman"/>
          <w:i/>
          <w:iCs/>
          <w:color w:val="000000" w:themeColor="text1"/>
          <w:sz w:val="20"/>
          <w:szCs w:val="20"/>
        </w:rPr>
        <w:t>Averroes et l’Averroïsme</w:t>
      </w:r>
      <w:r w:rsidRPr="00206E86">
        <w:rPr>
          <w:rFonts w:ascii="Times New Roman" w:hAnsi="Times New Roman"/>
          <w:color w:val="000000" w:themeColor="text1"/>
          <w:sz w:val="20"/>
          <w:szCs w:val="20"/>
        </w:rPr>
        <w:t>, 3rd ed., Paris: Calmann-Lévy, 1869, p. 65; Lahoud, op. cit. (2), p. 171.</w:t>
      </w:r>
    </w:p>
  </w:endnote>
  <w:endnote w:id="10">
    <w:p w14:paraId="479CAD04" w14:textId="7DA34FD1" w:rsidR="00206E86" w:rsidRPr="00206E86" w:rsidRDefault="00206E86" w:rsidP="00206E86">
      <w:pPr>
        <w:pStyle w:val="AralkYok"/>
        <w:jc w:val="both"/>
        <w:rPr>
          <w:rFonts w:ascii="Times New Roman" w:hAnsi="Times New Roman" w:cs="Times New Roman"/>
          <w:color w:val="000000" w:themeColor="text1"/>
          <w:sz w:val="20"/>
          <w:szCs w:val="20"/>
          <w:lang w:val="tr-TR"/>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rPr>
        <w:t xml:space="preserve"> Renan, op. cit. (7), pp. 2, 29-30; </w:t>
      </w:r>
      <w:r w:rsidRPr="00206E86">
        <w:rPr>
          <w:rFonts w:ascii="Times New Roman" w:hAnsi="Times New Roman" w:cs="Times New Roman"/>
          <w:color w:val="000000" w:themeColor="text1"/>
          <w:sz w:val="20"/>
          <w:szCs w:val="20"/>
          <w:lang w:val="tr-TR"/>
        </w:rPr>
        <w:t>Griffel, op. cit. (8), pp. 36-7.</w:t>
      </w:r>
    </w:p>
  </w:endnote>
  <w:endnote w:id="11">
    <w:p w14:paraId="60A64B64" w14:textId="392F0321" w:rsidR="00206E86" w:rsidRPr="00206E86" w:rsidRDefault="00206E86" w:rsidP="00206E86">
      <w:pPr>
        <w:pStyle w:val="p1"/>
        <w:jc w:val="both"/>
        <w:rPr>
          <w:rFonts w:ascii="Times New Roman" w:hAnsi="Times New Roman"/>
          <w:color w:val="000000" w:themeColor="text1"/>
          <w:sz w:val="20"/>
          <w:szCs w:val="20"/>
        </w:rPr>
      </w:pPr>
      <w:r w:rsidRPr="00206E86">
        <w:rPr>
          <w:rStyle w:val="SonNotBavurusu"/>
          <w:rFonts w:ascii="Times New Roman" w:hAnsi="Times New Roman"/>
          <w:color w:val="000000" w:themeColor="text1"/>
          <w:sz w:val="20"/>
          <w:szCs w:val="20"/>
        </w:rPr>
        <w:endnoteRef/>
      </w:r>
      <w:r w:rsidRPr="00206E86">
        <w:rPr>
          <w:rFonts w:ascii="Times New Roman" w:hAnsi="Times New Roman"/>
          <w:color w:val="000000" w:themeColor="text1"/>
          <w:sz w:val="20"/>
          <w:szCs w:val="20"/>
        </w:rPr>
        <w:t xml:space="preserve"> For Renan’s Ibn Rushd, see Stefan Wild, </w:t>
      </w:r>
      <w:r w:rsidRPr="00206E86">
        <w:rPr>
          <w:rFonts w:ascii="Times New Roman" w:hAnsi="Times New Roman"/>
          <w:color w:val="000000" w:themeColor="text1"/>
          <w:sz w:val="20"/>
          <w:szCs w:val="20"/>
          <w:lang w:val="en-US"/>
        </w:rPr>
        <w:t>“</w:t>
      </w:r>
      <w:r w:rsidRPr="00206E86">
        <w:rPr>
          <w:rFonts w:ascii="Times New Roman" w:hAnsi="Times New Roman"/>
          <w:color w:val="000000" w:themeColor="text1"/>
          <w:sz w:val="20"/>
          <w:szCs w:val="20"/>
        </w:rPr>
        <w:t xml:space="preserve">Islamic </w:t>
      </w:r>
      <w:r>
        <w:rPr>
          <w:rFonts w:ascii="Times New Roman" w:hAnsi="Times New Roman"/>
          <w:color w:val="000000" w:themeColor="text1"/>
          <w:sz w:val="20"/>
          <w:szCs w:val="20"/>
        </w:rPr>
        <w:t>e</w:t>
      </w:r>
      <w:r w:rsidRPr="00206E86">
        <w:rPr>
          <w:rFonts w:ascii="Times New Roman" w:hAnsi="Times New Roman"/>
          <w:color w:val="000000" w:themeColor="text1"/>
          <w:sz w:val="20"/>
          <w:szCs w:val="20"/>
        </w:rPr>
        <w:t xml:space="preserve">nlightenment and the </w:t>
      </w:r>
      <w:r>
        <w:rPr>
          <w:rFonts w:ascii="Times New Roman" w:hAnsi="Times New Roman"/>
          <w:color w:val="000000" w:themeColor="text1"/>
          <w:sz w:val="20"/>
          <w:szCs w:val="20"/>
        </w:rPr>
        <w:t>p</w:t>
      </w:r>
      <w:r w:rsidRPr="00206E86">
        <w:rPr>
          <w:rFonts w:ascii="Times New Roman" w:hAnsi="Times New Roman"/>
          <w:color w:val="000000" w:themeColor="text1"/>
          <w:sz w:val="20"/>
          <w:szCs w:val="20"/>
        </w:rPr>
        <w:t>aradox of Averroes</w:t>
      </w:r>
      <w:r w:rsidRPr="00206E86">
        <w:rPr>
          <w:rFonts w:ascii="Times New Roman" w:hAnsi="Times New Roman"/>
          <w:color w:val="000000" w:themeColor="text1"/>
          <w:sz w:val="20"/>
          <w:szCs w:val="20"/>
          <w:lang w:val="tr-TR"/>
        </w:rPr>
        <w:t xml:space="preserve">”, </w:t>
      </w:r>
      <w:r w:rsidRPr="00206E86">
        <w:rPr>
          <w:rFonts w:ascii="Times New Roman" w:hAnsi="Times New Roman"/>
          <w:i/>
          <w:iCs/>
          <w:color w:val="000000" w:themeColor="text1"/>
          <w:sz w:val="20"/>
          <w:szCs w:val="20"/>
        </w:rPr>
        <w:t>Die Welt des Islams</w:t>
      </w:r>
      <w:r w:rsidRPr="00206E86">
        <w:rPr>
          <w:rFonts w:ascii="Times New Roman" w:hAnsi="Times New Roman"/>
          <w:color w:val="000000" w:themeColor="text1"/>
          <w:sz w:val="20"/>
          <w:szCs w:val="20"/>
        </w:rPr>
        <w:t xml:space="preserve"> (1996) 36 (3), pp. 379-90, 381-6; idem., “Between Ernest Renan and Ernst Bloch: Averroës </w:t>
      </w:r>
      <w:r>
        <w:rPr>
          <w:rFonts w:ascii="Times New Roman" w:hAnsi="Times New Roman"/>
          <w:color w:val="000000" w:themeColor="text1"/>
          <w:sz w:val="20"/>
          <w:szCs w:val="20"/>
        </w:rPr>
        <w:t>r</w:t>
      </w:r>
      <w:r w:rsidRPr="00206E86">
        <w:rPr>
          <w:rFonts w:ascii="Times New Roman" w:hAnsi="Times New Roman"/>
          <w:color w:val="000000" w:themeColor="text1"/>
          <w:sz w:val="20"/>
          <w:szCs w:val="20"/>
        </w:rPr>
        <w:t xml:space="preserve">emembered, </w:t>
      </w:r>
      <w:r>
        <w:rPr>
          <w:rFonts w:ascii="Times New Roman" w:hAnsi="Times New Roman"/>
          <w:color w:val="000000" w:themeColor="text1"/>
          <w:sz w:val="20"/>
          <w:szCs w:val="20"/>
        </w:rPr>
        <w:t>d</w:t>
      </w:r>
      <w:r w:rsidRPr="00206E86">
        <w:rPr>
          <w:rFonts w:ascii="Times New Roman" w:hAnsi="Times New Roman"/>
          <w:color w:val="000000" w:themeColor="text1"/>
          <w:sz w:val="20"/>
          <w:szCs w:val="20"/>
        </w:rPr>
        <w:t xml:space="preserve">iscovered, and </w:t>
      </w:r>
      <w:r>
        <w:rPr>
          <w:rFonts w:ascii="Times New Roman" w:hAnsi="Times New Roman"/>
          <w:color w:val="000000" w:themeColor="text1"/>
          <w:sz w:val="20"/>
          <w:szCs w:val="20"/>
        </w:rPr>
        <w:t>i</w:t>
      </w:r>
      <w:r w:rsidRPr="00206E86">
        <w:rPr>
          <w:rFonts w:ascii="Times New Roman" w:hAnsi="Times New Roman"/>
          <w:color w:val="000000" w:themeColor="text1"/>
          <w:sz w:val="20"/>
          <w:szCs w:val="20"/>
        </w:rPr>
        <w:t xml:space="preserve">nvented”, in Mona Abousenna (ed.), </w:t>
      </w:r>
      <w:r w:rsidRPr="00206E86">
        <w:rPr>
          <w:rFonts w:ascii="Times New Roman" w:hAnsi="Times New Roman"/>
          <w:i/>
          <w:iCs/>
          <w:color w:val="000000" w:themeColor="text1"/>
          <w:sz w:val="20"/>
          <w:szCs w:val="20"/>
        </w:rPr>
        <w:t>Averroës and the Enlightenment</w:t>
      </w:r>
      <w:r w:rsidRPr="00206E86">
        <w:rPr>
          <w:rFonts w:ascii="Times New Roman" w:hAnsi="Times New Roman"/>
          <w:color w:val="000000" w:themeColor="text1"/>
          <w:sz w:val="20"/>
          <w:szCs w:val="20"/>
        </w:rPr>
        <w:t>, New York: Prometheus, 1996, pp. 155-70, 157-60.</w:t>
      </w:r>
    </w:p>
  </w:endnote>
  <w:endnote w:id="12">
    <w:p w14:paraId="66A72C78" w14:textId="13926D06"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The notion first appeared in Renan’s 1865 “</w:t>
      </w:r>
      <w:r w:rsidRPr="00206E86">
        <w:rPr>
          <w:color w:val="000000" w:themeColor="text1"/>
          <w:shd w:val="clear" w:color="auto" w:fill="FFFFFF"/>
        </w:rPr>
        <w:t xml:space="preserve">Prayer on the Acropolis”; </w:t>
      </w:r>
      <w:r w:rsidRPr="00206E86">
        <w:rPr>
          <w:color w:val="000000" w:themeColor="text1"/>
        </w:rPr>
        <w:t xml:space="preserve">G.E.R. Lloyd, </w:t>
      </w:r>
      <w:r w:rsidRPr="00206E86">
        <w:rPr>
          <w:i/>
          <w:iCs/>
          <w:color w:val="000000" w:themeColor="text1"/>
        </w:rPr>
        <w:t>Expanding horizons in the history of science</w:t>
      </w:r>
      <w:r w:rsidRPr="00206E86">
        <w:rPr>
          <w:color w:val="000000" w:themeColor="text1"/>
        </w:rPr>
        <w:t>, Cambridge: Cambridge University Press, 2001, p. 32.</w:t>
      </w:r>
    </w:p>
  </w:endnote>
  <w:endnote w:id="13">
    <w:p w14:paraId="3661DC13" w14:textId="3D8002FD" w:rsidR="00206E86" w:rsidRPr="00206E86" w:rsidRDefault="00206E86" w:rsidP="00206E86">
      <w:pPr>
        <w:pStyle w:val="SonNotMetni"/>
        <w:rPr>
          <w:color w:val="000000" w:themeColor="text1"/>
          <w:lang w:val="tr-TR"/>
        </w:rPr>
      </w:pPr>
      <w:r w:rsidRPr="00206E86">
        <w:rPr>
          <w:rStyle w:val="SonNotBavurusu"/>
          <w:color w:val="000000" w:themeColor="text1"/>
        </w:rPr>
        <w:endnoteRef/>
      </w:r>
      <w:r w:rsidRPr="00206E86">
        <w:rPr>
          <w:color w:val="000000" w:themeColor="text1"/>
        </w:rPr>
        <w:t xml:space="preserve"> Namık Kemal, </w:t>
      </w:r>
      <w:r w:rsidRPr="00206E86">
        <w:rPr>
          <w:i/>
          <w:iCs/>
          <w:color w:val="000000" w:themeColor="text1"/>
          <w:lang w:val="tr-TR"/>
        </w:rPr>
        <w:t>Renan Müdâfaanâmesi</w:t>
      </w:r>
      <w:r w:rsidRPr="00206E86">
        <w:rPr>
          <w:color w:val="000000" w:themeColor="text1"/>
          <w:lang w:val="tr-TR"/>
        </w:rPr>
        <w:t>, (ed. Fuad Köprülü), Ankara: Millî Kültür Yayınları, 1962, p. 44.</w:t>
      </w:r>
    </w:p>
  </w:endnote>
  <w:endnote w:id="14">
    <w:p w14:paraId="63448EA1" w14:textId="5F5F7773"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Kemal, op. cit. (13), pp. 56, 62.</w:t>
      </w:r>
    </w:p>
  </w:endnote>
  <w:endnote w:id="15">
    <w:p w14:paraId="5820AC80" w14:textId="29FE890B" w:rsidR="00206E86" w:rsidRPr="00206E86" w:rsidRDefault="00206E86" w:rsidP="00206E86">
      <w:pPr>
        <w:pStyle w:val="SonNotMetni"/>
        <w:rPr>
          <w:color w:val="000000" w:themeColor="text1"/>
          <w:lang w:val="tr-TR"/>
        </w:rPr>
      </w:pPr>
      <w:r w:rsidRPr="00206E86">
        <w:rPr>
          <w:rStyle w:val="SonNotBavurusu"/>
          <w:color w:val="000000" w:themeColor="text1"/>
        </w:rPr>
        <w:endnoteRef/>
      </w:r>
      <w:r w:rsidRPr="00206E86">
        <w:rPr>
          <w:color w:val="000000" w:themeColor="text1"/>
        </w:rPr>
        <w:t xml:space="preserve"> Renan, </w:t>
      </w:r>
      <w:r w:rsidRPr="00206E86">
        <w:rPr>
          <w:color w:val="000000" w:themeColor="text1"/>
          <w:lang w:val="tr-TR"/>
        </w:rPr>
        <w:t xml:space="preserve">op. cit. (7), </w:t>
      </w:r>
      <w:r w:rsidRPr="00206E86">
        <w:rPr>
          <w:color w:val="000000" w:themeColor="text1"/>
        </w:rPr>
        <w:t>pp. 7-8; Edward Said, “</w:t>
      </w:r>
      <w:r w:rsidRPr="00206E86">
        <w:rPr>
          <w:color w:val="000000" w:themeColor="text1"/>
          <w:lang w:val="tr-TR"/>
        </w:rPr>
        <w:t xml:space="preserve">Islam, </w:t>
      </w:r>
      <w:r>
        <w:rPr>
          <w:color w:val="000000" w:themeColor="text1"/>
          <w:lang w:val="tr-TR"/>
        </w:rPr>
        <w:t>p</w:t>
      </w:r>
      <w:r w:rsidRPr="00206E86">
        <w:rPr>
          <w:color w:val="000000" w:themeColor="text1"/>
          <w:lang w:val="tr-TR"/>
        </w:rPr>
        <w:t xml:space="preserve">hilology and French </w:t>
      </w:r>
      <w:r>
        <w:rPr>
          <w:color w:val="000000" w:themeColor="text1"/>
          <w:lang w:val="tr-TR"/>
        </w:rPr>
        <w:t>c</w:t>
      </w:r>
      <w:r w:rsidRPr="00206E86">
        <w:rPr>
          <w:color w:val="000000" w:themeColor="text1"/>
          <w:lang w:val="tr-TR"/>
        </w:rPr>
        <w:t>ulture</w:t>
      </w:r>
      <w:r w:rsidRPr="00206E86">
        <w:rPr>
          <w:color w:val="000000" w:themeColor="text1"/>
        </w:rPr>
        <w:t>”,</w:t>
      </w:r>
      <w:r w:rsidRPr="00206E86">
        <w:rPr>
          <w:color w:val="000000" w:themeColor="text1"/>
          <w:lang w:val="tr-TR"/>
        </w:rPr>
        <w:t xml:space="preserve"> </w:t>
      </w:r>
      <w:r w:rsidRPr="00206E86">
        <w:rPr>
          <w:color w:val="000000" w:themeColor="text1"/>
        </w:rPr>
        <w:t xml:space="preserve">in </w:t>
      </w:r>
      <w:r w:rsidRPr="00206E86">
        <w:rPr>
          <w:i/>
          <w:iCs/>
          <w:color w:val="000000" w:themeColor="text1"/>
        </w:rPr>
        <w:t>The World of the Text and the Critic</w:t>
      </w:r>
      <w:r w:rsidRPr="00206E86">
        <w:rPr>
          <w:color w:val="000000" w:themeColor="text1"/>
        </w:rPr>
        <w:t xml:space="preserve">, Cambridge, MA: Harvard University 1983, pp. 268-89, 281.  </w:t>
      </w:r>
    </w:p>
  </w:endnote>
  <w:endnote w:id="16">
    <w:p w14:paraId="7886878F" w14:textId="78BFEC65"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Kemal, </w:t>
      </w:r>
      <w:r w:rsidRPr="00206E86">
        <w:rPr>
          <w:i/>
          <w:iCs/>
          <w:color w:val="000000" w:themeColor="text1"/>
          <w:lang w:val="tr-TR"/>
        </w:rPr>
        <w:t xml:space="preserve">Renan </w:t>
      </w:r>
      <w:r w:rsidRPr="00206E86">
        <w:rPr>
          <w:color w:val="000000" w:themeColor="text1"/>
          <w:lang w:val="tr-TR"/>
        </w:rPr>
        <w:t>op. cit. (13), p. 45.</w:t>
      </w:r>
    </w:p>
  </w:endnote>
  <w:endnote w:id="17">
    <w:p w14:paraId="61233BA7" w14:textId="116E96E8" w:rsidR="00206E86" w:rsidRPr="00206E86" w:rsidRDefault="00206E86" w:rsidP="00206E86">
      <w:pPr>
        <w:pStyle w:val="SonNotMetni"/>
        <w:rPr>
          <w:color w:val="000000" w:themeColor="text1"/>
          <w:lang w:val="tr-TR"/>
        </w:rPr>
      </w:pPr>
      <w:r w:rsidRPr="00206E86">
        <w:rPr>
          <w:rStyle w:val="SonNotBavurusu"/>
          <w:color w:val="000000" w:themeColor="text1"/>
        </w:rPr>
        <w:endnoteRef/>
      </w:r>
      <w:r w:rsidRPr="00206E86">
        <w:rPr>
          <w:color w:val="000000" w:themeColor="text1"/>
        </w:rPr>
        <w:t xml:space="preserve"> </w:t>
      </w:r>
      <w:r w:rsidRPr="00206E86">
        <w:rPr>
          <w:color w:val="000000" w:themeColor="text1"/>
          <w:lang w:val="tr-TR"/>
        </w:rPr>
        <w:t>Kemal, op. cit (13), p. 45.</w:t>
      </w:r>
    </w:p>
  </w:endnote>
  <w:endnote w:id="18">
    <w:p w14:paraId="0EA7D90B" w14:textId="36E6B75A" w:rsidR="00206E86" w:rsidRPr="00206E86" w:rsidRDefault="00206E86" w:rsidP="00206E86">
      <w:pPr>
        <w:pStyle w:val="SonNotMetni"/>
        <w:rPr>
          <w:color w:val="000000" w:themeColor="text1"/>
          <w:lang w:val="tr-TR"/>
        </w:rPr>
      </w:pPr>
      <w:r w:rsidRPr="00206E86">
        <w:rPr>
          <w:rStyle w:val="SonNotBavurusu"/>
          <w:color w:val="000000" w:themeColor="text1"/>
        </w:rPr>
        <w:endnoteRef/>
      </w:r>
      <w:r w:rsidRPr="00206E86">
        <w:rPr>
          <w:color w:val="000000" w:themeColor="text1"/>
        </w:rPr>
        <w:t xml:space="preserve"> </w:t>
      </w:r>
      <w:r w:rsidRPr="00206E86">
        <w:rPr>
          <w:color w:val="000000" w:themeColor="text1"/>
          <w:lang w:val="tr-TR"/>
        </w:rPr>
        <w:t>Kemal, op. cit. (13), p. 28.</w:t>
      </w:r>
    </w:p>
  </w:endnote>
  <w:endnote w:id="19">
    <w:p w14:paraId="3CE3798E" w14:textId="302BC975"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lang w:val="tr-TR"/>
        </w:rPr>
        <w:t xml:space="preserve"> Kemal, op. cit. (13), pp. 29, 47.</w:t>
      </w:r>
    </w:p>
  </w:endnote>
  <w:endnote w:id="20">
    <w:p w14:paraId="7DBB21E3" w14:textId="1750F3B6" w:rsidR="00206E86" w:rsidRPr="00206E86" w:rsidRDefault="00206E86" w:rsidP="00206E86">
      <w:pPr>
        <w:pStyle w:val="SonNotMetni"/>
        <w:rPr>
          <w:color w:val="000000" w:themeColor="text1"/>
          <w:lang w:val="tr-TR"/>
        </w:rPr>
      </w:pPr>
      <w:r w:rsidRPr="00206E86">
        <w:rPr>
          <w:rStyle w:val="SonNotBavurusu"/>
          <w:color w:val="000000" w:themeColor="text1"/>
        </w:rPr>
        <w:endnoteRef/>
      </w:r>
      <w:r w:rsidRPr="00206E86">
        <w:rPr>
          <w:color w:val="000000" w:themeColor="text1"/>
        </w:rPr>
        <w:t xml:space="preserve"> </w:t>
      </w:r>
      <w:r w:rsidRPr="00206E86">
        <w:rPr>
          <w:color w:val="000000" w:themeColor="text1"/>
          <w:lang w:val="tr-TR"/>
        </w:rPr>
        <w:t>Kemal, op. cit. (13)</w:t>
      </w:r>
      <w:r w:rsidRPr="00206E86">
        <w:rPr>
          <w:color w:val="000000" w:themeColor="text1"/>
        </w:rPr>
        <w:t>, pp. 44, 129–30.</w:t>
      </w:r>
    </w:p>
  </w:endnote>
  <w:endnote w:id="21">
    <w:p w14:paraId="0F0FF17C" w14:textId="355FB78F"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Cündioğlu, op. cit. (6)</w:t>
      </w:r>
      <w:r w:rsidRPr="00206E86">
        <w:rPr>
          <w:color w:val="000000" w:themeColor="text1"/>
          <w:lang w:val="tr-TR"/>
        </w:rPr>
        <w:t xml:space="preserve">, 38-80; </w:t>
      </w:r>
      <w:r w:rsidRPr="00206E86">
        <w:rPr>
          <w:color w:val="000000" w:themeColor="text1"/>
        </w:rPr>
        <w:t xml:space="preserve">Nikki Keddie, </w:t>
      </w:r>
      <w:r w:rsidRPr="00206E86">
        <w:rPr>
          <w:i/>
          <w:iCs/>
          <w:color w:val="000000" w:themeColor="text1"/>
        </w:rPr>
        <w:t xml:space="preserve">An Islamic </w:t>
      </w:r>
      <w:r>
        <w:rPr>
          <w:i/>
          <w:iCs/>
          <w:color w:val="000000" w:themeColor="text1"/>
        </w:rPr>
        <w:t>R</w:t>
      </w:r>
      <w:r w:rsidRPr="00206E86">
        <w:rPr>
          <w:i/>
          <w:iCs/>
          <w:color w:val="000000" w:themeColor="text1"/>
        </w:rPr>
        <w:t xml:space="preserve">esponse to </w:t>
      </w:r>
      <w:r>
        <w:rPr>
          <w:i/>
          <w:iCs/>
          <w:color w:val="000000" w:themeColor="text1"/>
        </w:rPr>
        <w:t>I</w:t>
      </w:r>
      <w:r w:rsidRPr="00206E86">
        <w:rPr>
          <w:i/>
          <w:iCs/>
          <w:color w:val="000000" w:themeColor="text1"/>
        </w:rPr>
        <w:t>mperialism</w:t>
      </w:r>
      <w:r w:rsidRPr="00206E86">
        <w:rPr>
          <w:color w:val="000000" w:themeColor="text1"/>
        </w:rPr>
        <w:t>, Berkeley: UC Press, 1968, pp. 84-95, 181-7.</w:t>
      </w:r>
    </w:p>
  </w:endnote>
  <w:endnote w:id="22">
    <w:p w14:paraId="71AFEACD" w14:textId="322A3C07" w:rsidR="00206E86" w:rsidRPr="00206E86" w:rsidRDefault="00206E86" w:rsidP="00206E86">
      <w:pPr>
        <w:pStyle w:val="AralkYok"/>
        <w:jc w:val="both"/>
        <w:rPr>
          <w:rFonts w:ascii="Times New Roman" w:hAnsi="Times New Roman" w:cs="Times New Roman"/>
          <w:color w:val="000000" w:themeColor="text1"/>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rPr>
        <w:t xml:space="preserve"> ʿAtāʾullāh Bāyezīdov, </w:t>
      </w:r>
      <w:r w:rsidRPr="00206E86">
        <w:rPr>
          <w:rFonts w:ascii="Times New Roman" w:hAnsi="Times New Roman" w:cs="Times New Roman"/>
          <w:i/>
          <w:iCs/>
          <w:color w:val="000000" w:themeColor="text1"/>
          <w:sz w:val="20"/>
          <w:szCs w:val="20"/>
        </w:rPr>
        <w:t>Redd-i Renān</w:t>
      </w:r>
      <w:r w:rsidRPr="00206E86">
        <w:rPr>
          <w:rFonts w:ascii="Times New Roman" w:hAnsi="Times New Roman" w:cs="Times New Roman"/>
          <w:color w:val="000000" w:themeColor="text1"/>
          <w:sz w:val="20"/>
          <w:szCs w:val="20"/>
        </w:rPr>
        <w:t xml:space="preserve"> (tr. Gülnār Olga and Aḥmed Cevdet), Istanbul: Tercümān-ı Ḥaḳīḳat, 1308/1890-1</w:t>
      </w:r>
      <w:r w:rsidRPr="00206E86">
        <w:rPr>
          <w:rFonts w:ascii="Times New Roman" w:hAnsi="Times New Roman" w:cs="Times New Roman"/>
          <w:color w:val="000000" w:themeColor="text1"/>
          <w:sz w:val="20"/>
          <w:szCs w:val="20"/>
          <w:lang w:val="tr-TR"/>
        </w:rPr>
        <w:t xml:space="preserve">, p. </w:t>
      </w:r>
      <w:r w:rsidRPr="00206E86">
        <w:rPr>
          <w:rFonts w:ascii="Times New Roman" w:hAnsi="Times New Roman" w:cs="Times New Roman"/>
          <w:color w:val="000000" w:themeColor="text1"/>
          <w:sz w:val="20"/>
          <w:szCs w:val="20"/>
        </w:rPr>
        <w:t>68.</w:t>
      </w:r>
    </w:p>
  </w:endnote>
  <w:endnote w:id="23">
    <w:p w14:paraId="04CFA2A0" w14:textId="549464D8"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 Ḫayālī, </w:t>
      </w:r>
      <w:r w:rsidRPr="00206E86">
        <w:rPr>
          <w:rStyle w:val="Gl"/>
          <w:b w:val="0"/>
          <w:bCs w:val="0"/>
          <w:color w:val="000000" w:themeColor="text1"/>
        </w:rPr>
        <w:t>ʿAḳāʾid-i Taftāzānī’ye</w:t>
      </w:r>
      <w:r w:rsidRPr="00206E86">
        <w:rPr>
          <w:b/>
          <w:bCs/>
          <w:color w:val="000000" w:themeColor="text1"/>
        </w:rPr>
        <w:t xml:space="preserve"> </w:t>
      </w:r>
      <w:r w:rsidRPr="00206E86">
        <w:rPr>
          <w:color w:val="000000" w:themeColor="text1"/>
        </w:rPr>
        <w:t>dāʾir yazmış olduġu ḥāşiyesinde diyorki: “Bir naḳlin muḳāren ʿaḳlı olmayan taḳātı, mecāz olmaḳ üzere telaḳḳī idilüb, anları ilġāz u meyānına degil, ʿaḳla tevkīfen īżāḥ itmelidir.” Ḫayālī’nin [bu]</w:t>
      </w:r>
      <w:r w:rsidRPr="00206E86">
        <w:rPr>
          <w:color w:val="000000" w:themeColor="text1"/>
          <w:lang w:val="tr-TR"/>
        </w:rPr>
        <w:t xml:space="preserve"> </w:t>
      </w:r>
      <w:r w:rsidRPr="00206E86">
        <w:rPr>
          <w:color w:val="000000" w:themeColor="text1"/>
        </w:rPr>
        <w:t>beyānına göre ʿaḳl, naḳlden muḳaddemdir”; Bāyezīdov, op. cit. (22), p. 67.</w:t>
      </w:r>
    </w:p>
  </w:endnote>
  <w:endnote w:id="24">
    <w:p w14:paraId="2C9E9A09" w14:textId="2E1C9EEF"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On the status of theology, see Birgit Schäbler, “Ataullah Baiazitov vs Ernest Renan: Islamic </w:t>
      </w:r>
      <w:r>
        <w:rPr>
          <w:color w:val="000000" w:themeColor="text1"/>
        </w:rPr>
        <w:t>d</w:t>
      </w:r>
      <w:r w:rsidRPr="00206E86">
        <w:rPr>
          <w:color w:val="000000" w:themeColor="text1"/>
        </w:rPr>
        <w:t xml:space="preserve">ialectical </w:t>
      </w:r>
      <w:r>
        <w:rPr>
          <w:color w:val="000000" w:themeColor="text1"/>
        </w:rPr>
        <w:t>t</w:t>
      </w:r>
      <w:r w:rsidRPr="00206E86">
        <w:rPr>
          <w:color w:val="000000" w:themeColor="text1"/>
        </w:rPr>
        <w:t xml:space="preserve">heology </w:t>
      </w:r>
      <w:r>
        <w:rPr>
          <w:color w:val="000000" w:themeColor="text1"/>
        </w:rPr>
        <w:t>b</w:t>
      </w:r>
      <w:r w:rsidRPr="00206E86">
        <w:rPr>
          <w:color w:val="000000" w:themeColor="text1"/>
        </w:rPr>
        <w:t xml:space="preserve">eats Orientalism”, </w:t>
      </w:r>
      <w:r w:rsidRPr="00206E86">
        <w:rPr>
          <w:i/>
          <w:iCs/>
          <w:color w:val="000000" w:themeColor="text1"/>
        </w:rPr>
        <w:t xml:space="preserve">Ishraq </w:t>
      </w:r>
      <w:r w:rsidRPr="00206E86">
        <w:rPr>
          <w:color w:val="000000" w:themeColor="text1"/>
        </w:rPr>
        <w:t>(2024) 2 (2), pp. 45-54.</w:t>
      </w:r>
    </w:p>
  </w:endnote>
  <w:endnote w:id="25">
    <w:p w14:paraId="5B8810CD" w14:textId="3C0A3E2B" w:rsidR="00206E86" w:rsidRPr="00206E86" w:rsidRDefault="00206E86" w:rsidP="00206E86">
      <w:pPr>
        <w:pStyle w:val="AralkYok"/>
        <w:jc w:val="both"/>
        <w:rPr>
          <w:rFonts w:ascii="Times New Roman" w:eastAsia="Times New Roman" w:hAnsi="Times New Roman" w:cs="Times New Roman"/>
          <w:color w:val="000000" w:themeColor="text1"/>
          <w:kern w:val="36"/>
          <w:sz w:val="20"/>
          <w:szCs w:val="20"/>
          <w14:ligatures w14:val="none"/>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rPr>
        <w:t xml:space="preserve"> Alper Yalçınkaya, “Muslims’ </w:t>
      </w:r>
      <w:r>
        <w:rPr>
          <w:rFonts w:ascii="Times New Roman" w:hAnsi="Times New Roman" w:cs="Times New Roman"/>
          <w:color w:val="000000" w:themeColor="text1"/>
          <w:sz w:val="20"/>
          <w:szCs w:val="20"/>
        </w:rPr>
        <w:t>c</w:t>
      </w:r>
      <w:r w:rsidRPr="00206E86">
        <w:rPr>
          <w:rFonts w:ascii="Times New Roman" w:hAnsi="Times New Roman" w:cs="Times New Roman"/>
          <w:color w:val="000000" w:themeColor="text1"/>
          <w:sz w:val="20"/>
          <w:szCs w:val="20"/>
        </w:rPr>
        <w:t xml:space="preserve">ontributions to </w:t>
      </w:r>
      <w:r>
        <w:rPr>
          <w:rFonts w:ascii="Times New Roman" w:hAnsi="Times New Roman" w:cs="Times New Roman"/>
          <w:color w:val="000000" w:themeColor="text1"/>
          <w:sz w:val="20"/>
          <w:szCs w:val="20"/>
        </w:rPr>
        <w:t>s</w:t>
      </w:r>
      <w:r w:rsidRPr="00206E86">
        <w:rPr>
          <w:rFonts w:ascii="Times New Roman" w:hAnsi="Times New Roman" w:cs="Times New Roman"/>
          <w:color w:val="000000" w:themeColor="text1"/>
          <w:sz w:val="20"/>
          <w:szCs w:val="20"/>
        </w:rPr>
        <w:t xml:space="preserve">cience and Ottoman </w:t>
      </w:r>
      <w:r>
        <w:rPr>
          <w:rFonts w:ascii="Times New Roman" w:hAnsi="Times New Roman" w:cs="Times New Roman"/>
          <w:color w:val="000000" w:themeColor="text1"/>
          <w:sz w:val="20"/>
          <w:szCs w:val="20"/>
        </w:rPr>
        <w:t>i</w:t>
      </w:r>
      <w:r w:rsidRPr="00206E86">
        <w:rPr>
          <w:rFonts w:ascii="Times New Roman" w:hAnsi="Times New Roman" w:cs="Times New Roman"/>
          <w:color w:val="000000" w:themeColor="text1"/>
          <w:sz w:val="20"/>
          <w:szCs w:val="20"/>
        </w:rPr>
        <w:t xml:space="preserve">dentity”, </w:t>
      </w:r>
      <w:r w:rsidRPr="00206E86">
        <w:rPr>
          <w:rFonts w:ascii="Times New Roman" w:hAnsi="Times New Roman" w:cs="Times New Roman"/>
          <w:color w:val="000000" w:themeColor="text1"/>
          <w:sz w:val="20"/>
          <w:szCs w:val="20"/>
          <w:shd w:val="clear" w:color="auto" w:fill="FFFFFF"/>
        </w:rPr>
        <w:t xml:space="preserve">in Christine Isom-Verhaaren and Kent Schull (eds.), </w:t>
      </w:r>
      <w:r w:rsidRPr="00206E86">
        <w:rPr>
          <w:rFonts w:ascii="Times New Roman" w:eastAsia="Times New Roman" w:hAnsi="Times New Roman" w:cs="Times New Roman"/>
          <w:i/>
          <w:iCs/>
          <w:color w:val="000000" w:themeColor="text1"/>
          <w:kern w:val="36"/>
          <w:sz w:val="20"/>
          <w:szCs w:val="20"/>
          <w14:ligatures w14:val="none"/>
        </w:rPr>
        <w:t>Living in the Ottoman Realm</w:t>
      </w:r>
      <w:r w:rsidRPr="00206E86">
        <w:rPr>
          <w:rFonts w:ascii="Times New Roman" w:eastAsia="Times New Roman" w:hAnsi="Times New Roman" w:cs="Times New Roman"/>
          <w:color w:val="000000" w:themeColor="text1"/>
          <w:kern w:val="36"/>
          <w:sz w:val="20"/>
          <w:szCs w:val="20"/>
          <w14:ligatures w14:val="none"/>
        </w:rPr>
        <w:t>, Indianapolis: Indiana University Press, 2016, pp. 272-83,</w:t>
      </w:r>
      <w:r w:rsidRPr="00206E86">
        <w:rPr>
          <w:rFonts w:ascii="Times New Roman" w:hAnsi="Times New Roman" w:cs="Times New Roman"/>
          <w:color w:val="000000" w:themeColor="text1"/>
          <w:sz w:val="20"/>
          <w:szCs w:val="20"/>
        </w:rPr>
        <w:t xml:space="preserve"> 273–4; Selim Deringil, </w:t>
      </w:r>
      <w:r w:rsidRPr="00206E86">
        <w:rPr>
          <w:rFonts w:ascii="Times New Roman" w:eastAsia="Times New Roman" w:hAnsi="Times New Roman" w:cs="Times New Roman"/>
          <w:i/>
          <w:iCs/>
          <w:color w:val="000000" w:themeColor="text1"/>
          <w:kern w:val="36"/>
          <w:sz w:val="20"/>
          <w:szCs w:val="20"/>
          <w14:ligatures w14:val="none"/>
        </w:rPr>
        <w:t>The Well-Protected Domains</w:t>
      </w:r>
      <w:r w:rsidRPr="00206E86">
        <w:rPr>
          <w:rFonts w:ascii="Times New Roman" w:eastAsia="Times New Roman" w:hAnsi="Times New Roman" w:cs="Times New Roman"/>
          <w:color w:val="000000" w:themeColor="text1"/>
          <w:kern w:val="36"/>
          <w:sz w:val="20"/>
          <w:szCs w:val="20"/>
          <w14:ligatures w14:val="none"/>
        </w:rPr>
        <w:t>,</w:t>
      </w:r>
      <w:r w:rsidRPr="00206E86">
        <w:rPr>
          <w:rFonts w:ascii="Times New Roman" w:eastAsia="Times New Roman" w:hAnsi="Times New Roman" w:cs="Times New Roman"/>
          <w:i/>
          <w:iCs/>
          <w:color w:val="000000" w:themeColor="text1"/>
          <w:kern w:val="36"/>
          <w:sz w:val="20"/>
          <w:szCs w:val="20"/>
          <w14:ligatures w14:val="none"/>
        </w:rPr>
        <w:t xml:space="preserve"> </w:t>
      </w:r>
      <w:r w:rsidRPr="00206E86">
        <w:rPr>
          <w:rFonts w:ascii="Times New Roman" w:eastAsia="Times New Roman" w:hAnsi="Times New Roman" w:cs="Times New Roman"/>
          <w:color w:val="000000" w:themeColor="text1"/>
          <w:kern w:val="36"/>
          <w:sz w:val="20"/>
          <w:szCs w:val="20"/>
          <w14:ligatures w14:val="none"/>
        </w:rPr>
        <w:t>London: I.B. Tauris, 2011, pp. 171-2.</w:t>
      </w:r>
    </w:p>
  </w:endnote>
  <w:endnote w:id="26">
    <w:p w14:paraId="0DF977E5" w14:textId="57447F25"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Marwa Elshakry, “When </w:t>
      </w:r>
      <w:r>
        <w:rPr>
          <w:color w:val="000000" w:themeColor="text1"/>
        </w:rPr>
        <w:t>s</w:t>
      </w:r>
      <w:r w:rsidRPr="00206E86">
        <w:rPr>
          <w:color w:val="000000" w:themeColor="text1"/>
        </w:rPr>
        <w:t xml:space="preserve">cience </w:t>
      </w:r>
      <w:r>
        <w:rPr>
          <w:color w:val="000000" w:themeColor="text1"/>
        </w:rPr>
        <w:t>b</w:t>
      </w:r>
      <w:r w:rsidRPr="00206E86">
        <w:rPr>
          <w:color w:val="000000" w:themeColor="text1"/>
        </w:rPr>
        <w:t>ecame Western”,</w:t>
      </w:r>
      <w:r w:rsidRPr="00206E86">
        <w:rPr>
          <w:color w:val="000000" w:themeColor="text1"/>
          <w:lang w:val="tr-TR"/>
        </w:rPr>
        <w:t xml:space="preserve"> </w:t>
      </w:r>
      <w:r w:rsidRPr="00206E86">
        <w:rPr>
          <w:i/>
          <w:iCs/>
          <w:color w:val="000000" w:themeColor="text1"/>
          <w:lang w:val="tr-TR"/>
        </w:rPr>
        <w:t xml:space="preserve">Isis </w:t>
      </w:r>
      <w:r w:rsidRPr="00206E86">
        <w:rPr>
          <w:color w:val="000000" w:themeColor="text1"/>
          <w:lang w:val="tr-TR"/>
        </w:rPr>
        <w:t>(2010) 101, pp. 98-109.</w:t>
      </w:r>
    </w:p>
  </w:endnote>
  <w:endnote w:id="27">
    <w:p w14:paraId="3679437D" w14:textId="32E62B18" w:rsidR="00206E86" w:rsidRPr="00206E86" w:rsidRDefault="00206E86" w:rsidP="00206E86">
      <w:pPr>
        <w:pStyle w:val="AralkYok"/>
        <w:jc w:val="both"/>
        <w:rPr>
          <w:rFonts w:ascii="Times New Roman" w:hAnsi="Times New Roman" w:cs="Times New Roman"/>
          <w:color w:val="000000" w:themeColor="text1"/>
          <w:sz w:val="20"/>
          <w:szCs w:val="20"/>
          <w:lang w:eastAsia="tr-TR"/>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rPr>
        <w:t xml:space="preserve"> Eadem.</w:t>
      </w:r>
      <w:r w:rsidRPr="00206E86">
        <w:rPr>
          <w:rFonts w:ascii="Times New Roman" w:hAnsi="Times New Roman" w:cs="Times New Roman"/>
          <w:color w:val="000000" w:themeColor="text1"/>
          <w:sz w:val="20"/>
          <w:szCs w:val="20"/>
          <w:lang w:eastAsia="tr-TR"/>
        </w:rPr>
        <w:t xml:space="preserve">, “The </w:t>
      </w:r>
      <w:r>
        <w:rPr>
          <w:rFonts w:ascii="Times New Roman" w:hAnsi="Times New Roman" w:cs="Times New Roman"/>
          <w:color w:val="000000" w:themeColor="text1"/>
          <w:sz w:val="20"/>
          <w:szCs w:val="20"/>
          <w:lang w:eastAsia="tr-TR"/>
        </w:rPr>
        <w:t>i</w:t>
      </w:r>
      <w:r w:rsidRPr="00206E86">
        <w:rPr>
          <w:rFonts w:ascii="Times New Roman" w:hAnsi="Times New Roman" w:cs="Times New Roman"/>
          <w:color w:val="000000" w:themeColor="text1"/>
          <w:sz w:val="20"/>
          <w:szCs w:val="20"/>
          <w:lang w:eastAsia="tr-TR"/>
        </w:rPr>
        <w:t xml:space="preserve">nvention of the Muslim </w:t>
      </w:r>
      <w:r>
        <w:rPr>
          <w:rFonts w:ascii="Times New Roman" w:hAnsi="Times New Roman" w:cs="Times New Roman"/>
          <w:color w:val="000000" w:themeColor="text1"/>
          <w:sz w:val="20"/>
          <w:szCs w:val="20"/>
          <w:lang w:eastAsia="tr-TR"/>
        </w:rPr>
        <w:t>g</w:t>
      </w:r>
      <w:r w:rsidRPr="00206E86">
        <w:rPr>
          <w:rFonts w:ascii="Times New Roman" w:hAnsi="Times New Roman" w:cs="Times New Roman"/>
          <w:color w:val="000000" w:themeColor="text1"/>
          <w:sz w:val="20"/>
          <w:szCs w:val="20"/>
          <w:lang w:eastAsia="tr-TR"/>
        </w:rPr>
        <w:t xml:space="preserve">olden </w:t>
      </w:r>
      <w:r>
        <w:rPr>
          <w:rFonts w:ascii="Times New Roman" w:hAnsi="Times New Roman" w:cs="Times New Roman"/>
          <w:color w:val="000000" w:themeColor="text1"/>
          <w:sz w:val="20"/>
          <w:szCs w:val="20"/>
          <w:lang w:eastAsia="tr-TR"/>
        </w:rPr>
        <w:t>a</w:t>
      </w:r>
      <w:r w:rsidRPr="00206E86">
        <w:rPr>
          <w:rFonts w:ascii="Times New Roman" w:hAnsi="Times New Roman" w:cs="Times New Roman"/>
          <w:color w:val="000000" w:themeColor="text1"/>
          <w:sz w:val="20"/>
          <w:szCs w:val="20"/>
          <w:lang w:eastAsia="tr-TR"/>
        </w:rPr>
        <w:t xml:space="preserve">ge: </w:t>
      </w:r>
      <w:r>
        <w:rPr>
          <w:rFonts w:ascii="Times New Roman" w:hAnsi="Times New Roman" w:cs="Times New Roman"/>
          <w:color w:val="000000" w:themeColor="text1"/>
          <w:sz w:val="20"/>
          <w:szCs w:val="20"/>
          <w:lang w:eastAsia="tr-TR"/>
        </w:rPr>
        <w:t>u</w:t>
      </w:r>
      <w:r w:rsidRPr="00206E86">
        <w:rPr>
          <w:rFonts w:ascii="Times New Roman" w:hAnsi="Times New Roman" w:cs="Times New Roman"/>
          <w:color w:val="000000" w:themeColor="text1"/>
          <w:sz w:val="20"/>
          <w:szCs w:val="20"/>
          <w:lang w:eastAsia="tr-TR"/>
        </w:rPr>
        <w:t xml:space="preserve">niversal </w:t>
      </w:r>
      <w:r>
        <w:rPr>
          <w:rFonts w:ascii="Times New Roman" w:hAnsi="Times New Roman" w:cs="Times New Roman"/>
          <w:color w:val="000000" w:themeColor="text1"/>
          <w:sz w:val="20"/>
          <w:szCs w:val="20"/>
          <w:lang w:eastAsia="tr-TR"/>
        </w:rPr>
        <w:t>h</w:t>
      </w:r>
      <w:r w:rsidRPr="00206E86">
        <w:rPr>
          <w:rFonts w:ascii="Times New Roman" w:hAnsi="Times New Roman" w:cs="Times New Roman"/>
          <w:color w:val="000000" w:themeColor="text1"/>
          <w:sz w:val="20"/>
          <w:szCs w:val="20"/>
          <w:lang w:eastAsia="tr-TR"/>
        </w:rPr>
        <w:t xml:space="preserve">istory, the Arabs, </w:t>
      </w:r>
      <w:r>
        <w:rPr>
          <w:rFonts w:ascii="Times New Roman" w:hAnsi="Times New Roman" w:cs="Times New Roman"/>
          <w:color w:val="000000" w:themeColor="text1"/>
          <w:sz w:val="20"/>
          <w:szCs w:val="20"/>
          <w:lang w:eastAsia="tr-TR"/>
        </w:rPr>
        <w:t>s</w:t>
      </w:r>
      <w:r w:rsidRPr="00206E86">
        <w:rPr>
          <w:rFonts w:ascii="Times New Roman" w:hAnsi="Times New Roman" w:cs="Times New Roman"/>
          <w:color w:val="000000" w:themeColor="text1"/>
          <w:sz w:val="20"/>
          <w:szCs w:val="20"/>
          <w:lang w:eastAsia="tr-TR"/>
        </w:rPr>
        <w:t xml:space="preserve">cience, and Islam”, </w:t>
      </w:r>
      <w:r w:rsidRPr="00206E86">
        <w:rPr>
          <w:rFonts w:ascii="Times New Roman" w:hAnsi="Times New Roman" w:cs="Times New Roman"/>
          <w:i/>
          <w:iCs/>
          <w:color w:val="000000" w:themeColor="text1"/>
          <w:sz w:val="20"/>
          <w:szCs w:val="20"/>
          <w:lang w:eastAsia="tr-TR"/>
        </w:rPr>
        <w:t xml:space="preserve">History of Science </w:t>
      </w:r>
      <w:r w:rsidRPr="00206E86">
        <w:rPr>
          <w:rFonts w:ascii="Times New Roman" w:hAnsi="Times New Roman" w:cs="Times New Roman"/>
          <w:color w:val="000000" w:themeColor="text1"/>
          <w:sz w:val="20"/>
          <w:szCs w:val="20"/>
          <w:lang w:eastAsia="tr-TR"/>
        </w:rPr>
        <w:t>(2013), 51 (4), pp. 80-102.</w:t>
      </w:r>
    </w:p>
  </w:endnote>
  <w:endnote w:id="28">
    <w:p w14:paraId="651EEE32" w14:textId="77777777" w:rsidR="00206E86" w:rsidRPr="00206E86" w:rsidRDefault="00206E86" w:rsidP="00206E86">
      <w:pPr>
        <w:pStyle w:val="SonNotMetni"/>
        <w:rPr>
          <w:color w:val="000000" w:themeColor="text1"/>
          <w:lang w:val="tr-TR"/>
        </w:rPr>
      </w:pPr>
      <w:r w:rsidRPr="00206E86">
        <w:rPr>
          <w:rStyle w:val="SonNotBavurusu"/>
          <w:color w:val="000000" w:themeColor="text1"/>
        </w:rPr>
        <w:endnoteRef/>
      </w:r>
      <w:r w:rsidRPr="00206E86">
        <w:rPr>
          <w:color w:val="000000" w:themeColor="text1"/>
        </w:rPr>
        <w:t xml:space="preserve"> Şemseddīn Sāmī,</w:t>
      </w:r>
      <w:r w:rsidRPr="00206E86">
        <w:rPr>
          <w:i/>
          <w:iCs/>
          <w:color w:val="000000" w:themeColor="text1"/>
        </w:rPr>
        <w:t xml:space="preserve"> Medeniyyet-i İslāmiyye</w:t>
      </w:r>
      <w:r w:rsidRPr="00206E86">
        <w:rPr>
          <w:color w:val="000000" w:themeColor="text1"/>
        </w:rPr>
        <w:t>, Istanbul: Mihrān, 1297/</w:t>
      </w:r>
      <w:r w:rsidRPr="00206E86">
        <w:rPr>
          <w:color w:val="000000" w:themeColor="text1"/>
          <w:lang w:val="tr-TR"/>
        </w:rPr>
        <w:t>1879</w:t>
      </w:r>
      <w:r w:rsidRPr="00206E86">
        <w:rPr>
          <w:color w:val="000000" w:themeColor="text1"/>
        </w:rPr>
        <w:t>, pp. 17-8.</w:t>
      </w:r>
    </w:p>
  </w:endnote>
  <w:endnote w:id="29">
    <w:p w14:paraId="6EA4E18F" w14:textId="0381F458" w:rsidR="00206E86" w:rsidRPr="00206E86" w:rsidRDefault="00206E86" w:rsidP="00206E86">
      <w:pPr>
        <w:pStyle w:val="SonNotMetni"/>
        <w:rPr>
          <w:color w:val="000000" w:themeColor="text1"/>
          <w:lang w:val="tr-TR"/>
        </w:rPr>
      </w:pPr>
      <w:r w:rsidRPr="00206E86">
        <w:rPr>
          <w:rStyle w:val="SonNotBavurusu"/>
          <w:color w:val="000000" w:themeColor="text1"/>
        </w:rPr>
        <w:endnoteRef/>
      </w:r>
      <w:r w:rsidRPr="00206E86">
        <w:rPr>
          <w:color w:val="000000" w:themeColor="text1"/>
          <w:lang w:val="tr-TR"/>
        </w:rPr>
        <w:t xml:space="preserve"> Sāmī, op. cit. (28), pp. 18-9.</w:t>
      </w:r>
    </w:p>
  </w:endnote>
  <w:endnote w:id="30">
    <w:p w14:paraId="466E0C48" w14:textId="333626C8"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Sāmī, op. cit. (28), p. 19. </w:t>
      </w:r>
    </w:p>
  </w:endnote>
  <w:endnote w:id="31">
    <w:p w14:paraId="06D9FE33" w14:textId="5600BB68"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Louis Viardot, </w:t>
      </w:r>
      <w:r w:rsidRPr="00206E86">
        <w:rPr>
          <w:i/>
          <w:iCs/>
          <w:color w:val="000000" w:themeColor="text1"/>
          <w:lang w:val="tr-TR"/>
        </w:rPr>
        <w:t>Endülüs Tārīḫi</w:t>
      </w:r>
      <w:r w:rsidRPr="00206E86">
        <w:rPr>
          <w:color w:val="000000" w:themeColor="text1"/>
          <w:lang w:val="tr-TR"/>
        </w:rPr>
        <w:t xml:space="preserve"> (tr. Żiyā Paşa), vol. 2, Istanbul: Taḳvīmḫāne-i ʿĀmire, 1276–80/1859–64, pp. 514–5</w:t>
      </w:r>
      <w:r w:rsidRPr="00206E86">
        <w:rPr>
          <w:color w:val="000000" w:themeColor="text1"/>
          <w:kern w:val="2"/>
          <w:lang w:val="tr-TR"/>
          <w14:ligatures w14:val="standardContextual"/>
        </w:rPr>
        <w:t xml:space="preserve">. </w:t>
      </w:r>
    </w:p>
  </w:endnote>
  <w:endnote w:id="32">
    <w:p w14:paraId="73F9AE69" w14:textId="59D7DCA5" w:rsidR="00206E86" w:rsidRPr="00206E86" w:rsidRDefault="00206E86" w:rsidP="00206E86">
      <w:pPr>
        <w:pStyle w:val="SonNotMetni"/>
        <w:rPr>
          <w:color w:val="000000" w:themeColor="text1"/>
          <w:lang w:val="tr-TR"/>
        </w:rPr>
      </w:pPr>
      <w:r w:rsidRPr="00206E86">
        <w:rPr>
          <w:rStyle w:val="SonNotBavurusu"/>
          <w:color w:val="000000" w:themeColor="text1"/>
        </w:rPr>
        <w:endnoteRef/>
      </w:r>
      <w:r w:rsidRPr="00206E86">
        <w:rPr>
          <w:color w:val="000000" w:themeColor="text1"/>
          <w:lang w:val="tr-TR"/>
        </w:rPr>
        <w:t xml:space="preserve"> Sāmī, op. cit. (28), pp. </w:t>
      </w:r>
      <w:r w:rsidRPr="00206E86">
        <w:rPr>
          <w:color w:val="000000" w:themeColor="text1"/>
          <w:kern w:val="2"/>
          <w:lang w:val="tr-TR"/>
          <w14:ligatures w14:val="standardContextual"/>
        </w:rPr>
        <w:t>94-6.</w:t>
      </w:r>
    </w:p>
  </w:endnote>
  <w:endnote w:id="33">
    <w:p w14:paraId="4CA4E1B6" w14:textId="3C5F6AF0" w:rsidR="00206E86" w:rsidRPr="00206E86" w:rsidRDefault="00206E86" w:rsidP="00206E86">
      <w:pPr>
        <w:pStyle w:val="SonNotMetni"/>
        <w:jc w:val="both"/>
        <w:rPr>
          <w:color w:val="000000" w:themeColor="text1"/>
          <w:kern w:val="2"/>
          <w:lang w:val="tr-TR"/>
          <w14:ligatures w14:val="standardContextual"/>
        </w:rPr>
      </w:pPr>
      <w:r w:rsidRPr="00206E86">
        <w:rPr>
          <w:rStyle w:val="SonNotBavurusu"/>
          <w:color w:val="000000" w:themeColor="text1"/>
        </w:rPr>
        <w:endnoteRef/>
      </w:r>
      <w:r w:rsidRPr="00206E86">
        <w:rPr>
          <w:color w:val="000000" w:themeColor="text1"/>
          <w:lang w:val="tr-TR"/>
        </w:rPr>
        <w:t xml:space="preserve"> </w:t>
      </w:r>
      <w:r w:rsidRPr="00206E86">
        <w:rPr>
          <w:color w:val="000000" w:themeColor="text1"/>
          <w:kern w:val="2"/>
          <w:lang w:val="tr-TR"/>
          <w14:ligatures w14:val="standardContextual"/>
        </w:rPr>
        <w:t xml:space="preserve">İnan Kalaycıoğulları, “Yenişehirlizade Halit Eyüp ve </w:t>
      </w:r>
      <w:r w:rsidRPr="00206E86">
        <w:rPr>
          <w:i/>
          <w:iCs/>
          <w:color w:val="000000" w:themeColor="text1"/>
          <w:kern w:val="2"/>
          <w:lang w:val="tr-TR"/>
          <w14:ligatures w14:val="standardContextual"/>
        </w:rPr>
        <w:t>İslām ve Fünūn</w:t>
      </w:r>
      <w:r w:rsidRPr="00206E86">
        <w:rPr>
          <w:color w:val="000000" w:themeColor="text1"/>
          <w:kern w:val="2"/>
          <w:lang w:val="tr-TR"/>
          <w14:ligatures w14:val="standardContextual"/>
        </w:rPr>
        <w:t xml:space="preserve"> </w:t>
      </w:r>
      <w:r>
        <w:rPr>
          <w:color w:val="000000" w:themeColor="text1"/>
          <w:kern w:val="2"/>
          <w:lang w:val="tr-TR"/>
          <w14:ligatures w14:val="standardContextual"/>
        </w:rPr>
        <w:t>a</w:t>
      </w:r>
      <w:r w:rsidRPr="00206E86">
        <w:rPr>
          <w:color w:val="000000" w:themeColor="text1"/>
          <w:kern w:val="2"/>
          <w:lang w:val="tr-TR"/>
          <w14:ligatures w14:val="standardContextual"/>
        </w:rPr>
        <w:t xml:space="preserve">dlı </w:t>
      </w:r>
      <w:r>
        <w:rPr>
          <w:color w:val="000000" w:themeColor="text1"/>
          <w:kern w:val="2"/>
          <w:lang w:val="tr-TR"/>
          <w14:ligatures w14:val="standardContextual"/>
        </w:rPr>
        <w:t>e</w:t>
      </w:r>
      <w:r w:rsidRPr="00206E86">
        <w:rPr>
          <w:color w:val="000000" w:themeColor="text1"/>
          <w:kern w:val="2"/>
          <w:lang w:val="tr-TR"/>
          <w14:ligatures w14:val="standardContextual"/>
        </w:rPr>
        <w:t xml:space="preserve">seri”, </w:t>
      </w:r>
      <w:r w:rsidRPr="00206E86">
        <w:rPr>
          <w:i/>
          <w:iCs/>
          <w:color w:val="000000" w:themeColor="text1"/>
          <w:kern w:val="2"/>
          <w:lang w:val="tr-TR"/>
          <w14:ligatures w14:val="standardContextual"/>
        </w:rPr>
        <w:t>Dört Öge</w:t>
      </w:r>
      <w:r w:rsidRPr="00206E86">
        <w:rPr>
          <w:color w:val="000000" w:themeColor="text1"/>
          <w:kern w:val="2"/>
          <w:lang w:val="tr-TR"/>
          <w14:ligatures w14:val="standardContextual"/>
        </w:rPr>
        <w:t xml:space="preserve"> (2012) 1 (1), pp. 93-139, 102-3, 114, 134, 138; Mūsā Aḳyiğit, </w:t>
      </w:r>
      <w:r w:rsidRPr="00206E86">
        <w:rPr>
          <w:i/>
          <w:iCs/>
          <w:color w:val="000000" w:themeColor="text1"/>
          <w:kern w:val="2"/>
          <w:lang w:val="tr-TR"/>
          <w14:ligatures w14:val="standardContextual"/>
        </w:rPr>
        <w:t>Avrupa Medeniyyetiniñ Esāsına Dāʾir Bir Naẓar</w:t>
      </w:r>
      <w:r w:rsidRPr="00206E86">
        <w:rPr>
          <w:color w:val="000000" w:themeColor="text1"/>
          <w:kern w:val="2"/>
          <w:lang w:val="tr-TR"/>
          <w14:ligatures w14:val="standardContextual"/>
        </w:rPr>
        <w:t>, Istanbul: C</w:t>
      </w:r>
      <w:r w:rsidRPr="00206E86">
        <w:rPr>
          <w:color w:val="000000" w:themeColor="text1"/>
          <w:lang w:val="tr-TR"/>
        </w:rPr>
        <w:t xml:space="preserve">emāl Efendi, </w:t>
      </w:r>
      <w:r w:rsidRPr="00206E86">
        <w:rPr>
          <w:color w:val="000000" w:themeColor="text1"/>
          <w:kern w:val="2"/>
          <w:lang w:val="tr-TR"/>
          <w14:ligatures w14:val="standardContextual"/>
        </w:rPr>
        <w:t>1315/1898, pp. 35-6.</w:t>
      </w:r>
    </w:p>
  </w:endnote>
  <w:endnote w:id="34">
    <w:p w14:paraId="2189B8FF" w14:textId="173FFE01" w:rsidR="00206E86" w:rsidRPr="00206E86" w:rsidRDefault="00206E86" w:rsidP="00206E86">
      <w:pPr>
        <w:pStyle w:val="SonNotMetni"/>
        <w:jc w:val="lowKashida"/>
        <w:rPr>
          <w:color w:val="000000" w:themeColor="text1"/>
        </w:rPr>
      </w:pPr>
      <w:r w:rsidRPr="00206E86">
        <w:rPr>
          <w:rStyle w:val="SonNotBavurusu"/>
          <w:color w:val="000000" w:themeColor="text1"/>
        </w:rPr>
        <w:endnoteRef/>
      </w:r>
      <w:r w:rsidRPr="00206E86">
        <w:rPr>
          <w:color w:val="000000" w:themeColor="text1"/>
        </w:rPr>
        <w:t xml:space="preserve"> Cf. Ziad Dallal, “Arab </w:t>
      </w:r>
      <w:r>
        <w:rPr>
          <w:color w:val="000000" w:themeColor="text1"/>
        </w:rPr>
        <w:t>l</w:t>
      </w:r>
      <w:r w:rsidRPr="00206E86">
        <w:rPr>
          <w:color w:val="000000" w:themeColor="text1"/>
        </w:rPr>
        <w:t xml:space="preserve">iterary </w:t>
      </w:r>
      <w:r>
        <w:rPr>
          <w:color w:val="000000" w:themeColor="text1"/>
        </w:rPr>
        <w:t>p</w:t>
      </w:r>
      <w:r w:rsidRPr="00206E86">
        <w:rPr>
          <w:color w:val="000000" w:themeColor="text1"/>
        </w:rPr>
        <w:t xml:space="preserve">olitics from al-Shidyāq to Anṭūn: </w:t>
      </w:r>
      <w:r>
        <w:rPr>
          <w:color w:val="000000" w:themeColor="text1"/>
        </w:rPr>
        <w:t>c</w:t>
      </w:r>
      <w:r w:rsidRPr="00206E86">
        <w:rPr>
          <w:color w:val="000000" w:themeColor="text1"/>
        </w:rPr>
        <w:t>ivili</w:t>
      </w:r>
      <w:r>
        <w:rPr>
          <w:color w:val="000000" w:themeColor="text1"/>
        </w:rPr>
        <w:t>s</w:t>
      </w:r>
      <w:r w:rsidRPr="00206E86">
        <w:rPr>
          <w:color w:val="000000" w:themeColor="text1"/>
        </w:rPr>
        <w:t xml:space="preserve">ation, </w:t>
      </w:r>
      <w:r>
        <w:rPr>
          <w:color w:val="000000" w:themeColor="text1"/>
        </w:rPr>
        <w:t>m</w:t>
      </w:r>
      <w:r w:rsidRPr="00206E86">
        <w:rPr>
          <w:color w:val="000000" w:themeColor="text1"/>
        </w:rPr>
        <w:t xml:space="preserve">odernity, and the </w:t>
      </w:r>
      <w:r>
        <w:rPr>
          <w:color w:val="000000" w:themeColor="text1"/>
        </w:rPr>
        <w:t>w</w:t>
      </w:r>
      <w:r w:rsidRPr="00206E86">
        <w:rPr>
          <w:color w:val="000000" w:themeColor="text1"/>
        </w:rPr>
        <w:t xml:space="preserve">orlding of the </w:t>
      </w:r>
      <w:r w:rsidRPr="00206E86">
        <w:rPr>
          <w:i/>
          <w:iCs/>
          <w:color w:val="000000" w:themeColor="text1"/>
        </w:rPr>
        <w:t>Nahḍah</w:t>
      </w:r>
      <w:r w:rsidRPr="00206E86">
        <w:rPr>
          <w:color w:val="000000" w:themeColor="text1"/>
        </w:rPr>
        <w:t xml:space="preserve">”, PhD diss., New York University, 2018, chaps. 1–2. On the uses of </w:t>
      </w:r>
      <w:r w:rsidRPr="00206E86">
        <w:rPr>
          <w:i/>
          <w:iCs/>
          <w:color w:val="000000" w:themeColor="text1"/>
        </w:rPr>
        <w:t>tamaddun</w:t>
      </w:r>
      <w:r w:rsidRPr="00206E86">
        <w:rPr>
          <w:color w:val="000000" w:themeColor="text1"/>
        </w:rPr>
        <w:t xml:space="preserve">, see Peter Hill, </w:t>
      </w:r>
      <w:r w:rsidRPr="00206E86">
        <w:rPr>
          <w:i/>
          <w:iCs/>
          <w:color w:val="000000" w:themeColor="text1"/>
        </w:rPr>
        <w:t xml:space="preserve">Utopia and Civilisation in the Arab </w:t>
      </w:r>
      <w:r w:rsidRPr="00206E86">
        <w:rPr>
          <w:color w:val="000000" w:themeColor="text1"/>
        </w:rPr>
        <w:t xml:space="preserve">Nahda, Cambridge: Cambridge University Press, 2020, pp. 79-128; </w:t>
      </w:r>
      <w:r w:rsidRPr="00206E86">
        <w:t xml:space="preserve">on </w:t>
      </w:r>
      <w:r w:rsidRPr="00206E86">
        <w:rPr>
          <w:i/>
          <w:iCs/>
        </w:rPr>
        <w:t>madaniyya</w:t>
      </w:r>
      <w:r w:rsidRPr="00206E86">
        <w:t xml:space="preserve"> as a pluralisation of </w:t>
      </w:r>
      <w:r w:rsidRPr="00206E86">
        <w:rPr>
          <w:i/>
          <w:iCs/>
        </w:rPr>
        <w:t>tamaddun</w:t>
      </w:r>
      <w:r w:rsidRPr="00206E86">
        <w:t xml:space="preserve"> into distinct civilisations</w:t>
      </w:r>
      <w:r w:rsidRPr="00206E86">
        <w:rPr>
          <w:color w:val="000000" w:themeColor="text1"/>
        </w:rPr>
        <w:t>,  p. 246.</w:t>
      </w:r>
    </w:p>
  </w:endnote>
  <w:endnote w:id="35">
    <w:p w14:paraId="6C73EEC9" w14:textId="62A3BAB8" w:rsidR="00206E86" w:rsidRPr="00206E86" w:rsidRDefault="00206E86" w:rsidP="00206E86">
      <w:pPr>
        <w:pStyle w:val="SonNotMetni"/>
        <w:rPr>
          <w:color w:val="000000" w:themeColor="text1"/>
        </w:rPr>
      </w:pPr>
      <w:r w:rsidRPr="00206E86">
        <w:rPr>
          <w:rStyle w:val="SonNotBavurusu"/>
          <w:color w:val="000000" w:themeColor="text1"/>
        </w:rPr>
        <w:endnoteRef/>
      </w:r>
      <w:r w:rsidRPr="00206E86">
        <w:rPr>
          <w:color w:val="000000" w:themeColor="text1"/>
        </w:rPr>
        <w:t xml:space="preserve"> </w:t>
      </w:r>
      <w:r w:rsidRPr="00206E86">
        <w:rPr>
          <w:color w:val="000000" w:themeColor="text1"/>
          <w:kern w:val="2"/>
          <w14:ligatures w14:val="standardContextual"/>
        </w:rPr>
        <w:t xml:space="preserve">Aḳyiğit, op. cit. (33), </w:t>
      </w:r>
      <w:r w:rsidRPr="00206E86">
        <w:rPr>
          <w:color w:val="000000" w:themeColor="text1"/>
        </w:rPr>
        <w:t>134.</w:t>
      </w:r>
    </w:p>
  </w:endnote>
  <w:endnote w:id="36">
    <w:p w14:paraId="369C95E6" w14:textId="31CD35CF"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w:t>
      </w:r>
      <w:r w:rsidRPr="00206E86">
        <w:t xml:space="preserve">On the premodern </w:t>
      </w:r>
      <w:r w:rsidRPr="00206E86">
        <w:rPr>
          <w:i/>
          <w:iCs/>
        </w:rPr>
        <w:t>dīn–dunyā</w:t>
      </w:r>
      <w:r w:rsidRPr="00206E86">
        <w:t xml:space="preserve"> distinction as overlapping rather than strictly binary</w:t>
      </w:r>
      <w:r w:rsidRPr="00206E86">
        <w:rPr>
          <w:color w:val="000000" w:themeColor="text1"/>
        </w:rPr>
        <w:t xml:space="preserve">, see Rushain Abbasi, “The </w:t>
      </w:r>
      <w:r>
        <w:rPr>
          <w:i/>
          <w:iCs/>
          <w:color w:val="000000" w:themeColor="text1"/>
        </w:rPr>
        <w:t>d</w:t>
      </w:r>
      <w:r w:rsidRPr="00206E86">
        <w:rPr>
          <w:i/>
          <w:iCs/>
          <w:color w:val="000000" w:themeColor="text1"/>
        </w:rPr>
        <w:t>īn–</w:t>
      </w:r>
      <w:r>
        <w:rPr>
          <w:i/>
          <w:iCs/>
          <w:color w:val="000000" w:themeColor="text1"/>
        </w:rPr>
        <w:t>d</w:t>
      </w:r>
      <w:r w:rsidRPr="00206E86">
        <w:rPr>
          <w:i/>
          <w:iCs/>
          <w:color w:val="000000" w:themeColor="text1"/>
        </w:rPr>
        <w:t>unyā</w:t>
      </w:r>
      <w:r w:rsidRPr="00206E86">
        <w:rPr>
          <w:color w:val="000000" w:themeColor="text1"/>
        </w:rPr>
        <w:t xml:space="preserve"> </w:t>
      </w:r>
      <w:r>
        <w:rPr>
          <w:color w:val="000000" w:themeColor="text1"/>
        </w:rPr>
        <w:t>b</w:t>
      </w:r>
      <w:r w:rsidRPr="00206E86">
        <w:rPr>
          <w:color w:val="000000" w:themeColor="text1"/>
        </w:rPr>
        <w:t xml:space="preserve">inary in </w:t>
      </w:r>
      <w:r>
        <w:rPr>
          <w:color w:val="000000" w:themeColor="text1"/>
        </w:rPr>
        <w:t>m</w:t>
      </w:r>
      <w:r w:rsidRPr="00206E86">
        <w:rPr>
          <w:color w:val="000000" w:themeColor="text1"/>
        </w:rPr>
        <w:t xml:space="preserve">edieval Islamic </w:t>
      </w:r>
      <w:r>
        <w:rPr>
          <w:color w:val="000000" w:themeColor="text1"/>
        </w:rPr>
        <w:t>t</w:t>
      </w:r>
      <w:r w:rsidRPr="00206E86">
        <w:rPr>
          <w:color w:val="000000" w:themeColor="text1"/>
        </w:rPr>
        <w:t xml:space="preserve">hought”, </w:t>
      </w:r>
      <w:r w:rsidRPr="00206E86">
        <w:rPr>
          <w:i/>
          <w:iCs/>
          <w:color w:val="000000" w:themeColor="text1"/>
        </w:rPr>
        <w:t>Journal of Islamic Studies</w:t>
      </w:r>
      <w:r w:rsidRPr="00206E86">
        <w:rPr>
          <w:color w:val="000000" w:themeColor="text1"/>
        </w:rPr>
        <w:t xml:space="preserve"> (2020) 31 (2), pp. 185-225, 220–1.</w:t>
      </w:r>
    </w:p>
  </w:endnote>
  <w:endnote w:id="37">
    <w:p w14:paraId="302F5C37" w14:textId="1215B76B" w:rsidR="00206E86" w:rsidRPr="00206E86" w:rsidRDefault="00206E86" w:rsidP="00206E86">
      <w:pPr>
        <w:jc w:val="both"/>
        <w:rPr>
          <w:color w:val="000000" w:themeColor="text1"/>
          <w:sz w:val="20"/>
          <w:szCs w:val="20"/>
        </w:rPr>
      </w:pPr>
      <w:r w:rsidRPr="00206E86">
        <w:rPr>
          <w:rStyle w:val="SonNotBavurusu"/>
          <w:color w:val="000000" w:themeColor="text1"/>
          <w:sz w:val="20"/>
          <w:szCs w:val="20"/>
        </w:rPr>
        <w:endnoteRef/>
      </w:r>
      <w:r w:rsidRPr="00206E86">
        <w:rPr>
          <w:color w:val="000000" w:themeColor="text1"/>
          <w:sz w:val="20"/>
          <w:szCs w:val="20"/>
        </w:rPr>
        <w:t xml:space="preserve"> Meltem Toksöz, “</w:t>
      </w:r>
      <w:r w:rsidRPr="00206E86">
        <w:rPr>
          <w:rStyle w:val="t"/>
          <w:rFonts w:eastAsiaTheme="majorEastAsia"/>
          <w:color w:val="000000" w:themeColor="text1"/>
          <w:spacing w:val="1"/>
          <w:sz w:val="20"/>
          <w:szCs w:val="20"/>
          <w:shd w:val="clear" w:color="auto" w:fill="FFFFFF"/>
        </w:rPr>
        <w:t xml:space="preserve">The </w:t>
      </w:r>
      <w:r>
        <w:rPr>
          <w:rStyle w:val="t"/>
          <w:rFonts w:eastAsiaTheme="majorEastAsia"/>
          <w:color w:val="000000" w:themeColor="text1"/>
          <w:spacing w:val="1"/>
          <w:sz w:val="20"/>
          <w:szCs w:val="20"/>
          <w:shd w:val="clear" w:color="auto" w:fill="FFFFFF"/>
        </w:rPr>
        <w:t>w</w:t>
      </w:r>
      <w:r w:rsidRPr="00206E86">
        <w:rPr>
          <w:rStyle w:val="t"/>
          <w:rFonts w:eastAsiaTheme="majorEastAsia"/>
          <w:color w:val="000000" w:themeColor="text1"/>
          <w:spacing w:val="1"/>
          <w:sz w:val="20"/>
          <w:szCs w:val="20"/>
          <w:shd w:val="clear" w:color="auto" w:fill="FFFFFF"/>
        </w:rPr>
        <w:t xml:space="preserve">orld of Mehmed Murad: </w:t>
      </w:r>
      <w:r>
        <w:rPr>
          <w:color w:val="000000" w:themeColor="text1"/>
          <w:kern w:val="36"/>
          <w:sz w:val="20"/>
          <w:szCs w:val="20"/>
        </w:rPr>
        <w:t>w</w:t>
      </w:r>
      <w:r w:rsidRPr="00206E86">
        <w:rPr>
          <w:color w:val="000000" w:themeColor="text1"/>
          <w:kern w:val="36"/>
          <w:sz w:val="20"/>
          <w:szCs w:val="20"/>
        </w:rPr>
        <w:t xml:space="preserve">riting </w:t>
      </w:r>
      <w:r>
        <w:rPr>
          <w:i/>
          <w:iCs/>
          <w:color w:val="000000" w:themeColor="text1"/>
          <w:kern w:val="36"/>
          <w:sz w:val="20"/>
          <w:szCs w:val="20"/>
        </w:rPr>
        <w:t>h</w:t>
      </w:r>
      <w:r w:rsidRPr="00206E86">
        <w:rPr>
          <w:i/>
          <w:iCs/>
          <w:color w:val="000000" w:themeColor="text1"/>
          <w:kern w:val="36"/>
          <w:sz w:val="20"/>
          <w:szCs w:val="20"/>
        </w:rPr>
        <w:t xml:space="preserve">istoires </w:t>
      </w:r>
      <w:r>
        <w:rPr>
          <w:i/>
          <w:iCs/>
          <w:color w:val="000000" w:themeColor="text1"/>
          <w:kern w:val="36"/>
          <w:sz w:val="20"/>
          <w:szCs w:val="20"/>
        </w:rPr>
        <w:t>u</w:t>
      </w:r>
      <w:r w:rsidRPr="00206E86">
        <w:rPr>
          <w:i/>
          <w:iCs/>
          <w:color w:val="000000" w:themeColor="text1"/>
          <w:kern w:val="36"/>
          <w:sz w:val="20"/>
          <w:szCs w:val="20"/>
        </w:rPr>
        <w:t xml:space="preserve">niverselles </w:t>
      </w:r>
      <w:r w:rsidRPr="00206E86">
        <w:rPr>
          <w:color w:val="000000" w:themeColor="text1"/>
          <w:kern w:val="36"/>
          <w:sz w:val="20"/>
          <w:szCs w:val="20"/>
        </w:rPr>
        <w:t>in Ottoman Turkish</w:t>
      </w:r>
      <w:r w:rsidRPr="00206E86">
        <w:rPr>
          <w:color w:val="000000" w:themeColor="text1"/>
          <w:kern w:val="36"/>
          <w:sz w:val="20"/>
          <w:szCs w:val="20"/>
          <w:lang w:val="en-US"/>
        </w:rPr>
        <w:t>”,</w:t>
      </w:r>
      <w:r w:rsidRPr="00206E86">
        <w:rPr>
          <w:color w:val="000000" w:themeColor="text1"/>
          <w:kern w:val="36"/>
          <w:sz w:val="20"/>
          <w:szCs w:val="20"/>
          <w:lang w:val="tr-TR"/>
        </w:rPr>
        <w:t xml:space="preserve"> </w:t>
      </w:r>
      <w:r w:rsidRPr="00206E86">
        <w:rPr>
          <w:i/>
          <w:iCs/>
          <w:color w:val="000000" w:themeColor="text1"/>
          <w:kern w:val="36"/>
          <w:sz w:val="20"/>
          <w:szCs w:val="20"/>
          <w:lang w:val="tr-TR"/>
        </w:rPr>
        <w:t>Journal of Ottoman Studies</w:t>
      </w:r>
      <w:r w:rsidRPr="00206E86">
        <w:rPr>
          <w:color w:val="000000" w:themeColor="text1"/>
          <w:kern w:val="36"/>
          <w:sz w:val="20"/>
          <w:szCs w:val="20"/>
          <w:lang w:val="tr-TR"/>
        </w:rPr>
        <w:t xml:space="preserve"> (2012) XL, pp. 343-63, </w:t>
      </w:r>
      <w:r w:rsidRPr="00206E86">
        <w:rPr>
          <w:color w:val="000000" w:themeColor="text1"/>
          <w:sz w:val="20"/>
          <w:szCs w:val="20"/>
        </w:rPr>
        <w:t xml:space="preserve">344-6; idem., </w:t>
      </w:r>
      <w:r w:rsidRPr="00206E86">
        <w:rPr>
          <w:color w:val="000000" w:themeColor="text1"/>
          <w:sz w:val="20"/>
          <w:szCs w:val="20"/>
          <w:lang w:val="en-US"/>
        </w:rPr>
        <w:t>“</w:t>
      </w:r>
      <w:r w:rsidRPr="00206E86">
        <w:rPr>
          <w:color w:val="000000" w:themeColor="text1"/>
          <w:sz w:val="20"/>
          <w:szCs w:val="20"/>
        </w:rPr>
        <w:t>Ahmet Midhat ve Dünya Tarihi</w:t>
      </w:r>
      <w:r w:rsidRPr="00206E86">
        <w:rPr>
          <w:color w:val="000000" w:themeColor="text1"/>
          <w:sz w:val="20"/>
          <w:szCs w:val="20"/>
          <w:lang w:val="en-US"/>
        </w:rPr>
        <w:t>”,</w:t>
      </w:r>
      <w:r w:rsidRPr="00206E86">
        <w:rPr>
          <w:color w:val="000000" w:themeColor="text1"/>
          <w:sz w:val="20"/>
          <w:szCs w:val="20"/>
        </w:rPr>
        <w:t xml:space="preserve"> </w:t>
      </w:r>
      <w:r w:rsidRPr="00206E86">
        <w:rPr>
          <w:i/>
          <w:iCs/>
          <w:color w:val="000000" w:themeColor="text1"/>
          <w:sz w:val="20"/>
          <w:szCs w:val="20"/>
        </w:rPr>
        <w:t>Toplumsal Tarih</w:t>
      </w:r>
      <w:r w:rsidRPr="00206E86">
        <w:rPr>
          <w:color w:val="000000" w:themeColor="text1"/>
          <w:sz w:val="20"/>
          <w:szCs w:val="20"/>
        </w:rPr>
        <w:t xml:space="preserve"> (2016) 267, pp. 50-4.</w:t>
      </w:r>
    </w:p>
  </w:endnote>
  <w:endnote w:id="38">
    <w:p w14:paraId="23F184A5" w14:textId="60D7A54E"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Hakan Karateke, “</w:t>
      </w:r>
      <w:r w:rsidRPr="00206E86">
        <w:rPr>
          <w:color w:val="000000" w:themeColor="text1"/>
          <w:lang w:val="tr-TR"/>
        </w:rPr>
        <w:t xml:space="preserve">The </w:t>
      </w:r>
      <w:r>
        <w:rPr>
          <w:color w:val="000000" w:themeColor="text1"/>
          <w:lang w:val="tr-TR"/>
        </w:rPr>
        <w:t>c</w:t>
      </w:r>
      <w:r w:rsidRPr="00206E86">
        <w:rPr>
          <w:color w:val="000000" w:themeColor="text1"/>
          <w:lang w:val="tr-TR"/>
        </w:rPr>
        <w:t xml:space="preserve">hallenge of </w:t>
      </w:r>
      <w:r>
        <w:rPr>
          <w:color w:val="000000" w:themeColor="text1"/>
          <w:lang w:val="tr-TR"/>
        </w:rPr>
        <w:t>p</w:t>
      </w:r>
      <w:r w:rsidRPr="00206E86">
        <w:rPr>
          <w:color w:val="000000" w:themeColor="text1"/>
          <w:lang w:val="tr-TR"/>
        </w:rPr>
        <w:t>eriodization</w:t>
      </w:r>
      <w:r w:rsidRPr="00206E86">
        <w:rPr>
          <w:color w:val="000000" w:themeColor="text1"/>
        </w:rPr>
        <w:t xml:space="preserve">”, in Erdem Çıpa and Emine Fetvacı (eds.), </w:t>
      </w:r>
      <w:r w:rsidRPr="00206E86">
        <w:rPr>
          <w:i/>
          <w:iCs/>
          <w:color w:val="000000" w:themeColor="text1"/>
        </w:rPr>
        <w:t>Writing History at the Ottoman Court</w:t>
      </w:r>
      <w:r w:rsidRPr="00206E86">
        <w:rPr>
          <w:color w:val="000000" w:themeColor="text1"/>
        </w:rPr>
        <w:t>, Indianapolis: Indiana University Press, 2013, pp. 129-54, 147.</w:t>
      </w:r>
    </w:p>
  </w:endnote>
  <w:endnote w:id="39">
    <w:p w14:paraId="037A7F8B" w14:textId="77777777" w:rsidR="00206E86" w:rsidRPr="00206E86" w:rsidRDefault="00206E86" w:rsidP="00206E86">
      <w:pPr>
        <w:pStyle w:val="SonNotMetni"/>
        <w:rPr>
          <w:color w:val="000000" w:themeColor="text1"/>
        </w:rPr>
      </w:pPr>
      <w:r w:rsidRPr="00206E86">
        <w:rPr>
          <w:rStyle w:val="SonNotBavurusu"/>
          <w:color w:val="000000" w:themeColor="text1"/>
        </w:rPr>
        <w:endnoteRef/>
      </w:r>
      <w:r w:rsidRPr="00206E86">
        <w:rPr>
          <w:color w:val="000000" w:themeColor="text1"/>
        </w:rPr>
        <w:t xml:space="preserve"> Orhan Okay, </w:t>
      </w:r>
      <w:r w:rsidRPr="00206E86">
        <w:rPr>
          <w:i/>
          <w:iCs/>
          <w:color w:val="000000" w:themeColor="text1"/>
        </w:rPr>
        <w:t>Batı Medeniyeti Karşısında Ahmed Midhat Efendi</w:t>
      </w:r>
      <w:r w:rsidRPr="00206E86">
        <w:rPr>
          <w:color w:val="000000" w:themeColor="text1"/>
        </w:rPr>
        <w:t>, Istanbul: Atatürk Üniversitesi, 1975.</w:t>
      </w:r>
    </w:p>
  </w:endnote>
  <w:endnote w:id="40">
    <w:p w14:paraId="0D7BA38F" w14:textId="4D731FE2"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Cemal Kafadar and </w:t>
      </w:r>
      <w:r w:rsidRPr="00206E86">
        <w:rPr>
          <w:color w:val="000000" w:themeColor="text1"/>
          <w:lang w:val="tr-TR"/>
        </w:rPr>
        <w:t xml:space="preserve">Hakan Karateke, </w:t>
      </w:r>
      <w:r w:rsidRPr="00206E86">
        <w:rPr>
          <w:color w:val="000000" w:themeColor="text1"/>
        </w:rPr>
        <w:t>“</w:t>
      </w:r>
      <w:r w:rsidRPr="00206E86">
        <w:rPr>
          <w:color w:val="000000" w:themeColor="text1"/>
          <w:lang w:val="tr-TR"/>
        </w:rPr>
        <w:t xml:space="preserve">Late Ottoman and </w:t>
      </w:r>
      <w:r>
        <w:rPr>
          <w:color w:val="000000" w:themeColor="text1"/>
          <w:lang w:val="tr-TR"/>
        </w:rPr>
        <w:t>e</w:t>
      </w:r>
      <w:r w:rsidRPr="00206E86">
        <w:rPr>
          <w:color w:val="000000" w:themeColor="text1"/>
          <w:lang w:val="tr-TR"/>
        </w:rPr>
        <w:t xml:space="preserve">arly </w:t>
      </w:r>
      <w:r>
        <w:rPr>
          <w:color w:val="000000" w:themeColor="text1"/>
          <w:lang w:val="tr-TR"/>
        </w:rPr>
        <w:t>r</w:t>
      </w:r>
      <w:r w:rsidRPr="00206E86">
        <w:rPr>
          <w:color w:val="000000" w:themeColor="text1"/>
          <w:lang w:val="tr-TR"/>
        </w:rPr>
        <w:t xml:space="preserve">epublican Turkish </w:t>
      </w:r>
      <w:r>
        <w:rPr>
          <w:color w:val="000000" w:themeColor="text1"/>
          <w:lang w:val="tr-TR"/>
        </w:rPr>
        <w:t>h</w:t>
      </w:r>
      <w:r w:rsidRPr="00206E86">
        <w:rPr>
          <w:color w:val="000000" w:themeColor="text1"/>
          <w:lang w:val="tr-TR"/>
        </w:rPr>
        <w:t xml:space="preserve">istorical </w:t>
      </w:r>
      <w:r>
        <w:rPr>
          <w:color w:val="000000" w:themeColor="text1"/>
          <w:lang w:val="tr-TR"/>
        </w:rPr>
        <w:t>w</w:t>
      </w:r>
      <w:r w:rsidRPr="00206E86">
        <w:rPr>
          <w:color w:val="000000" w:themeColor="text1"/>
          <w:lang w:val="tr-TR"/>
        </w:rPr>
        <w:t>riting</w:t>
      </w:r>
      <w:r w:rsidRPr="00206E86">
        <w:rPr>
          <w:color w:val="000000" w:themeColor="text1"/>
        </w:rPr>
        <w:t>”,</w:t>
      </w:r>
      <w:r w:rsidRPr="00206E86">
        <w:rPr>
          <w:color w:val="000000" w:themeColor="text1"/>
          <w:lang w:val="tr-TR"/>
        </w:rPr>
        <w:t xml:space="preserve"> in Stuart Macintyre et al. (eds.), </w:t>
      </w:r>
      <w:r w:rsidRPr="00206E86">
        <w:rPr>
          <w:i/>
          <w:iCs/>
          <w:color w:val="000000" w:themeColor="text1"/>
          <w:lang w:val="tr-TR"/>
        </w:rPr>
        <w:t>The Oxford History of Historical Writing</w:t>
      </w:r>
      <w:r w:rsidRPr="00206E86">
        <w:rPr>
          <w:color w:val="000000" w:themeColor="text1"/>
          <w:lang w:val="tr-TR"/>
        </w:rPr>
        <w:t xml:space="preserve">, vol. 4, Oxford: Oxford University Press, 2011, pp. </w:t>
      </w:r>
      <w:r w:rsidRPr="00206E86">
        <w:rPr>
          <w:color w:val="000000" w:themeColor="text1"/>
        </w:rPr>
        <w:t>559-80, 564-5.</w:t>
      </w:r>
    </w:p>
  </w:endnote>
  <w:endnote w:id="41">
    <w:p w14:paraId="5B3E50EE" w14:textId="6C2A64D6"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Alper Yalçınkaya, “Science as an ally of religion: a Muslim appropriation of the ‘conflict thesis’”, </w:t>
      </w:r>
      <w:r w:rsidRPr="00206E86">
        <w:rPr>
          <w:i/>
          <w:iCs/>
          <w:color w:val="000000" w:themeColor="text1"/>
        </w:rPr>
        <w:t xml:space="preserve">British Journal of the History of Science </w:t>
      </w:r>
      <w:r w:rsidRPr="00206E86">
        <w:rPr>
          <w:color w:val="000000" w:themeColor="text1"/>
        </w:rPr>
        <w:t>(2011) 44 (2), pp. 161-81, 180.</w:t>
      </w:r>
    </w:p>
  </w:endnote>
  <w:endnote w:id="42">
    <w:p w14:paraId="00B3AC35" w14:textId="77777777" w:rsidR="00206E86" w:rsidRPr="00206E86" w:rsidRDefault="00206E86" w:rsidP="00206E86">
      <w:pPr>
        <w:pStyle w:val="SonNotMetni"/>
        <w:rPr>
          <w:color w:val="000000" w:themeColor="text1"/>
        </w:rPr>
      </w:pPr>
      <w:r w:rsidRPr="00206E86">
        <w:rPr>
          <w:rStyle w:val="SonNotBavurusu"/>
          <w:color w:val="000000" w:themeColor="text1"/>
        </w:rPr>
        <w:endnoteRef/>
      </w:r>
      <w:r w:rsidRPr="00206E86">
        <w:rPr>
          <w:color w:val="000000" w:themeColor="text1"/>
        </w:rPr>
        <w:t xml:space="preserve"> Donald Fleming, </w:t>
      </w:r>
      <w:r w:rsidRPr="00206E86">
        <w:rPr>
          <w:i/>
          <w:iCs/>
          <w:color w:val="000000" w:themeColor="text1"/>
        </w:rPr>
        <w:t>John William Draper and the Religion of Science</w:t>
      </w:r>
      <w:r w:rsidRPr="00206E86">
        <w:rPr>
          <w:color w:val="000000" w:themeColor="text1"/>
        </w:rPr>
        <w:t>, Philadelphia: UPenn, 1950, pp. 130-5.</w:t>
      </w:r>
    </w:p>
  </w:endnote>
  <w:endnote w:id="43">
    <w:p w14:paraId="07E21665" w14:textId="77F3C5C4"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rPr>
        <w:t xml:space="preserve"> Fleming, op. cit. (42), p. 148. </w:t>
      </w:r>
      <w:r w:rsidRPr="00206E86">
        <w:t xml:space="preserve">The view persisted into the twentieth century: Ernst Kantorowicz credited Averroes’ Aristotelianism with reshaping conceptions of time and influencing Jewish and Christian philosophy in the Latin West; see Robert Nisbet, </w:t>
      </w:r>
      <w:r w:rsidRPr="00206E86">
        <w:rPr>
          <w:i/>
          <w:iCs/>
        </w:rPr>
        <w:t>History of the Idea of Progress</w:t>
      </w:r>
      <w:r w:rsidRPr="00206E86">
        <w:t xml:space="preserve"> (New York: Basic Books, 1980), 89–90.</w:t>
      </w:r>
    </w:p>
  </w:endnote>
  <w:endnote w:id="44">
    <w:p w14:paraId="0781C975" w14:textId="7E473CB2" w:rsidR="00206E86" w:rsidRPr="00206E86" w:rsidRDefault="00206E86" w:rsidP="00206E86">
      <w:pPr>
        <w:pStyle w:val="AralkYok"/>
        <w:jc w:val="both"/>
        <w:rPr>
          <w:rFonts w:ascii="Times New Roman" w:hAnsi="Times New Roman" w:cs="Times New Roman"/>
          <w:color w:val="000000" w:themeColor="text1"/>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vertAlign w:val="superscript"/>
        </w:rPr>
        <w:t xml:space="preserve"> </w:t>
      </w:r>
      <w:r w:rsidRPr="00206E86">
        <w:rPr>
          <w:rFonts w:ascii="Times New Roman" w:hAnsi="Times New Roman" w:cs="Times New Roman"/>
          <w:sz w:val="20"/>
          <w:szCs w:val="20"/>
        </w:rPr>
        <w:t>Yalçınkaya, op. cit. (41), pp. 169-71. Draper’s sole negative example is the alleged Arab destruction of the Library of Alexandria, which Midhat, like Kemal, rejects as historically unfounded.</w:t>
      </w:r>
    </w:p>
  </w:endnote>
  <w:endnote w:id="45">
    <w:p w14:paraId="539BF2E8" w14:textId="1D0ADEC9" w:rsidR="00206E86" w:rsidRPr="00206E86" w:rsidRDefault="00206E86" w:rsidP="00206E86">
      <w:pPr>
        <w:shd w:val="clear" w:color="auto" w:fill="FFFFFF"/>
        <w:rPr>
          <w:color w:val="000000" w:themeColor="text1"/>
          <w:sz w:val="20"/>
          <w:szCs w:val="20"/>
        </w:rPr>
      </w:pPr>
      <w:r w:rsidRPr="00206E86">
        <w:rPr>
          <w:rStyle w:val="SonNotBavurusu"/>
          <w:color w:val="000000" w:themeColor="text1"/>
          <w:sz w:val="20"/>
          <w:szCs w:val="20"/>
        </w:rPr>
        <w:endnoteRef/>
      </w:r>
      <w:r w:rsidRPr="00206E86">
        <w:rPr>
          <w:color w:val="000000" w:themeColor="text1"/>
          <w:sz w:val="20"/>
          <w:szCs w:val="20"/>
        </w:rPr>
        <w:t xml:space="preserve"> Draper, </w:t>
      </w:r>
      <w:r w:rsidRPr="00206E86">
        <w:rPr>
          <w:i/>
          <w:iCs/>
          <w:color w:val="000000" w:themeColor="text1"/>
          <w:sz w:val="20"/>
          <w:szCs w:val="20"/>
        </w:rPr>
        <w:t>History of the Conflict between Religion and Science</w:t>
      </w:r>
      <w:r w:rsidRPr="00206E86">
        <w:rPr>
          <w:color w:val="000000" w:themeColor="text1"/>
          <w:sz w:val="20"/>
          <w:szCs w:val="20"/>
        </w:rPr>
        <w:t>, New York: D. Appleton 1875, p. 139.</w:t>
      </w:r>
    </w:p>
  </w:endnote>
  <w:endnote w:id="46">
    <w:p w14:paraId="1C8D4F9A" w14:textId="5F8224EF"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Alper Yalçınkaya, “Draper’ın </w:t>
      </w:r>
      <w:r>
        <w:rPr>
          <w:i/>
          <w:iCs/>
          <w:color w:val="000000" w:themeColor="text1"/>
        </w:rPr>
        <w:t>c</w:t>
      </w:r>
      <w:r w:rsidRPr="00206E86">
        <w:rPr>
          <w:i/>
          <w:iCs/>
          <w:color w:val="000000" w:themeColor="text1"/>
        </w:rPr>
        <w:t>onflict</w:t>
      </w:r>
      <w:r w:rsidRPr="00206E86">
        <w:rPr>
          <w:color w:val="000000" w:themeColor="text1"/>
        </w:rPr>
        <w:t xml:space="preserve">’i Ahmed Midhat’ın </w:t>
      </w:r>
      <w:r>
        <w:rPr>
          <w:i/>
          <w:iCs/>
          <w:color w:val="000000" w:themeColor="text1"/>
        </w:rPr>
        <w:t>n</w:t>
      </w:r>
      <w:r w:rsidRPr="00206E86">
        <w:rPr>
          <w:i/>
          <w:iCs/>
          <w:color w:val="000000" w:themeColor="text1"/>
        </w:rPr>
        <w:t>iza</w:t>
      </w:r>
      <w:r w:rsidRPr="00206E86">
        <w:rPr>
          <w:color w:val="000000" w:themeColor="text1"/>
        </w:rPr>
        <w:t>’sı”,</w:t>
      </w:r>
      <w:r w:rsidRPr="00206E86">
        <w:rPr>
          <w:color w:val="000000" w:themeColor="text1"/>
          <w:lang w:val="tr-TR"/>
        </w:rPr>
        <w:t xml:space="preserve"> in </w:t>
      </w:r>
      <w:r w:rsidRPr="00206E86">
        <w:rPr>
          <w:color w:val="000000" w:themeColor="text1"/>
          <w:kern w:val="2"/>
          <w14:ligatures w14:val="standardContextual"/>
        </w:rPr>
        <w:t xml:space="preserve">Ahmed Midhat, </w:t>
      </w:r>
      <w:r w:rsidRPr="00206E86">
        <w:rPr>
          <w:i/>
          <w:iCs/>
          <w:color w:val="000000" w:themeColor="text1"/>
          <w:kern w:val="2"/>
          <w14:ligatures w14:val="standardContextual"/>
        </w:rPr>
        <w:t>Nizâ ‘-i ‘ilm ü dîn</w:t>
      </w:r>
      <w:r w:rsidRPr="00206E86">
        <w:rPr>
          <w:color w:val="000000" w:themeColor="text1"/>
          <w:kern w:val="2"/>
          <w14:ligatures w14:val="standardContextual"/>
        </w:rPr>
        <w:t>, Konya: Çizgi, 2021</w:t>
      </w:r>
      <w:r w:rsidRPr="00206E86">
        <w:rPr>
          <w:color w:val="000000" w:themeColor="text1"/>
          <w:lang w:val="tr-TR"/>
        </w:rPr>
        <w:t xml:space="preserve">, </w:t>
      </w:r>
      <w:r w:rsidRPr="00206E86">
        <w:rPr>
          <w:color w:val="000000" w:themeColor="text1"/>
        </w:rPr>
        <w:t>pp. 49-62.</w:t>
      </w:r>
    </w:p>
  </w:endnote>
  <w:endnote w:id="47">
    <w:p w14:paraId="1FE0F76C" w14:textId="41A8053E"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Ahmed Midhat, </w:t>
      </w:r>
      <w:r w:rsidRPr="00206E86">
        <w:rPr>
          <w:i/>
          <w:iCs/>
          <w:color w:val="000000" w:themeColor="text1"/>
        </w:rPr>
        <w:t>Dârü’l-Fünûn Dersleri: Târîh-i Hikmet</w:t>
      </w:r>
      <w:r w:rsidRPr="00206E86">
        <w:rPr>
          <w:color w:val="000000" w:themeColor="text1"/>
        </w:rPr>
        <w:t>, Konya: Çizgi, 2016, p. 185.</w:t>
      </w:r>
    </w:p>
  </w:endnote>
  <w:endnote w:id="48">
    <w:p w14:paraId="1480A9AA" w14:textId="15258F7B"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Midhat, op. cit. (47), p. 183.</w:t>
      </w:r>
    </w:p>
  </w:endnote>
  <w:endnote w:id="49">
    <w:p w14:paraId="26F99C2A" w14:textId="4BD7AAD9"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Amit Bein, </w:t>
      </w:r>
      <w:r w:rsidRPr="00206E86">
        <w:rPr>
          <w:i/>
          <w:color w:val="000000" w:themeColor="text1"/>
        </w:rPr>
        <w:t>Ottoman Ulema, Turkish Republic: Agents of Change and Guardians of Tradition</w:t>
      </w:r>
      <w:r w:rsidRPr="00206E86">
        <w:rPr>
          <w:color w:val="000000" w:themeColor="text1"/>
        </w:rPr>
        <w:t>, Stanford: Stanford University Press, 2011.</w:t>
      </w:r>
    </w:p>
  </w:endnote>
  <w:endnote w:id="50">
    <w:p w14:paraId="50E8B855" w14:textId="66887BE3" w:rsidR="00206E86" w:rsidRPr="00206E86" w:rsidRDefault="00206E86" w:rsidP="00206E86">
      <w:pPr>
        <w:pStyle w:val="AralkYok"/>
        <w:jc w:val="both"/>
        <w:rPr>
          <w:rFonts w:ascii="Times New Roman" w:hAnsi="Times New Roman" w:cs="Times New Roman"/>
          <w:i/>
          <w:iCs/>
          <w:color w:val="000000" w:themeColor="text1"/>
          <w:sz w:val="20"/>
          <w:szCs w:val="20"/>
          <w:lang w:val="tr-TR"/>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lang w:val="tr-TR"/>
        </w:rPr>
        <w:t xml:space="preserve"> M</w:t>
      </w:r>
      <w:r w:rsidRPr="00206E86">
        <w:rPr>
          <w:rFonts w:ascii="Times New Roman" w:hAnsi="Times New Roman" w:cs="Times New Roman"/>
          <w:color w:val="000000" w:themeColor="text1"/>
          <w:sz w:val="20"/>
          <w:szCs w:val="20"/>
        </w:rPr>
        <w:t>ū</w:t>
      </w:r>
      <w:r w:rsidRPr="00206E86">
        <w:rPr>
          <w:rFonts w:ascii="Times New Roman" w:hAnsi="Times New Roman" w:cs="Times New Roman"/>
          <w:color w:val="000000" w:themeColor="text1"/>
          <w:sz w:val="20"/>
          <w:szCs w:val="20"/>
          <w:lang w:val="tr-TR"/>
        </w:rPr>
        <w:t>s</w:t>
      </w:r>
      <w:r w:rsidRPr="00206E86">
        <w:rPr>
          <w:rFonts w:ascii="Times New Roman" w:hAnsi="Times New Roman" w:cs="Times New Roman"/>
          <w:sz w:val="20"/>
          <w:szCs w:val="20"/>
        </w:rPr>
        <w:t>ā</w:t>
      </w:r>
      <w:r w:rsidRPr="00206E86">
        <w:rPr>
          <w:rFonts w:ascii="Times New Roman" w:hAnsi="Times New Roman" w:cs="Times New Roman"/>
          <w:color w:val="000000" w:themeColor="text1"/>
          <w:sz w:val="20"/>
          <w:szCs w:val="20"/>
          <w:lang w:val="tr-TR"/>
        </w:rPr>
        <w:t xml:space="preserve"> </w:t>
      </w:r>
      <w:r w:rsidRPr="00206E86">
        <w:rPr>
          <w:rFonts w:ascii="Times New Roman" w:hAnsi="Times New Roman" w:cs="Times New Roman"/>
          <w:sz w:val="20"/>
          <w:szCs w:val="20"/>
        </w:rPr>
        <w:t>Kāẓım</w:t>
      </w:r>
      <w:r w:rsidRPr="00206E86">
        <w:rPr>
          <w:rFonts w:ascii="Times New Roman" w:hAnsi="Times New Roman" w:cs="Times New Roman"/>
          <w:color w:val="000000" w:themeColor="text1"/>
          <w:sz w:val="20"/>
          <w:szCs w:val="20"/>
          <w:lang w:val="tr-TR"/>
        </w:rPr>
        <w:t xml:space="preserve">, </w:t>
      </w:r>
      <w:r w:rsidRPr="00206E86">
        <w:rPr>
          <w:rFonts w:ascii="Times New Roman" w:hAnsi="Times New Roman" w:cs="Times New Roman"/>
          <w:color w:val="000000" w:themeColor="text1"/>
          <w:sz w:val="20"/>
          <w:szCs w:val="20"/>
        </w:rPr>
        <w:t xml:space="preserve">“Kutub-ı </w:t>
      </w:r>
      <w:r>
        <w:rPr>
          <w:rFonts w:ascii="Times New Roman" w:hAnsi="Times New Roman" w:cs="Times New Roman"/>
          <w:color w:val="000000" w:themeColor="text1"/>
          <w:sz w:val="20"/>
          <w:szCs w:val="20"/>
        </w:rPr>
        <w:t>k</w:t>
      </w:r>
      <w:r w:rsidRPr="00206E86">
        <w:rPr>
          <w:rFonts w:ascii="Times New Roman" w:hAnsi="Times New Roman" w:cs="Times New Roman"/>
          <w:color w:val="000000" w:themeColor="text1"/>
          <w:sz w:val="20"/>
          <w:szCs w:val="20"/>
        </w:rPr>
        <w:t xml:space="preserve">elāmiyye’nin </w:t>
      </w:r>
      <w:r>
        <w:rPr>
          <w:rFonts w:ascii="Times New Roman" w:hAnsi="Times New Roman" w:cs="Times New Roman"/>
          <w:color w:val="000000" w:themeColor="text1"/>
          <w:sz w:val="20"/>
          <w:szCs w:val="20"/>
        </w:rPr>
        <w:t>i</w:t>
      </w:r>
      <w:r w:rsidRPr="00206E86">
        <w:rPr>
          <w:rFonts w:ascii="Times New Roman" w:hAnsi="Times New Roman" w:cs="Times New Roman"/>
          <w:color w:val="000000" w:themeColor="text1"/>
          <w:sz w:val="20"/>
          <w:szCs w:val="20"/>
        </w:rPr>
        <w:t>ḥtiyācāt-ı ‘</w:t>
      </w:r>
      <w:r>
        <w:rPr>
          <w:rFonts w:ascii="Times New Roman" w:hAnsi="Times New Roman" w:cs="Times New Roman"/>
          <w:color w:val="000000" w:themeColor="text1"/>
          <w:sz w:val="20"/>
          <w:szCs w:val="20"/>
        </w:rPr>
        <w:t>a</w:t>
      </w:r>
      <w:r w:rsidRPr="00206E86">
        <w:rPr>
          <w:rFonts w:ascii="Times New Roman" w:hAnsi="Times New Roman" w:cs="Times New Roman"/>
          <w:color w:val="000000" w:themeColor="text1"/>
          <w:sz w:val="20"/>
          <w:szCs w:val="20"/>
        </w:rPr>
        <w:t xml:space="preserve">ṣra </w:t>
      </w:r>
      <w:r>
        <w:rPr>
          <w:rFonts w:ascii="Times New Roman" w:hAnsi="Times New Roman" w:cs="Times New Roman"/>
          <w:color w:val="000000" w:themeColor="text1"/>
          <w:sz w:val="20"/>
          <w:szCs w:val="20"/>
        </w:rPr>
        <w:t>g</w:t>
      </w:r>
      <w:r w:rsidRPr="00206E86">
        <w:rPr>
          <w:rFonts w:ascii="Times New Roman" w:hAnsi="Times New Roman" w:cs="Times New Roman"/>
          <w:color w:val="000000" w:themeColor="text1"/>
          <w:sz w:val="20"/>
          <w:szCs w:val="20"/>
        </w:rPr>
        <w:t xml:space="preserve">öre </w:t>
      </w:r>
      <w:r>
        <w:rPr>
          <w:rFonts w:ascii="Times New Roman" w:hAnsi="Times New Roman" w:cs="Times New Roman"/>
          <w:color w:val="000000" w:themeColor="text1"/>
          <w:sz w:val="20"/>
          <w:szCs w:val="20"/>
        </w:rPr>
        <w:t>ı</w:t>
      </w:r>
      <w:r w:rsidRPr="00206E86">
        <w:rPr>
          <w:rFonts w:ascii="Times New Roman" w:hAnsi="Times New Roman" w:cs="Times New Roman"/>
          <w:color w:val="000000" w:themeColor="text1"/>
          <w:sz w:val="20"/>
          <w:szCs w:val="20"/>
        </w:rPr>
        <w:t xml:space="preserve">ṣlāḥ ve </w:t>
      </w:r>
      <w:r>
        <w:rPr>
          <w:rFonts w:ascii="Times New Roman" w:hAnsi="Times New Roman" w:cs="Times New Roman"/>
          <w:color w:val="000000" w:themeColor="text1"/>
          <w:sz w:val="20"/>
          <w:szCs w:val="20"/>
        </w:rPr>
        <w:t>t</w:t>
      </w:r>
      <w:r w:rsidRPr="00206E86">
        <w:rPr>
          <w:rFonts w:ascii="Times New Roman" w:hAnsi="Times New Roman" w:cs="Times New Roman"/>
          <w:color w:val="000000" w:themeColor="text1"/>
          <w:sz w:val="20"/>
          <w:szCs w:val="20"/>
        </w:rPr>
        <w:t xml:space="preserve">eʾlīfi” and “Medreselerde </w:t>
      </w:r>
      <w:r>
        <w:rPr>
          <w:rFonts w:ascii="Times New Roman" w:hAnsi="Times New Roman" w:cs="Times New Roman"/>
          <w:color w:val="000000" w:themeColor="text1"/>
          <w:sz w:val="20"/>
          <w:szCs w:val="20"/>
        </w:rPr>
        <w:t>t</w:t>
      </w:r>
      <w:r w:rsidRPr="00206E86">
        <w:rPr>
          <w:rFonts w:ascii="Times New Roman" w:hAnsi="Times New Roman" w:cs="Times New Roman"/>
          <w:color w:val="000000" w:themeColor="text1"/>
          <w:sz w:val="20"/>
          <w:szCs w:val="20"/>
        </w:rPr>
        <w:t xml:space="preserve">edrīsātın </w:t>
      </w:r>
      <w:r>
        <w:rPr>
          <w:rFonts w:ascii="Times New Roman" w:hAnsi="Times New Roman" w:cs="Times New Roman"/>
          <w:color w:val="000000" w:themeColor="text1"/>
          <w:sz w:val="20"/>
          <w:szCs w:val="20"/>
        </w:rPr>
        <w:t>ı</w:t>
      </w:r>
      <w:r w:rsidRPr="00206E86">
        <w:rPr>
          <w:rFonts w:ascii="Times New Roman" w:hAnsi="Times New Roman" w:cs="Times New Roman"/>
          <w:color w:val="000000" w:themeColor="text1"/>
          <w:sz w:val="20"/>
          <w:szCs w:val="20"/>
        </w:rPr>
        <w:t xml:space="preserve">ṣlāḥı”, in </w:t>
      </w:r>
      <w:r w:rsidRPr="00206E86">
        <w:rPr>
          <w:rFonts w:ascii="Times New Roman" w:hAnsi="Times New Roman" w:cs="Times New Roman"/>
          <w:i/>
          <w:iCs/>
          <w:color w:val="000000" w:themeColor="text1"/>
          <w:sz w:val="20"/>
          <w:szCs w:val="20"/>
        </w:rPr>
        <w:t>Külliyāt: Dīnī ve İçtimāʿī Maḳaleler</w:t>
      </w:r>
      <w:r w:rsidRPr="00206E86">
        <w:rPr>
          <w:rFonts w:ascii="Times New Roman" w:hAnsi="Times New Roman" w:cs="Times New Roman"/>
          <w:color w:val="000000" w:themeColor="text1"/>
          <w:sz w:val="20"/>
          <w:szCs w:val="20"/>
        </w:rPr>
        <w:t xml:space="preserve">, Istanbul: Evḳāf-ı İslāmiyye, 1336/1917, pp. </w:t>
      </w:r>
      <w:r w:rsidRPr="00206E86">
        <w:rPr>
          <w:rFonts w:ascii="Times New Roman" w:hAnsi="Times New Roman" w:cs="Times New Roman"/>
          <w:color w:val="000000" w:themeColor="text1"/>
          <w:sz w:val="20"/>
          <w:szCs w:val="20"/>
          <w:lang w:val="tr-TR"/>
        </w:rPr>
        <w:t xml:space="preserve">289-92, 298-300; for the </w:t>
      </w:r>
      <w:r w:rsidRPr="00206E86">
        <w:rPr>
          <w:rFonts w:ascii="Times New Roman" w:hAnsi="Times New Roman" w:cs="Times New Roman"/>
          <w:i/>
          <w:iCs/>
          <w:color w:val="000000" w:themeColor="text1"/>
          <w:sz w:val="20"/>
          <w:szCs w:val="20"/>
          <w:lang w:val="tr-TR"/>
        </w:rPr>
        <w:t>mektep-medrese</w:t>
      </w:r>
      <w:r w:rsidRPr="00206E86">
        <w:rPr>
          <w:rFonts w:ascii="Times New Roman" w:hAnsi="Times New Roman" w:cs="Times New Roman"/>
          <w:color w:val="000000" w:themeColor="text1"/>
          <w:sz w:val="20"/>
          <w:szCs w:val="20"/>
          <w:lang w:val="tr-TR"/>
        </w:rPr>
        <w:t xml:space="preserve"> binary, </w:t>
      </w:r>
      <w:r w:rsidRPr="00206E86">
        <w:rPr>
          <w:rFonts w:ascii="Times New Roman" w:hAnsi="Times New Roman" w:cs="Times New Roman"/>
          <w:color w:val="000000" w:themeColor="text1"/>
          <w:sz w:val="20"/>
          <w:szCs w:val="20"/>
        </w:rPr>
        <w:t xml:space="preserve">Akşin Somel, </w:t>
      </w:r>
      <w:r w:rsidRPr="00206E86">
        <w:rPr>
          <w:rFonts w:ascii="Times New Roman" w:hAnsi="Times New Roman" w:cs="Times New Roman"/>
          <w:i/>
          <w:iCs/>
          <w:color w:val="000000" w:themeColor="text1"/>
          <w:sz w:val="20"/>
          <w:szCs w:val="20"/>
        </w:rPr>
        <w:t>The Modernization of Public Education in the Ottoman Empire, 1839–1908</w:t>
      </w:r>
      <w:r w:rsidRPr="00206E86">
        <w:rPr>
          <w:rFonts w:ascii="Times New Roman" w:hAnsi="Times New Roman" w:cs="Times New Roman"/>
          <w:color w:val="000000" w:themeColor="text1"/>
          <w:sz w:val="20"/>
          <w:szCs w:val="20"/>
        </w:rPr>
        <w:t>, Leiden: Brill, 2001</w:t>
      </w:r>
      <w:r w:rsidRPr="00206E86">
        <w:rPr>
          <w:rFonts w:ascii="Times New Roman" w:hAnsi="Times New Roman" w:cs="Times New Roman"/>
          <w:color w:val="000000" w:themeColor="text1"/>
          <w:sz w:val="20"/>
          <w:szCs w:val="20"/>
          <w:lang w:val="tr-TR"/>
        </w:rPr>
        <w:t xml:space="preserve">. </w:t>
      </w:r>
      <w:r w:rsidRPr="00206E86">
        <w:rPr>
          <w:rFonts w:ascii="Times New Roman" w:hAnsi="Times New Roman" w:cs="Times New Roman"/>
          <w:color w:val="000000" w:themeColor="text1"/>
          <w:sz w:val="20"/>
          <w:szCs w:val="20"/>
        </w:rPr>
        <w:t xml:space="preserve">Prepared by another CUP </w:t>
      </w:r>
      <w:r w:rsidRPr="00206E86">
        <w:rPr>
          <w:rFonts w:ascii="Times New Roman" w:hAnsi="Times New Roman" w:cs="Times New Roman"/>
          <w:sz w:val="20"/>
          <w:szCs w:val="20"/>
        </w:rPr>
        <w:t>Shaykh al-Islām</w:t>
      </w:r>
      <w:r w:rsidRPr="00206E86">
        <w:rPr>
          <w:rFonts w:ascii="Times New Roman" w:hAnsi="Times New Roman" w:cs="Times New Roman"/>
          <w:color w:val="000000" w:themeColor="text1"/>
          <w:sz w:val="20"/>
          <w:szCs w:val="20"/>
        </w:rPr>
        <w:t xml:space="preserve"> Ürgüplü Mustafa Hayri, the </w:t>
      </w:r>
      <w:r w:rsidRPr="00206E86">
        <w:rPr>
          <w:rFonts w:ascii="Times New Roman" w:hAnsi="Times New Roman" w:cs="Times New Roman"/>
          <w:i/>
          <w:iCs/>
          <w:color w:val="000000" w:themeColor="text1"/>
          <w:sz w:val="20"/>
          <w:szCs w:val="20"/>
        </w:rPr>
        <w:t>Regulation for the Reform of the Madrasas</w:t>
      </w:r>
      <w:r w:rsidRPr="00206E86">
        <w:rPr>
          <w:rFonts w:ascii="Times New Roman" w:hAnsi="Times New Roman" w:cs="Times New Roman"/>
          <w:color w:val="000000" w:themeColor="text1"/>
          <w:sz w:val="20"/>
          <w:szCs w:val="20"/>
        </w:rPr>
        <w:t xml:space="preserve"> mandated physical education, foreign languages (Russian and French), and courses in mechanics, physics, and philosophy; see Ali Suat Ürgüplü (ed.), </w:t>
      </w:r>
      <w:r w:rsidRPr="00206E86">
        <w:rPr>
          <w:rFonts w:ascii="Times New Roman" w:hAnsi="Times New Roman" w:cs="Times New Roman"/>
          <w:i/>
          <w:iCs/>
          <w:color w:val="000000" w:themeColor="text1"/>
          <w:sz w:val="20"/>
          <w:szCs w:val="20"/>
        </w:rPr>
        <w:t>Şeyhülislam Ürgüplü Mustafa Hayri Efendi’nin Meşrutiyet, Büyük Harp ve Mütareke Günlükleri</w:t>
      </w:r>
      <w:r w:rsidRPr="00206E86">
        <w:rPr>
          <w:rFonts w:ascii="Times New Roman" w:hAnsi="Times New Roman" w:cs="Times New Roman"/>
          <w:color w:val="000000" w:themeColor="text1"/>
          <w:sz w:val="20"/>
          <w:szCs w:val="20"/>
        </w:rPr>
        <w:t xml:space="preserve">, Istanbul: İş Bankası, 2015, pp. 795–815; Benjamin Fortna, </w:t>
      </w:r>
      <w:r w:rsidRPr="00206E86">
        <w:rPr>
          <w:rFonts w:ascii="Times New Roman" w:hAnsi="Times New Roman" w:cs="Times New Roman"/>
          <w:i/>
          <w:iCs/>
          <w:color w:val="000000" w:themeColor="text1"/>
          <w:sz w:val="20"/>
          <w:szCs w:val="20"/>
        </w:rPr>
        <w:t xml:space="preserve">Imperial Classroom: </w:t>
      </w:r>
      <w:r w:rsidRPr="00206E86">
        <w:rPr>
          <w:rFonts w:ascii="Times New Roman" w:hAnsi="Times New Roman" w:cs="Times New Roman"/>
          <w:i/>
          <w:iCs/>
          <w:color w:val="000000" w:themeColor="text1"/>
          <w:sz w:val="20"/>
          <w:szCs w:val="20"/>
          <w:shd w:val="clear" w:color="auto" w:fill="FFFFFF"/>
        </w:rPr>
        <w:t>Islam, the State, and Education in the Late Ottoman Empire</w:t>
      </w:r>
      <w:r w:rsidRPr="00206E86">
        <w:rPr>
          <w:rFonts w:ascii="Times New Roman" w:hAnsi="Times New Roman" w:cs="Times New Roman"/>
          <w:color w:val="000000" w:themeColor="text1"/>
          <w:sz w:val="20"/>
          <w:szCs w:val="20"/>
        </w:rPr>
        <w:t>, Oxford: Oxford University Press, 2002.</w:t>
      </w:r>
    </w:p>
  </w:endnote>
  <w:endnote w:id="51">
    <w:p w14:paraId="0AF47880" w14:textId="6567335C"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w:t>
      </w:r>
      <w:r w:rsidRPr="00206E86">
        <w:t xml:space="preserve">Midhat cites Ibn Rushd’s sharply polemical characterisation of Ghazālī, which he reproaches as inappropriate towards a respected religious scholar </w:t>
      </w:r>
      <w:r w:rsidRPr="00206E86">
        <w:rPr>
          <w:color w:val="000000" w:themeColor="text1"/>
          <w:kern w:val="2"/>
          <w14:ligatures w14:val="standardContextual"/>
        </w:rPr>
        <w:t xml:space="preserve">(Ahmed Midhat, </w:t>
      </w:r>
      <w:r w:rsidRPr="00206E86">
        <w:rPr>
          <w:i/>
          <w:iCs/>
          <w:color w:val="000000" w:themeColor="text1"/>
          <w:kern w:val="2"/>
          <w14:ligatures w14:val="standardContextual"/>
        </w:rPr>
        <w:t>Nizâ‘-i ‘ilm ü dîn</w:t>
      </w:r>
      <w:r w:rsidRPr="00206E86">
        <w:rPr>
          <w:color w:val="000000" w:themeColor="text1"/>
          <w:kern w:val="2"/>
          <w14:ligatures w14:val="standardContextual"/>
        </w:rPr>
        <w:t>, Konya: Çizgi, 2021, p. 330).</w:t>
      </w:r>
    </w:p>
  </w:endnote>
  <w:endnote w:id="52">
    <w:p w14:paraId="5FBF79AD" w14:textId="6AFCB29E"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w:t>
      </w:r>
      <w:r w:rsidRPr="00206E86">
        <w:rPr>
          <w:color w:val="000000" w:themeColor="text1"/>
          <w:kern w:val="2"/>
          <w14:ligatures w14:val="standardContextual"/>
        </w:rPr>
        <w:t>Midhat</w:t>
      </w:r>
      <w:r w:rsidRPr="00206E86">
        <w:rPr>
          <w:color w:val="000000" w:themeColor="text1"/>
        </w:rPr>
        <w:t>, op. cit. (51), p. 307.</w:t>
      </w:r>
    </w:p>
  </w:endnote>
  <w:endnote w:id="53">
    <w:p w14:paraId="4FABBE02" w14:textId="245AD9FB"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rPr>
        <w:t xml:space="preserve"> </w:t>
      </w:r>
      <w:r w:rsidRPr="00206E86">
        <w:t>Midhat emphasises both Ibn Rushd’s affirmation of bodily resurrection and, following Draper, his exceptional intellectual courage in confronting questions that Christian theologians had failed to address (Midhat, op. cit. (51), pp. 263, 267).</w:t>
      </w:r>
    </w:p>
  </w:endnote>
  <w:endnote w:id="54">
    <w:p w14:paraId="0AA53C9B" w14:textId="16688819"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w:t>
      </w:r>
      <w:r w:rsidRPr="00206E86">
        <w:rPr>
          <w:color w:val="000000" w:themeColor="text1"/>
          <w:kern w:val="2"/>
          <w14:ligatures w14:val="standardContextual"/>
        </w:rPr>
        <w:t>Midhat</w:t>
      </w:r>
      <w:r w:rsidRPr="00206E86">
        <w:rPr>
          <w:color w:val="000000" w:themeColor="text1"/>
          <w:lang w:val="tr-TR"/>
        </w:rPr>
        <w:t>, op. cit.</w:t>
      </w:r>
      <w:r w:rsidRPr="00206E86">
        <w:rPr>
          <w:color w:val="000000" w:themeColor="text1"/>
        </w:rPr>
        <w:t xml:space="preserve"> (51)</w:t>
      </w:r>
      <w:r w:rsidRPr="00206E86">
        <w:rPr>
          <w:color w:val="000000" w:themeColor="text1"/>
          <w:lang w:val="tr-TR"/>
        </w:rPr>
        <w:t>, p. 299.</w:t>
      </w:r>
    </w:p>
  </w:endnote>
  <w:endnote w:id="55">
    <w:p w14:paraId="0012ACAD" w14:textId="0278D3B4"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“İmam Ġazālī ve İbn Rüşd gibi ḥükemā ve ʿulemā-ı İslāmiyyeyi ise redd-i ʿulūmda değil belki ḥaḳāyıḳ-ı ʿilmiyye ile ḥaḳāyıḳ-ı dīniyye mukāyese ve taṭbīḳ ve muḥākemede görürüz” (</w:t>
      </w:r>
      <w:r w:rsidRPr="00206E86">
        <w:rPr>
          <w:color w:val="000000" w:themeColor="text1"/>
          <w:kern w:val="2"/>
          <w:lang w:val="tr-TR"/>
          <w14:ligatures w14:val="standardContextual"/>
        </w:rPr>
        <w:t>Midhat</w:t>
      </w:r>
      <w:r w:rsidRPr="00206E86">
        <w:rPr>
          <w:color w:val="000000" w:themeColor="text1"/>
          <w:lang w:val="tr-TR"/>
        </w:rPr>
        <w:t xml:space="preserve">, op. cit. </w:t>
      </w:r>
      <w:r w:rsidRPr="00206E86">
        <w:rPr>
          <w:color w:val="000000" w:themeColor="text1"/>
        </w:rPr>
        <w:t>(51)</w:t>
      </w:r>
      <w:r w:rsidRPr="00206E86">
        <w:rPr>
          <w:color w:val="000000" w:themeColor="text1"/>
          <w:lang w:val="tr-TR"/>
        </w:rPr>
        <w:t>, p. 279).</w:t>
      </w:r>
    </w:p>
  </w:endnote>
  <w:endnote w:id="56">
    <w:p w14:paraId="0CAE7FFC" w14:textId="11FD8377"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w:t>
      </w:r>
      <w:r w:rsidRPr="00206E86">
        <w:rPr>
          <w:color w:val="000000" w:themeColor="text1"/>
          <w:kern w:val="2"/>
          <w14:ligatures w14:val="standardContextual"/>
        </w:rPr>
        <w:t>Midhat</w:t>
      </w:r>
      <w:r w:rsidRPr="00206E86">
        <w:rPr>
          <w:color w:val="000000" w:themeColor="text1"/>
          <w:lang w:val="tr-TR"/>
        </w:rPr>
        <w:t>, op. cit.</w:t>
      </w:r>
      <w:r w:rsidRPr="00206E86">
        <w:rPr>
          <w:color w:val="000000" w:themeColor="text1"/>
        </w:rPr>
        <w:t xml:space="preserve"> (51)</w:t>
      </w:r>
      <w:r w:rsidRPr="00206E86">
        <w:rPr>
          <w:color w:val="000000" w:themeColor="text1"/>
          <w:lang w:val="tr-TR"/>
        </w:rPr>
        <w:t xml:space="preserve">, p. 319. Cf. </w:t>
      </w:r>
      <w:r w:rsidRPr="00206E86">
        <w:t xml:space="preserve">Averroes, </w:t>
      </w:r>
      <w:r w:rsidRPr="00206E86">
        <w:rPr>
          <w:i/>
          <w:iCs/>
        </w:rPr>
        <w:t>The Book of the Decisive Treatise</w:t>
      </w:r>
      <w:r w:rsidRPr="00206E86">
        <w:t xml:space="preserve"> (tr. Charles Butterworth), Provo, UT: Brigham Young University Press, 2001.</w:t>
      </w:r>
    </w:p>
  </w:endnote>
  <w:endnote w:id="57">
    <w:p w14:paraId="5F866DD3" w14:textId="4CA31619" w:rsidR="00206E86" w:rsidRPr="00206E86" w:rsidRDefault="00206E86" w:rsidP="00206E86">
      <w:pPr>
        <w:pStyle w:val="SonNotMetni"/>
        <w:rPr>
          <w:color w:val="000000" w:themeColor="text1"/>
          <w:lang w:val="tr-TR"/>
        </w:rPr>
      </w:pPr>
      <w:r w:rsidRPr="00206E86">
        <w:rPr>
          <w:rStyle w:val="SonNotBavurusu"/>
          <w:color w:val="000000" w:themeColor="text1"/>
        </w:rPr>
        <w:endnoteRef/>
      </w:r>
      <w:r w:rsidRPr="00206E86">
        <w:rPr>
          <w:color w:val="000000" w:themeColor="text1"/>
          <w:lang w:val="tr-TR"/>
        </w:rPr>
        <w:t xml:space="preserve"> </w:t>
      </w:r>
      <w:r w:rsidRPr="00206E86">
        <w:rPr>
          <w:color w:val="000000" w:themeColor="text1"/>
          <w:kern w:val="2"/>
          <w:lang w:val="tr-TR"/>
          <w14:ligatures w14:val="standardContextual"/>
        </w:rPr>
        <w:t>Midhat</w:t>
      </w:r>
      <w:r w:rsidRPr="00206E86">
        <w:rPr>
          <w:color w:val="000000" w:themeColor="text1"/>
          <w:lang w:val="tr-TR"/>
        </w:rPr>
        <w:t>, op. cit. (51), p. 331.</w:t>
      </w:r>
    </w:p>
  </w:endnote>
  <w:endnote w:id="58">
    <w:p w14:paraId="43301EAE" w14:textId="6E48CF57" w:rsidR="00206E86" w:rsidRPr="00206E86" w:rsidRDefault="00206E86" w:rsidP="00206E86">
      <w:pPr>
        <w:pStyle w:val="SonNotMetni"/>
        <w:rPr>
          <w:color w:val="000000" w:themeColor="text1"/>
          <w:lang w:val="tr-TR"/>
        </w:rPr>
      </w:pPr>
      <w:r w:rsidRPr="00206E86">
        <w:rPr>
          <w:rStyle w:val="SonNotBavurusu"/>
          <w:color w:val="000000" w:themeColor="text1"/>
        </w:rPr>
        <w:endnoteRef/>
      </w:r>
      <w:r w:rsidRPr="00206E86">
        <w:rPr>
          <w:color w:val="000000" w:themeColor="text1"/>
          <w:lang w:val="tr-TR"/>
        </w:rPr>
        <w:t xml:space="preserve"> “Felsefe-i ḥaḳīḳiyyeyi dīn-i İslām’a ve bi’l-cümle edyān-ı ṣaḥīḥaya muvafıḳ görüyor” (</w:t>
      </w:r>
      <w:r w:rsidRPr="00206E86">
        <w:rPr>
          <w:color w:val="000000" w:themeColor="text1"/>
          <w:kern w:val="2"/>
          <w:lang w:val="tr-TR"/>
          <w14:ligatures w14:val="standardContextual"/>
        </w:rPr>
        <w:t>Midhat</w:t>
      </w:r>
      <w:r w:rsidRPr="00206E86">
        <w:rPr>
          <w:color w:val="000000" w:themeColor="text1"/>
          <w:lang w:val="tr-TR"/>
        </w:rPr>
        <w:t>, op. cit. (51), pp. 283, 329).</w:t>
      </w:r>
    </w:p>
  </w:endnote>
  <w:endnote w:id="59">
    <w:p w14:paraId="2815C9B0" w14:textId="006BCFA4"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Midhat, op. cit. (47), p. 52. </w:t>
      </w:r>
    </w:p>
  </w:endnote>
  <w:endnote w:id="60">
    <w:p w14:paraId="66E71B8F" w14:textId="77A8119B"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rPr>
        <w:t xml:space="preserve"> </w:t>
      </w:r>
      <w:r w:rsidRPr="00206E86">
        <w:t xml:space="preserve">In a letter to the writer Beşir Fuad, Midhat notes that Ottomans took pride in Avicenna and Ibn Rushd while few could read them in Arabic </w:t>
      </w:r>
      <w:r w:rsidRPr="00206E86">
        <w:rPr>
          <w:color w:val="000000" w:themeColor="text1"/>
        </w:rPr>
        <w:t xml:space="preserve">(Ahmed Midhat, </w:t>
      </w:r>
      <w:r w:rsidRPr="00206E86">
        <w:rPr>
          <w:i/>
          <w:iCs/>
          <w:color w:val="000000" w:themeColor="text1"/>
        </w:rPr>
        <w:t>Felsefe Metinleri</w:t>
      </w:r>
      <w:r w:rsidRPr="00206E86">
        <w:rPr>
          <w:color w:val="000000" w:themeColor="text1"/>
        </w:rPr>
        <w:t>, Erdoğan Erbay and Ali Utku (eds.), Erzurum: Babil, 2002, p. 289).</w:t>
      </w:r>
    </w:p>
  </w:endnote>
  <w:endnote w:id="61">
    <w:p w14:paraId="7FE621A3" w14:textId="4C09A3B8" w:rsidR="00206E86" w:rsidRPr="00206E86" w:rsidRDefault="00206E86" w:rsidP="00206E86">
      <w:pPr>
        <w:pStyle w:val="SonNotMetni"/>
        <w:rPr>
          <w:color w:val="000000" w:themeColor="text1"/>
          <w:lang w:val="tr-TR"/>
        </w:rPr>
      </w:pPr>
      <w:r w:rsidRPr="00206E86">
        <w:rPr>
          <w:rStyle w:val="SonNotBavurusu"/>
          <w:color w:val="000000" w:themeColor="text1"/>
        </w:rPr>
        <w:endnoteRef/>
      </w:r>
      <w:r w:rsidRPr="00206E86">
        <w:rPr>
          <w:color w:val="000000" w:themeColor="text1"/>
        </w:rPr>
        <w:t xml:space="preserve"> Renan, op. cit. (9), pp. 310-35.</w:t>
      </w:r>
    </w:p>
  </w:endnote>
  <w:endnote w:id="62">
    <w:p w14:paraId="1DEA5493" w14:textId="55B7F1E6" w:rsidR="00206E86" w:rsidRPr="00206E86" w:rsidRDefault="00206E86" w:rsidP="00206E86">
      <w:pPr>
        <w:pStyle w:val="AralkYok"/>
        <w:jc w:val="both"/>
        <w:rPr>
          <w:rFonts w:ascii="Times New Roman" w:hAnsi="Times New Roman" w:cs="Times New Roman"/>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lang w:val="tr-TR"/>
        </w:rPr>
        <w:t xml:space="preserve"> </w:t>
      </w:r>
      <w:r w:rsidRPr="00206E86">
        <w:rPr>
          <w:rFonts w:ascii="Times New Roman" w:hAnsi="Times New Roman" w:cs="Times New Roman"/>
          <w:sz w:val="20"/>
          <w:szCs w:val="20"/>
        </w:rPr>
        <w:t xml:space="preserve">Kāẓım, op. cit. (50), p. 150. Ahmed Midhat likewise defended Islam against scientific materialism in his polemical treatise </w:t>
      </w:r>
      <w:r w:rsidRPr="00206E86">
        <w:rPr>
          <w:rFonts w:ascii="Times New Roman" w:hAnsi="Times New Roman" w:cs="Times New Roman"/>
          <w:i/>
          <w:iCs/>
          <w:sz w:val="20"/>
          <w:szCs w:val="20"/>
        </w:rPr>
        <w:t>Ben Neyim? Ḥikmet-i Maddiyeye Müdāfaʿa</w:t>
      </w:r>
      <w:r w:rsidRPr="00206E86">
        <w:rPr>
          <w:rFonts w:ascii="Times New Roman" w:hAnsi="Times New Roman" w:cs="Times New Roman"/>
          <w:sz w:val="20"/>
          <w:szCs w:val="20"/>
        </w:rPr>
        <w:t xml:space="preserve"> (Istanbul: n.p., 1308/1890–91).</w:t>
      </w:r>
    </w:p>
  </w:endnote>
  <w:endnote w:id="63">
    <w:p w14:paraId="05A6AE31" w14:textId="10F361B6" w:rsidR="00206E86" w:rsidRPr="00206E86" w:rsidRDefault="00206E86" w:rsidP="00206E86">
      <w:pPr>
        <w:pStyle w:val="SonNotMetni"/>
        <w:rPr>
          <w:color w:val="000000" w:themeColor="text1"/>
        </w:rPr>
      </w:pPr>
      <w:r w:rsidRPr="00206E86">
        <w:rPr>
          <w:rStyle w:val="SonNotBavurusu"/>
          <w:color w:val="000000" w:themeColor="text1"/>
        </w:rPr>
        <w:endnoteRef/>
      </w:r>
      <w:r w:rsidRPr="00206E86">
        <w:rPr>
          <w:color w:val="000000" w:themeColor="text1"/>
          <w:lang w:val="tr-TR"/>
        </w:rPr>
        <w:t xml:space="preserve"> </w:t>
      </w:r>
      <w:r w:rsidRPr="00206E86">
        <w:rPr>
          <w:color w:val="000000" w:themeColor="text1"/>
        </w:rPr>
        <w:t xml:space="preserve">Kāẓım, op. cit. (50), p. </w:t>
      </w:r>
      <w:r w:rsidRPr="00206E86">
        <w:rPr>
          <w:color w:val="000000" w:themeColor="text1"/>
          <w:lang w:val="tr-TR"/>
        </w:rPr>
        <w:t>139.</w:t>
      </w:r>
    </w:p>
  </w:endnote>
  <w:endnote w:id="64">
    <w:p w14:paraId="667538BC" w14:textId="1DC460D9" w:rsidR="00206E86" w:rsidRPr="00206E86" w:rsidRDefault="00206E86" w:rsidP="00206E86">
      <w:pPr>
        <w:pStyle w:val="SonNotMetni"/>
        <w:rPr>
          <w:color w:val="000000" w:themeColor="text1"/>
        </w:rPr>
      </w:pPr>
      <w:r w:rsidRPr="00206E86">
        <w:rPr>
          <w:rStyle w:val="SonNotBavurusu"/>
          <w:color w:val="000000" w:themeColor="text1"/>
        </w:rPr>
        <w:endnoteRef/>
      </w:r>
      <w:r w:rsidRPr="00206E86">
        <w:rPr>
          <w:color w:val="000000" w:themeColor="text1"/>
          <w:lang w:val="tr-TR"/>
        </w:rPr>
        <w:t xml:space="preserve"> </w:t>
      </w:r>
      <w:r w:rsidRPr="00206E86">
        <w:rPr>
          <w:color w:val="000000" w:themeColor="text1"/>
        </w:rPr>
        <w:t xml:space="preserve">Kāẓım, op. cit. (50), p. </w:t>
      </w:r>
      <w:r w:rsidRPr="00206E86">
        <w:rPr>
          <w:color w:val="000000" w:themeColor="text1"/>
          <w:lang w:val="tr-TR"/>
        </w:rPr>
        <w:t>193.</w:t>
      </w:r>
    </w:p>
  </w:endnote>
  <w:endnote w:id="65">
    <w:p w14:paraId="3A0E6135" w14:textId="1C451C30" w:rsidR="00206E86" w:rsidRPr="00206E86" w:rsidRDefault="00206E86" w:rsidP="00206E86">
      <w:pPr>
        <w:pStyle w:val="SonNotMetni"/>
        <w:rPr>
          <w:color w:val="000000" w:themeColor="text1"/>
        </w:rPr>
      </w:pPr>
      <w:r w:rsidRPr="00206E86">
        <w:rPr>
          <w:rStyle w:val="SonNotBavurusu"/>
          <w:color w:val="000000" w:themeColor="text1"/>
        </w:rPr>
        <w:endnoteRef/>
      </w:r>
      <w:r w:rsidRPr="00206E86">
        <w:rPr>
          <w:color w:val="000000" w:themeColor="text1"/>
        </w:rPr>
        <w:t xml:space="preserve"> Kāẓım, op. cit. (50), p. 194.</w:t>
      </w:r>
    </w:p>
  </w:endnote>
  <w:endnote w:id="66">
    <w:p w14:paraId="54B41115" w14:textId="273B430D" w:rsidR="00206E86" w:rsidRPr="00206E86" w:rsidRDefault="00206E86" w:rsidP="00206E86">
      <w:pPr>
        <w:pStyle w:val="SonNotMetni"/>
        <w:rPr>
          <w:color w:val="000000" w:themeColor="text1"/>
        </w:rPr>
      </w:pPr>
      <w:r w:rsidRPr="00206E86">
        <w:rPr>
          <w:rStyle w:val="SonNotBavurusu"/>
          <w:color w:val="000000" w:themeColor="text1"/>
        </w:rPr>
        <w:endnoteRef/>
      </w:r>
      <w:r w:rsidRPr="00206E86">
        <w:rPr>
          <w:color w:val="000000" w:themeColor="text1"/>
        </w:rPr>
        <w:t xml:space="preserve"> Kāẓım, op. cit. (50), p. 195-6.</w:t>
      </w:r>
    </w:p>
  </w:endnote>
  <w:endnote w:id="67">
    <w:p w14:paraId="1B0042E0" w14:textId="646C33F6"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Şerif Mardin, </w:t>
      </w:r>
      <w:r w:rsidRPr="00206E86">
        <w:rPr>
          <w:i/>
          <w:iCs/>
          <w:color w:val="000000" w:themeColor="text1"/>
        </w:rPr>
        <w:t>The Genesis of Young Ottoman Thought</w:t>
      </w:r>
      <w:r w:rsidRPr="00206E86">
        <w:rPr>
          <w:color w:val="000000" w:themeColor="text1"/>
        </w:rPr>
        <w:t xml:space="preserve">, pp. 360-2; Numan Deniz, “An ‘Islamist’ </w:t>
      </w:r>
      <w:r>
        <w:rPr>
          <w:color w:val="000000" w:themeColor="text1"/>
        </w:rPr>
        <w:t>i</w:t>
      </w:r>
      <w:r w:rsidRPr="00206E86">
        <w:rPr>
          <w:color w:val="000000" w:themeColor="text1"/>
        </w:rPr>
        <w:t xml:space="preserve">ntellectual in the </w:t>
      </w:r>
      <w:r>
        <w:rPr>
          <w:color w:val="000000" w:themeColor="text1"/>
        </w:rPr>
        <w:t>l</w:t>
      </w:r>
      <w:r w:rsidRPr="00206E86">
        <w:rPr>
          <w:color w:val="000000" w:themeColor="text1"/>
        </w:rPr>
        <w:t xml:space="preserve">ate Ottoman </w:t>
      </w:r>
      <w:r>
        <w:rPr>
          <w:color w:val="000000" w:themeColor="text1"/>
        </w:rPr>
        <w:t>E</w:t>
      </w:r>
      <w:r w:rsidRPr="00206E86">
        <w:rPr>
          <w:color w:val="000000" w:themeColor="text1"/>
        </w:rPr>
        <w:t xml:space="preserve">mpire: Ali Suavi”, </w:t>
      </w:r>
      <w:r w:rsidRPr="00206E86">
        <w:rPr>
          <w:i/>
          <w:iCs/>
          <w:color w:val="000000" w:themeColor="text1"/>
        </w:rPr>
        <w:t>Middle Eastern Studies</w:t>
      </w:r>
      <w:r w:rsidRPr="00206E86">
        <w:rPr>
          <w:color w:val="000000" w:themeColor="text1"/>
        </w:rPr>
        <w:t xml:space="preserve"> (2022) 58 (6), pp. 875-89.</w:t>
      </w:r>
    </w:p>
  </w:endnote>
  <w:endnote w:id="68">
    <w:p w14:paraId="74124298" w14:textId="662BC894"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Kāẓım, op. cit. (50), pp. 201–203; see also his critique of the Orientalist fixation on al-Maʾmūn’s reign in İsmail Erdoğan (ed.), </w:t>
      </w:r>
      <w:r w:rsidRPr="00206E86">
        <w:rPr>
          <w:i/>
          <w:iCs/>
          <w:color w:val="000000" w:themeColor="text1"/>
        </w:rPr>
        <w:t>Ali Suavi’nin Felsefî Metinleri</w:t>
      </w:r>
      <w:r w:rsidRPr="00206E86">
        <w:rPr>
          <w:color w:val="000000" w:themeColor="text1"/>
        </w:rPr>
        <w:t>, Istanbul: Sage, 2012, p. 98.</w:t>
      </w:r>
    </w:p>
  </w:endnote>
  <w:endnote w:id="69">
    <w:p w14:paraId="7B91BC66" w14:textId="22A2B438"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Erdoğan (ed.), op. cit. (68), p. 101. </w:t>
      </w:r>
      <w:r w:rsidRPr="00206E86">
        <w:t xml:space="preserve">The essays appeared in </w:t>
      </w:r>
      <w:r w:rsidRPr="00206E86">
        <w:rPr>
          <w:i/>
          <w:iCs/>
        </w:rPr>
        <w:t>ʿUlūm</w:t>
      </w:r>
      <w:r w:rsidRPr="00206E86">
        <w:t xml:space="preserve"> as </w:t>
      </w:r>
      <w:r w:rsidRPr="00206E86">
        <w:rPr>
          <w:i/>
          <w:iCs/>
        </w:rPr>
        <w:t>al-Radd ʿalā man radda ʿalā Ghazālī</w:t>
      </w:r>
      <w:r w:rsidRPr="00206E86">
        <w:t xml:space="preserve">. Büchner states the incompatibility of theology and natural science bluntly: </w:t>
      </w:r>
      <w:r w:rsidRPr="00206E86">
        <w:rPr>
          <w:color w:val="000000" w:themeColor="text1"/>
        </w:rPr>
        <w:t xml:space="preserve">“Theology and Natural Science cannot walk peacefully side by side, and a theological or ecclesiastical natural science does not and cannot exist until men drop down ready-made from heaven, and until the telescope gazes into the meetings of the angels” (Lüdwig Büchner, </w:t>
      </w:r>
      <w:r w:rsidRPr="00206E86">
        <w:rPr>
          <w:i/>
          <w:iCs/>
          <w:color w:val="000000" w:themeColor="text1"/>
        </w:rPr>
        <w:t>Force and Matter</w:t>
      </w:r>
      <w:r w:rsidRPr="00206E86">
        <w:rPr>
          <w:color w:val="000000" w:themeColor="text1"/>
        </w:rPr>
        <w:t>, New York: Peter Eckler, 1891, p. 86).</w:t>
      </w:r>
    </w:p>
  </w:endnote>
  <w:endnote w:id="70">
    <w:p w14:paraId="20F58693" w14:textId="51C0C721" w:rsidR="00206E86" w:rsidRPr="00206E86" w:rsidRDefault="00206E86" w:rsidP="00206E86">
      <w:pPr>
        <w:pStyle w:val="SonNotMetni"/>
        <w:rPr>
          <w:color w:val="000000" w:themeColor="text1"/>
        </w:rPr>
      </w:pPr>
      <w:r w:rsidRPr="00206E86">
        <w:rPr>
          <w:rStyle w:val="SonNotBavurusu"/>
          <w:color w:val="000000" w:themeColor="text1"/>
        </w:rPr>
        <w:endnoteRef/>
      </w:r>
      <w:r w:rsidRPr="00206E86">
        <w:rPr>
          <w:color w:val="000000" w:themeColor="text1"/>
        </w:rPr>
        <w:t xml:space="preserve"> Büchner, op. cit. (69), 14-45; for the Ottoman translation by Baha Tevfik and Ahmed Nebil, see Büchner, </w:t>
      </w:r>
      <w:r w:rsidRPr="00206E86">
        <w:rPr>
          <w:i/>
          <w:iCs/>
          <w:color w:val="000000" w:themeColor="text1"/>
        </w:rPr>
        <w:t>Mâdde ve Kuvvet</w:t>
      </w:r>
      <w:r w:rsidRPr="00206E86">
        <w:rPr>
          <w:color w:val="000000" w:themeColor="text1"/>
        </w:rPr>
        <w:t>, Konya: Çizgi, 2012, pp. 54-78; Erdoğan (ed.), op. cit. (68), pp. 101-2.</w:t>
      </w:r>
    </w:p>
  </w:endnote>
  <w:endnote w:id="71">
    <w:p w14:paraId="06387013" w14:textId="76851983" w:rsidR="00206E86" w:rsidRPr="00206E86" w:rsidRDefault="00206E86" w:rsidP="00206E86">
      <w:pPr>
        <w:pStyle w:val="SonNotMetni"/>
        <w:rPr>
          <w:color w:val="000000" w:themeColor="text1"/>
          <w:lang w:val="tr-TR"/>
        </w:rPr>
      </w:pPr>
      <w:r w:rsidRPr="00206E86">
        <w:rPr>
          <w:rStyle w:val="SonNotBavurusu"/>
          <w:color w:val="000000" w:themeColor="text1"/>
        </w:rPr>
        <w:endnoteRef/>
      </w:r>
      <w:r w:rsidRPr="00206E86">
        <w:rPr>
          <w:color w:val="000000" w:themeColor="text1"/>
        </w:rPr>
        <w:t xml:space="preserve"> Erdoğan (ed.), op. cit. (68), pp. 103, 203, 206.</w:t>
      </w:r>
    </w:p>
  </w:endnote>
  <w:endnote w:id="72">
    <w:p w14:paraId="3E3044FF" w14:textId="6BDE1A0A"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Erdoğan (ed.), op. cit. (68), pp. 97, 103.</w:t>
      </w:r>
    </w:p>
  </w:endnote>
  <w:endnote w:id="73">
    <w:p w14:paraId="5CD3B809" w14:textId="0FBACD14" w:rsidR="00206E86" w:rsidRPr="00206E86" w:rsidRDefault="00206E86" w:rsidP="00206E86">
      <w:pPr>
        <w:pStyle w:val="AralkYok"/>
        <w:jc w:val="both"/>
        <w:rPr>
          <w:rFonts w:ascii="Times New Roman" w:hAnsi="Times New Roman" w:cs="Times New Roman"/>
          <w:color w:val="000000" w:themeColor="text1"/>
          <w:sz w:val="20"/>
          <w:szCs w:val="20"/>
          <w:lang w:eastAsia="tr-TR"/>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rPr>
        <w:t xml:space="preserve"> </w:t>
      </w:r>
      <w:r w:rsidRPr="00206E86">
        <w:rPr>
          <w:rFonts w:ascii="Times New Roman" w:hAnsi="Times New Roman" w:cs="Times New Roman"/>
          <w:color w:val="000000" w:themeColor="text1"/>
          <w:sz w:val="20"/>
          <w:szCs w:val="20"/>
          <w:lang w:eastAsia="tr-TR"/>
        </w:rPr>
        <w:t xml:space="preserve">Erdoğan (ed.), </w:t>
      </w:r>
      <w:r w:rsidRPr="00206E86">
        <w:rPr>
          <w:rFonts w:ascii="Times New Roman" w:hAnsi="Times New Roman" w:cs="Times New Roman"/>
          <w:color w:val="000000" w:themeColor="text1"/>
          <w:sz w:val="20"/>
          <w:szCs w:val="20"/>
        </w:rPr>
        <w:t xml:space="preserve">op. cit. (68), </w:t>
      </w:r>
      <w:r w:rsidRPr="00206E86">
        <w:rPr>
          <w:rFonts w:ascii="Times New Roman" w:hAnsi="Times New Roman" w:cs="Times New Roman"/>
          <w:color w:val="000000" w:themeColor="text1"/>
          <w:sz w:val="20"/>
          <w:szCs w:val="20"/>
          <w:lang w:eastAsia="tr-TR"/>
        </w:rPr>
        <w:t>p. 111; for Ghaz</w:t>
      </w:r>
      <w:r w:rsidRPr="00206E86">
        <w:rPr>
          <w:rFonts w:ascii="Times New Roman" w:hAnsi="Times New Roman" w:cs="Times New Roman"/>
          <w:color w:val="000000" w:themeColor="text1"/>
          <w:sz w:val="20"/>
          <w:szCs w:val="20"/>
        </w:rPr>
        <w:t>ālī</w:t>
      </w:r>
      <w:r w:rsidRPr="00206E86">
        <w:rPr>
          <w:rFonts w:ascii="Times New Roman" w:hAnsi="Times New Roman" w:cs="Times New Roman"/>
          <w:color w:val="000000" w:themeColor="text1"/>
          <w:sz w:val="20"/>
          <w:szCs w:val="20"/>
          <w:lang w:eastAsia="tr-TR"/>
        </w:rPr>
        <w:t>’s standpoint, see Michael Marmura, “</w:t>
      </w:r>
      <w:r w:rsidRPr="00206E86">
        <w:rPr>
          <w:rFonts w:ascii="Times New Roman" w:hAnsi="Times New Roman" w:cs="Times New Roman"/>
          <w:color w:val="000000" w:themeColor="text1"/>
          <w:sz w:val="20"/>
          <w:szCs w:val="20"/>
        </w:rPr>
        <w:t xml:space="preserve">Al-Ghazali on </w:t>
      </w:r>
      <w:r>
        <w:rPr>
          <w:rFonts w:ascii="Times New Roman" w:hAnsi="Times New Roman" w:cs="Times New Roman"/>
          <w:color w:val="000000" w:themeColor="text1"/>
          <w:sz w:val="20"/>
          <w:szCs w:val="20"/>
        </w:rPr>
        <w:t>b</w:t>
      </w:r>
      <w:r w:rsidRPr="00206E86">
        <w:rPr>
          <w:rFonts w:ascii="Times New Roman" w:hAnsi="Times New Roman" w:cs="Times New Roman"/>
          <w:color w:val="000000" w:themeColor="text1"/>
          <w:sz w:val="20"/>
          <w:szCs w:val="20"/>
        </w:rPr>
        <w:t xml:space="preserve">odily </w:t>
      </w:r>
      <w:r>
        <w:rPr>
          <w:rFonts w:ascii="Times New Roman" w:hAnsi="Times New Roman" w:cs="Times New Roman"/>
          <w:color w:val="000000" w:themeColor="text1"/>
          <w:sz w:val="20"/>
          <w:szCs w:val="20"/>
        </w:rPr>
        <w:t>r</w:t>
      </w:r>
      <w:r w:rsidRPr="00206E86">
        <w:rPr>
          <w:rFonts w:ascii="Times New Roman" w:hAnsi="Times New Roman" w:cs="Times New Roman"/>
          <w:color w:val="000000" w:themeColor="text1"/>
          <w:sz w:val="20"/>
          <w:szCs w:val="20"/>
        </w:rPr>
        <w:t xml:space="preserve">esurrection and </w:t>
      </w:r>
      <w:r>
        <w:rPr>
          <w:rFonts w:ascii="Times New Roman" w:hAnsi="Times New Roman" w:cs="Times New Roman"/>
          <w:color w:val="000000" w:themeColor="text1"/>
          <w:sz w:val="20"/>
          <w:szCs w:val="20"/>
        </w:rPr>
        <w:t>c</w:t>
      </w:r>
      <w:r w:rsidRPr="00206E86">
        <w:rPr>
          <w:rFonts w:ascii="Times New Roman" w:hAnsi="Times New Roman" w:cs="Times New Roman"/>
          <w:color w:val="000000" w:themeColor="text1"/>
          <w:sz w:val="20"/>
          <w:szCs w:val="20"/>
        </w:rPr>
        <w:t xml:space="preserve">ausality in the </w:t>
      </w:r>
      <w:r w:rsidRPr="00206E86">
        <w:rPr>
          <w:rFonts w:ascii="Times New Roman" w:hAnsi="Times New Roman" w:cs="Times New Roman"/>
          <w:i/>
          <w:iCs/>
          <w:color w:val="000000" w:themeColor="text1"/>
          <w:sz w:val="20"/>
          <w:szCs w:val="20"/>
        </w:rPr>
        <w:t>Tahafut</w:t>
      </w:r>
      <w:r w:rsidRPr="00206E86">
        <w:rPr>
          <w:rFonts w:ascii="Times New Roman" w:hAnsi="Times New Roman" w:cs="Times New Roman"/>
          <w:color w:val="000000" w:themeColor="text1"/>
          <w:sz w:val="20"/>
          <w:szCs w:val="20"/>
        </w:rPr>
        <w:t xml:space="preserve"> and the </w:t>
      </w:r>
      <w:r w:rsidRPr="00206E86">
        <w:rPr>
          <w:rFonts w:ascii="Times New Roman" w:hAnsi="Times New Roman" w:cs="Times New Roman"/>
          <w:i/>
          <w:iCs/>
          <w:color w:val="000000" w:themeColor="text1"/>
          <w:sz w:val="20"/>
          <w:szCs w:val="20"/>
        </w:rPr>
        <w:t>Iqtisad</w:t>
      </w:r>
      <w:r w:rsidRPr="00206E86">
        <w:rPr>
          <w:rFonts w:ascii="Times New Roman" w:hAnsi="Times New Roman" w:cs="Times New Roman"/>
          <w:color w:val="000000" w:themeColor="text1"/>
          <w:sz w:val="20"/>
          <w:szCs w:val="20"/>
        </w:rPr>
        <w:t>”,</w:t>
      </w:r>
      <w:r w:rsidRPr="00206E86">
        <w:rPr>
          <w:rFonts w:ascii="Times New Roman" w:hAnsi="Times New Roman" w:cs="Times New Roman"/>
          <w:color w:val="000000" w:themeColor="text1"/>
          <w:sz w:val="20"/>
          <w:szCs w:val="20"/>
          <w:lang w:val="tr-TR"/>
        </w:rPr>
        <w:t xml:space="preserve"> in </w:t>
      </w:r>
      <w:r w:rsidRPr="00206E86">
        <w:rPr>
          <w:rFonts w:ascii="Times New Roman" w:hAnsi="Times New Roman" w:cs="Times New Roman"/>
          <w:i/>
          <w:iCs/>
          <w:color w:val="000000" w:themeColor="text1"/>
          <w:sz w:val="20"/>
          <w:szCs w:val="20"/>
          <w:lang w:val="tr-TR"/>
        </w:rPr>
        <w:t>Probing in Islamic Philosophy</w:t>
      </w:r>
      <w:r w:rsidRPr="00206E86">
        <w:rPr>
          <w:rFonts w:ascii="Times New Roman" w:hAnsi="Times New Roman" w:cs="Times New Roman"/>
          <w:color w:val="000000" w:themeColor="text1"/>
          <w:sz w:val="20"/>
          <w:szCs w:val="20"/>
          <w:lang w:val="tr-TR"/>
        </w:rPr>
        <w:t xml:space="preserve">, New York: Global Academic, 1995, pp. 273-99. </w:t>
      </w:r>
      <w:r w:rsidRPr="00206E86">
        <w:rPr>
          <w:rFonts w:ascii="Times New Roman" w:eastAsia="Times New Roman" w:hAnsi="Times New Roman" w:cs="Times New Roman"/>
          <w:kern w:val="0"/>
          <w:sz w:val="20"/>
          <w:szCs w:val="20"/>
          <w:lang w:eastAsia="tr-TR"/>
          <w14:ligatures w14:val="none"/>
        </w:rPr>
        <w:t xml:space="preserve">İzmirli similarly argues that Avicenna’s account of resurrection in the </w:t>
      </w:r>
      <w:r w:rsidRPr="00206E86">
        <w:rPr>
          <w:rFonts w:ascii="Times New Roman" w:eastAsia="Times New Roman" w:hAnsi="Times New Roman" w:cs="Times New Roman"/>
          <w:i/>
          <w:iCs/>
          <w:kern w:val="0"/>
          <w:sz w:val="20"/>
          <w:szCs w:val="20"/>
          <w:lang w:eastAsia="tr-TR"/>
          <w14:ligatures w14:val="none"/>
        </w:rPr>
        <w:t>Najāt</w:t>
      </w:r>
      <w:r w:rsidRPr="00206E86">
        <w:rPr>
          <w:rFonts w:ascii="Times New Roman" w:eastAsia="Times New Roman" w:hAnsi="Times New Roman" w:cs="Times New Roman"/>
          <w:kern w:val="0"/>
          <w:sz w:val="20"/>
          <w:szCs w:val="20"/>
          <w:lang w:eastAsia="tr-TR"/>
          <w14:ligatures w14:val="none"/>
        </w:rPr>
        <w:t xml:space="preserve"> absolves Ghazālī’s charge of unbelief, suggesting that he polemically misrepresented their position in his attack on materialists </w:t>
      </w:r>
      <w:r w:rsidRPr="00206E86">
        <w:rPr>
          <w:rFonts w:ascii="Times New Roman" w:hAnsi="Times New Roman" w:cs="Times New Roman"/>
          <w:color w:val="000000" w:themeColor="text1"/>
          <w:sz w:val="20"/>
          <w:szCs w:val="20"/>
        </w:rPr>
        <w:t xml:space="preserve">(İsmail Hakkı İzmirli, “İslâmda </w:t>
      </w:r>
      <w:r>
        <w:rPr>
          <w:rFonts w:ascii="Times New Roman" w:hAnsi="Times New Roman" w:cs="Times New Roman"/>
          <w:color w:val="000000" w:themeColor="text1"/>
          <w:sz w:val="20"/>
          <w:szCs w:val="20"/>
        </w:rPr>
        <w:t>f</w:t>
      </w:r>
      <w:r w:rsidRPr="00206E86">
        <w:rPr>
          <w:rFonts w:ascii="Times New Roman" w:hAnsi="Times New Roman" w:cs="Times New Roman"/>
          <w:color w:val="000000" w:themeColor="text1"/>
          <w:sz w:val="20"/>
          <w:szCs w:val="20"/>
        </w:rPr>
        <w:t xml:space="preserve">elsefe </w:t>
      </w:r>
      <w:r>
        <w:rPr>
          <w:rFonts w:ascii="Times New Roman" w:hAnsi="Times New Roman" w:cs="Times New Roman"/>
          <w:color w:val="000000" w:themeColor="text1"/>
          <w:sz w:val="20"/>
          <w:szCs w:val="20"/>
        </w:rPr>
        <w:t>c</w:t>
      </w:r>
      <w:r w:rsidRPr="00206E86">
        <w:rPr>
          <w:rFonts w:ascii="Times New Roman" w:hAnsi="Times New Roman" w:cs="Times New Roman"/>
          <w:color w:val="000000" w:themeColor="text1"/>
          <w:sz w:val="20"/>
          <w:szCs w:val="20"/>
        </w:rPr>
        <w:t xml:space="preserve">ereyanları XI: İbn-i Rüşd III”, </w:t>
      </w:r>
      <w:r w:rsidRPr="00206E86">
        <w:rPr>
          <w:rFonts w:ascii="Times New Roman" w:hAnsi="Times New Roman" w:cs="Times New Roman"/>
          <w:i/>
          <w:iCs/>
          <w:color w:val="000000" w:themeColor="text1"/>
          <w:sz w:val="20"/>
          <w:szCs w:val="20"/>
        </w:rPr>
        <w:t>Darülfünun İlahiyat Fakültesi Mecmuası</w:t>
      </w:r>
      <w:r w:rsidRPr="00206E86">
        <w:rPr>
          <w:rFonts w:ascii="Times New Roman" w:hAnsi="Times New Roman" w:cs="Times New Roman"/>
          <w:color w:val="000000" w:themeColor="text1"/>
          <w:sz w:val="20"/>
          <w:szCs w:val="20"/>
        </w:rPr>
        <w:t xml:space="preserve"> (1932) 5 (22), pp. 27-50, 40–1).</w:t>
      </w:r>
    </w:p>
  </w:endnote>
  <w:endnote w:id="74">
    <w:p w14:paraId="41482376" w14:textId="259B06ED" w:rsidR="00206E86" w:rsidRPr="00206E86" w:rsidRDefault="00206E86" w:rsidP="00206E86">
      <w:pPr>
        <w:pStyle w:val="AralkYok"/>
        <w:jc w:val="both"/>
        <w:rPr>
          <w:rFonts w:ascii="Times New Roman" w:hAnsi="Times New Roman" w:cs="Times New Roman"/>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sz w:val="20"/>
          <w:szCs w:val="20"/>
        </w:rPr>
        <w:t xml:space="preserve"> Suavi incorrectly claimed that only one Ibn Rushd manuscript survived in the Ottoman realm (MS Şehid Ali Paşa). See Erdoğan (ed.), op. cit. (68), pp. 99–100, 104; Sait Özervarlı, “Ottoman </w:t>
      </w:r>
      <w:r>
        <w:rPr>
          <w:rFonts w:ascii="Times New Roman" w:hAnsi="Times New Roman" w:cs="Times New Roman"/>
          <w:sz w:val="20"/>
          <w:szCs w:val="20"/>
        </w:rPr>
        <w:t>p</w:t>
      </w:r>
      <w:r w:rsidRPr="00206E86">
        <w:rPr>
          <w:rFonts w:ascii="Times New Roman" w:hAnsi="Times New Roman" w:cs="Times New Roman"/>
          <w:sz w:val="20"/>
          <w:szCs w:val="20"/>
        </w:rPr>
        <w:t xml:space="preserve">erceptions of al-Ghazālī </w:t>
      </w:r>
      <w:r>
        <w:rPr>
          <w:rFonts w:ascii="Times New Roman" w:hAnsi="Times New Roman" w:cs="Times New Roman"/>
          <w:sz w:val="20"/>
          <w:szCs w:val="20"/>
        </w:rPr>
        <w:t>w</w:t>
      </w:r>
      <w:r w:rsidRPr="00206E86">
        <w:rPr>
          <w:rFonts w:ascii="Times New Roman" w:hAnsi="Times New Roman" w:cs="Times New Roman"/>
          <w:sz w:val="20"/>
          <w:szCs w:val="20"/>
        </w:rPr>
        <w:t xml:space="preserve">orks and </w:t>
      </w:r>
      <w:r>
        <w:rPr>
          <w:rFonts w:ascii="Times New Roman" w:hAnsi="Times New Roman" w:cs="Times New Roman"/>
          <w:sz w:val="20"/>
          <w:szCs w:val="20"/>
        </w:rPr>
        <w:t>d</w:t>
      </w:r>
      <w:r w:rsidRPr="00206E86">
        <w:rPr>
          <w:rFonts w:ascii="Times New Roman" w:hAnsi="Times New Roman" w:cs="Times New Roman"/>
          <w:sz w:val="20"/>
          <w:szCs w:val="20"/>
        </w:rPr>
        <w:t xml:space="preserve">iscussions on </w:t>
      </w:r>
      <w:r>
        <w:rPr>
          <w:rFonts w:ascii="Times New Roman" w:hAnsi="Times New Roman" w:cs="Times New Roman"/>
          <w:sz w:val="20"/>
          <w:szCs w:val="20"/>
        </w:rPr>
        <w:t>h</w:t>
      </w:r>
      <w:r w:rsidRPr="00206E86">
        <w:rPr>
          <w:rFonts w:ascii="Times New Roman" w:hAnsi="Times New Roman" w:cs="Times New Roman"/>
          <w:sz w:val="20"/>
          <w:szCs w:val="20"/>
        </w:rPr>
        <w:t xml:space="preserve">is </w:t>
      </w:r>
      <w:r>
        <w:rPr>
          <w:rFonts w:ascii="Times New Roman" w:hAnsi="Times New Roman" w:cs="Times New Roman"/>
          <w:sz w:val="20"/>
          <w:szCs w:val="20"/>
        </w:rPr>
        <w:t>h</w:t>
      </w:r>
      <w:r w:rsidRPr="00206E86">
        <w:rPr>
          <w:rFonts w:ascii="Times New Roman" w:hAnsi="Times New Roman" w:cs="Times New Roman"/>
          <w:sz w:val="20"/>
          <w:szCs w:val="20"/>
        </w:rPr>
        <w:t xml:space="preserve">istorical </w:t>
      </w:r>
      <w:r>
        <w:rPr>
          <w:rFonts w:ascii="Times New Roman" w:hAnsi="Times New Roman" w:cs="Times New Roman"/>
          <w:sz w:val="20"/>
          <w:szCs w:val="20"/>
        </w:rPr>
        <w:t>r</w:t>
      </w:r>
      <w:r w:rsidRPr="00206E86">
        <w:rPr>
          <w:rFonts w:ascii="Times New Roman" w:hAnsi="Times New Roman" w:cs="Times New Roman"/>
          <w:sz w:val="20"/>
          <w:szCs w:val="20"/>
        </w:rPr>
        <w:t xml:space="preserve">ole in </w:t>
      </w:r>
      <w:r>
        <w:rPr>
          <w:rFonts w:ascii="Times New Roman" w:hAnsi="Times New Roman" w:cs="Times New Roman"/>
          <w:sz w:val="20"/>
          <w:szCs w:val="20"/>
        </w:rPr>
        <w:t>i</w:t>
      </w:r>
      <w:r w:rsidRPr="00206E86">
        <w:rPr>
          <w:rFonts w:ascii="Times New Roman" w:hAnsi="Times New Roman" w:cs="Times New Roman"/>
          <w:sz w:val="20"/>
          <w:szCs w:val="20"/>
        </w:rPr>
        <w:t xml:space="preserve">ts late </w:t>
      </w:r>
      <w:r>
        <w:rPr>
          <w:rFonts w:ascii="Times New Roman" w:hAnsi="Times New Roman" w:cs="Times New Roman"/>
          <w:sz w:val="20"/>
          <w:szCs w:val="20"/>
        </w:rPr>
        <w:t>p</w:t>
      </w:r>
      <w:r w:rsidRPr="00206E86">
        <w:rPr>
          <w:rFonts w:ascii="Times New Roman" w:hAnsi="Times New Roman" w:cs="Times New Roman"/>
          <w:sz w:val="20"/>
          <w:szCs w:val="20"/>
        </w:rPr>
        <w:t xml:space="preserve">eriod”, in Frank Griffel (ed.), </w:t>
      </w:r>
      <w:r w:rsidRPr="00206E86">
        <w:rPr>
          <w:rFonts w:ascii="Times New Roman" w:hAnsi="Times New Roman" w:cs="Times New Roman"/>
          <w:i/>
          <w:iCs/>
          <w:sz w:val="20"/>
          <w:szCs w:val="20"/>
        </w:rPr>
        <w:t>Islam and Rationality: The Impact of al-Ghazālī</w:t>
      </w:r>
      <w:r w:rsidRPr="00206E86">
        <w:rPr>
          <w:rFonts w:ascii="Times New Roman" w:hAnsi="Times New Roman" w:cs="Times New Roman"/>
          <w:sz w:val="20"/>
          <w:szCs w:val="20"/>
        </w:rPr>
        <w:t>, Leiden: Brill, 2015</w:t>
      </w:r>
      <w:r w:rsidRPr="00206E86">
        <w:rPr>
          <w:rFonts w:ascii="Times New Roman" w:hAnsi="Times New Roman" w:cs="Times New Roman"/>
          <w:sz w:val="20"/>
          <w:szCs w:val="20"/>
          <w:lang w:val="tr-TR"/>
        </w:rPr>
        <w:t>,</w:t>
      </w:r>
      <w:r w:rsidRPr="00206E86">
        <w:rPr>
          <w:rFonts w:ascii="Times New Roman" w:hAnsi="Times New Roman" w:cs="Times New Roman"/>
          <w:sz w:val="20"/>
          <w:szCs w:val="20"/>
        </w:rPr>
        <w:t xml:space="preserve"> vol. 2, pp. 253-82, 263.</w:t>
      </w:r>
    </w:p>
  </w:endnote>
  <w:endnote w:id="75">
    <w:p w14:paraId="078538D1" w14:textId="7654DC2F" w:rsidR="00206E86" w:rsidRPr="00206E86" w:rsidRDefault="00206E86" w:rsidP="00206E86">
      <w:pPr>
        <w:pStyle w:val="AralkYok"/>
        <w:jc w:val="both"/>
        <w:rPr>
          <w:rFonts w:ascii="Times New Roman" w:hAnsi="Times New Roman" w:cs="Times New Roman"/>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sz w:val="20"/>
          <w:szCs w:val="20"/>
        </w:rPr>
        <w:t xml:space="preserve"> İzmirli, </w:t>
      </w:r>
      <w:r w:rsidRPr="00206E86">
        <w:rPr>
          <w:rFonts w:ascii="Times New Roman" w:hAnsi="Times New Roman" w:cs="Times New Roman"/>
          <w:i/>
          <w:iCs/>
          <w:sz w:val="20"/>
          <w:szCs w:val="20"/>
        </w:rPr>
        <w:t>Yeni İlm-i Kel</w:t>
      </w:r>
      <w:r w:rsidRPr="00206E86">
        <w:rPr>
          <w:rStyle w:val="whitespace-normal"/>
          <w:rFonts w:ascii="Times New Roman" w:hAnsi="Times New Roman" w:cs="Times New Roman"/>
          <w:i/>
          <w:iCs/>
          <w:color w:val="000000" w:themeColor="text1"/>
          <w:sz w:val="20"/>
          <w:szCs w:val="20"/>
        </w:rPr>
        <w:t>â</w:t>
      </w:r>
      <w:r w:rsidRPr="00206E86">
        <w:rPr>
          <w:rFonts w:ascii="Times New Roman" w:hAnsi="Times New Roman" w:cs="Times New Roman"/>
          <w:i/>
          <w:iCs/>
          <w:sz w:val="20"/>
          <w:szCs w:val="20"/>
        </w:rPr>
        <w:t>m Tartışmaları</w:t>
      </w:r>
      <w:r w:rsidRPr="00206E86">
        <w:rPr>
          <w:rFonts w:ascii="Times New Roman" w:hAnsi="Times New Roman" w:cs="Times New Roman"/>
          <w:sz w:val="20"/>
          <w:szCs w:val="20"/>
        </w:rPr>
        <w:t xml:space="preserve">, Melikşah Sezen (ed.), Konya: Çizgi, 2020, pp. 29-30, 73-5. On early Ottoman responses to European scientific materialism, see Aydın Topaloğlu, “Materyalizm”, </w:t>
      </w:r>
      <w:r w:rsidRPr="00206E86">
        <w:rPr>
          <w:rStyle w:val="whitespace-normal"/>
          <w:rFonts w:ascii="Times New Roman" w:hAnsi="Times New Roman" w:cs="Times New Roman"/>
          <w:i/>
          <w:iCs/>
          <w:color w:val="000000" w:themeColor="text1"/>
          <w:sz w:val="20"/>
          <w:szCs w:val="20"/>
        </w:rPr>
        <w:t>TDV İslâm Ansiklopedisi</w:t>
      </w:r>
      <w:r w:rsidRPr="00206E86">
        <w:rPr>
          <w:rFonts w:ascii="Times New Roman" w:hAnsi="Times New Roman" w:cs="Times New Roman"/>
          <w:sz w:val="20"/>
          <w:szCs w:val="20"/>
        </w:rPr>
        <w:t xml:space="preserve"> (2013) 28, pp. 137-40.</w:t>
      </w:r>
    </w:p>
  </w:endnote>
  <w:endnote w:id="76">
    <w:p w14:paraId="1CE16054" w14:textId="0077A47D" w:rsidR="00206E86" w:rsidRPr="00206E86" w:rsidRDefault="00206E86" w:rsidP="00206E86">
      <w:pPr>
        <w:pStyle w:val="SonNotMetni"/>
        <w:jc w:val="both"/>
        <w:rPr>
          <w:color w:val="000000" w:themeColor="text1"/>
        </w:rPr>
      </w:pPr>
      <w:r w:rsidRPr="00206E86">
        <w:rPr>
          <w:rStyle w:val="SonNotBavurusu"/>
          <w:color w:val="000000" w:themeColor="text1"/>
        </w:rPr>
        <w:endnoteRef/>
      </w:r>
      <w:r w:rsidRPr="00206E86">
        <w:rPr>
          <w:color w:val="000000" w:themeColor="text1"/>
        </w:rPr>
        <w:t xml:space="preserve"> Sait Özervarlı, “Alternative </w:t>
      </w:r>
      <w:r>
        <w:rPr>
          <w:color w:val="000000" w:themeColor="text1"/>
        </w:rPr>
        <w:t>a</w:t>
      </w:r>
      <w:r w:rsidRPr="00206E86">
        <w:rPr>
          <w:color w:val="000000" w:themeColor="text1"/>
        </w:rPr>
        <w:t xml:space="preserve">pproaches to </w:t>
      </w:r>
      <w:r>
        <w:rPr>
          <w:color w:val="000000" w:themeColor="text1"/>
        </w:rPr>
        <w:t>m</w:t>
      </w:r>
      <w:r w:rsidRPr="00206E86">
        <w:rPr>
          <w:color w:val="000000" w:themeColor="text1"/>
        </w:rPr>
        <w:t xml:space="preserve">odernization in the </w:t>
      </w:r>
      <w:r>
        <w:rPr>
          <w:color w:val="000000" w:themeColor="text1"/>
        </w:rPr>
        <w:t>l</w:t>
      </w:r>
      <w:r w:rsidRPr="00206E86">
        <w:rPr>
          <w:color w:val="000000" w:themeColor="text1"/>
        </w:rPr>
        <w:t xml:space="preserve">ate Ottoman </w:t>
      </w:r>
      <w:r>
        <w:rPr>
          <w:color w:val="000000" w:themeColor="text1"/>
        </w:rPr>
        <w:t>p</w:t>
      </w:r>
      <w:r w:rsidRPr="00206E86">
        <w:rPr>
          <w:color w:val="000000" w:themeColor="text1"/>
        </w:rPr>
        <w:t xml:space="preserve">eriod: İzmirli İsmail Hakkı’s </w:t>
      </w:r>
      <w:r>
        <w:rPr>
          <w:color w:val="000000" w:themeColor="text1"/>
        </w:rPr>
        <w:t>r</w:t>
      </w:r>
      <w:r w:rsidRPr="00206E86">
        <w:rPr>
          <w:color w:val="000000" w:themeColor="text1"/>
        </w:rPr>
        <w:t xml:space="preserve">eligious </w:t>
      </w:r>
      <w:r>
        <w:rPr>
          <w:color w:val="000000" w:themeColor="text1"/>
        </w:rPr>
        <w:t>t</w:t>
      </w:r>
      <w:r w:rsidRPr="00206E86">
        <w:rPr>
          <w:color w:val="000000" w:themeColor="text1"/>
        </w:rPr>
        <w:t xml:space="preserve">hought </w:t>
      </w:r>
      <w:r>
        <w:rPr>
          <w:color w:val="000000" w:themeColor="text1"/>
        </w:rPr>
        <w:t>a</w:t>
      </w:r>
      <w:r w:rsidRPr="00206E86">
        <w:rPr>
          <w:color w:val="000000" w:themeColor="text1"/>
        </w:rPr>
        <w:t xml:space="preserve">gainst </w:t>
      </w:r>
      <w:r>
        <w:rPr>
          <w:color w:val="000000" w:themeColor="text1"/>
        </w:rPr>
        <w:t>m</w:t>
      </w:r>
      <w:r w:rsidRPr="00206E86">
        <w:rPr>
          <w:color w:val="000000" w:themeColor="text1"/>
        </w:rPr>
        <w:t xml:space="preserve">aterialist </w:t>
      </w:r>
      <w:r>
        <w:rPr>
          <w:color w:val="000000" w:themeColor="text1"/>
        </w:rPr>
        <w:t>s</w:t>
      </w:r>
      <w:r w:rsidRPr="00206E86">
        <w:rPr>
          <w:color w:val="000000" w:themeColor="text1"/>
        </w:rPr>
        <w:t xml:space="preserve">cientism”, </w:t>
      </w:r>
      <w:r w:rsidRPr="00206E86">
        <w:rPr>
          <w:i/>
          <w:iCs/>
          <w:color w:val="000000" w:themeColor="text1"/>
        </w:rPr>
        <w:t>International Journal of Middle Eastern Studies</w:t>
      </w:r>
      <w:r w:rsidRPr="00206E86">
        <w:rPr>
          <w:color w:val="000000" w:themeColor="text1"/>
        </w:rPr>
        <w:t xml:space="preserve"> (2007) 39, pp. 77-102.</w:t>
      </w:r>
    </w:p>
  </w:endnote>
  <w:endnote w:id="77">
    <w:p w14:paraId="0D39250D" w14:textId="2C1F2169" w:rsidR="00206E86" w:rsidRPr="00206E86" w:rsidRDefault="00206E86" w:rsidP="00206E86">
      <w:pPr>
        <w:pStyle w:val="AralkYok"/>
        <w:jc w:val="both"/>
        <w:rPr>
          <w:rFonts w:ascii="Times New Roman" w:hAnsi="Times New Roman" w:cs="Times New Roman"/>
          <w:color w:val="000000" w:themeColor="text1"/>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rPr>
        <w:t xml:space="preserve"> Özervarlı, op. cit. (74), pp. 276–7; idem., “</w:t>
      </w:r>
      <w:hyperlink r:id="rId2" w:tgtFrame="_blank" w:history="1">
        <w:r w:rsidRPr="00206E86">
          <w:rPr>
            <w:rFonts w:ascii="Times New Roman" w:hAnsi="Times New Roman" w:cs="Times New Roman"/>
            <w:color w:val="000000" w:themeColor="text1"/>
            <w:sz w:val="20"/>
            <w:szCs w:val="20"/>
          </w:rPr>
          <w:t xml:space="preserve">Comparisons between al-Ġazālī and Ibn Rušd in the </w:t>
        </w:r>
        <w:r>
          <w:rPr>
            <w:rFonts w:ascii="Times New Roman" w:hAnsi="Times New Roman" w:cs="Times New Roman"/>
            <w:color w:val="000000" w:themeColor="text1"/>
            <w:sz w:val="20"/>
            <w:szCs w:val="20"/>
          </w:rPr>
          <w:t>l</w:t>
        </w:r>
        <w:r w:rsidRPr="00206E86">
          <w:rPr>
            <w:rFonts w:ascii="Times New Roman" w:hAnsi="Times New Roman" w:cs="Times New Roman"/>
            <w:color w:val="000000" w:themeColor="text1"/>
            <w:sz w:val="20"/>
            <w:szCs w:val="20"/>
          </w:rPr>
          <w:t xml:space="preserve">ate Ottoman </w:t>
        </w:r>
        <w:r>
          <w:rPr>
            <w:rFonts w:ascii="Times New Roman" w:hAnsi="Times New Roman" w:cs="Times New Roman"/>
            <w:color w:val="000000" w:themeColor="text1"/>
            <w:sz w:val="20"/>
            <w:szCs w:val="20"/>
          </w:rPr>
          <w:t>p</w:t>
        </w:r>
        <w:r w:rsidRPr="00206E86">
          <w:rPr>
            <w:rFonts w:ascii="Times New Roman" w:hAnsi="Times New Roman" w:cs="Times New Roman"/>
            <w:color w:val="000000" w:themeColor="text1"/>
            <w:sz w:val="20"/>
            <w:szCs w:val="20"/>
          </w:rPr>
          <w:t>eriod</w:t>
        </w:r>
      </w:hyperlink>
      <w:r w:rsidRPr="00206E86">
        <w:rPr>
          <w:rFonts w:ascii="Times New Roman" w:hAnsi="Times New Roman" w:cs="Times New Roman"/>
          <w:color w:val="000000" w:themeColor="text1"/>
          <w:sz w:val="20"/>
          <w:szCs w:val="20"/>
          <w:lang w:val="en-US"/>
        </w:rPr>
        <w:t xml:space="preserve">“, </w:t>
      </w:r>
      <w:r w:rsidRPr="00206E86">
        <w:rPr>
          <w:rFonts w:ascii="Times New Roman" w:hAnsi="Times New Roman" w:cs="Times New Roman"/>
          <w:i/>
          <w:iCs/>
          <w:color w:val="000000" w:themeColor="text1"/>
          <w:sz w:val="20"/>
          <w:szCs w:val="20"/>
          <w:lang w:val="en-US"/>
        </w:rPr>
        <w:t>Mélanges de l’Université Saint-Joseph</w:t>
      </w:r>
      <w:r w:rsidRPr="00206E86">
        <w:rPr>
          <w:rFonts w:ascii="Times New Roman" w:hAnsi="Times New Roman" w:cs="Times New Roman"/>
          <w:color w:val="000000" w:themeColor="text1"/>
          <w:sz w:val="20"/>
          <w:szCs w:val="20"/>
          <w:lang w:val="en-US"/>
        </w:rPr>
        <w:t xml:space="preserve"> (2018), 67, pp. 363-75, </w:t>
      </w:r>
      <w:r w:rsidRPr="00206E86">
        <w:rPr>
          <w:rFonts w:ascii="Times New Roman" w:hAnsi="Times New Roman" w:cs="Times New Roman"/>
          <w:color w:val="000000" w:themeColor="text1"/>
          <w:sz w:val="20"/>
          <w:szCs w:val="20"/>
        </w:rPr>
        <w:t>372-4.</w:t>
      </w:r>
    </w:p>
  </w:endnote>
  <w:endnote w:id="78">
    <w:p w14:paraId="644F0F7B" w14:textId="618296D3"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w:t>
      </w:r>
      <w:r w:rsidRPr="00206E86">
        <w:rPr>
          <w:color w:val="000000" w:themeColor="text1"/>
        </w:rPr>
        <w:t xml:space="preserve">On the question of Arabic philosophy’s authenticity, De Boer, </w:t>
      </w:r>
      <w:r w:rsidRPr="00206E86">
        <w:rPr>
          <w:i/>
          <w:iCs/>
          <w:color w:val="000000" w:themeColor="text1"/>
        </w:rPr>
        <w:t>The History of Philosophy in Islam</w:t>
      </w:r>
      <w:r w:rsidRPr="00206E86">
        <w:rPr>
          <w:color w:val="000000" w:themeColor="text1"/>
        </w:rPr>
        <w:t xml:space="preserve"> (tr. E.R. Jones), London: Luzac &amp;</w:t>
      </w:r>
      <w:r w:rsidRPr="00206E86">
        <w:rPr>
          <w:color w:val="000000" w:themeColor="text1"/>
          <w:lang w:val="tr-TR"/>
        </w:rPr>
        <w:t xml:space="preserve"> Co.</w:t>
      </w:r>
      <w:r w:rsidRPr="00206E86">
        <w:rPr>
          <w:color w:val="000000" w:themeColor="text1"/>
        </w:rPr>
        <w:t xml:space="preserve">, 1903, p. 68; Ahmet Arslan, “İslâm </w:t>
      </w:r>
      <w:r>
        <w:rPr>
          <w:color w:val="000000" w:themeColor="text1"/>
        </w:rPr>
        <w:t>f</w:t>
      </w:r>
      <w:r w:rsidRPr="00206E86">
        <w:rPr>
          <w:color w:val="000000" w:themeColor="text1"/>
        </w:rPr>
        <w:t xml:space="preserve">elsefesinin </w:t>
      </w:r>
      <w:r>
        <w:rPr>
          <w:color w:val="000000" w:themeColor="text1"/>
        </w:rPr>
        <w:t>ö</w:t>
      </w:r>
      <w:r w:rsidRPr="00206E86">
        <w:rPr>
          <w:color w:val="000000" w:themeColor="text1"/>
        </w:rPr>
        <w:t xml:space="preserve">zgünlüğü </w:t>
      </w:r>
      <w:r>
        <w:rPr>
          <w:color w:val="000000" w:themeColor="text1"/>
        </w:rPr>
        <w:t>s</w:t>
      </w:r>
      <w:r w:rsidRPr="00206E86">
        <w:rPr>
          <w:color w:val="000000" w:themeColor="text1"/>
        </w:rPr>
        <w:t xml:space="preserve">orunu”, in </w:t>
      </w:r>
      <w:r w:rsidRPr="00206E86">
        <w:rPr>
          <w:i/>
          <w:iCs/>
          <w:color w:val="000000" w:themeColor="text1"/>
        </w:rPr>
        <w:t>İslâm Felsefesi</w:t>
      </w:r>
      <w:r w:rsidRPr="00206E86">
        <w:rPr>
          <w:color w:val="000000" w:themeColor="text1"/>
        </w:rPr>
        <w:t>, Istanbul: Bilgi Üniversitesi, 2021, pp. 64-99.</w:t>
      </w:r>
    </w:p>
  </w:endnote>
  <w:endnote w:id="79">
    <w:p w14:paraId="4811BE85" w14:textId="2B365A2F"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Ömer Mahir Alper, “İsmail Hakkı İzmirli’nin İslam </w:t>
      </w:r>
      <w:r>
        <w:rPr>
          <w:color w:val="000000" w:themeColor="text1"/>
          <w:lang w:val="tr-TR"/>
        </w:rPr>
        <w:t>f</w:t>
      </w:r>
      <w:r w:rsidRPr="00206E86">
        <w:rPr>
          <w:color w:val="000000" w:themeColor="text1"/>
          <w:lang w:val="tr-TR"/>
        </w:rPr>
        <w:t xml:space="preserve">elsefesi </w:t>
      </w:r>
      <w:r>
        <w:rPr>
          <w:color w:val="000000" w:themeColor="text1"/>
          <w:lang w:val="tr-TR"/>
        </w:rPr>
        <w:t>y</w:t>
      </w:r>
      <w:r w:rsidRPr="00206E86">
        <w:rPr>
          <w:color w:val="000000" w:themeColor="text1"/>
          <w:lang w:val="tr-TR"/>
        </w:rPr>
        <w:t xml:space="preserve">orumu”, </w:t>
      </w:r>
      <w:r w:rsidRPr="00206E86">
        <w:rPr>
          <w:i/>
          <w:iCs/>
          <w:color w:val="000000" w:themeColor="text1"/>
          <w:lang w:val="tr-TR"/>
        </w:rPr>
        <w:t>İstanbul Üniversitesi İlahiyat Fakültesi Dergisi</w:t>
      </w:r>
      <w:r w:rsidRPr="00206E86">
        <w:rPr>
          <w:color w:val="000000" w:themeColor="text1"/>
          <w:lang w:val="tr-TR"/>
        </w:rPr>
        <w:t xml:space="preserve"> (2003) 8, pp. 115-58, 156–8.</w:t>
      </w:r>
    </w:p>
  </w:endnote>
  <w:endnote w:id="80">
    <w:p w14:paraId="6BC6D02D" w14:textId="2208678C"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See the scholars included in İzmirli,</w:t>
      </w:r>
      <w:r w:rsidRPr="00206E86">
        <w:rPr>
          <w:color w:val="000000" w:themeColor="text1"/>
        </w:rPr>
        <w:t xml:space="preserve"> </w:t>
      </w:r>
      <w:r w:rsidRPr="00206E86">
        <w:rPr>
          <w:i/>
          <w:color w:val="000000" w:themeColor="text1"/>
        </w:rPr>
        <w:t>Müslüman Türk Feylesofları</w:t>
      </w:r>
      <w:r w:rsidRPr="00206E86">
        <w:rPr>
          <w:color w:val="000000" w:themeColor="text1"/>
        </w:rPr>
        <w:t>, Istanbul: Akşam Matbaası, 1936.</w:t>
      </w:r>
    </w:p>
  </w:endnote>
  <w:endnote w:id="81">
    <w:p w14:paraId="74651D66" w14:textId="76DBAAE9" w:rsidR="00206E86" w:rsidRPr="00206E86" w:rsidRDefault="00206E86" w:rsidP="00206E86">
      <w:pPr>
        <w:pStyle w:val="AralkYok"/>
        <w:jc w:val="both"/>
        <w:rPr>
          <w:rFonts w:ascii="Times New Roman" w:hAnsi="Times New Roman" w:cs="Times New Roman"/>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lang w:val="tr-TR"/>
        </w:rPr>
        <w:t xml:space="preserve">  İzmirli, </w:t>
      </w:r>
      <w:r w:rsidRPr="00206E86">
        <w:rPr>
          <w:rFonts w:ascii="Times New Roman" w:hAnsi="Times New Roman" w:cs="Times New Roman"/>
          <w:i/>
          <w:iCs/>
          <w:color w:val="000000" w:themeColor="text1"/>
          <w:sz w:val="20"/>
          <w:szCs w:val="20"/>
          <w:lang w:val="tr-TR"/>
        </w:rPr>
        <w:t>İslâm Mütefekkirleri ile Garp Mütefekkirleri Arasında Mukayese</w:t>
      </w:r>
      <w:r w:rsidRPr="00206E86">
        <w:rPr>
          <w:rFonts w:ascii="Times New Roman" w:hAnsi="Times New Roman" w:cs="Times New Roman"/>
          <w:color w:val="000000" w:themeColor="text1"/>
          <w:sz w:val="20"/>
          <w:szCs w:val="20"/>
          <w:lang w:val="tr-TR"/>
        </w:rPr>
        <w:t xml:space="preserve">, Ankara: Diyanet İşleri Başkanlığı, 1952, pp. 1-2. </w:t>
      </w:r>
      <w:r w:rsidRPr="00206E86">
        <w:rPr>
          <w:rFonts w:ascii="Times New Roman" w:hAnsi="Times New Roman" w:cs="Times New Roman"/>
          <w:sz w:val="20"/>
          <w:szCs w:val="20"/>
        </w:rPr>
        <w:t>Its organisation by national traditions (French, Polish, Scottish, American, Dutch, etc.) reflects the persistence of ethnonational frameworks in the historiography of philosophy.</w:t>
      </w:r>
    </w:p>
  </w:endnote>
  <w:endnote w:id="82">
    <w:p w14:paraId="11138EB7" w14:textId="21D2D195"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rPr>
        <w:t xml:space="preserve"> This view can be seen in his dividing Islamic sciences into four branches: Salafis, Theologians, Philosophers and Sufis (İzmirli, “İslâmda </w:t>
      </w:r>
      <w:r>
        <w:rPr>
          <w:color w:val="000000" w:themeColor="text1"/>
        </w:rPr>
        <w:t>f</w:t>
      </w:r>
      <w:r w:rsidRPr="00206E86">
        <w:rPr>
          <w:color w:val="000000" w:themeColor="text1"/>
        </w:rPr>
        <w:t xml:space="preserve">elsefe </w:t>
      </w:r>
      <w:r>
        <w:rPr>
          <w:color w:val="000000" w:themeColor="text1"/>
        </w:rPr>
        <w:t>c</w:t>
      </w:r>
      <w:r w:rsidRPr="00206E86">
        <w:rPr>
          <w:color w:val="000000" w:themeColor="text1"/>
        </w:rPr>
        <w:t>ereyanları I”,</w:t>
      </w:r>
      <w:r w:rsidRPr="00206E86">
        <w:rPr>
          <w:color w:val="000000" w:themeColor="text1"/>
          <w:lang w:val="tr-TR"/>
        </w:rPr>
        <w:t xml:space="preserve"> </w:t>
      </w:r>
      <w:r w:rsidRPr="00206E86">
        <w:rPr>
          <w:i/>
          <w:iCs/>
          <w:color w:val="000000" w:themeColor="text1"/>
          <w:lang w:val="tr-TR"/>
        </w:rPr>
        <w:t>Darülfünun İlahiyat Fakültesi</w:t>
      </w:r>
      <w:r w:rsidRPr="00206E86">
        <w:rPr>
          <w:color w:val="000000" w:themeColor="text1"/>
          <w:lang w:val="tr-TR"/>
        </w:rPr>
        <w:t xml:space="preserve"> (1929) 3 (12), pp. 21-40, 22).</w:t>
      </w:r>
    </w:p>
  </w:endnote>
  <w:endnote w:id="83">
    <w:p w14:paraId="3656C5B1" w14:textId="6FA221C3"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rPr>
        <w:t xml:space="preserve"> Evolution is not mentioned by name, but Draper is understood to appropriate modern scientific theories to undermine creationism, a point emphasised in contemporary Catholic critiques; see </w:t>
      </w:r>
      <w:r w:rsidRPr="00206E86">
        <w:rPr>
          <w:i/>
          <w:iCs/>
          <w:color w:val="000000" w:themeColor="text1"/>
        </w:rPr>
        <w:t>Catholic World</w:t>
      </w:r>
      <w:r w:rsidRPr="00206E86">
        <w:rPr>
          <w:color w:val="000000" w:themeColor="text1"/>
        </w:rPr>
        <w:t xml:space="preserve"> (1875) 21, pp. 191–3; William Drees, </w:t>
      </w:r>
      <w:r w:rsidRPr="00206E86">
        <w:rPr>
          <w:i/>
          <w:iCs/>
          <w:color w:val="000000" w:themeColor="text1"/>
        </w:rPr>
        <w:t>Religion, Science and Naturalism</w:t>
      </w:r>
      <w:r w:rsidRPr="00206E86">
        <w:rPr>
          <w:color w:val="000000" w:themeColor="text1"/>
        </w:rPr>
        <w:t>, Cambridge: Cambridge University Press, 1996, p. 65.</w:t>
      </w:r>
    </w:p>
  </w:endnote>
  <w:endnote w:id="84">
    <w:p w14:paraId="39EAEE85" w14:textId="3222E823" w:rsidR="00206E86" w:rsidRPr="00206E86" w:rsidRDefault="00206E86" w:rsidP="00206E86">
      <w:pPr>
        <w:pStyle w:val="SonNotMetni"/>
        <w:rPr>
          <w:color w:val="000000" w:themeColor="text1"/>
          <w:lang w:val="tr-TR"/>
        </w:rPr>
      </w:pPr>
      <w:r w:rsidRPr="00206E86">
        <w:rPr>
          <w:rStyle w:val="SonNotBavurusu"/>
          <w:color w:val="000000" w:themeColor="text1"/>
        </w:rPr>
        <w:endnoteRef/>
      </w:r>
      <w:r w:rsidRPr="00206E86">
        <w:rPr>
          <w:color w:val="000000" w:themeColor="text1"/>
          <w:lang w:val="tr-TR"/>
        </w:rPr>
        <w:t xml:space="preserve"> İzmirli, op. cit. (81), pp. 36–7.</w:t>
      </w:r>
    </w:p>
  </w:endnote>
  <w:endnote w:id="85">
    <w:p w14:paraId="04CD2848" w14:textId="69A74905" w:rsidR="00206E86" w:rsidRPr="00206E86" w:rsidRDefault="00206E86" w:rsidP="00206E86">
      <w:pPr>
        <w:pStyle w:val="AralkYok"/>
        <w:jc w:val="both"/>
        <w:rPr>
          <w:rFonts w:ascii="Times New Roman" w:eastAsia="Times New Roman" w:hAnsi="Times New Roman" w:cs="Times New Roman"/>
          <w:sz w:val="20"/>
          <w:szCs w:val="20"/>
          <w:lang w:eastAsia="tr-TR"/>
          <w14:ligatures w14:val="none"/>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lang w:val="tr-TR"/>
        </w:rPr>
        <w:t xml:space="preserve"> </w:t>
      </w:r>
      <w:r w:rsidRPr="00206E86">
        <w:rPr>
          <w:rFonts w:ascii="Times New Roman" w:hAnsi="Times New Roman" w:cs="Times New Roman"/>
          <w:sz w:val="20"/>
          <w:szCs w:val="20"/>
        </w:rPr>
        <w:t xml:space="preserve">İzmirli serialised his studies on Ghazālī under the title “İslām ʿālimleri ve </w:t>
      </w:r>
      <w:r>
        <w:rPr>
          <w:rFonts w:ascii="Times New Roman" w:hAnsi="Times New Roman" w:cs="Times New Roman"/>
          <w:sz w:val="20"/>
          <w:szCs w:val="20"/>
        </w:rPr>
        <w:t>m</w:t>
      </w:r>
      <w:r w:rsidRPr="00206E86">
        <w:rPr>
          <w:rFonts w:ascii="Times New Roman" w:hAnsi="Times New Roman" w:cs="Times New Roman"/>
          <w:sz w:val="20"/>
          <w:szCs w:val="20"/>
        </w:rPr>
        <w:t xml:space="preserve">ütefekkirleri 1” in </w:t>
      </w:r>
      <w:r w:rsidRPr="00206E86">
        <w:rPr>
          <w:rFonts w:ascii="Times New Roman" w:hAnsi="Times New Roman" w:cs="Times New Roman"/>
          <w:i/>
          <w:iCs/>
          <w:sz w:val="20"/>
          <w:szCs w:val="20"/>
        </w:rPr>
        <w:t>Cerīde-i ʿilmiyye</w:t>
      </w:r>
      <w:r w:rsidRPr="00206E86">
        <w:rPr>
          <w:rFonts w:ascii="Times New Roman" w:hAnsi="Times New Roman" w:cs="Times New Roman"/>
          <w:sz w:val="20"/>
          <w:szCs w:val="20"/>
        </w:rPr>
        <w:t>, tracing Ghazālī’s intellectual trajectory from the methodological repair (</w:t>
      </w:r>
      <w:r w:rsidRPr="00206E86">
        <w:rPr>
          <w:rFonts w:ascii="Times New Roman" w:hAnsi="Times New Roman" w:cs="Times New Roman"/>
          <w:i/>
          <w:iCs/>
          <w:sz w:val="20"/>
          <w:szCs w:val="20"/>
        </w:rPr>
        <w:t>taʿdīl</w:t>
      </w:r>
      <w:r w:rsidRPr="00206E86">
        <w:rPr>
          <w:rFonts w:ascii="Times New Roman" w:hAnsi="Times New Roman" w:cs="Times New Roman"/>
          <w:sz w:val="20"/>
          <w:szCs w:val="20"/>
        </w:rPr>
        <w:t xml:space="preserve">) of </w:t>
      </w:r>
      <w:r w:rsidRPr="00206E86">
        <w:rPr>
          <w:rFonts w:ascii="Times New Roman" w:hAnsi="Times New Roman" w:cs="Times New Roman"/>
          <w:i/>
          <w:iCs/>
          <w:sz w:val="20"/>
          <w:szCs w:val="20"/>
        </w:rPr>
        <w:t>kalām</w:t>
      </w:r>
      <w:r w:rsidRPr="00206E86">
        <w:rPr>
          <w:rFonts w:ascii="Times New Roman" w:hAnsi="Times New Roman" w:cs="Times New Roman"/>
          <w:sz w:val="20"/>
          <w:szCs w:val="20"/>
        </w:rPr>
        <w:t xml:space="preserve"> through the selective integration of philosophical and logical rigour, </w:t>
      </w:r>
      <w:r w:rsidRPr="00206E86">
        <w:rPr>
          <w:rFonts w:ascii="Times New Roman" w:hAnsi="Times New Roman" w:cs="Times New Roman"/>
          <w:i/>
          <w:iCs/>
          <w:sz w:val="20"/>
          <w:szCs w:val="20"/>
        </w:rPr>
        <w:t xml:space="preserve">Cerīde-i ʿilmiyye </w:t>
      </w:r>
      <w:r w:rsidRPr="00206E86">
        <w:rPr>
          <w:rFonts w:ascii="Times New Roman" w:hAnsi="Times New Roman" w:cs="Times New Roman"/>
          <w:sz w:val="20"/>
          <w:szCs w:val="20"/>
        </w:rPr>
        <w:t xml:space="preserve">(1338/1919) 53, pp. 1690-2; to his critique of the internal contradictions of </w:t>
      </w:r>
      <w:r w:rsidRPr="00206E86">
        <w:rPr>
          <w:rFonts w:ascii="Times New Roman" w:hAnsi="Times New Roman" w:cs="Times New Roman"/>
          <w:i/>
          <w:iCs/>
          <w:sz w:val="20"/>
          <w:szCs w:val="20"/>
        </w:rPr>
        <w:t>falsafa</w:t>
      </w:r>
      <w:r w:rsidRPr="00206E86">
        <w:rPr>
          <w:rFonts w:ascii="Times New Roman" w:hAnsi="Times New Roman" w:cs="Times New Roman"/>
          <w:sz w:val="20"/>
          <w:szCs w:val="20"/>
        </w:rPr>
        <w:t xml:space="preserve"> in the </w:t>
      </w:r>
      <w:r w:rsidRPr="00206E86">
        <w:rPr>
          <w:rFonts w:ascii="Times New Roman" w:hAnsi="Times New Roman" w:cs="Times New Roman"/>
          <w:i/>
          <w:iCs/>
          <w:sz w:val="20"/>
          <w:szCs w:val="20"/>
        </w:rPr>
        <w:t>Tahāfut</w:t>
      </w:r>
      <w:r w:rsidRPr="00206E86">
        <w:rPr>
          <w:rFonts w:ascii="Times New Roman" w:hAnsi="Times New Roman" w:cs="Times New Roman"/>
          <w:sz w:val="20"/>
          <w:szCs w:val="20"/>
        </w:rPr>
        <w:t xml:space="preserve"> through recourse to multiple </w:t>
      </w:r>
      <w:r w:rsidRPr="00206E86">
        <w:rPr>
          <w:rFonts w:ascii="Times New Roman" w:hAnsi="Times New Roman" w:cs="Times New Roman"/>
          <w:i/>
          <w:iCs/>
          <w:sz w:val="20"/>
          <w:szCs w:val="20"/>
        </w:rPr>
        <w:t>kalām</w:t>
      </w:r>
      <w:r w:rsidRPr="00206E86">
        <w:rPr>
          <w:rFonts w:ascii="Times New Roman" w:hAnsi="Times New Roman" w:cs="Times New Roman"/>
          <w:sz w:val="20"/>
          <w:szCs w:val="20"/>
        </w:rPr>
        <w:t xml:space="preserve"> traditions, including the Muʿtazila, Ashʿariyya, and Karrāmiyya, (1338/1919) 55, pp. 1755-60; his subsequent turn towards Sufi epistemology, (1338/1919) 60, pp. 1911-6, 1915 and </w:t>
      </w:r>
      <w:r w:rsidRPr="00206E86">
        <w:rPr>
          <w:rFonts w:ascii="Times New Roman" w:hAnsi="Times New Roman" w:cs="Times New Roman"/>
          <w:i/>
          <w:iCs/>
          <w:sz w:val="20"/>
          <w:szCs w:val="20"/>
        </w:rPr>
        <w:t>Cerīde-i ʿilmiyye</w:t>
      </w:r>
      <w:r w:rsidRPr="00206E86">
        <w:rPr>
          <w:rFonts w:ascii="Times New Roman" w:hAnsi="Times New Roman" w:cs="Times New Roman"/>
          <w:sz w:val="20"/>
          <w:szCs w:val="20"/>
        </w:rPr>
        <w:t xml:space="preserve"> (1340/1921) 74-5, pp. 2437-43, 2443; and his final Salafī-inflected orientation grounded in </w:t>
      </w:r>
      <w:r w:rsidRPr="00206E86">
        <w:rPr>
          <w:rFonts w:ascii="Times New Roman" w:hAnsi="Times New Roman" w:cs="Times New Roman"/>
          <w:i/>
          <w:iCs/>
          <w:sz w:val="20"/>
          <w:szCs w:val="20"/>
        </w:rPr>
        <w:t>ḥadīth</w:t>
      </w:r>
      <w:r w:rsidRPr="00206E86">
        <w:rPr>
          <w:rFonts w:ascii="Times New Roman" w:hAnsi="Times New Roman" w:cs="Times New Roman"/>
          <w:sz w:val="20"/>
          <w:szCs w:val="20"/>
        </w:rPr>
        <w:t xml:space="preserve"> study, (1341/1922) 78–9, pp. 2571-8, 2571-3.</w:t>
      </w:r>
    </w:p>
  </w:endnote>
  <w:endnote w:id="86">
    <w:p w14:paraId="12953898" w14:textId="77777777"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w:t>
      </w:r>
      <w:r w:rsidRPr="00206E86">
        <w:rPr>
          <w:rStyle w:val="Gl"/>
          <w:b w:val="0"/>
          <w:bCs w:val="0"/>
          <w:color w:val="000000" w:themeColor="text1"/>
          <w:lang w:val="tr-TR"/>
        </w:rPr>
        <w:t xml:space="preserve">“[…] Ġazālī zamānına ḳadar Ehl-i Sünnet kelāmı felsefe ile maḫlūṭ olmamış idi” </w:t>
      </w:r>
      <w:r w:rsidRPr="00206E86">
        <w:rPr>
          <w:color w:val="000000" w:themeColor="text1"/>
          <w:lang w:val="tr-TR"/>
        </w:rPr>
        <w:t xml:space="preserve">idem., “Yeñi ʿİlm-i Kelām Ḥaḳḳında”, </w:t>
      </w:r>
      <w:r w:rsidRPr="00206E86">
        <w:rPr>
          <w:rStyle w:val="Vurgu"/>
          <w:color w:val="000000" w:themeColor="text1"/>
          <w:lang w:val="tr-TR"/>
        </w:rPr>
        <w:t>Sebīlü’r-reşād</w:t>
      </w:r>
      <w:r w:rsidRPr="00206E86">
        <w:rPr>
          <w:color w:val="000000" w:themeColor="text1"/>
          <w:lang w:val="tr-TR"/>
        </w:rPr>
        <w:t xml:space="preserve"> (1342/1923-4) 22 (549–50), pp. 30-2, 32; </w:t>
      </w:r>
      <w:r w:rsidRPr="00206E86">
        <w:rPr>
          <w:rStyle w:val="Gl"/>
          <w:b w:val="0"/>
          <w:bCs w:val="0"/>
          <w:color w:val="000000" w:themeColor="text1"/>
          <w:lang w:val="tr-TR"/>
        </w:rPr>
        <w:t xml:space="preserve">or </w:t>
      </w:r>
      <w:r w:rsidRPr="00206E86">
        <w:rPr>
          <w:color w:val="000000" w:themeColor="text1"/>
          <w:lang w:val="tr-TR"/>
        </w:rPr>
        <w:t>“[…] kel</w:t>
      </w:r>
      <w:r w:rsidRPr="00206E86">
        <w:rPr>
          <w:rStyle w:val="Gl"/>
          <w:b w:val="0"/>
          <w:bCs w:val="0"/>
          <w:color w:val="000000" w:themeColor="text1"/>
          <w:lang w:val="tr-TR"/>
        </w:rPr>
        <w:t>ā</w:t>
      </w:r>
      <w:r w:rsidRPr="00206E86">
        <w:rPr>
          <w:color w:val="000000" w:themeColor="text1"/>
          <w:lang w:val="tr-TR"/>
        </w:rPr>
        <w:t>m ile felsefeyi mecz eyleyüb ‘ilm-i v</w:t>
      </w:r>
      <w:r w:rsidRPr="00206E86">
        <w:rPr>
          <w:rStyle w:val="Gl"/>
          <w:b w:val="0"/>
          <w:bCs w:val="0"/>
          <w:color w:val="000000" w:themeColor="text1"/>
          <w:lang w:val="tr-TR"/>
        </w:rPr>
        <w:t>ā</w:t>
      </w:r>
      <w:r w:rsidRPr="00206E86">
        <w:rPr>
          <w:color w:val="000000" w:themeColor="text1"/>
          <w:lang w:val="tr-TR"/>
        </w:rPr>
        <w:t xml:space="preserve">ḥid ḳılan […]”; idem., </w:t>
      </w:r>
      <w:r w:rsidRPr="00206E86">
        <w:rPr>
          <w:i/>
          <w:iCs/>
          <w:color w:val="000000" w:themeColor="text1"/>
          <w:lang w:val="tr-TR"/>
        </w:rPr>
        <w:t>Yeñi ‘İlm-i Kel</w:t>
      </w:r>
      <w:r w:rsidRPr="00206E86">
        <w:rPr>
          <w:i/>
          <w:iCs/>
          <w:color w:val="000000" w:themeColor="text1"/>
          <w:kern w:val="2"/>
          <w:lang w:val="tr-TR"/>
          <w14:ligatures w14:val="standardContextual"/>
        </w:rPr>
        <w:t>ā</w:t>
      </w:r>
      <w:r w:rsidRPr="00206E86">
        <w:rPr>
          <w:i/>
          <w:iCs/>
          <w:color w:val="000000" w:themeColor="text1"/>
          <w:lang w:val="tr-TR"/>
        </w:rPr>
        <w:t>m</w:t>
      </w:r>
      <w:r w:rsidRPr="00206E86">
        <w:rPr>
          <w:color w:val="000000" w:themeColor="text1"/>
          <w:lang w:val="tr-TR"/>
        </w:rPr>
        <w:t xml:space="preserve">, Istanbul: </w:t>
      </w:r>
      <w:r w:rsidRPr="00206E86">
        <w:rPr>
          <w:color w:val="000000" w:themeColor="text1"/>
          <w:kern w:val="2"/>
          <w:lang w:val="tr-TR"/>
          <w14:ligatures w14:val="standardContextual"/>
        </w:rPr>
        <w:t>Ev</w:t>
      </w:r>
      <w:r w:rsidRPr="00206E86">
        <w:rPr>
          <w:color w:val="000000" w:themeColor="text1"/>
          <w:lang w:val="tr-TR"/>
        </w:rPr>
        <w:t>ḳ</w:t>
      </w:r>
      <w:r w:rsidRPr="00206E86">
        <w:rPr>
          <w:color w:val="000000" w:themeColor="text1"/>
          <w:kern w:val="2"/>
          <w:lang w:val="tr-TR"/>
          <w14:ligatures w14:val="standardContextual"/>
        </w:rPr>
        <w:t>āf-ı İslāmiyye</w:t>
      </w:r>
      <w:r w:rsidRPr="00206E86">
        <w:rPr>
          <w:color w:val="000000" w:themeColor="text1"/>
          <w:lang w:val="tr-TR"/>
        </w:rPr>
        <w:t>, 1339-41/1920-23, vol. 1, p. 87.</w:t>
      </w:r>
    </w:p>
  </w:endnote>
  <w:endnote w:id="87">
    <w:p w14:paraId="01A8E009" w14:textId="77777777" w:rsidR="00206E86" w:rsidRPr="00206E86" w:rsidRDefault="00206E86" w:rsidP="00206E86">
      <w:pPr>
        <w:pStyle w:val="SonNotMetni"/>
        <w:ind w:left="708" w:hanging="708"/>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Idem., op. cit. (87), p. 82; idem., op. cit. (82), p. 36.</w:t>
      </w:r>
    </w:p>
  </w:endnote>
  <w:endnote w:id="88">
    <w:p w14:paraId="4D8EFBF7" w14:textId="706AC4E3" w:rsidR="00206E86" w:rsidRPr="00206E86" w:rsidRDefault="00206E86" w:rsidP="00206E86">
      <w:pPr>
        <w:pStyle w:val="SonNotMetni"/>
        <w:rPr>
          <w:color w:val="000000" w:themeColor="text1"/>
          <w:lang w:val="tr-TR"/>
        </w:rPr>
      </w:pPr>
      <w:r w:rsidRPr="00206E86">
        <w:rPr>
          <w:rStyle w:val="SonNotBavurusu"/>
          <w:color w:val="000000" w:themeColor="text1"/>
        </w:rPr>
        <w:endnoteRef/>
      </w:r>
      <w:r w:rsidRPr="00206E86">
        <w:rPr>
          <w:color w:val="000000" w:themeColor="text1"/>
          <w:lang w:val="tr-TR"/>
        </w:rPr>
        <w:t xml:space="preserve"> Idem., “İslâmda </w:t>
      </w:r>
      <w:r>
        <w:rPr>
          <w:color w:val="000000" w:themeColor="text1"/>
          <w:lang w:val="tr-TR"/>
        </w:rPr>
        <w:t>f</w:t>
      </w:r>
      <w:r w:rsidRPr="00206E86">
        <w:rPr>
          <w:color w:val="000000" w:themeColor="text1"/>
          <w:lang w:val="tr-TR"/>
        </w:rPr>
        <w:t xml:space="preserve">elsefe </w:t>
      </w:r>
      <w:r>
        <w:rPr>
          <w:color w:val="000000" w:themeColor="text1"/>
          <w:lang w:val="tr-TR"/>
        </w:rPr>
        <w:t>c</w:t>
      </w:r>
      <w:r w:rsidRPr="00206E86">
        <w:rPr>
          <w:color w:val="000000" w:themeColor="text1"/>
          <w:lang w:val="tr-TR"/>
        </w:rPr>
        <w:t xml:space="preserve">ereyanları VI”, </w:t>
      </w:r>
      <w:r w:rsidRPr="00206E86">
        <w:rPr>
          <w:i/>
          <w:iCs/>
          <w:color w:val="000000" w:themeColor="text1"/>
          <w:lang w:val="tr-TR"/>
        </w:rPr>
        <w:t>Darülfünun İlahiyat Fakültesi Mecmuası</w:t>
      </w:r>
      <w:r w:rsidRPr="00206E86">
        <w:rPr>
          <w:color w:val="000000" w:themeColor="text1"/>
          <w:lang w:val="tr-TR"/>
        </w:rPr>
        <w:t xml:space="preserve"> (1930) 4 (17), pp. 10-24, 10-1.</w:t>
      </w:r>
    </w:p>
  </w:endnote>
  <w:endnote w:id="89">
    <w:p w14:paraId="5B8F9ADB" w14:textId="330CB2C2"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Idem., “İslâmda </w:t>
      </w:r>
      <w:r>
        <w:rPr>
          <w:color w:val="000000" w:themeColor="text1"/>
          <w:lang w:val="tr-TR"/>
        </w:rPr>
        <w:t>f</w:t>
      </w:r>
      <w:r w:rsidRPr="00206E86">
        <w:rPr>
          <w:color w:val="000000" w:themeColor="text1"/>
          <w:lang w:val="tr-TR"/>
        </w:rPr>
        <w:t xml:space="preserve">elsefe </w:t>
      </w:r>
      <w:r>
        <w:rPr>
          <w:color w:val="000000" w:themeColor="text1"/>
          <w:lang w:val="tr-TR"/>
        </w:rPr>
        <w:t>c</w:t>
      </w:r>
      <w:r w:rsidRPr="00206E86">
        <w:rPr>
          <w:color w:val="000000" w:themeColor="text1"/>
          <w:lang w:val="tr-TR"/>
        </w:rPr>
        <w:t xml:space="preserve">ereyanları XII: İbn-i Rüşd IV”, </w:t>
      </w:r>
      <w:r w:rsidRPr="00206E86">
        <w:rPr>
          <w:i/>
          <w:iCs/>
          <w:color w:val="000000" w:themeColor="text1"/>
          <w:lang w:val="tr-TR"/>
        </w:rPr>
        <w:t>Darülfünun İlahiyat Fakültesi Mecmuası</w:t>
      </w:r>
      <w:r w:rsidRPr="00206E86">
        <w:rPr>
          <w:color w:val="000000" w:themeColor="text1"/>
          <w:lang w:val="tr-TR"/>
        </w:rPr>
        <w:t xml:space="preserve"> (1932) 5 (23), pp. 20-38, 32, 35.</w:t>
      </w:r>
    </w:p>
  </w:endnote>
  <w:endnote w:id="90">
    <w:p w14:paraId="2BFC167E" w14:textId="560A326C" w:rsidR="00206E86" w:rsidRPr="00206E86" w:rsidRDefault="00206E86" w:rsidP="00206E86">
      <w:pPr>
        <w:pStyle w:val="AralkYok"/>
        <w:jc w:val="both"/>
        <w:rPr>
          <w:rFonts w:ascii="Times New Roman" w:hAnsi="Times New Roman" w:cs="Times New Roman"/>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rPr>
        <w:t xml:space="preserve"> </w:t>
      </w:r>
      <w:r w:rsidRPr="00206E86">
        <w:rPr>
          <w:rFonts w:ascii="Times New Roman" w:hAnsi="Times New Roman" w:cs="Times New Roman"/>
          <w:sz w:val="20"/>
          <w:szCs w:val="20"/>
        </w:rPr>
        <w:t xml:space="preserve">Ibn Rushd repeatedly accuses Ghazālī of sophistry and of magnifying the philosophers’ slightest errors. See İzmirli’s source for this assessment: Muḥammad Luṭfī Jumʿa, </w:t>
      </w:r>
      <w:r w:rsidRPr="00206E86">
        <w:rPr>
          <w:rFonts w:ascii="Times New Roman" w:hAnsi="Times New Roman" w:cs="Times New Roman"/>
          <w:i/>
          <w:iCs/>
          <w:sz w:val="20"/>
          <w:szCs w:val="20"/>
        </w:rPr>
        <w:t>Tārīkh al-falāsifa al-Islām fī-l-Mashriq wa-l-Maghrib</w:t>
      </w:r>
      <w:r w:rsidRPr="00206E86">
        <w:rPr>
          <w:rFonts w:ascii="Times New Roman" w:hAnsi="Times New Roman" w:cs="Times New Roman"/>
          <w:sz w:val="20"/>
          <w:szCs w:val="20"/>
        </w:rPr>
        <w:t xml:space="preserve"> (Cairo: Maṭbaʿa al-Muqtaṭaf, 1927), p. 208.</w:t>
      </w:r>
    </w:p>
  </w:endnote>
  <w:endnote w:id="91">
    <w:p w14:paraId="124BDF66" w14:textId="3CDF84AE"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rPr>
        <w:t xml:space="preserve"> </w:t>
      </w:r>
      <w:r w:rsidRPr="00206E86">
        <w:rPr>
          <w:color w:val="000000" w:themeColor="text1"/>
          <w:lang w:val="tr-TR"/>
        </w:rPr>
        <w:t xml:space="preserve">İzmirli, op. cit. (73), pp. </w:t>
      </w:r>
      <w:r w:rsidRPr="00206E86">
        <w:rPr>
          <w:color w:val="000000" w:themeColor="text1"/>
        </w:rPr>
        <w:t>42, 56.</w:t>
      </w:r>
    </w:p>
  </w:endnote>
  <w:endnote w:id="92">
    <w:p w14:paraId="03C605AE" w14:textId="303C06A0" w:rsidR="00206E86" w:rsidRPr="00206E86" w:rsidRDefault="00206E86" w:rsidP="00206E86">
      <w:pPr>
        <w:pStyle w:val="AralkYok"/>
        <w:jc w:val="both"/>
        <w:rPr>
          <w:rFonts w:ascii="Times New Roman" w:hAnsi="Times New Roman" w:cs="Times New Roman"/>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rPr>
        <w:t xml:space="preserve"> </w:t>
      </w:r>
      <w:r w:rsidRPr="00206E86">
        <w:rPr>
          <w:rFonts w:ascii="Times New Roman" w:hAnsi="Times New Roman" w:cs="Times New Roman"/>
          <w:sz w:val="20"/>
          <w:szCs w:val="20"/>
        </w:rPr>
        <w:t xml:space="preserve">German Orientalist Max Horten , similarly characterised Averroes as an ‘apologist of the Qurʾān’ who reconciled Islamic doctrine with philosophy </w:t>
      </w:r>
      <w:r w:rsidRPr="00206E86">
        <w:rPr>
          <w:rFonts w:ascii="Times New Roman" w:hAnsi="Times New Roman" w:cs="Times New Roman"/>
          <w:color w:val="000000" w:themeColor="text1"/>
          <w:sz w:val="20"/>
          <w:szCs w:val="20"/>
        </w:rPr>
        <w:t>(Wild, op. cit (11), p. 161).</w:t>
      </w:r>
    </w:p>
  </w:endnote>
  <w:endnote w:id="93">
    <w:p w14:paraId="5ED48B79" w14:textId="750CCDC3" w:rsidR="00206E86" w:rsidRPr="00206E86" w:rsidRDefault="00206E86" w:rsidP="00206E86">
      <w:pPr>
        <w:pStyle w:val="AralkYok"/>
        <w:jc w:val="both"/>
        <w:rPr>
          <w:rFonts w:ascii="Times New Roman" w:hAnsi="Times New Roman" w:cs="Times New Roman"/>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rPr>
        <w:t xml:space="preserve"> </w:t>
      </w:r>
      <w:r w:rsidRPr="00206E86">
        <w:rPr>
          <w:rFonts w:ascii="Times New Roman" w:hAnsi="Times New Roman" w:cs="Times New Roman"/>
          <w:sz w:val="20"/>
          <w:szCs w:val="20"/>
        </w:rPr>
        <w:t xml:space="preserve">Despite his defence of Aristotelianism, Ibn Rushd maintained that the foundational principles of revealed law lay beyond permissible investigation. See </w:t>
      </w:r>
      <w:r w:rsidRPr="00206E86">
        <w:rPr>
          <w:rFonts w:ascii="Times New Roman" w:hAnsi="Times New Roman" w:cs="Times New Roman"/>
          <w:color w:val="000000" w:themeColor="text1"/>
          <w:sz w:val="20"/>
          <w:szCs w:val="20"/>
        </w:rPr>
        <w:t>Jumʿa, op. cit. (90), p. 209; İzmirli, op. cit. (89), pp. 21-3.</w:t>
      </w:r>
    </w:p>
  </w:endnote>
  <w:endnote w:id="94">
    <w:p w14:paraId="1AF781B1" w14:textId="6DBE1964"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Idem., op. cit. (73), pp. 42-3.</w:t>
      </w:r>
    </w:p>
  </w:endnote>
  <w:endnote w:id="95">
    <w:p w14:paraId="243729E3" w14:textId="0F941157" w:rsidR="00206E86" w:rsidRPr="00206E86" w:rsidRDefault="00206E86" w:rsidP="00206E86">
      <w:pPr>
        <w:pStyle w:val="SonNotMetni"/>
        <w:ind w:left="708" w:hanging="708"/>
        <w:jc w:val="both"/>
        <w:rPr>
          <w:color w:val="000000" w:themeColor="text1"/>
          <w:lang w:val="tr-TR"/>
        </w:rPr>
      </w:pPr>
      <w:r w:rsidRPr="00206E86">
        <w:rPr>
          <w:rStyle w:val="SonNotBavurusu"/>
          <w:color w:val="000000" w:themeColor="text1"/>
        </w:rPr>
        <w:endnoteRef/>
      </w:r>
      <w:r w:rsidRPr="00206E86">
        <w:rPr>
          <w:color w:val="000000" w:themeColor="text1"/>
          <w:lang w:val="tr-TR"/>
        </w:rPr>
        <w:t xml:space="preserve"> Idem., op. cit. (86), pp. 10-2.</w:t>
      </w:r>
    </w:p>
  </w:endnote>
  <w:endnote w:id="96">
    <w:p w14:paraId="734EA0FC" w14:textId="58368551" w:rsidR="00206E86" w:rsidRPr="00206E86" w:rsidRDefault="00206E86" w:rsidP="00206E86">
      <w:pPr>
        <w:pStyle w:val="AralkYok"/>
        <w:jc w:val="both"/>
        <w:rPr>
          <w:rFonts w:ascii="Times New Roman" w:hAnsi="Times New Roman" w:cs="Times New Roman"/>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sz w:val="20"/>
          <w:szCs w:val="20"/>
          <w:lang w:val="tr-TR"/>
        </w:rPr>
        <w:t xml:space="preserve"> </w:t>
      </w:r>
      <w:r w:rsidRPr="00206E86">
        <w:rPr>
          <w:rFonts w:ascii="Times New Roman" w:hAnsi="Times New Roman" w:cs="Times New Roman"/>
          <w:sz w:val="20"/>
          <w:szCs w:val="20"/>
        </w:rPr>
        <w:t>Idem.,</w:t>
      </w:r>
      <w:r w:rsidRPr="00206E86">
        <w:rPr>
          <w:rFonts w:ascii="Times New Roman" w:hAnsi="Times New Roman" w:cs="Times New Roman"/>
          <w:b/>
          <w:bCs/>
          <w:sz w:val="20"/>
          <w:szCs w:val="20"/>
        </w:rPr>
        <w:t xml:space="preserve"> </w:t>
      </w:r>
      <w:r w:rsidRPr="00206E86">
        <w:rPr>
          <w:rFonts w:ascii="Times New Roman" w:hAnsi="Times New Roman" w:cs="Times New Roman"/>
          <w:sz w:val="20"/>
          <w:szCs w:val="20"/>
          <w:lang w:val="tr-TR"/>
        </w:rPr>
        <w:t>İzmirli, op. cit. (73),</w:t>
      </w:r>
      <w:r w:rsidRPr="00206E86">
        <w:rPr>
          <w:rFonts w:ascii="Times New Roman" w:hAnsi="Times New Roman" w:cs="Times New Roman"/>
          <w:b/>
          <w:bCs/>
          <w:sz w:val="20"/>
          <w:szCs w:val="20"/>
        </w:rPr>
        <w:t xml:space="preserve"> </w:t>
      </w:r>
      <w:r w:rsidRPr="00206E86">
        <w:rPr>
          <w:rFonts w:ascii="Times New Roman" w:hAnsi="Times New Roman" w:cs="Times New Roman"/>
          <w:sz w:val="20"/>
          <w:szCs w:val="20"/>
        </w:rPr>
        <w:t>pp.</w:t>
      </w:r>
      <w:r w:rsidRPr="00206E86">
        <w:rPr>
          <w:rFonts w:ascii="Times New Roman" w:hAnsi="Times New Roman" w:cs="Times New Roman"/>
          <w:sz w:val="20"/>
          <w:szCs w:val="20"/>
          <w:lang w:val="tr-TR"/>
        </w:rPr>
        <w:t xml:space="preserve"> 38, 40, 43. </w:t>
      </w:r>
      <w:r w:rsidRPr="00206E86">
        <w:rPr>
          <w:rFonts w:ascii="Times New Roman" w:hAnsi="Times New Roman" w:cs="Times New Roman"/>
          <w:sz w:val="20"/>
          <w:szCs w:val="20"/>
        </w:rPr>
        <w:t xml:space="preserve">Peters similarly presents the Ottoman period as a high point of Avicennan synthesis with </w:t>
      </w:r>
      <w:r w:rsidRPr="00206E86">
        <w:rPr>
          <w:rFonts w:ascii="Times New Roman" w:hAnsi="Times New Roman" w:cs="Times New Roman"/>
          <w:i/>
          <w:iCs/>
          <w:sz w:val="20"/>
          <w:szCs w:val="20"/>
        </w:rPr>
        <w:t>kalām</w:t>
      </w:r>
      <w:r w:rsidRPr="00206E86">
        <w:rPr>
          <w:rFonts w:ascii="Times New Roman" w:hAnsi="Times New Roman" w:cs="Times New Roman"/>
          <w:sz w:val="20"/>
          <w:szCs w:val="20"/>
        </w:rPr>
        <w:t xml:space="preserve"> and Sufism; see F.E. Peters, </w:t>
      </w:r>
      <w:r w:rsidRPr="00206E86">
        <w:rPr>
          <w:rFonts w:ascii="Times New Roman" w:hAnsi="Times New Roman" w:cs="Times New Roman"/>
          <w:i/>
          <w:iCs/>
          <w:sz w:val="20"/>
          <w:szCs w:val="20"/>
        </w:rPr>
        <w:t>Aristotle and the Arabs: The Aristotelian Tradition in Islam</w:t>
      </w:r>
      <w:r w:rsidRPr="00206E86">
        <w:rPr>
          <w:rFonts w:ascii="Times New Roman" w:hAnsi="Times New Roman" w:cs="Times New Roman"/>
          <w:sz w:val="20"/>
          <w:szCs w:val="20"/>
        </w:rPr>
        <w:t>, New York: NYU Press, 1968, p. 208.</w:t>
      </w:r>
    </w:p>
  </w:endnote>
  <w:endnote w:id="97">
    <w:p w14:paraId="4001DA8C" w14:textId="766671A7" w:rsidR="00206E86" w:rsidRPr="00206E86" w:rsidRDefault="00206E86" w:rsidP="00206E86">
      <w:pPr>
        <w:pStyle w:val="AralkYok"/>
        <w:jc w:val="both"/>
        <w:rPr>
          <w:rFonts w:ascii="Times New Roman" w:hAnsi="Times New Roman" w:cs="Times New Roman"/>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rPr>
        <w:t xml:space="preserve"> İ</w:t>
      </w:r>
      <w:r w:rsidRPr="00206E86">
        <w:rPr>
          <w:rFonts w:ascii="Times New Roman" w:hAnsi="Times New Roman" w:cs="Times New Roman"/>
          <w:sz w:val="20"/>
          <w:szCs w:val="20"/>
        </w:rPr>
        <w:t>zmirli’s position most closely resembles Barbour’s model of ‘integration’, in which science and religion contribute to a coherent metaphysical worldview; see</w:t>
      </w:r>
      <w:r w:rsidRPr="00206E86">
        <w:rPr>
          <w:rFonts w:ascii="Times New Roman" w:hAnsi="Times New Roman" w:cs="Times New Roman"/>
          <w:color w:val="000000" w:themeColor="text1"/>
          <w:sz w:val="20"/>
          <w:szCs w:val="20"/>
        </w:rPr>
        <w:t xml:space="preserve"> Ian G. Barbour, “Ways of </w:t>
      </w:r>
      <w:r>
        <w:rPr>
          <w:rFonts w:ascii="Times New Roman" w:hAnsi="Times New Roman" w:cs="Times New Roman"/>
          <w:color w:val="000000" w:themeColor="text1"/>
          <w:sz w:val="20"/>
          <w:szCs w:val="20"/>
        </w:rPr>
        <w:t>r</w:t>
      </w:r>
      <w:r w:rsidRPr="00206E86">
        <w:rPr>
          <w:rFonts w:ascii="Times New Roman" w:hAnsi="Times New Roman" w:cs="Times New Roman"/>
          <w:color w:val="000000" w:themeColor="text1"/>
          <w:sz w:val="20"/>
          <w:szCs w:val="20"/>
        </w:rPr>
        <w:t xml:space="preserve">elating </w:t>
      </w:r>
      <w:r>
        <w:rPr>
          <w:rFonts w:ascii="Times New Roman" w:hAnsi="Times New Roman" w:cs="Times New Roman"/>
          <w:color w:val="000000" w:themeColor="text1"/>
          <w:sz w:val="20"/>
          <w:szCs w:val="20"/>
        </w:rPr>
        <w:t>s</w:t>
      </w:r>
      <w:r w:rsidRPr="00206E86">
        <w:rPr>
          <w:rFonts w:ascii="Times New Roman" w:hAnsi="Times New Roman" w:cs="Times New Roman"/>
          <w:color w:val="000000" w:themeColor="text1"/>
          <w:sz w:val="20"/>
          <w:szCs w:val="20"/>
        </w:rPr>
        <w:t xml:space="preserve">cience and </w:t>
      </w:r>
      <w:r>
        <w:rPr>
          <w:rFonts w:ascii="Times New Roman" w:hAnsi="Times New Roman" w:cs="Times New Roman"/>
          <w:color w:val="000000" w:themeColor="text1"/>
          <w:sz w:val="20"/>
          <w:szCs w:val="20"/>
        </w:rPr>
        <w:t>t</w:t>
      </w:r>
      <w:r w:rsidRPr="00206E86">
        <w:rPr>
          <w:rFonts w:ascii="Times New Roman" w:hAnsi="Times New Roman" w:cs="Times New Roman"/>
          <w:color w:val="000000" w:themeColor="text1"/>
          <w:sz w:val="20"/>
          <w:szCs w:val="20"/>
        </w:rPr>
        <w:t xml:space="preserve">heology”, in Robert J. Russell et al. (eds.), </w:t>
      </w:r>
      <w:r w:rsidRPr="00206E86">
        <w:rPr>
          <w:rFonts w:ascii="Times New Roman" w:hAnsi="Times New Roman" w:cs="Times New Roman"/>
          <w:i/>
          <w:iCs/>
          <w:color w:val="000000" w:themeColor="text1"/>
          <w:sz w:val="20"/>
          <w:szCs w:val="20"/>
        </w:rPr>
        <w:t>Physics, Philosophy, and Theology</w:t>
      </w:r>
      <w:r w:rsidRPr="00206E86">
        <w:rPr>
          <w:rFonts w:ascii="Times New Roman" w:hAnsi="Times New Roman" w:cs="Times New Roman"/>
          <w:color w:val="000000" w:themeColor="text1"/>
          <w:sz w:val="20"/>
          <w:szCs w:val="20"/>
        </w:rPr>
        <w:t>, Vatican: Vatican Observatory, 1988, pp. 40-5.</w:t>
      </w:r>
    </w:p>
  </w:endnote>
  <w:endnote w:id="98">
    <w:p w14:paraId="46238BD2" w14:textId="5A234733" w:rsidR="00206E86" w:rsidRPr="00206E86" w:rsidRDefault="00206E86" w:rsidP="00206E86">
      <w:pPr>
        <w:pStyle w:val="SonNotMetni"/>
        <w:rPr>
          <w:color w:val="000000" w:themeColor="text1"/>
        </w:rPr>
      </w:pPr>
      <w:r w:rsidRPr="00206E86">
        <w:rPr>
          <w:rStyle w:val="SonNotBavurusu"/>
          <w:color w:val="000000" w:themeColor="text1"/>
        </w:rPr>
        <w:endnoteRef/>
      </w:r>
      <w:r w:rsidRPr="00206E86">
        <w:rPr>
          <w:color w:val="000000" w:themeColor="text1"/>
        </w:rPr>
        <w:t xml:space="preserve"> Drees, op. cit. (83), p. 74.</w:t>
      </w:r>
    </w:p>
  </w:endnote>
  <w:endnote w:id="99">
    <w:p w14:paraId="2A82D43E" w14:textId="5E189687" w:rsidR="00206E86" w:rsidRPr="00206E86" w:rsidRDefault="00206E86" w:rsidP="00206E86">
      <w:pPr>
        <w:pStyle w:val="AralkYok"/>
        <w:jc w:val="both"/>
        <w:rPr>
          <w:rFonts w:ascii="Times New Roman" w:hAnsi="Times New Roman" w:cs="Times New Roman"/>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rPr>
        <w:t xml:space="preserve"> Cf. </w:t>
      </w:r>
      <w:r w:rsidRPr="00206E86">
        <w:rPr>
          <w:rFonts w:ascii="Times New Roman" w:hAnsi="Times New Roman" w:cs="Times New Roman"/>
          <w:sz w:val="20"/>
          <w:szCs w:val="20"/>
        </w:rPr>
        <w:t xml:space="preserve">Günaltay rejected a conflictual model of intellectual history, arguing that human thought advances through reciprocal development and corroboration rather than antagonism between religion and science; see </w:t>
      </w:r>
      <w:r w:rsidRPr="00206E86">
        <w:rPr>
          <w:rFonts w:ascii="Times New Roman" w:hAnsi="Times New Roman" w:cs="Times New Roman"/>
          <w:color w:val="000000" w:themeColor="text1"/>
          <w:sz w:val="20"/>
          <w:szCs w:val="20"/>
        </w:rPr>
        <w:t xml:space="preserve">Şemseddīn [Günaltay], </w:t>
      </w:r>
      <w:r w:rsidRPr="00206E86">
        <w:rPr>
          <w:rFonts w:ascii="Times New Roman" w:hAnsi="Times New Roman" w:cs="Times New Roman"/>
          <w:i/>
          <w:iCs/>
          <w:color w:val="000000" w:themeColor="text1"/>
          <w:sz w:val="20"/>
          <w:szCs w:val="20"/>
        </w:rPr>
        <w:t>Felsefe-i Ūlā</w:t>
      </w:r>
      <w:r w:rsidRPr="00206E86">
        <w:rPr>
          <w:rFonts w:ascii="Times New Roman" w:hAnsi="Times New Roman" w:cs="Times New Roman"/>
          <w:color w:val="000000" w:themeColor="text1"/>
          <w:sz w:val="20"/>
          <w:szCs w:val="20"/>
        </w:rPr>
        <w:t xml:space="preserve">, Istanbul: Evḳāf-ı İslāmiyye, 1341/1925, p. 7; Hilmi Ziya Ülken, “İslâm </w:t>
      </w:r>
      <w:r>
        <w:rPr>
          <w:rFonts w:ascii="Times New Roman" w:hAnsi="Times New Roman" w:cs="Times New Roman"/>
          <w:color w:val="000000" w:themeColor="text1"/>
          <w:sz w:val="20"/>
          <w:szCs w:val="20"/>
        </w:rPr>
        <w:t>f</w:t>
      </w:r>
      <w:r w:rsidRPr="00206E86">
        <w:rPr>
          <w:rFonts w:ascii="Times New Roman" w:hAnsi="Times New Roman" w:cs="Times New Roman"/>
          <w:color w:val="000000" w:themeColor="text1"/>
          <w:sz w:val="20"/>
          <w:szCs w:val="20"/>
        </w:rPr>
        <w:t xml:space="preserve">elsefesinde </w:t>
      </w:r>
      <w:r>
        <w:rPr>
          <w:rFonts w:ascii="Times New Roman" w:hAnsi="Times New Roman" w:cs="Times New Roman"/>
          <w:color w:val="000000" w:themeColor="text1"/>
          <w:sz w:val="20"/>
          <w:szCs w:val="20"/>
        </w:rPr>
        <w:t>a</w:t>
      </w:r>
      <w:r w:rsidRPr="00206E86">
        <w:rPr>
          <w:rFonts w:ascii="Times New Roman" w:hAnsi="Times New Roman" w:cs="Times New Roman"/>
          <w:color w:val="000000" w:themeColor="text1"/>
          <w:sz w:val="20"/>
          <w:szCs w:val="20"/>
        </w:rPr>
        <w:t xml:space="preserve">kıl ve </w:t>
      </w:r>
      <w:r>
        <w:rPr>
          <w:rFonts w:ascii="Times New Roman" w:hAnsi="Times New Roman" w:cs="Times New Roman"/>
          <w:color w:val="000000" w:themeColor="text1"/>
          <w:sz w:val="20"/>
          <w:szCs w:val="20"/>
        </w:rPr>
        <w:t>i</w:t>
      </w:r>
      <w:r w:rsidRPr="00206E86">
        <w:rPr>
          <w:rFonts w:ascii="Times New Roman" w:hAnsi="Times New Roman" w:cs="Times New Roman"/>
          <w:color w:val="000000" w:themeColor="text1"/>
          <w:sz w:val="20"/>
          <w:szCs w:val="20"/>
        </w:rPr>
        <w:t xml:space="preserve">man </w:t>
      </w:r>
      <w:r>
        <w:rPr>
          <w:rFonts w:ascii="Times New Roman" w:hAnsi="Times New Roman" w:cs="Times New Roman"/>
          <w:color w:val="000000" w:themeColor="text1"/>
          <w:sz w:val="20"/>
          <w:szCs w:val="20"/>
        </w:rPr>
        <w:t>m</w:t>
      </w:r>
      <w:r w:rsidRPr="00206E86">
        <w:rPr>
          <w:rFonts w:ascii="Times New Roman" w:hAnsi="Times New Roman" w:cs="Times New Roman"/>
          <w:color w:val="000000" w:themeColor="text1"/>
          <w:sz w:val="20"/>
          <w:szCs w:val="20"/>
        </w:rPr>
        <w:t xml:space="preserve">eselesi”, </w:t>
      </w:r>
      <w:r w:rsidRPr="00206E86">
        <w:rPr>
          <w:rFonts w:ascii="Times New Roman" w:hAnsi="Times New Roman" w:cs="Times New Roman"/>
          <w:i/>
          <w:iCs/>
          <w:color w:val="000000" w:themeColor="text1"/>
          <w:sz w:val="20"/>
          <w:szCs w:val="20"/>
        </w:rPr>
        <w:t>Felsefe Semineri Dergisi</w:t>
      </w:r>
      <w:r w:rsidRPr="00206E86">
        <w:rPr>
          <w:rFonts w:ascii="Times New Roman" w:hAnsi="Times New Roman" w:cs="Times New Roman"/>
          <w:color w:val="000000" w:themeColor="text1"/>
          <w:sz w:val="20"/>
          <w:szCs w:val="20"/>
        </w:rPr>
        <w:t xml:space="preserve"> (1939) 1, pp. 66–8.</w:t>
      </w:r>
    </w:p>
  </w:endnote>
  <w:endnote w:id="100">
    <w:p w14:paraId="1008F88F" w14:textId="7A827290" w:rsidR="00206E86" w:rsidRPr="00206E86" w:rsidRDefault="00206E86" w:rsidP="00206E86">
      <w:pPr>
        <w:pStyle w:val="AralkYok"/>
        <w:jc w:val="both"/>
        <w:rPr>
          <w:rFonts w:ascii="Times New Roman" w:hAnsi="Times New Roman" w:cs="Times New Roman"/>
          <w:sz w:val="20"/>
          <w:szCs w:val="20"/>
        </w:rPr>
      </w:pPr>
      <w:r w:rsidRPr="00206E86">
        <w:rPr>
          <w:rStyle w:val="SonNotBavurusu"/>
          <w:rFonts w:ascii="Times New Roman" w:hAnsi="Times New Roman" w:cs="Times New Roman"/>
          <w:color w:val="000000" w:themeColor="text1"/>
          <w:sz w:val="20"/>
          <w:szCs w:val="20"/>
        </w:rPr>
        <w:endnoteRef/>
      </w:r>
      <w:r w:rsidRPr="00206E86">
        <w:rPr>
          <w:rFonts w:ascii="Times New Roman" w:hAnsi="Times New Roman" w:cs="Times New Roman"/>
          <w:color w:val="000000" w:themeColor="text1"/>
          <w:sz w:val="20"/>
          <w:szCs w:val="20"/>
        </w:rPr>
        <w:t xml:space="preserve"> </w:t>
      </w:r>
      <w:r w:rsidRPr="00206E86">
        <w:rPr>
          <w:rFonts w:ascii="Times New Roman" w:hAnsi="Times New Roman" w:cs="Times New Roman"/>
          <w:sz w:val="20"/>
          <w:szCs w:val="20"/>
        </w:rPr>
        <w:t xml:space="preserve">Cf. Anna Corrias and Eva Del Soldato (eds.), </w:t>
      </w:r>
      <w:r w:rsidRPr="00206E86">
        <w:rPr>
          <w:rFonts w:ascii="Times New Roman" w:hAnsi="Times New Roman" w:cs="Times New Roman"/>
          <w:i/>
          <w:iCs/>
          <w:sz w:val="20"/>
          <w:szCs w:val="20"/>
        </w:rPr>
        <w:t>Harmony and Contrast: Plato and Aristotle in the Early Modern Period</w:t>
      </w:r>
      <w:r w:rsidRPr="00206E86">
        <w:rPr>
          <w:rFonts w:ascii="Times New Roman" w:hAnsi="Times New Roman" w:cs="Times New Roman"/>
          <w:sz w:val="20"/>
          <w:szCs w:val="20"/>
        </w:rPr>
        <w:t xml:space="preserve"> (Oxford: Oxford University Press, 2022), esp. the introduction, which recasts Platonism and Aristotelianism as distinct yet complementary traditions in sustained interaction—a form of ‘harmony in contrast’.</w:t>
      </w:r>
    </w:p>
  </w:endnote>
  <w:endnote w:id="101">
    <w:p w14:paraId="1A90C98E" w14:textId="0372751B" w:rsidR="00206E86" w:rsidRPr="00206E86" w:rsidRDefault="00206E86" w:rsidP="00206E86">
      <w:pPr>
        <w:pStyle w:val="SonNotMetni"/>
        <w:jc w:val="both"/>
        <w:rPr>
          <w:bCs/>
          <w:color w:val="000000" w:themeColor="text1"/>
        </w:rPr>
      </w:pPr>
      <w:r w:rsidRPr="00206E86">
        <w:rPr>
          <w:rStyle w:val="SonNotBavurusu"/>
          <w:color w:val="000000" w:themeColor="text1"/>
        </w:rPr>
        <w:endnoteRef/>
      </w:r>
      <w:r w:rsidRPr="00206E86">
        <w:rPr>
          <w:color w:val="000000" w:themeColor="text1"/>
        </w:rPr>
        <w:t xml:space="preserve"> Richard Frank was among the first to argue that, despite Ghazālī’s rejection of emanationism, he absorbed key elements of Avicennan cosmology into postclassical </w:t>
      </w:r>
      <w:r w:rsidRPr="00206E86">
        <w:rPr>
          <w:rStyle w:val="Vurgu"/>
          <w:color w:val="000000" w:themeColor="text1"/>
        </w:rPr>
        <w:t>kalam</w:t>
      </w:r>
      <w:r w:rsidRPr="00206E86">
        <w:rPr>
          <w:color w:val="000000" w:themeColor="text1"/>
        </w:rPr>
        <w:t xml:space="preserve">; see Richard Frank, </w:t>
      </w:r>
      <w:r w:rsidRPr="00206E86">
        <w:rPr>
          <w:i/>
          <w:iCs/>
          <w:color w:val="000000" w:themeColor="text1"/>
        </w:rPr>
        <w:t>Creation and the Cosmic System: Al-Ghazālī and Avicenna</w:t>
      </w:r>
      <w:r w:rsidRPr="00206E86">
        <w:rPr>
          <w:color w:val="000000" w:themeColor="text1"/>
        </w:rPr>
        <w:t xml:space="preserve">, Heidelberg: Abhandlungen der Heidelberger Akademie, 1992. This reassessment was developed by Jules Janssens, “Al-Ghazālī’s </w:t>
      </w:r>
      <w:r w:rsidRPr="00206E86">
        <w:rPr>
          <w:i/>
          <w:iCs/>
          <w:color w:val="000000" w:themeColor="text1"/>
        </w:rPr>
        <w:t>Tahāfut</w:t>
      </w:r>
      <w:r w:rsidRPr="00206E86">
        <w:rPr>
          <w:color w:val="000000" w:themeColor="text1"/>
        </w:rPr>
        <w:t xml:space="preserve">: </w:t>
      </w:r>
      <w:r w:rsidR="000A1D51">
        <w:rPr>
          <w:color w:val="000000" w:themeColor="text1"/>
        </w:rPr>
        <w:t>i</w:t>
      </w:r>
      <w:r w:rsidRPr="00206E86">
        <w:rPr>
          <w:color w:val="000000" w:themeColor="text1"/>
        </w:rPr>
        <w:t xml:space="preserve">s </w:t>
      </w:r>
      <w:r w:rsidR="000A1D51">
        <w:rPr>
          <w:color w:val="000000" w:themeColor="text1"/>
        </w:rPr>
        <w:t>i</w:t>
      </w:r>
      <w:r w:rsidRPr="00206E86">
        <w:rPr>
          <w:color w:val="000000" w:themeColor="text1"/>
        </w:rPr>
        <w:t xml:space="preserve">t </w:t>
      </w:r>
      <w:r w:rsidR="000A1D51">
        <w:rPr>
          <w:color w:val="000000" w:themeColor="text1"/>
        </w:rPr>
        <w:t>r</w:t>
      </w:r>
      <w:r w:rsidRPr="00206E86">
        <w:rPr>
          <w:color w:val="000000" w:themeColor="text1"/>
        </w:rPr>
        <w:t xml:space="preserve">eally a </w:t>
      </w:r>
      <w:r w:rsidR="000A1D51">
        <w:rPr>
          <w:color w:val="000000" w:themeColor="text1"/>
        </w:rPr>
        <w:t>r</w:t>
      </w:r>
      <w:r w:rsidRPr="00206E86">
        <w:rPr>
          <w:color w:val="000000" w:themeColor="text1"/>
        </w:rPr>
        <w:t xml:space="preserve">ejection of Ibn Sīnā’s </w:t>
      </w:r>
      <w:r w:rsidR="000A1D51">
        <w:rPr>
          <w:color w:val="000000" w:themeColor="text1"/>
        </w:rPr>
        <w:t>p</w:t>
      </w:r>
      <w:r w:rsidRPr="00206E86">
        <w:rPr>
          <w:color w:val="000000" w:themeColor="text1"/>
        </w:rPr>
        <w:t xml:space="preserve">hilosophy?”, </w:t>
      </w:r>
      <w:r w:rsidRPr="00206E86">
        <w:rPr>
          <w:i/>
          <w:iCs/>
          <w:color w:val="000000" w:themeColor="text1"/>
        </w:rPr>
        <w:t>Journal of Islamic Studies</w:t>
      </w:r>
      <w:r w:rsidRPr="00206E86">
        <w:rPr>
          <w:color w:val="000000" w:themeColor="text1"/>
        </w:rPr>
        <w:t xml:space="preserve"> (2001) 12 (1), pp. 1-17; idem., “Al-Ġazzālī and </w:t>
      </w:r>
      <w:r w:rsidR="000A1D51">
        <w:rPr>
          <w:color w:val="000000" w:themeColor="text1"/>
        </w:rPr>
        <w:t>h</w:t>
      </w:r>
      <w:r w:rsidRPr="00206E86">
        <w:rPr>
          <w:color w:val="000000" w:themeColor="text1"/>
        </w:rPr>
        <w:t xml:space="preserve">is </w:t>
      </w:r>
      <w:r w:rsidR="000A1D51">
        <w:rPr>
          <w:color w:val="000000" w:themeColor="text1"/>
        </w:rPr>
        <w:t>us</w:t>
      </w:r>
      <w:r w:rsidRPr="00206E86">
        <w:rPr>
          <w:color w:val="000000" w:themeColor="text1"/>
        </w:rPr>
        <w:t xml:space="preserve">e of Avicennian </w:t>
      </w:r>
      <w:r w:rsidR="000A1D51">
        <w:rPr>
          <w:color w:val="000000" w:themeColor="text1"/>
        </w:rPr>
        <w:t>t</w:t>
      </w:r>
      <w:r w:rsidRPr="00206E86">
        <w:rPr>
          <w:color w:val="000000" w:themeColor="text1"/>
        </w:rPr>
        <w:t xml:space="preserve">exts”, in Miklós Maróth (ed.), </w:t>
      </w:r>
      <w:r w:rsidRPr="00206E86">
        <w:rPr>
          <w:i/>
          <w:iCs/>
          <w:color w:val="000000" w:themeColor="text1"/>
        </w:rPr>
        <w:t>Problems in Arabic Philosophy</w:t>
      </w:r>
      <w:r w:rsidRPr="00206E86">
        <w:rPr>
          <w:color w:val="000000" w:themeColor="text1"/>
        </w:rPr>
        <w:t xml:space="preserve">, Budapest: Avicenna Institute, 2003, pp. 37-49; Ulrich Rudolph, “Al-Ghazālī’s </w:t>
      </w:r>
      <w:r w:rsidR="000A1D51">
        <w:rPr>
          <w:color w:val="000000" w:themeColor="text1"/>
        </w:rPr>
        <w:t>c</w:t>
      </w:r>
      <w:r w:rsidRPr="00206E86">
        <w:rPr>
          <w:color w:val="000000" w:themeColor="text1"/>
        </w:rPr>
        <w:t xml:space="preserve">oncept of </w:t>
      </w:r>
      <w:r w:rsidR="000A1D51">
        <w:rPr>
          <w:color w:val="000000" w:themeColor="text1"/>
        </w:rPr>
        <w:t>p</w:t>
      </w:r>
      <w:r w:rsidRPr="00206E86">
        <w:rPr>
          <w:color w:val="000000" w:themeColor="text1"/>
        </w:rPr>
        <w:t xml:space="preserve">hilosophy”, in Tamer (ed.), op. cit. (74), pp. 32-53; Hans Daiber, “Rationalism in Islam and the </w:t>
      </w:r>
      <w:r w:rsidR="000A1D51">
        <w:rPr>
          <w:color w:val="000000" w:themeColor="text1"/>
        </w:rPr>
        <w:t>r</w:t>
      </w:r>
      <w:r w:rsidRPr="00206E86">
        <w:rPr>
          <w:color w:val="000000" w:themeColor="text1"/>
        </w:rPr>
        <w:t xml:space="preserve">ise of </w:t>
      </w:r>
      <w:r w:rsidR="000A1D51">
        <w:rPr>
          <w:color w:val="000000" w:themeColor="text1"/>
        </w:rPr>
        <w:t>s</w:t>
      </w:r>
      <w:r w:rsidRPr="00206E86">
        <w:rPr>
          <w:color w:val="000000" w:themeColor="text1"/>
        </w:rPr>
        <w:t xml:space="preserve">cientific </w:t>
      </w:r>
      <w:r w:rsidR="000A1D51">
        <w:rPr>
          <w:color w:val="000000" w:themeColor="text1"/>
        </w:rPr>
        <w:t>t</w:t>
      </w:r>
      <w:r w:rsidRPr="00206E86">
        <w:rPr>
          <w:color w:val="000000" w:themeColor="text1"/>
        </w:rPr>
        <w:t xml:space="preserve">hought: </w:t>
      </w:r>
      <w:r w:rsidR="000A1D51">
        <w:rPr>
          <w:color w:val="000000" w:themeColor="text1"/>
        </w:rPr>
        <w:t>t</w:t>
      </w:r>
      <w:r w:rsidRPr="00206E86">
        <w:rPr>
          <w:color w:val="000000" w:themeColor="text1"/>
        </w:rPr>
        <w:t xml:space="preserve">he </w:t>
      </w:r>
      <w:r w:rsidR="000A1D51">
        <w:rPr>
          <w:color w:val="000000" w:themeColor="text1"/>
        </w:rPr>
        <w:t>b</w:t>
      </w:r>
      <w:r w:rsidRPr="00206E86">
        <w:rPr>
          <w:color w:val="000000" w:themeColor="text1"/>
        </w:rPr>
        <w:t xml:space="preserve">ackground of al-Ghazālī’s </w:t>
      </w:r>
      <w:r w:rsidR="000A1D51">
        <w:rPr>
          <w:color w:val="000000" w:themeColor="text1"/>
        </w:rPr>
        <w:t>c</w:t>
      </w:r>
      <w:r w:rsidRPr="00206E86">
        <w:rPr>
          <w:color w:val="000000" w:themeColor="text1"/>
        </w:rPr>
        <w:t xml:space="preserve">oncept of </w:t>
      </w:r>
      <w:r w:rsidR="000A1D51">
        <w:rPr>
          <w:color w:val="000000" w:themeColor="text1"/>
        </w:rPr>
        <w:t>c</w:t>
      </w:r>
      <w:r w:rsidRPr="00206E86">
        <w:rPr>
          <w:color w:val="000000" w:themeColor="text1"/>
        </w:rPr>
        <w:t xml:space="preserve">ausality”, in </w:t>
      </w:r>
      <w:r w:rsidRPr="00206E86">
        <w:rPr>
          <w:i/>
          <w:iCs/>
          <w:color w:val="000000" w:themeColor="text1"/>
        </w:rPr>
        <w:t xml:space="preserve">Borba za znanje u Islamu, </w:t>
      </w:r>
      <w:r w:rsidRPr="00206E86">
        <w:rPr>
          <w:color w:val="000000" w:themeColor="text1"/>
        </w:rPr>
        <w:t xml:space="preserve">Belgrade: Kult B, 2004, pp. 67-86; Frank Griffel, </w:t>
      </w:r>
      <w:r w:rsidRPr="00206E86">
        <w:rPr>
          <w:i/>
          <w:iCs/>
          <w:color w:val="000000" w:themeColor="text1"/>
        </w:rPr>
        <w:t>Al-Ghazālī’s Philosophical Theology</w:t>
      </w:r>
      <w:r w:rsidRPr="00206E86">
        <w:rPr>
          <w:color w:val="000000" w:themeColor="text1"/>
        </w:rPr>
        <w:t>, Oxford: Oxford University</w:t>
      </w:r>
      <w:r w:rsidR="000A1D51">
        <w:rPr>
          <w:color w:val="000000" w:themeColor="text1"/>
        </w:rPr>
        <w:t xml:space="preserve"> Press</w:t>
      </w:r>
      <w:r w:rsidRPr="00206E86">
        <w:rPr>
          <w:color w:val="000000" w:themeColor="text1"/>
        </w:rPr>
        <w:t xml:space="preserve">, 2009, chaps. 5-6; and, on the ‘compossibility’ of theology and philosophy, idem., “Ashʿarite </w:t>
      </w:r>
      <w:r w:rsidR="000A1D51">
        <w:rPr>
          <w:color w:val="000000" w:themeColor="text1"/>
        </w:rPr>
        <w:t>o</w:t>
      </w:r>
      <w:r w:rsidRPr="00206E86">
        <w:rPr>
          <w:color w:val="000000" w:themeColor="text1"/>
        </w:rPr>
        <w:t xml:space="preserve">ccasionalist </w:t>
      </w:r>
      <w:r w:rsidR="000A1D51">
        <w:rPr>
          <w:color w:val="000000" w:themeColor="text1"/>
        </w:rPr>
        <w:t>c</w:t>
      </w:r>
      <w:r w:rsidRPr="00206E86">
        <w:rPr>
          <w:color w:val="000000" w:themeColor="text1"/>
        </w:rPr>
        <w:t xml:space="preserve">osmology, al-Ghazālī and the </w:t>
      </w:r>
      <w:r w:rsidR="000A1D51">
        <w:rPr>
          <w:color w:val="000000" w:themeColor="text1"/>
        </w:rPr>
        <w:t>p</w:t>
      </w:r>
      <w:r w:rsidRPr="00206E86">
        <w:rPr>
          <w:color w:val="000000" w:themeColor="text1"/>
        </w:rPr>
        <w:t xml:space="preserve">ursuit of the </w:t>
      </w:r>
      <w:r w:rsidR="000A1D51">
        <w:rPr>
          <w:color w:val="000000" w:themeColor="text1"/>
        </w:rPr>
        <w:t>n</w:t>
      </w:r>
      <w:r w:rsidRPr="00206E86">
        <w:rPr>
          <w:color w:val="000000" w:themeColor="text1"/>
        </w:rPr>
        <w:t xml:space="preserve">atural </w:t>
      </w:r>
      <w:r w:rsidR="000A1D51">
        <w:rPr>
          <w:color w:val="000000" w:themeColor="text1"/>
        </w:rPr>
        <w:t>s</w:t>
      </w:r>
      <w:r w:rsidRPr="00206E86">
        <w:rPr>
          <w:color w:val="000000" w:themeColor="text1"/>
        </w:rPr>
        <w:t xml:space="preserve">ciences in Islamicate </w:t>
      </w:r>
      <w:r w:rsidR="000A1D51">
        <w:rPr>
          <w:color w:val="000000" w:themeColor="text1"/>
        </w:rPr>
        <w:t>s</w:t>
      </w:r>
      <w:r w:rsidRPr="00206E86">
        <w:rPr>
          <w:color w:val="000000" w:themeColor="text1"/>
        </w:rPr>
        <w:t xml:space="preserve">ocieties”, in Sonja Brentjes (ed.), </w:t>
      </w:r>
      <w:r w:rsidRPr="00206E86">
        <w:rPr>
          <w:i/>
          <w:iCs/>
          <w:color w:val="000000" w:themeColor="text1"/>
        </w:rPr>
        <w:t>Routledge Handbook on the Sciences in Islamicate Societies</w:t>
      </w:r>
      <w:r w:rsidRPr="00206E86">
        <w:rPr>
          <w:color w:val="000000" w:themeColor="text1"/>
        </w:rPr>
        <w:t>, London: Routledge, 2023, pp. 401-16, 409-11.</w:t>
      </w:r>
    </w:p>
  </w:endnote>
  <w:endnote w:id="102">
    <w:p w14:paraId="232500E7" w14:textId="07F9AFCF"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rPr>
        <w:t xml:space="preserve"> On the historical formation of classifications and hierarchies of knowledge, see Lorraine Daston, “The </w:t>
      </w:r>
      <w:r w:rsidR="000A1D51">
        <w:rPr>
          <w:color w:val="000000" w:themeColor="text1"/>
        </w:rPr>
        <w:t>h</w:t>
      </w:r>
      <w:r w:rsidRPr="00206E86">
        <w:rPr>
          <w:color w:val="000000" w:themeColor="text1"/>
        </w:rPr>
        <w:t xml:space="preserve">istory of </w:t>
      </w:r>
      <w:r w:rsidR="000A1D51">
        <w:rPr>
          <w:color w:val="000000" w:themeColor="text1"/>
        </w:rPr>
        <w:t>s</w:t>
      </w:r>
      <w:r w:rsidRPr="00206E86">
        <w:rPr>
          <w:color w:val="000000" w:themeColor="text1"/>
        </w:rPr>
        <w:t xml:space="preserve">cience and the </w:t>
      </w:r>
      <w:r w:rsidR="000A1D51">
        <w:rPr>
          <w:color w:val="000000" w:themeColor="text1"/>
        </w:rPr>
        <w:t>h</w:t>
      </w:r>
      <w:r w:rsidRPr="00206E86">
        <w:rPr>
          <w:color w:val="000000" w:themeColor="text1"/>
        </w:rPr>
        <w:t xml:space="preserve">istory of </w:t>
      </w:r>
      <w:r w:rsidR="000A1D51">
        <w:rPr>
          <w:color w:val="000000" w:themeColor="text1"/>
        </w:rPr>
        <w:t>k</w:t>
      </w:r>
      <w:r w:rsidRPr="00206E86">
        <w:rPr>
          <w:color w:val="000000" w:themeColor="text1"/>
        </w:rPr>
        <w:t xml:space="preserve">nowledge”, </w:t>
      </w:r>
      <w:r w:rsidRPr="00206E86">
        <w:rPr>
          <w:i/>
          <w:iCs/>
          <w:color w:val="000000" w:themeColor="text1"/>
        </w:rPr>
        <w:t>KNOW</w:t>
      </w:r>
      <w:r w:rsidRPr="00206E86">
        <w:rPr>
          <w:color w:val="000000" w:themeColor="text1"/>
        </w:rPr>
        <w:t xml:space="preserve"> (2017) 1 (1), pp. 131-54, 132–6. On the autonomy of historical understanding from the ostensibly transhistorical claims of the philosophy of science, see Thomas Kuhn, “The </w:t>
      </w:r>
      <w:r w:rsidR="000A1D51">
        <w:rPr>
          <w:color w:val="000000" w:themeColor="text1"/>
        </w:rPr>
        <w:t>r</w:t>
      </w:r>
      <w:r w:rsidRPr="00206E86">
        <w:rPr>
          <w:color w:val="000000" w:themeColor="text1"/>
        </w:rPr>
        <w:t xml:space="preserve">elations between the </w:t>
      </w:r>
      <w:r w:rsidR="000A1D51">
        <w:rPr>
          <w:color w:val="000000" w:themeColor="text1"/>
        </w:rPr>
        <w:t>h</w:t>
      </w:r>
      <w:r w:rsidRPr="00206E86">
        <w:rPr>
          <w:color w:val="000000" w:themeColor="text1"/>
        </w:rPr>
        <w:t xml:space="preserve">istory and the </w:t>
      </w:r>
      <w:r w:rsidR="000A1D51">
        <w:rPr>
          <w:color w:val="000000" w:themeColor="text1"/>
        </w:rPr>
        <w:t>p</w:t>
      </w:r>
      <w:r w:rsidRPr="00206E86">
        <w:rPr>
          <w:color w:val="000000" w:themeColor="text1"/>
        </w:rPr>
        <w:t xml:space="preserve">hilosophy of </w:t>
      </w:r>
      <w:r w:rsidR="000A1D51">
        <w:rPr>
          <w:color w:val="000000" w:themeColor="text1"/>
        </w:rPr>
        <w:t>s</w:t>
      </w:r>
      <w:r w:rsidRPr="00206E86">
        <w:rPr>
          <w:color w:val="000000" w:themeColor="text1"/>
        </w:rPr>
        <w:t xml:space="preserve">cience”, in </w:t>
      </w:r>
      <w:r w:rsidRPr="00206E86">
        <w:rPr>
          <w:i/>
          <w:iCs/>
          <w:color w:val="000000" w:themeColor="text1"/>
        </w:rPr>
        <w:t>The Essential Tension</w:t>
      </w:r>
      <w:r w:rsidRPr="00206E86">
        <w:rPr>
          <w:color w:val="000000" w:themeColor="text1"/>
        </w:rPr>
        <w:t xml:space="preserve"> (Chicago: University of Chicago Press, 1977), pp. 3-20, 14–6. </w:t>
      </w:r>
    </w:p>
  </w:endnote>
  <w:endnote w:id="103">
    <w:p w14:paraId="6F0469F0" w14:textId="755DD450" w:rsidR="00206E86" w:rsidRPr="00206E86" w:rsidRDefault="00206E86" w:rsidP="00206E86">
      <w:pPr>
        <w:pStyle w:val="SonNotMetni"/>
        <w:jc w:val="both"/>
        <w:rPr>
          <w:color w:val="000000" w:themeColor="text1"/>
          <w:lang w:val="tr-TR"/>
        </w:rPr>
      </w:pPr>
      <w:r w:rsidRPr="00206E86">
        <w:rPr>
          <w:rStyle w:val="SonNotBavurusu"/>
          <w:color w:val="000000" w:themeColor="text1"/>
        </w:rPr>
        <w:endnoteRef/>
      </w:r>
      <w:r w:rsidRPr="00206E86">
        <w:rPr>
          <w:color w:val="000000" w:themeColor="text1"/>
        </w:rPr>
        <w:t xml:space="preserve"> On the notion of consonance, see Ernan McMullin, “How </w:t>
      </w:r>
      <w:r w:rsidR="000A1D51">
        <w:rPr>
          <w:color w:val="000000" w:themeColor="text1"/>
        </w:rPr>
        <w:t>s</w:t>
      </w:r>
      <w:r w:rsidRPr="00206E86">
        <w:rPr>
          <w:color w:val="000000" w:themeColor="text1"/>
        </w:rPr>
        <w:t xml:space="preserve">hould </w:t>
      </w:r>
      <w:r w:rsidR="000A1D51">
        <w:rPr>
          <w:color w:val="000000" w:themeColor="text1"/>
        </w:rPr>
        <w:t>c</w:t>
      </w:r>
      <w:r w:rsidRPr="00206E86">
        <w:rPr>
          <w:color w:val="000000" w:themeColor="text1"/>
        </w:rPr>
        <w:t xml:space="preserve">osmology </w:t>
      </w:r>
      <w:r w:rsidR="000A1D51">
        <w:rPr>
          <w:color w:val="000000" w:themeColor="text1"/>
        </w:rPr>
        <w:t>r</w:t>
      </w:r>
      <w:r w:rsidRPr="00206E86">
        <w:rPr>
          <w:color w:val="000000" w:themeColor="text1"/>
        </w:rPr>
        <w:t xml:space="preserve">elate to </w:t>
      </w:r>
      <w:r w:rsidR="000A1D51">
        <w:rPr>
          <w:color w:val="000000" w:themeColor="text1"/>
        </w:rPr>
        <w:t>t</w:t>
      </w:r>
      <w:r w:rsidRPr="00206E86">
        <w:rPr>
          <w:color w:val="000000" w:themeColor="text1"/>
        </w:rPr>
        <w:t xml:space="preserve">heology?”, in Arthur Peacocke (ed.), </w:t>
      </w:r>
      <w:r w:rsidRPr="00206E86">
        <w:rPr>
          <w:i/>
          <w:iCs/>
          <w:color w:val="000000" w:themeColor="text1"/>
        </w:rPr>
        <w:t>The Sciences and Theology in the Twentieth Century</w:t>
      </w:r>
      <w:r w:rsidRPr="00206E86">
        <w:rPr>
          <w:color w:val="000000" w:themeColor="text1"/>
        </w:rPr>
        <w:t xml:space="preserve">, Notre Dame, IN: University of Notre Dame Press, 1981, pp. 17–57; Amerigo Barzaghi and Josep Corcó, “Ernan McMullin’s </w:t>
      </w:r>
      <w:r w:rsidR="000A1D51">
        <w:rPr>
          <w:color w:val="000000" w:themeColor="text1"/>
        </w:rPr>
        <w:t>t</w:t>
      </w:r>
      <w:r w:rsidRPr="00206E86">
        <w:rPr>
          <w:color w:val="000000" w:themeColor="text1"/>
        </w:rPr>
        <w:t xml:space="preserve">hought on </w:t>
      </w:r>
      <w:r w:rsidR="000A1D51">
        <w:rPr>
          <w:color w:val="000000" w:themeColor="text1"/>
        </w:rPr>
        <w:t>s</w:t>
      </w:r>
      <w:r w:rsidRPr="00206E86">
        <w:rPr>
          <w:color w:val="000000" w:themeColor="text1"/>
        </w:rPr>
        <w:t xml:space="preserve">cience and </w:t>
      </w:r>
      <w:r w:rsidR="000A1D51">
        <w:rPr>
          <w:color w:val="000000" w:themeColor="text1"/>
        </w:rPr>
        <w:t>t</w:t>
      </w:r>
      <w:r w:rsidRPr="00206E86">
        <w:rPr>
          <w:color w:val="000000" w:themeColor="text1"/>
        </w:rPr>
        <w:t xml:space="preserve">heology: </w:t>
      </w:r>
      <w:r w:rsidR="000A1D51">
        <w:rPr>
          <w:color w:val="000000" w:themeColor="text1"/>
        </w:rPr>
        <w:t>a</w:t>
      </w:r>
      <w:r w:rsidRPr="00206E86">
        <w:rPr>
          <w:color w:val="000000" w:themeColor="text1"/>
        </w:rPr>
        <w:t xml:space="preserve">n </w:t>
      </w:r>
      <w:r w:rsidR="000A1D51">
        <w:rPr>
          <w:color w:val="000000" w:themeColor="text1"/>
        </w:rPr>
        <w:t>a</w:t>
      </w:r>
      <w:r w:rsidRPr="00206E86">
        <w:rPr>
          <w:color w:val="000000" w:themeColor="text1"/>
        </w:rPr>
        <w:t xml:space="preserve">ppreciation”, </w:t>
      </w:r>
      <w:r w:rsidRPr="00206E86">
        <w:rPr>
          <w:i/>
          <w:iCs/>
          <w:color w:val="000000" w:themeColor="text1"/>
        </w:rPr>
        <w:t>Open Theology</w:t>
      </w:r>
      <w:r w:rsidRPr="00206E86">
        <w:rPr>
          <w:color w:val="000000" w:themeColor="text1"/>
        </w:rPr>
        <w:t xml:space="preserve"> (2015) 1, pp. 512-23, 521.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AA4FFC" w14:textId="77777777" w:rsidR="00832102" w:rsidRDefault="00832102" w:rsidP="00E248A5">
      <w:r>
        <w:separator/>
      </w:r>
    </w:p>
  </w:footnote>
  <w:footnote w:type="continuationSeparator" w:id="0">
    <w:p w14:paraId="6001D0A3" w14:textId="77777777" w:rsidR="00832102" w:rsidRDefault="00832102" w:rsidP="00E248A5">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8A5"/>
    <w:rsid w:val="00005A22"/>
    <w:rsid w:val="000103B5"/>
    <w:rsid w:val="00015F41"/>
    <w:rsid w:val="00024B72"/>
    <w:rsid w:val="00025F70"/>
    <w:rsid w:val="000313A9"/>
    <w:rsid w:val="00032968"/>
    <w:rsid w:val="00037A74"/>
    <w:rsid w:val="0005054D"/>
    <w:rsid w:val="0005743D"/>
    <w:rsid w:val="00065996"/>
    <w:rsid w:val="000745AD"/>
    <w:rsid w:val="000814D9"/>
    <w:rsid w:val="00087020"/>
    <w:rsid w:val="000A1D51"/>
    <w:rsid w:val="000A3D71"/>
    <w:rsid w:val="000A7502"/>
    <w:rsid w:val="000B0FB4"/>
    <w:rsid w:val="000D7AFE"/>
    <w:rsid w:val="000D7E7E"/>
    <w:rsid w:val="000F16AA"/>
    <w:rsid w:val="000F5F9D"/>
    <w:rsid w:val="000F630F"/>
    <w:rsid w:val="001061DF"/>
    <w:rsid w:val="001068DF"/>
    <w:rsid w:val="0011005E"/>
    <w:rsid w:val="00120A05"/>
    <w:rsid w:val="00123096"/>
    <w:rsid w:val="00150E6D"/>
    <w:rsid w:val="001542FD"/>
    <w:rsid w:val="0015561D"/>
    <w:rsid w:val="00160C00"/>
    <w:rsid w:val="00162433"/>
    <w:rsid w:val="001656D8"/>
    <w:rsid w:val="001A1047"/>
    <w:rsid w:val="001C11DF"/>
    <w:rsid w:val="001C6FD4"/>
    <w:rsid w:val="001D2E31"/>
    <w:rsid w:val="001D4694"/>
    <w:rsid w:val="001E14B1"/>
    <w:rsid w:val="001E5A51"/>
    <w:rsid w:val="001E7E69"/>
    <w:rsid w:val="001F1C0E"/>
    <w:rsid w:val="001F2FB6"/>
    <w:rsid w:val="001F5E7F"/>
    <w:rsid w:val="00203A1E"/>
    <w:rsid w:val="00205CEC"/>
    <w:rsid w:val="00206E86"/>
    <w:rsid w:val="0021188E"/>
    <w:rsid w:val="002260D6"/>
    <w:rsid w:val="00227258"/>
    <w:rsid w:val="00246AC0"/>
    <w:rsid w:val="00250B0B"/>
    <w:rsid w:val="00251619"/>
    <w:rsid w:val="002516FA"/>
    <w:rsid w:val="00260671"/>
    <w:rsid w:val="00263976"/>
    <w:rsid w:val="0026735B"/>
    <w:rsid w:val="002732B4"/>
    <w:rsid w:val="0027547B"/>
    <w:rsid w:val="00285F5E"/>
    <w:rsid w:val="00296B5A"/>
    <w:rsid w:val="002A1DF4"/>
    <w:rsid w:val="002A34FD"/>
    <w:rsid w:val="002E1D87"/>
    <w:rsid w:val="002F080F"/>
    <w:rsid w:val="003303F7"/>
    <w:rsid w:val="00340E38"/>
    <w:rsid w:val="00350B71"/>
    <w:rsid w:val="00363CEF"/>
    <w:rsid w:val="003647A7"/>
    <w:rsid w:val="00385D93"/>
    <w:rsid w:val="003873FF"/>
    <w:rsid w:val="00397784"/>
    <w:rsid w:val="003A32B5"/>
    <w:rsid w:val="003A7044"/>
    <w:rsid w:val="003B6811"/>
    <w:rsid w:val="003E3086"/>
    <w:rsid w:val="00400874"/>
    <w:rsid w:val="00411C14"/>
    <w:rsid w:val="00416B32"/>
    <w:rsid w:val="004209F9"/>
    <w:rsid w:val="00421E33"/>
    <w:rsid w:val="0042283C"/>
    <w:rsid w:val="004249A3"/>
    <w:rsid w:val="004317A2"/>
    <w:rsid w:val="00431FFA"/>
    <w:rsid w:val="004325C2"/>
    <w:rsid w:val="00441AF6"/>
    <w:rsid w:val="00447E15"/>
    <w:rsid w:val="004505A4"/>
    <w:rsid w:val="00450793"/>
    <w:rsid w:val="00450D6F"/>
    <w:rsid w:val="0046653C"/>
    <w:rsid w:val="00476580"/>
    <w:rsid w:val="00476663"/>
    <w:rsid w:val="00480C22"/>
    <w:rsid w:val="004918E9"/>
    <w:rsid w:val="004B6717"/>
    <w:rsid w:val="004C0CFE"/>
    <w:rsid w:val="004D178D"/>
    <w:rsid w:val="004E3ED2"/>
    <w:rsid w:val="004E56A4"/>
    <w:rsid w:val="004E7203"/>
    <w:rsid w:val="005054AC"/>
    <w:rsid w:val="00507125"/>
    <w:rsid w:val="005139F0"/>
    <w:rsid w:val="005167C4"/>
    <w:rsid w:val="00520921"/>
    <w:rsid w:val="00521798"/>
    <w:rsid w:val="0052415F"/>
    <w:rsid w:val="00525618"/>
    <w:rsid w:val="00542203"/>
    <w:rsid w:val="00591E8C"/>
    <w:rsid w:val="005923AC"/>
    <w:rsid w:val="005A2EA2"/>
    <w:rsid w:val="005A56AF"/>
    <w:rsid w:val="005B613E"/>
    <w:rsid w:val="005B65B7"/>
    <w:rsid w:val="005D7B20"/>
    <w:rsid w:val="005D7FED"/>
    <w:rsid w:val="005F508A"/>
    <w:rsid w:val="0060638D"/>
    <w:rsid w:val="00640F46"/>
    <w:rsid w:val="00642CFD"/>
    <w:rsid w:val="00647615"/>
    <w:rsid w:val="00651EDA"/>
    <w:rsid w:val="00656CC9"/>
    <w:rsid w:val="00665BC1"/>
    <w:rsid w:val="00667CB8"/>
    <w:rsid w:val="00683110"/>
    <w:rsid w:val="00690FA9"/>
    <w:rsid w:val="006A3BE5"/>
    <w:rsid w:val="006A5BC5"/>
    <w:rsid w:val="006B416F"/>
    <w:rsid w:val="006C5F95"/>
    <w:rsid w:val="006D6E9D"/>
    <w:rsid w:val="006E6628"/>
    <w:rsid w:val="006E67DB"/>
    <w:rsid w:val="006F0F6B"/>
    <w:rsid w:val="006F1688"/>
    <w:rsid w:val="00707156"/>
    <w:rsid w:val="00747611"/>
    <w:rsid w:val="00751730"/>
    <w:rsid w:val="00754BD5"/>
    <w:rsid w:val="00755CB9"/>
    <w:rsid w:val="00763490"/>
    <w:rsid w:val="007656E5"/>
    <w:rsid w:val="00765C74"/>
    <w:rsid w:val="00776D8C"/>
    <w:rsid w:val="007846F8"/>
    <w:rsid w:val="0079253D"/>
    <w:rsid w:val="007B02D0"/>
    <w:rsid w:val="007C479E"/>
    <w:rsid w:val="007E341F"/>
    <w:rsid w:val="007E65C4"/>
    <w:rsid w:val="007E67CF"/>
    <w:rsid w:val="007F0831"/>
    <w:rsid w:val="007F08B7"/>
    <w:rsid w:val="007F1B3A"/>
    <w:rsid w:val="00802ED1"/>
    <w:rsid w:val="00810267"/>
    <w:rsid w:val="00832102"/>
    <w:rsid w:val="00843CE0"/>
    <w:rsid w:val="00866798"/>
    <w:rsid w:val="008825FF"/>
    <w:rsid w:val="00884E4A"/>
    <w:rsid w:val="00885AAF"/>
    <w:rsid w:val="008900A7"/>
    <w:rsid w:val="00892238"/>
    <w:rsid w:val="008B5B0E"/>
    <w:rsid w:val="008E13C2"/>
    <w:rsid w:val="008E1A9F"/>
    <w:rsid w:val="008E1FDC"/>
    <w:rsid w:val="008F5191"/>
    <w:rsid w:val="009039ED"/>
    <w:rsid w:val="00913F88"/>
    <w:rsid w:val="00917991"/>
    <w:rsid w:val="00920B56"/>
    <w:rsid w:val="0095026B"/>
    <w:rsid w:val="0096051B"/>
    <w:rsid w:val="00963501"/>
    <w:rsid w:val="00980CCC"/>
    <w:rsid w:val="00981D7F"/>
    <w:rsid w:val="00983347"/>
    <w:rsid w:val="00986F73"/>
    <w:rsid w:val="00987B88"/>
    <w:rsid w:val="009953FA"/>
    <w:rsid w:val="009977FF"/>
    <w:rsid w:val="009A7944"/>
    <w:rsid w:val="009B3F2E"/>
    <w:rsid w:val="009C1E92"/>
    <w:rsid w:val="009E526F"/>
    <w:rsid w:val="009E6DA1"/>
    <w:rsid w:val="00A011FC"/>
    <w:rsid w:val="00A21735"/>
    <w:rsid w:val="00A27ED3"/>
    <w:rsid w:val="00A4062B"/>
    <w:rsid w:val="00A50A74"/>
    <w:rsid w:val="00A5229E"/>
    <w:rsid w:val="00A55561"/>
    <w:rsid w:val="00A65BEB"/>
    <w:rsid w:val="00A70C6A"/>
    <w:rsid w:val="00A807B1"/>
    <w:rsid w:val="00A965B6"/>
    <w:rsid w:val="00AA3266"/>
    <w:rsid w:val="00AA4B71"/>
    <w:rsid w:val="00AB03D7"/>
    <w:rsid w:val="00AB5725"/>
    <w:rsid w:val="00AB7526"/>
    <w:rsid w:val="00AC7488"/>
    <w:rsid w:val="00AD37D9"/>
    <w:rsid w:val="00AE2CCB"/>
    <w:rsid w:val="00AF182E"/>
    <w:rsid w:val="00AF1FCB"/>
    <w:rsid w:val="00AF72F5"/>
    <w:rsid w:val="00B214BC"/>
    <w:rsid w:val="00B21DCC"/>
    <w:rsid w:val="00B34FA0"/>
    <w:rsid w:val="00B40CC5"/>
    <w:rsid w:val="00B41BE3"/>
    <w:rsid w:val="00B515CA"/>
    <w:rsid w:val="00B525DC"/>
    <w:rsid w:val="00B63F92"/>
    <w:rsid w:val="00B765B6"/>
    <w:rsid w:val="00B77EB8"/>
    <w:rsid w:val="00B93755"/>
    <w:rsid w:val="00B97F13"/>
    <w:rsid w:val="00BB2A11"/>
    <w:rsid w:val="00BC23E6"/>
    <w:rsid w:val="00BC59A5"/>
    <w:rsid w:val="00BD2F10"/>
    <w:rsid w:val="00BD517D"/>
    <w:rsid w:val="00BE3EE7"/>
    <w:rsid w:val="00BE43B2"/>
    <w:rsid w:val="00BF3839"/>
    <w:rsid w:val="00BF38DB"/>
    <w:rsid w:val="00BF43A8"/>
    <w:rsid w:val="00C038E2"/>
    <w:rsid w:val="00C04721"/>
    <w:rsid w:val="00C1010C"/>
    <w:rsid w:val="00C158F6"/>
    <w:rsid w:val="00C15ECB"/>
    <w:rsid w:val="00C1740D"/>
    <w:rsid w:val="00C20F78"/>
    <w:rsid w:val="00C24B9D"/>
    <w:rsid w:val="00C25CF8"/>
    <w:rsid w:val="00C43C0A"/>
    <w:rsid w:val="00C468FE"/>
    <w:rsid w:val="00C50282"/>
    <w:rsid w:val="00C5191D"/>
    <w:rsid w:val="00C52051"/>
    <w:rsid w:val="00C52522"/>
    <w:rsid w:val="00C55002"/>
    <w:rsid w:val="00C63F42"/>
    <w:rsid w:val="00C646EB"/>
    <w:rsid w:val="00C81EB5"/>
    <w:rsid w:val="00C8234C"/>
    <w:rsid w:val="00C82DFB"/>
    <w:rsid w:val="00C843C3"/>
    <w:rsid w:val="00C84470"/>
    <w:rsid w:val="00C84BAD"/>
    <w:rsid w:val="00C85445"/>
    <w:rsid w:val="00C97F74"/>
    <w:rsid w:val="00CA3239"/>
    <w:rsid w:val="00CB35DC"/>
    <w:rsid w:val="00CB5D73"/>
    <w:rsid w:val="00CC4F97"/>
    <w:rsid w:val="00CC7B38"/>
    <w:rsid w:val="00CC7EBC"/>
    <w:rsid w:val="00CD68E8"/>
    <w:rsid w:val="00CE1350"/>
    <w:rsid w:val="00CF16AF"/>
    <w:rsid w:val="00CF622B"/>
    <w:rsid w:val="00CF75AB"/>
    <w:rsid w:val="00D124ED"/>
    <w:rsid w:val="00D269DC"/>
    <w:rsid w:val="00D301B6"/>
    <w:rsid w:val="00D344C2"/>
    <w:rsid w:val="00D436A2"/>
    <w:rsid w:val="00D50C4A"/>
    <w:rsid w:val="00D542C7"/>
    <w:rsid w:val="00D546EE"/>
    <w:rsid w:val="00D60AA8"/>
    <w:rsid w:val="00D612E4"/>
    <w:rsid w:val="00D62CC3"/>
    <w:rsid w:val="00D71CA8"/>
    <w:rsid w:val="00D74F3E"/>
    <w:rsid w:val="00D82FEA"/>
    <w:rsid w:val="00D842B8"/>
    <w:rsid w:val="00DC1EF0"/>
    <w:rsid w:val="00DC25BB"/>
    <w:rsid w:val="00DC40D6"/>
    <w:rsid w:val="00DC7328"/>
    <w:rsid w:val="00DE73A8"/>
    <w:rsid w:val="00E05FC0"/>
    <w:rsid w:val="00E10FAC"/>
    <w:rsid w:val="00E16A69"/>
    <w:rsid w:val="00E21898"/>
    <w:rsid w:val="00E248A5"/>
    <w:rsid w:val="00E34593"/>
    <w:rsid w:val="00E34618"/>
    <w:rsid w:val="00E53351"/>
    <w:rsid w:val="00E62129"/>
    <w:rsid w:val="00E64800"/>
    <w:rsid w:val="00E6530C"/>
    <w:rsid w:val="00E71D74"/>
    <w:rsid w:val="00E74B6D"/>
    <w:rsid w:val="00E9323B"/>
    <w:rsid w:val="00E93393"/>
    <w:rsid w:val="00E94032"/>
    <w:rsid w:val="00E96467"/>
    <w:rsid w:val="00EA3D9A"/>
    <w:rsid w:val="00EB7DBB"/>
    <w:rsid w:val="00ED5464"/>
    <w:rsid w:val="00ED5685"/>
    <w:rsid w:val="00EE49E4"/>
    <w:rsid w:val="00EE4FF6"/>
    <w:rsid w:val="00EF22FE"/>
    <w:rsid w:val="00EF25D3"/>
    <w:rsid w:val="00EF2D42"/>
    <w:rsid w:val="00EF3AA8"/>
    <w:rsid w:val="00EF3D89"/>
    <w:rsid w:val="00F146A6"/>
    <w:rsid w:val="00F15410"/>
    <w:rsid w:val="00F155AB"/>
    <w:rsid w:val="00F21203"/>
    <w:rsid w:val="00F27C13"/>
    <w:rsid w:val="00F6074C"/>
    <w:rsid w:val="00F75E75"/>
    <w:rsid w:val="00F7709C"/>
    <w:rsid w:val="00F904CF"/>
    <w:rsid w:val="00FA2D2A"/>
    <w:rsid w:val="00FA2F79"/>
    <w:rsid w:val="00FA3273"/>
    <w:rsid w:val="00FB2BFA"/>
    <w:rsid w:val="00FC4065"/>
    <w:rsid w:val="00FD58C6"/>
    <w:rsid w:val="00FD683A"/>
    <w:rsid w:val="00FF6941"/>
  </w:rsids>
  <m:mathPr>
    <m:mathFont m:val="Cambria Math"/>
    <m:brkBin m:val="before"/>
    <m:brkBinSub m:val="--"/>
    <m:smallFrac m:val="0"/>
    <m:dispDef/>
    <m:lMargin m:val="0"/>
    <m:rMargin m:val="0"/>
    <m:defJc m:val="centerGroup"/>
    <m:wrapIndent m:val="1440"/>
    <m:intLim m:val="subSup"/>
    <m:naryLim m:val="undOvr"/>
  </m:mathPr>
  <w:themeFontLang w:val="tr-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B28F2"/>
  <w15:chartTrackingRefBased/>
  <w15:docId w15:val="{2C9CC847-2F5A-DE43-9254-FCD791B6C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83A"/>
    <w:pPr>
      <w:spacing w:after="0" w:line="240" w:lineRule="auto"/>
    </w:pPr>
    <w:rPr>
      <w:rFonts w:ascii="Times New Roman" w:eastAsia="Times New Roman" w:hAnsi="Times New Roman" w:cs="Times New Roman"/>
      <w:kern w:val="0"/>
      <w:lang w:eastAsia="tr-TR"/>
      <w14:ligatures w14:val="none"/>
    </w:rPr>
  </w:style>
  <w:style w:type="paragraph" w:styleId="Balk1">
    <w:name w:val="heading 1"/>
    <w:basedOn w:val="Normal"/>
    <w:next w:val="Normal"/>
    <w:link w:val="Balk1Char"/>
    <w:uiPriority w:val="9"/>
    <w:qFormat/>
    <w:rsid w:val="00E248A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alk2">
    <w:name w:val="heading 2"/>
    <w:basedOn w:val="Normal"/>
    <w:next w:val="Normal"/>
    <w:link w:val="Balk2Char"/>
    <w:uiPriority w:val="9"/>
    <w:semiHidden/>
    <w:unhideWhenUsed/>
    <w:qFormat/>
    <w:rsid w:val="00E248A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alk3">
    <w:name w:val="heading 3"/>
    <w:basedOn w:val="Normal"/>
    <w:next w:val="Normal"/>
    <w:link w:val="Balk3Char"/>
    <w:uiPriority w:val="9"/>
    <w:unhideWhenUsed/>
    <w:qFormat/>
    <w:rsid w:val="00E248A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alk4">
    <w:name w:val="heading 4"/>
    <w:basedOn w:val="Normal"/>
    <w:next w:val="Normal"/>
    <w:link w:val="Balk4Char"/>
    <w:uiPriority w:val="9"/>
    <w:semiHidden/>
    <w:unhideWhenUsed/>
    <w:qFormat/>
    <w:rsid w:val="00E248A5"/>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alk5">
    <w:name w:val="heading 5"/>
    <w:basedOn w:val="Normal"/>
    <w:next w:val="Normal"/>
    <w:link w:val="Balk5Char"/>
    <w:uiPriority w:val="9"/>
    <w:semiHidden/>
    <w:unhideWhenUsed/>
    <w:qFormat/>
    <w:rsid w:val="00E248A5"/>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alk6">
    <w:name w:val="heading 6"/>
    <w:basedOn w:val="Normal"/>
    <w:next w:val="Normal"/>
    <w:link w:val="Balk6Char"/>
    <w:uiPriority w:val="9"/>
    <w:semiHidden/>
    <w:unhideWhenUsed/>
    <w:qFormat/>
    <w:rsid w:val="00E248A5"/>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alk7">
    <w:name w:val="heading 7"/>
    <w:basedOn w:val="Normal"/>
    <w:next w:val="Normal"/>
    <w:link w:val="Balk7Char"/>
    <w:uiPriority w:val="9"/>
    <w:semiHidden/>
    <w:unhideWhenUsed/>
    <w:qFormat/>
    <w:rsid w:val="00E248A5"/>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alk8">
    <w:name w:val="heading 8"/>
    <w:basedOn w:val="Normal"/>
    <w:next w:val="Normal"/>
    <w:link w:val="Balk8Char"/>
    <w:uiPriority w:val="9"/>
    <w:semiHidden/>
    <w:unhideWhenUsed/>
    <w:qFormat/>
    <w:rsid w:val="00E248A5"/>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alk9">
    <w:name w:val="heading 9"/>
    <w:basedOn w:val="Normal"/>
    <w:next w:val="Normal"/>
    <w:link w:val="Balk9Char"/>
    <w:uiPriority w:val="9"/>
    <w:semiHidden/>
    <w:unhideWhenUsed/>
    <w:qFormat/>
    <w:rsid w:val="00E248A5"/>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248A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248A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E248A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248A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248A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248A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248A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248A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248A5"/>
    <w:rPr>
      <w:rFonts w:eastAsiaTheme="majorEastAsia" w:cstheme="majorBidi"/>
      <w:color w:val="272727" w:themeColor="text1" w:themeTint="D8"/>
    </w:rPr>
  </w:style>
  <w:style w:type="paragraph" w:styleId="KonuBal">
    <w:name w:val="Title"/>
    <w:basedOn w:val="Normal"/>
    <w:next w:val="Normal"/>
    <w:link w:val="KonuBalChar"/>
    <w:uiPriority w:val="10"/>
    <w:qFormat/>
    <w:rsid w:val="00E248A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KonuBalChar">
    <w:name w:val="Konu Başlığı Char"/>
    <w:basedOn w:val="VarsaylanParagrafYazTipi"/>
    <w:link w:val="KonuBal"/>
    <w:uiPriority w:val="10"/>
    <w:rsid w:val="00E248A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248A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tyazChar">
    <w:name w:val="Altyazı Char"/>
    <w:basedOn w:val="VarsaylanParagrafYazTipi"/>
    <w:link w:val="Altyaz"/>
    <w:uiPriority w:val="11"/>
    <w:rsid w:val="00E248A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248A5"/>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AlntChar">
    <w:name w:val="Alıntı Char"/>
    <w:basedOn w:val="VarsaylanParagrafYazTipi"/>
    <w:link w:val="Alnt"/>
    <w:uiPriority w:val="29"/>
    <w:rsid w:val="00E248A5"/>
    <w:rPr>
      <w:i/>
      <w:iCs/>
      <w:color w:val="404040" w:themeColor="text1" w:themeTint="BF"/>
    </w:rPr>
  </w:style>
  <w:style w:type="paragraph" w:styleId="ListeParagraf">
    <w:name w:val="List Paragraph"/>
    <w:basedOn w:val="Normal"/>
    <w:uiPriority w:val="34"/>
    <w:qFormat/>
    <w:rsid w:val="00E248A5"/>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GlVurgulama">
    <w:name w:val="Intense Emphasis"/>
    <w:basedOn w:val="VarsaylanParagrafYazTipi"/>
    <w:uiPriority w:val="21"/>
    <w:qFormat/>
    <w:rsid w:val="00E248A5"/>
    <w:rPr>
      <w:i/>
      <w:iCs/>
      <w:color w:val="0F4761" w:themeColor="accent1" w:themeShade="BF"/>
    </w:rPr>
  </w:style>
  <w:style w:type="paragraph" w:styleId="GlAlnt">
    <w:name w:val="Intense Quote"/>
    <w:basedOn w:val="Normal"/>
    <w:next w:val="Normal"/>
    <w:link w:val="GlAlntChar"/>
    <w:uiPriority w:val="30"/>
    <w:qFormat/>
    <w:rsid w:val="00E248A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GlAlntChar">
    <w:name w:val="Güçlü Alıntı Char"/>
    <w:basedOn w:val="VarsaylanParagrafYazTipi"/>
    <w:link w:val="GlAlnt"/>
    <w:uiPriority w:val="30"/>
    <w:rsid w:val="00E248A5"/>
    <w:rPr>
      <w:i/>
      <w:iCs/>
      <w:color w:val="0F4761" w:themeColor="accent1" w:themeShade="BF"/>
    </w:rPr>
  </w:style>
  <w:style w:type="character" w:styleId="GlBavuru">
    <w:name w:val="Intense Reference"/>
    <w:basedOn w:val="VarsaylanParagrafYazTipi"/>
    <w:uiPriority w:val="32"/>
    <w:qFormat/>
    <w:rsid w:val="00E248A5"/>
    <w:rPr>
      <w:b/>
      <w:bCs/>
      <w:smallCaps/>
      <w:color w:val="0F4761" w:themeColor="accent1" w:themeShade="BF"/>
      <w:spacing w:val="5"/>
    </w:rPr>
  </w:style>
  <w:style w:type="paragraph" w:customStyle="1" w:styleId="p1">
    <w:name w:val="p1"/>
    <w:basedOn w:val="Normal"/>
    <w:rsid w:val="00E248A5"/>
    <w:rPr>
      <w:rFonts w:ascii="Helvetica" w:hAnsi="Helvetica"/>
      <w:color w:val="000000"/>
      <w:sz w:val="17"/>
      <w:szCs w:val="17"/>
    </w:rPr>
  </w:style>
  <w:style w:type="paragraph" w:styleId="AralkYok">
    <w:name w:val="No Spacing"/>
    <w:uiPriority w:val="1"/>
    <w:qFormat/>
    <w:rsid w:val="00E248A5"/>
    <w:pPr>
      <w:spacing w:after="0" w:line="240" w:lineRule="auto"/>
    </w:pPr>
  </w:style>
  <w:style w:type="character" w:styleId="DipnotBavurusu">
    <w:name w:val="footnote reference"/>
    <w:basedOn w:val="VarsaylanParagrafYazTipi"/>
    <w:uiPriority w:val="99"/>
    <w:unhideWhenUsed/>
    <w:rsid w:val="00E248A5"/>
    <w:rPr>
      <w:vertAlign w:val="superscript"/>
    </w:rPr>
  </w:style>
  <w:style w:type="paragraph" w:styleId="DipnotMetni">
    <w:name w:val="footnote text"/>
    <w:basedOn w:val="Normal"/>
    <w:link w:val="DipnotMetniChar"/>
    <w:uiPriority w:val="99"/>
    <w:unhideWhenUsed/>
    <w:rsid w:val="00E248A5"/>
    <w:rPr>
      <w:rFonts w:asciiTheme="minorHAnsi" w:eastAsiaTheme="minorHAnsi" w:hAnsiTheme="minorHAnsi" w:cstheme="minorBidi"/>
      <w:lang w:val="en-US" w:eastAsia="en-US"/>
    </w:rPr>
  </w:style>
  <w:style w:type="character" w:customStyle="1" w:styleId="DipnotMetniChar">
    <w:name w:val="Dipnot Metni Char"/>
    <w:basedOn w:val="VarsaylanParagrafYazTipi"/>
    <w:link w:val="DipnotMetni"/>
    <w:uiPriority w:val="99"/>
    <w:rsid w:val="00E248A5"/>
    <w:rPr>
      <w:kern w:val="0"/>
      <w:lang w:val="en-US"/>
      <w14:ligatures w14:val="none"/>
    </w:rPr>
  </w:style>
  <w:style w:type="character" w:styleId="Vurgu">
    <w:name w:val="Emphasis"/>
    <w:basedOn w:val="VarsaylanParagrafYazTipi"/>
    <w:uiPriority w:val="20"/>
    <w:qFormat/>
    <w:rsid w:val="00E248A5"/>
    <w:rPr>
      <w:i/>
    </w:rPr>
  </w:style>
  <w:style w:type="character" w:styleId="Gl">
    <w:name w:val="Strong"/>
    <w:basedOn w:val="VarsaylanParagrafYazTipi"/>
    <w:uiPriority w:val="22"/>
    <w:qFormat/>
    <w:rsid w:val="00E248A5"/>
    <w:rPr>
      <w:b/>
      <w:bCs/>
    </w:rPr>
  </w:style>
  <w:style w:type="character" w:customStyle="1" w:styleId="media-delimiter">
    <w:name w:val="media-delimiter"/>
    <w:basedOn w:val="VarsaylanParagrafYazTipi"/>
    <w:rsid w:val="00CF622B"/>
  </w:style>
  <w:style w:type="paragraph" w:styleId="NormalWeb">
    <w:name w:val="Normal (Web)"/>
    <w:basedOn w:val="Normal"/>
    <w:uiPriority w:val="99"/>
    <w:unhideWhenUsed/>
    <w:rsid w:val="00CF622B"/>
    <w:pPr>
      <w:spacing w:before="100" w:beforeAutospacing="1" w:after="100" w:afterAutospacing="1"/>
    </w:pPr>
  </w:style>
  <w:style w:type="character" w:customStyle="1" w:styleId="apple-converted-space">
    <w:name w:val="apple-converted-space"/>
    <w:basedOn w:val="VarsaylanParagrafYazTipi"/>
    <w:rsid w:val="007E341F"/>
  </w:style>
  <w:style w:type="paragraph" w:styleId="stBilgi">
    <w:name w:val="header"/>
    <w:basedOn w:val="Normal"/>
    <w:link w:val="stBilgiChar"/>
    <w:uiPriority w:val="99"/>
    <w:unhideWhenUsed/>
    <w:rsid w:val="00D269DC"/>
    <w:pPr>
      <w:tabs>
        <w:tab w:val="center" w:pos="4513"/>
        <w:tab w:val="right" w:pos="9026"/>
      </w:tabs>
    </w:pPr>
  </w:style>
  <w:style w:type="character" w:customStyle="1" w:styleId="stBilgiChar">
    <w:name w:val="Üst Bilgi Char"/>
    <w:basedOn w:val="VarsaylanParagrafYazTipi"/>
    <w:link w:val="stBilgi"/>
    <w:uiPriority w:val="99"/>
    <w:rsid w:val="00D269DC"/>
    <w:rPr>
      <w:rFonts w:ascii="Times New Roman" w:eastAsia="Times New Roman" w:hAnsi="Times New Roman" w:cs="Times New Roman"/>
      <w:kern w:val="0"/>
      <w:lang w:eastAsia="tr-TR"/>
      <w14:ligatures w14:val="none"/>
    </w:rPr>
  </w:style>
  <w:style w:type="paragraph" w:styleId="AltBilgi">
    <w:name w:val="footer"/>
    <w:basedOn w:val="Normal"/>
    <w:link w:val="AltBilgiChar"/>
    <w:uiPriority w:val="99"/>
    <w:unhideWhenUsed/>
    <w:rsid w:val="00D269DC"/>
    <w:pPr>
      <w:tabs>
        <w:tab w:val="center" w:pos="4513"/>
        <w:tab w:val="right" w:pos="9026"/>
      </w:tabs>
    </w:pPr>
  </w:style>
  <w:style w:type="character" w:customStyle="1" w:styleId="AltBilgiChar">
    <w:name w:val="Alt Bilgi Char"/>
    <w:basedOn w:val="VarsaylanParagrafYazTipi"/>
    <w:link w:val="AltBilgi"/>
    <w:uiPriority w:val="99"/>
    <w:rsid w:val="00D269DC"/>
    <w:rPr>
      <w:rFonts w:ascii="Times New Roman" w:eastAsia="Times New Roman" w:hAnsi="Times New Roman" w:cs="Times New Roman"/>
      <w:kern w:val="0"/>
      <w:lang w:eastAsia="tr-TR"/>
      <w14:ligatures w14:val="none"/>
    </w:rPr>
  </w:style>
  <w:style w:type="character" w:styleId="Kpr">
    <w:name w:val="Hyperlink"/>
    <w:basedOn w:val="VarsaylanParagrafYazTipi"/>
    <w:uiPriority w:val="99"/>
    <w:unhideWhenUsed/>
    <w:rsid w:val="00AD37D9"/>
    <w:rPr>
      <w:color w:val="0000FF"/>
      <w:u w:val="single"/>
    </w:rPr>
  </w:style>
  <w:style w:type="character" w:customStyle="1" w:styleId="show-for-sr">
    <w:name w:val="show-for-sr"/>
    <w:basedOn w:val="VarsaylanParagrafYazTipi"/>
    <w:rsid w:val="00AD37D9"/>
  </w:style>
  <w:style w:type="paragraph" w:styleId="z-Formunst">
    <w:name w:val="HTML Top of Form"/>
    <w:basedOn w:val="Normal"/>
    <w:next w:val="Normal"/>
    <w:link w:val="z-FormunstChar"/>
    <w:hidden/>
    <w:uiPriority w:val="99"/>
    <w:semiHidden/>
    <w:unhideWhenUsed/>
    <w:rsid w:val="00AD37D9"/>
    <w:pPr>
      <w:pBdr>
        <w:bottom w:val="single" w:sz="6" w:space="1" w:color="auto"/>
      </w:pBdr>
      <w:jc w:val="center"/>
    </w:pPr>
    <w:rPr>
      <w:rFonts w:ascii="Arial" w:hAnsi="Arial" w:cs="Arial"/>
      <w:vanish/>
      <w:sz w:val="16"/>
      <w:szCs w:val="16"/>
    </w:rPr>
  </w:style>
  <w:style w:type="character" w:customStyle="1" w:styleId="z-FormunstChar">
    <w:name w:val="z-Formun Üstü Char"/>
    <w:basedOn w:val="VarsaylanParagrafYazTipi"/>
    <w:link w:val="z-Formunst"/>
    <w:uiPriority w:val="99"/>
    <w:semiHidden/>
    <w:rsid w:val="00AD37D9"/>
    <w:rPr>
      <w:rFonts w:ascii="Arial" w:eastAsia="Times New Roman" w:hAnsi="Arial" w:cs="Arial"/>
      <w:vanish/>
      <w:kern w:val="0"/>
      <w:sz w:val="16"/>
      <w:szCs w:val="16"/>
      <w:lang w:eastAsia="tr-TR"/>
      <w14:ligatures w14:val="none"/>
    </w:rPr>
  </w:style>
  <w:style w:type="paragraph" w:styleId="z-FormunAlt">
    <w:name w:val="HTML Bottom of Form"/>
    <w:basedOn w:val="Normal"/>
    <w:next w:val="Normal"/>
    <w:link w:val="z-FormunAltChar"/>
    <w:hidden/>
    <w:uiPriority w:val="99"/>
    <w:semiHidden/>
    <w:unhideWhenUsed/>
    <w:rsid w:val="00AD37D9"/>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semiHidden/>
    <w:rsid w:val="00AD37D9"/>
    <w:rPr>
      <w:rFonts w:ascii="Arial" w:eastAsia="Times New Roman" w:hAnsi="Arial" w:cs="Arial"/>
      <w:vanish/>
      <w:kern w:val="0"/>
      <w:sz w:val="16"/>
      <w:szCs w:val="16"/>
      <w:lang w:eastAsia="tr-TR"/>
      <w14:ligatures w14:val="none"/>
    </w:rPr>
  </w:style>
  <w:style w:type="character" w:customStyle="1" w:styleId="t">
    <w:name w:val="t"/>
    <w:basedOn w:val="VarsaylanParagrafYazTipi"/>
    <w:rsid w:val="00203A1E"/>
  </w:style>
  <w:style w:type="character" w:customStyle="1" w:styleId="a-size-large">
    <w:name w:val="a-size-large"/>
    <w:basedOn w:val="VarsaylanParagrafYazTipi"/>
    <w:rsid w:val="00480C22"/>
  </w:style>
  <w:style w:type="character" w:customStyle="1" w:styleId="whitespace-normal">
    <w:name w:val="whitespace-normal"/>
    <w:basedOn w:val="VarsaylanParagrafYazTipi"/>
    <w:rsid w:val="00C8234C"/>
  </w:style>
  <w:style w:type="character" w:styleId="zmlenmeyenBahsetme">
    <w:name w:val="Unresolved Mention"/>
    <w:basedOn w:val="VarsaylanParagrafYazTipi"/>
    <w:uiPriority w:val="99"/>
    <w:semiHidden/>
    <w:unhideWhenUsed/>
    <w:rsid w:val="00087020"/>
    <w:rPr>
      <w:color w:val="605E5C"/>
      <w:shd w:val="clear" w:color="auto" w:fill="E1DFDD"/>
    </w:rPr>
  </w:style>
  <w:style w:type="paragraph" w:styleId="SonNotMetni">
    <w:name w:val="endnote text"/>
    <w:basedOn w:val="Normal"/>
    <w:link w:val="SonNotMetniChar"/>
    <w:uiPriority w:val="99"/>
    <w:semiHidden/>
    <w:unhideWhenUsed/>
    <w:rsid w:val="00B525DC"/>
    <w:rPr>
      <w:sz w:val="20"/>
      <w:szCs w:val="20"/>
    </w:rPr>
  </w:style>
  <w:style w:type="character" w:customStyle="1" w:styleId="SonNotMetniChar">
    <w:name w:val="Son Not Metni Char"/>
    <w:basedOn w:val="VarsaylanParagrafYazTipi"/>
    <w:link w:val="SonNotMetni"/>
    <w:uiPriority w:val="99"/>
    <w:semiHidden/>
    <w:rsid w:val="00B525DC"/>
    <w:rPr>
      <w:rFonts w:ascii="Times New Roman" w:eastAsia="Times New Roman" w:hAnsi="Times New Roman" w:cs="Times New Roman"/>
      <w:kern w:val="0"/>
      <w:sz w:val="20"/>
      <w:szCs w:val="20"/>
      <w:lang w:eastAsia="tr-TR"/>
      <w14:ligatures w14:val="none"/>
    </w:rPr>
  </w:style>
  <w:style w:type="character" w:styleId="SonNotBavurusu">
    <w:name w:val="endnote reference"/>
    <w:basedOn w:val="VarsaylanParagrafYazTipi"/>
    <w:uiPriority w:val="99"/>
    <w:semiHidden/>
    <w:unhideWhenUsed/>
    <w:rsid w:val="00B525DC"/>
    <w:rPr>
      <w:vertAlign w:val="superscript"/>
    </w:rPr>
  </w:style>
  <w:style w:type="paragraph" w:styleId="Dzeltme">
    <w:name w:val="Revision"/>
    <w:hidden/>
    <w:uiPriority w:val="99"/>
    <w:semiHidden/>
    <w:rsid w:val="00450793"/>
    <w:pPr>
      <w:spacing w:after="0" w:line="240" w:lineRule="auto"/>
    </w:pPr>
    <w:rPr>
      <w:rFonts w:ascii="Times New Roman" w:eastAsia="Times New Roman" w:hAnsi="Times New Roman" w:cs="Times New Roman"/>
      <w:kern w:val="0"/>
      <w:lang w:eastAsia="tr-TR"/>
      <w14:ligatures w14:val="none"/>
    </w:rPr>
  </w:style>
  <w:style w:type="paragraph" w:customStyle="1" w:styleId="isselectedend">
    <w:name w:val="isselectedend"/>
    <w:basedOn w:val="Normal"/>
    <w:rsid w:val="00C1740D"/>
    <w:pPr>
      <w:spacing w:before="100" w:beforeAutospacing="1" w:after="100" w:afterAutospacing="1"/>
    </w:pPr>
  </w:style>
  <w:style w:type="character" w:styleId="zlenenKpr">
    <w:name w:val="FollowedHyperlink"/>
    <w:basedOn w:val="VarsaylanParagrafYazTipi"/>
    <w:uiPriority w:val="99"/>
    <w:semiHidden/>
    <w:unhideWhenUsed/>
    <w:rsid w:val="00350B7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endnotes.xml.rels><?xml version="1.0" encoding="UTF-8" standalone="yes"?>
<Relationships xmlns="http://schemas.openxmlformats.org/package/2006/relationships"><Relationship Id="rId2" Type="http://schemas.openxmlformats.org/officeDocument/2006/relationships/hyperlink" Target="https://avesis.yildiz.edu.tr/publication/details/577542c2-57d6-4022-b5aa-77d556049563/comparisons-between-al-gazali-and-ibn-rusd-in-the-late-ottoman-period" TargetMode="External"/><Relationship Id="rId1" Type="http://schemas.openxmlformats.org/officeDocument/2006/relationships/hyperlink" Target="https://www.mcgill.ca/islamicstudies/files/islamicstudies/renan_islamism_cversion.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85F98-3C26-054B-B486-BB6257F4B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8844</Words>
  <Characters>55457</Characters>
  <Application>Microsoft Office Word</Application>
  <DocSecurity>0</DocSecurity>
  <Lines>1205</Lines>
  <Paragraphs>656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Efe Balikcioglu</dc:creator>
  <cp:keywords/>
  <dc:description/>
  <cp:lastModifiedBy>Efe Balikcioglu</cp:lastModifiedBy>
  <cp:revision>3</cp:revision>
  <cp:lastPrinted>2026-10-15T14:52:00Z</cp:lastPrinted>
  <dcterms:created xsi:type="dcterms:W3CDTF">2026-10-15T14:52:00Z</dcterms:created>
  <dcterms:modified xsi:type="dcterms:W3CDTF">2026-10-15T14:52:00Z</dcterms:modified>
</cp:coreProperties>
</file>