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0D" w:rsidRPr="0085149A" w:rsidRDefault="0080430D" w:rsidP="0085149A">
      <w:pPr>
        <w:shd w:val="clear" w:color="auto" w:fill="D9D9D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0430D" w:rsidRDefault="0080430D" w:rsidP="0085149A">
      <w:pPr>
        <w:rPr>
          <w:rFonts w:ascii="Arial" w:hAnsi="Arial" w:cs="Arial"/>
          <w:color w:val="000000"/>
          <w:sz w:val="24"/>
          <w:szCs w:val="24"/>
        </w:rPr>
      </w:pPr>
    </w:p>
    <w:p w:rsidR="0080430D" w:rsidRPr="00F979D1" w:rsidRDefault="0080430D" w:rsidP="0085149A">
      <w:pPr>
        <w:rPr>
          <w:rFonts w:ascii="Arial" w:hAnsi="Arial" w:cs="Arial"/>
          <w:caps/>
          <w:sz w:val="72"/>
          <w:szCs w:val="72"/>
        </w:rPr>
      </w:pPr>
      <w:r w:rsidRPr="00F979D1">
        <w:rPr>
          <w:rFonts w:ascii="Arial" w:hAnsi="Arial" w:cs="Arial"/>
          <w:b/>
          <w:bCs/>
          <w:caps/>
          <w:color w:val="000000"/>
          <w:sz w:val="24"/>
          <w:szCs w:val="24"/>
        </w:rPr>
        <w:t xml:space="preserve">HPLC-HRMS simultaneous determination of salicylic, shikimic and jasmonic acids in wild and transgenic </w:t>
      </w:r>
      <w:r w:rsidRPr="00F979D1">
        <w:rPr>
          <w:rFonts w:ascii="Arial" w:hAnsi="Arial" w:cs="Arial"/>
          <w:b/>
          <w:bCs/>
          <w:i/>
          <w:iCs/>
          <w:caps/>
          <w:color w:val="000000"/>
          <w:sz w:val="24"/>
          <w:szCs w:val="24"/>
        </w:rPr>
        <w:t>Nicotiana Langsdorffii</w:t>
      </w:r>
      <w:r w:rsidRPr="00F979D1">
        <w:rPr>
          <w:rFonts w:ascii="Arial" w:hAnsi="Arial" w:cs="Arial"/>
          <w:b/>
          <w:bCs/>
          <w:caps/>
          <w:color w:val="000000"/>
          <w:sz w:val="24"/>
          <w:szCs w:val="24"/>
        </w:rPr>
        <w:t xml:space="preserve"> plants exposed to abiotic stresses</w:t>
      </w:r>
    </w:p>
    <w:p w:rsidR="0080430D" w:rsidRDefault="0080430D" w:rsidP="0085149A">
      <w:pPr>
        <w:jc w:val="left"/>
        <w:rPr>
          <w:rFonts w:ascii="Arial" w:hAnsi="Arial" w:cs="Arial"/>
          <w:b/>
          <w:bCs/>
          <w:sz w:val="22"/>
          <w:szCs w:val="22"/>
          <w:lang w:val="it-IT"/>
        </w:rPr>
      </w:pPr>
      <w:r w:rsidRPr="00F979D1">
        <w:rPr>
          <w:rFonts w:ascii="Arial" w:hAnsi="Arial" w:cs="Arial"/>
          <w:sz w:val="22"/>
          <w:szCs w:val="22"/>
          <w:lang w:val="it-IT"/>
        </w:rPr>
        <w:t>Elisa Scalabrin</w:t>
      </w:r>
      <w:r w:rsidRPr="00F979D1">
        <w:rPr>
          <w:rFonts w:ascii="Arial" w:hAnsi="Arial" w:cs="Arial"/>
          <w:sz w:val="22"/>
          <w:szCs w:val="22"/>
          <w:vertAlign w:val="superscript"/>
          <w:lang w:val="it-IT"/>
        </w:rPr>
        <w:t>1</w:t>
      </w:r>
      <w:r w:rsidRPr="00F979D1">
        <w:rPr>
          <w:rFonts w:ascii="Arial" w:hAnsi="Arial" w:cs="Arial"/>
          <w:sz w:val="22"/>
          <w:szCs w:val="22"/>
          <w:lang w:val="it-IT"/>
        </w:rPr>
        <w:t>, Marta Radaelli</w:t>
      </w:r>
      <w:r w:rsidRPr="00F979D1">
        <w:rPr>
          <w:rFonts w:ascii="Arial" w:hAnsi="Arial" w:cs="Arial"/>
          <w:sz w:val="22"/>
          <w:szCs w:val="22"/>
          <w:vertAlign w:val="superscript"/>
          <w:lang w:val="it-IT"/>
        </w:rPr>
        <w:t>2</w:t>
      </w:r>
      <w:r w:rsidRPr="00F979D1">
        <w:rPr>
          <w:rFonts w:ascii="Arial" w:hAnsi="Arial" w:cs="Arial"/>
          <w:sz w:val="22"/>
          <w:szCs w:val="22"/>
          <w:lang w:val="it-IT"/>
        </w:rPr>
        <w:t>,</w:t>
      </w:r>
      <w:r w:rsidRPr="00F979D1">
        <w:rPr>
          <w:rFonts w:ascii="Arial" w:hAnsi="Arial" w:cs="Arial"/>
          <w:b/>
          <w:bCs/>
          <w:sz w:val="22"/>
          <w:szCs w:val="22"/>
          <w:lang w:val="it-IT"/>
        </w:rPr>
        <w:t xml:space="preserve"> Giovanni Rizzato</w:t>
      </w:r>
      <w:r w:rsidRPr="00F979D1">
        <w:rPr>
          <w:rFonts w:ascii="Arial" w:hAnsi="Arial" w:cs="Arial"/>
          <w:b/>
          <w:bCs/>
          <w:sz w:val="22"/>
          <w:szCs w:val="22"/>
          <w:vertAlign w:val="superscript"/>
          <w:lang w:val="it-IT"/>
        </w:rPr>
        <w:t>1</w:t>
      </w:r>
      <w:r w:rsidRPr="00F979D1">
        <w:rPr>
          <w:rFonts w:ascii="Arial" w:hAnsi="Arial" w:cs="Arial"/>
          <w:sz w:val="22"/>
          <w:szCs w:val="22"/>
          <w:lang w:val="it-IT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>Giuseppa Toscano</w:t>
      </w:r>
      <w:r>
        <w:rPr>
          <w:rFonts w:ascii="Arial" w:hAnsi="Arial" w:cs="Arial"/>
          <w:sz w:val="22"/>
          <w:szCs w:val="22"/>
          <w:vertAlign w:val="superscript"/>
          <w:lang w:val="it-IT"/>
        </w:rPr>
        <w:t>1</w:t>
      </w:r>
      <w:r w:rsidR="00310775">
        <w:rPr>
          <w:rFonts w:ascii="Arial" w:hAnsi="Arial" w:cs="Arial"/>
          <w:sz w:val="22"/>
          <w:szCs w:val="22"/>
          <w:lang w:val="it-IT"/>
        </w:rPr>
        <w:t xml:space="preserve"> and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F979D1">
        <w:rPr>
          <w:rFonts w:ascii="Arial" w:hAnsi="Arial" w:cs="Arial"/>
          <w:sz w:val="22"/>
          <w:szCs w:val="22"/>
          <w:lang w:val="it-IT"/>
        </w:rPr>
        <w:t>Gabriele Capodaglio</w:t>
      </w:r>
      <w:r w:rsidRPr="00F979D1">
        <w:rPr>
          <w:rFonts w:ascii="Arial" w:hAnsi="Arial" w:cs="Arial"/>
          <w:sz w:val="22"/>
          <w:szCs w:val="22"/>
          <w:vertAlign w:val="superscript"/>
          <w:lang w:val="it-IT"/>
        </w:rPr>
        <w:t>1,2</w:t>
      </w:r>
    </w:p>
    <w:p w:rsidR="0080430D" w:rsidRPr="00F979D1" w:rsidRDefault="0080430D" w:rsidP="0085149A">
      <w:pPr>
        <w:jc w:val="left"/>
        <w:outlineLvl w:val="0"/>
        <w:rPr>
          <w:rFonts w:ascii="Arial" w:hAnsi="Arial" w:cs="Arial"/>
          <w:sz w:val="24"/>
          <w:szCs w:val="24"/>
          <w:lang w:val="it-IT"/>
        </w:rPr>
      </w:pPr>
    </w:p>
    <w:p w:rsidR="0080430D" w:rsidRPr="0085149A" w:rsidRDefault="0080430D" w:rsidP="0085149A">
      <w:pPr>
        <w:jc w:val="left"/>
        <w:outlineLvl w:val="0"/>
        <w:rPr>
          <w:rFonts w:ascii="Arial" w:hAnsi="Arial" w:cs="Arial"/>
          <w:spacing w:val="-6"/>
          <w:sz w:val="20"/>
          <w:szCs w:val="20"/>
        </w:rPr>
      </w:pPr>
      <w:r w:rsidRPr="0085149A">
        <w:rPr>
          <w:rFonts w:ascii="Arial" w:hAnsi="Arial" w:cs="Arial"/>
          <w:sz w:val="20"/>
          <w:szCs w:val="20"/>
          <w:vertAlign w:val="superscript"/>
        </w:rPr>
        <w:t>1</w:t>
      </w:r>
      <w:r w:rsidRPr="0085149A">
        <w:rPr>
          <w:rFonts w:ascii="Arial" w:hAnsi="Arial" w:cs="Arial"/>
          <w:sz w:val="20"/>
          <w:szCs w:val="20"/>
        </w:rPr>
        <w:t xml:space="preserve"> </w:t>
      </w:r>
      <w:r w:rsidRPr="00F979D1">
        <w:rPr>
          <w:rFonts w:ascii="Arial" w:hAnsi="Arial" w:cs="Arial"/>
          <w:spacing w:val="-6"/>
          <w:sz w:val="20"/>
          <w:szCs w:val="20"/>
        </w:rPr>
        <w:t xml:space="preserve">Department of Environmental Sciences, Informatics and Statistics, </w:t>
      </w:r>
      <w:smartTag w:uri="urn:schemas-microsoft-com:office:smarttags" w:element="place">
        <w:smartTag w:uri="urn:schemas-microsoft-com:office:smarttags" w:element="PlaceType">
          <w:r w:rsidRPr="00F979D1">
            <w:rPr>
              <w:rFonts w:ascii="Arial" w:hAnsi="Arial" w:cs="Arial"/>
              <w:spacing w:val="-6"/>
              <w:sz w:val="20"/>
              <w:szCs w:val="20"/>
            </w:rPr>
            <w:t>University</w:t>
          </w:r>
        </w:smartTag>
        <w:r w:rsidRPr="00F979D1">
          <w:rPr>
            <w:rFonts w:ascii="Arial" w:hAnsi="Arial" w:cs="Arial"/>
            <w:spacing w:val="-6"/>
            <w:sz w:val="20"/>
            <w:szCs w:val="20"/>
          </w:rPr>
          <w:t xml:space="preserve"> of </w:t>
        </w:r>
        <w:smartTag w:uri="urn:schemas-microsoft-com:office:smarttags" w:element="PlaceName">
          <w:r w:rsidRPr="00F979D1">
            <w:rPr>
              <w:rFonts w:ascii="Arial" w:hAnsi="Arial" w:cs="Arial"/>
              <w:spacing w:val="-6"/>
              <w:sz w:val="20"/>
              <w:szCs w:val="20"/>
            </w:rPr>
            <w:t>Venice</w:t>
          </w:r>
        </w:smartTag>
      </w:smartTag>
      <w:r w:rsidRPr="00F979D1">
        <w:rPr>
          <w:rFonts w:ascii="Arial" w:hAnsi="Arial" w:cs="Arial"/>
          <w:spacing w:val="-6"/>
          <w:sz w:val="20"/>
          <w:szCs w:val="20"/>
        </w:rPr>
        <w:t xml:space="preserve">, Ca’ Foscari, </w:t>
      </w:r>
      <w:smartTag w:uri="urn:schemas-microsoft-com:office:smarttags" w:element="place">
        <w:smartTag w:uri="urn:schemas-microsoft-com:office:smarttags" w:element="City">
          <w:r w:rsidRPr="00F979D1">
            <w:rPr>
              <w:rFonts w:ascii="Arial" w:hAnsi="Arial" w:cs="Arial"/>
              <w:spacing w:val="-6"/>
              <w:sz w:val="20"/>
              <w:szCs w:val="20"/>
            </w:rPr>
            <w:t>Venice</w:t>
          </w:r>
        </w:smartTag>
      </w:smartTag>
      <w:r>
        <w:rPr>
          <w:rFonts w:ascii="Arial" w:hAnsi="Arial" w:cs="Arial"/>
          <w:spacing w:val="-6"/>
          <w:sz w:val="20"/>
          <w:szCs w:val="20"/>
        </w:rPr>
        <w:t>,</w:t>
      </w:r>
      <w:r w:rsidRPr="00F979D1">
        <w:rPr>
          <w:rFonts w:ascii="Arial" w:hAnsi="Arial" w:cs="Arial"/>
          <w:spacing w:val="-6"/>
          <w:sz w:val="20"/>
          <w:szCs w:val="20"/>
        </w:rPr>
        <w:t xml:space="preserve"> 30123, </w:t>
      </w:r>
      <w:smartTag w:uri="urn:schemas-microsoft-com:office:smarttags" w:element="place">
        <w:smartTag w:uri="urn:schemas-microsoft-com:office:smarttags" w:element="country-region">
          <w:r w:rsidRPr="00F979D1">
            <w:rPr>
              <w:rFonts w:ascii="Arial" w:hAnsi="Arial" w:cs="Arial"/>
              <w:spacing w:val="-6"/>
              <w:sz w:val="20"/>
              <w:szCs w:val="20"/>
            </w:rPr>
            <w:t>Italy</w:t>
          </w:r>
        </w:smartTag>
      </w:smartTag>
      <w:r w:rsidRPr="0085149A">
        <w:rPr>
          <w:rFonts w:ascii="Arial" w:hAnsi="Arial" w:cs="Arial"/>
          <w:spacing w:val="-6"/>
          <w:sz w:val="20"/>
          <w:szCs w:val="20"/>
        </w:rPr>
        <w:t xml:space="preserve"> </w:t>
      </w:r>
    </w:p>
    <w:p w:rsidR="0080430D" w:rsidRPr="0085149A" w:rsidRDefault="0080430D" w:rsidP="00F979D1">
      <w:pPr>
        <w:jc w:val="left"/>
        <w:outlineLvl w:val="0"/>
        <w:rPr>
          <w:rFonts w:ascii="Arial" w:hAnsi="Arial" w:cs="Arial"/>
          <w:spacing w:val="-6"/>
          <w:sz w:val="20"/>
          <w:szCs w:val="20"/>
        </w:rPr>
      </w:pPr>
      <w:r w:rsidRPr="0085149A">
        <w:rPr>
          <w:rFonts w:ascii="Arial" w:hAnsi="Arial" w:cs="Arial"/>
          <w:sz w:val="20"/>
          <w:szCs w:val="20"/>
          <w:vertAlign w:val="superscript"/>
        </w:rPr>
        <w:t>2</w:t>
      </w:r>
      <w:r w:rsidRPr="0085149A">
        <w:rPr>
          <w:rFonts w:ascii="Arial" w:hAnsi="Arial" w:cs="Arial"/>
          <w:sz w:val="20"/>
          <w:szCs w:val="20"/>
        </w:rPr>
        <w:t xml:space="preserve"> </w:t>
      </w:r>
      <w:r w:rsidRPr="00F979D1">
        <w:rPr>
          <w:rFonts w:ascii="Arial" w:hAnsi="Arial" w:cs="Arial"/>
          <w:spacing w:val="-6"/>
          <w:sz w:val="20"/>
          <w:szCs w:val="20"/>
        </w:rPr>
        <w:t xml:space="preserve">Institute for the Dynamics of Environmental Processes-CNR, University of </w:t>
      </w:r>
      <w:smartTag w:uri="urn:schemas-microsoft-com:office:smarttags" w:element="place">
        <w:smartTag w:uri="urn:schemas-microsoft-com:office:smarttags" w:element="City">
          <w:r w:rsidRPr="00F979D1">
            <w:rPr>
              <w:rFonts w:ascii="Arial" w:hAnsi="Arial" w:cs="Arial"/>
              <w:spacing w:val="-6"/>
              <w:sz w:val="20"/>
              <w:szCs w:val="20"/>
            </w:rPr>
            <w:t>Venice</w:t>
          </w:r>
        </w:smartTag>
      </w:smartTag>
      <w:r w:rsidRPr="00F979D1">
        <w:rPr>
          <w:rFonts w:ascii="Arial" w:hAnsi="Arial" w:cs="Arial"/>
          <w:spacing w:val="-6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979D1">
            <w:rPr>
              <w:rFonts w:ascii="Arial" w:hAnsi="Arial" w:cs="Arial"/>
              <w:spacing w:val="-6"/>
              <w:sz w:val="20"/>
              <w:szCs w:val="20"/>
            </w:rPr>
            <w:t>Venice</w:t>
          </w:r>
        </w:smartTag>
      </w:smartTag>
      <w:r w:rsidRPr="00F979D1">
        <w:rPr>
          <w:rFonts w:ascii="Arial" w:hAnsi="Arial" w:cs="Arial"/>
          <w:spacing w:val="-6"/>
          <w:sz w:val="20"/>
          <w:szCs w:val="20"/>
        </w:rPr>
        <w:t>, 30123</w:t>
      </w:r>
      <w:r>
        <w:rPr>
          <w:rFonts w:ascii="Arial" w:hAnsi="Arial" w:cs="Arial"/>
          <w:spacing w:val="-6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F979D1">
            <w:rPr>
              <w:rFonts w:ascii="Arial" w:hAnsi="Arial" w:cs="Arial"/>
              <w:spacing w:val="-6"/>
              <w:sz w:val="20"/>
              <w:szCs w:val="20"/>
            </w:rPr>
            <w:t>Italy</w:t>
          </w:r>
        </w:smartTag>
      </w:smartTag>
      <w:r w:rsidRPr="0085149A">
        <w:rPr>
          <w:rFonts w:ascii="Arial" w:hAnsi="Arial" w:cs="Arial"/>
          <w:spacing w:val="-6"/>
          <w:sz w:val="20"/>
          <w:szCs w:val="20"/>
        </w:rPr>
        <w:t xml:space="preserve"> </w:t>
      </w:r>
    </w:p>
    <w:p w:rsidR="0080430D" w:rsidRPr="00335AAD" w:rsidRDefault="0080430D" w:rsidP="0085149A">
      <w:pPr>
        <w:jc w:val="left"/>
        <w:rPr>
          <w:rFonts w:ascii="Arial" w:hAnsi="Arial" w:cs="Arial"/>
          <w:sz w:val="56"/>
          <w:szCs w:val="56"/>
        </w:rPr>
      </w:pPr>
    </w:p>
    <w:p w:rsidR="0080430D" w:rsidRDefault="0080430D" w:rsidP="00F979D1">
      <w:pPr>
        <w:outlineLvl w:val="0"/>
        <w:rPr>
          <w:rFonts w:ascii="Arial" w:hAnsi="Arial" w:cs="Arial"/>
          <w:sz w:val="24"/>
          <w:szCs w:val="24"/>
        </w:rPr>
      </w:pPr>
      <w:r w:rsidRPr="00F979D1">
        <w:rPr>
          <w:rFonts w:ascii="Arial" w:hAnsi="Arial" w:cs="Arial"/>
          <w:sz w:val="24"/>
          <w:szCs w:val="24"/>
        </w:rPr>
        <w:t>When dealing with adverse or limiting growth conditions, plants respond by specific-stress mechanisms which are regulated by the phytohormonal network. Salicylic acid (SA)</w:t>
      </w:r>
      <w:r>
        <w:rPr>
          <w:rFonts w:ascii="Arial" w:hAnsi="Arial" w:cs="Arial"/>
          <w:sz w:val="24"/>
          <w:szCs w:val="24"/>
        </w:rPr>
        <w:t xml:space="preserve"> </w:t>
      </w:r>
      <w:r w:rsidRPr="00F979D1">
        <w:rPr>
          <w:rFonts w:ascii="Arial" w:hAnsi="Arial" w:cs="Arial"/>
          <w:sz w:val="24"/>
          <w:szCs w:val="24"/>
        </w:rPr>
        <w:t xml:space="preserve">and Jasmonic acid (JA) are hormones involved in plant growth and development, </w:t>
      </w:r>
      <w:r w:rsidR="00B6750F">
        <w:rPr>
          <w:rFonts w:ascii="Arial" w:hAnsi="Arial" w:cs="Arial"/>
          <w:sz w:val="24"/>
          <w:szCs w:val="24"/>
        </w:rPr>
        <w:t>which also</w:t>
      </w:r>
      <w:r w:rsidRPr="00F979D1">
        <w:rPr>
          <w:rFonts w:ascii="Arial" w:hAnsi="Arial" w:cs="Arial"/>
          <w:sz w:val="24"/>
          <w:szCs w:val="24"/>
        </w:rPr>
        <w:t xml:space="preserve"> take part in plant response towards different kind of stresses. Shikimic acid (SHA) is an important </w:t>
      </w:r>
      <w:r>
        <w:rPr>
          <w:rFonts w:ascii="Arial" w:hAnsi="Arial" w:cs="Arial"/>
          <w:sz w:val="24"/>
          <w:szCs w:val="24"/>
        </w:rPr>
        <w:t xml:space="preserve">plant </w:t>
      </w:r>
      <w:r w:rsidRPr="00F979D1">
        <w:rPr>
          <w:rFonts w:ascii="Arial" w:hAnsi="Arial" w:cs="Arial"/>
          <w:sz w:val="24"/>
          <w:szCs w:val="24"/>
        </w:rPr>
        <w:t>intermediate</w:t>
      </w:r>
      <w:r w:rsidR="00B6750F">
        <w:rPr>
          <w:rFonts w:ascii="Arial" w:hAnsi="Arial" w:cs="Arial"/>
          <w:sz w:val="24"/>
          <w:szCs w:val="24"/>
        </w:rPr>
        <w:t xml:space="preserve"> and a</w:t>
      </w:r>
      <w:r w:rsidRPr="00F979D1">
        <w:rPr>
          <w:rFonts w:ascii="Arial" w:hAnsi="Arial" w:cs="Arial"/>
          <w:sz w:val="24"/>
          <w:szCs w:val="24"/>
        </w:rPr>
        <w:t xml:space="preserve"> key molecule in the biosynthesis of many secondary metabolites implicated in the stress response mechanisms. The </w:t>
      </w:r>
      <w:r w:rsidRPr="00F979D1">
        <w:rPr>
          <w:rFonts w:ascii="Arial" w:hAnsi="Arial" w:cs="Arial"/>
          <w:i/>
          <w:iCs/>
          <w:sz w:val="24"/>
          <w:szCs w:val="24"/>
        </w:rPr>
        <w:t>Nicotiana</w:t>
      </w:r>
      <w:r w:rsidRPr="00F979D1">
        <w:rPr>
          <w:rFonts w:ascii="Arial" w:hAnsi="Arial" w:cs="Arial"/>
          <w:sz w:val="24"/>
          <w:szCs w:val="24"/>
        </w:rPr>
        <w:t xml:space="preserve"> genus includes small, well characterized plants, traditionally used as biological models for genetic and physiological studies; the insertion of the rolC gene from </w:t>
      </w:r>
      <w:r w:rsidRPr="00F979D1">
        <w:rPr>
          <w:rFonts w:ascii="Arial" w:hAnsi="Arial" w:cs="Arial"/>
          <w:i/>
          <w:iCs/>
          <w:sz w:val="24"/>
          <w:szCs w:val="24"/>
        </w:rPr>
        <w:t>Agrobacterium rhizogenes</w:t>
      </w:r>
      <w:r w:rsidRPr="00F979D1">
        <w:rPr>
          <w:rFonts w:ascii="Arial" w:hAnsi="Arial" w:cs="Arial"/>
          <w:sz w:val="24"/>
          <w:szCs w:val="24"/>
        </w:rPr>
        <w:t xml:space="preserve"> and the rat glucocorticoid receptor (GR) gene in </w:t>
      </w:r>
      <w:r w:rsidRPr="00F979D1">
        <w:rPr>
          <w:rFonts w:ascii="Arial" w:hAnsi="Arial" w:cs="Arial"/>
          <w:i/>
          <w:iCs/>
          <w:sz w:val="24"/>
          <w:szCs w:val="24"/>
        </w:rPr>
        <w:t xml:space="preserve">Nicotiana </w:t>
      </w:r>
      <w:r w:rsidRPr="00F979D1">
        <w:rPr>
          <w:rFonts w:ascii="Arial" w:hAnsi="Arial" w:cs="Arial"/>
          <w:sz w:val="24"/>
          <w:szCs w:val="24"/>
        </w:rPr>
        <w:t>plants have been previously investigated, demonstrating interesting results for the production of resistant plants. In this study, a new HPLC-</w:t>
      </w:r>
      <w:r>
        <w:rPr>
          <w:rFonts w:ascii="Arial" w:hAnsi="Arial" w:cs="Arial"/>
          <w:sz w:val="24"/>
          <w:szCs w:val="24"/>
        </w:rPr>
        <w:t>ESI-LTQ Orbitrap</w:t>
      </w:r>
      <w:r w:rsidRPr="00F979D1">
        <w:rPr>
          <w:rFonts w:ascii="Arial" w:hAnsi="Arial" w:cs="Arial"/>
          <w:sz w:val="24"/>
          <w:szCs w:val="24"/>
        </w:rPr>
        <w:t xml:space="preserve"> method for the simultaneous quantification of SA, JA and SHA in </w:t>
      </w:r>
      <w:r w:rsidRPr="00F979D1">
        <w:rPr>
          <w:rFonts w:ascii="Arial" w:hAnsi="Arial" w:cs="Arial"/>
          <w:i/>
          <w:iCs/>
          <w:sz w:val="24"/>
          <w:szCs w:val="24"/>
        </w:rPr>
        <w:t>N. Langsdorffii</w:t>
      </w:r>
      <w:r w:rsidRPr="00F979D1">
        <w:rPr>
          <w:rFonts w:ascii="Arial" w:hAnsi="Arial" w:cs="Arial"/>
          <w:sz w:val="24"/>
          <w:szCs w:val="24"/>
        </w:rPr>
        <w:t xml:space="preserve"> is pres</w:t>
      </w:r>
      <w:r>
        <w:rPr>
          <w:rFonts w:ascii="Arial" w:hAnsi="Arial" w:cs="Arial"/>
          <w:sz w:val="24"/>
          <w:szCs w:val="24"/>
        </w:rPr>
        <w:t>ented. The method was developed and</w:t>
      </w:r>
      <w:r w:rsidRPr="00F979D1">
        <w:rPr>
          <w:rFonts w:ascii="Arial" w:hAnsi="Arial" w:cs="Arial"/>
          <w:sz w:val="24"/>
          <w:szCs w:val="24"/>
        </w:rPr>
        <w:t xml:space="preserve"> validated </w:t>
      </w:r>
      <w:r>
        <w:rPr>
          <w:rFonts w:ascii="Arial" w:hAnsi="Arial" w:cs="Arial"/>
          <w:sz w:val="24"/>
          <w:szCs w:val="24"/>
        </w:rPr>
        <w:t xml:space="preserve">by estimating matrix effect, accuracy, precision and the detection limits. The method, which, to our known, is the first </w:t>
      </w:r>
      <w:r w:rsidRPr="00F979D1">
        <w:rPr>
          <w:rFonts w:ascii="Arial" w:hAnsi="Arial" w:cs="Arial"/>
          <w:sz w:val="24"/>
          <w:szCs w:val="24"/>
        </w:rPr>
        <w:t>which permit the si</w:t>
      </w:r>
      <w:r w:rsidR="00B6750F">
        <w:rPr>
          <w:rFonts w:ascii="Arial" w:hAnsi="Arial" w:cs="Arial"/>
          <w:sz w:val="24"/>
          <w:szCs w:val="24"/>
        </w:rPr>
        <w:t>multaneous quantification of the</w:t>
      </w:r>
      <w:r w:rsidRPr="00F979D1">
        <w:rPr>
          <w:rFonts w:ascii="Arial" w:hAnsi="Arial" w:cs="Arial"/>
          <w:sz w:val="24"/>
          <w:szCs w:val="24"/>
        </w:rPr>
        <w:t>s</w:t>
      </w:r>
      <w:r w:rsidR="00B6750F">
        <w:rPr>
          <w:rFonts w:ascii="Arial" w:hAnsi="Arial" w:cs="Arial"/>
          <w:sz w:val="24"/>
          <w:szCs w:val="24"/>
        </w:rPr>
        <w:t>e</w:t>
      </w:r>
      <w:r w:rsidRPr="00F979D1">
        <w:rPr>
          <w:rFonts w:ascii="Arial" w:hAnsi="Arial" w:cs="Arial"/>
          <w:sz w:val="24"/>
          <w:szCs w:val="24"/>
        </w:rPr>
        <w:t xml:space="preserve"> three compounds</w:t>
      </w:r>
      <w:r>
        <w:rPr>
          <w:rFonts w:ascii="Arial" w:hAnsi="Arial" w:cs="Arial"/>
          <w:sz w:val="24"/>
          <w:szCs w:val="24"/>
        </w:rPr>
        <w:t>, was then</w:t>
      </w:r>
      <w:r w:rsidRPr="00F979D1">
        <w:rPr>
          <w:rFonts w:ascii="Arial" w:hAnsi="Arial" w:cs="Arial"/>
          <w:sz w:val="24"/>
          <w:szCs w:val="24"/>
        </w:rPr>
        <w:t xml:space="preserve"> applied to 82 wild and transgenic plants, exposed to che</w:t>
      </w:r>
      <w:r>
        <w:rPr>
          <w:rFonts w:ascii="Arial" w:hAnsi="Arial" w:cs="Arial"/>
          <w:sz w:val="24"/>
          <w:szCs w:val="24"/>
        </w:rPr>
        <w:t xml:space="preserve">mical, water and heat stresses. </w:t>
      </w:r>
      <w:r w:rsidRPr="00F979D1">
        <w:rPr>
          <w:rFonts w:ascii="Arial" w:hAnsi="Arial" w:cs="Arial"/>
          <w:sz w:val="24"/>
          <w:szCs w:val="24"/>
        </w:rPr>
        <w:t>The results showed a differential regulation of the phytohormone</w:t>
      </w:r>
      <w:r w:rsidR="003E2A9A">
        <w:rPr>
          <w:rFonts w:ascii="Arial" w:hAnsi="Arial" w:cs="Arial"/>
          <w:sz w:val="24"/>
          <w:szCs w:val="24"/>
        </w:rPr>
        <w:t>s’</w:t>
      </w:r>
      <w:r w:rsidRPr="00F979D1">
        <w:rPr>
          <w:rFonts w:ascii="Arial" w:hAnsi="Arial" w:cs="Arial"/>
          <w:sz w:val="24"/>
          <w:szCs w:val="24"/>
        </w:rPr>
        <w:t xml:space="preserve"> levels in the wild and genetically modified plants, as a clear indication of the activation of stress response processes. A differential induction of the shikimic acid pathway in stressed plants was moreover observed, highlighting the mechanisms the plant behavior agai</w:t>
      </w:r>
      <w:r>
        <w:rPr>
          <w:rFonts w:ascii="Arial" w:hAnsi="Arial" w:cs="Arial"/>
          <w:sz w:val="24"/>
          <w:szCs w:val="24"/>
        </w:rPr>
        <w:t>nst different abiotic stresses.</w:t>
      </w:r>
    </w:p>
    <w:p w:rsidR="0080430D" w:rsidRPr="00335AAD" w:rsidRDefault="0080430D" w:rsidP="0085149A">
      <w:pPr>
        <w:rPr>
          <w:rFonts w:ascii="Arial" w:hAnsi="Arial" w:cs="Arial"/>
          <w:b/>
          <w:bCs/>
          <w:sz w:val="56"/>
          <w:szCs w:val="56"/>
        </w:rPr>
      </w:pPr>
    </w:p>
    <w:p w:rsidR="0080430D" w:rsidRDefault="0080430D" w:rsidP="0085149A">
      <w:pPr>
        <w:ind w:left="1" w:hanging="1"/>
        <w:rPr>
          <w:rFonts w:ascii="Arial" w:hAnsi="Arial" w:cs="Arial"/>
          <w:sz w:val="22"/>
          <w:szCs w:val="22"/>
        </w:rPr>
      </w:pPr>
      <w:r w:rsidRPr="00335AAD">
        <w:rPr>
          <w:rFonts w:ascii="Arial" w:hAnsi="Arial" w:cs="Arial"/>
          <w:b/>
          <w:bCs/>
          <w:sz w:val="22"/>
          <w:szCs w:val="22"/>
        </w:rPr>
        <w:t xml:space="preserve">Keywords: </w:t>
      </w:r>
      <w:r w:rsidRPr="000A5C99">
        <w:rPr>
          <w:rFonts w:ascii="Arial" w:hAnsi="Arial" w:cs="Arial"/>
          <w:sz w:val="22"/>
          <w:szCs w:val="22"/>
        </w:rPr>
        <w:t>HPLC-HRMS</w:t>
      </w:r>
      <w:r>
        <w:rPr>
          <w:rFonts w:ascii="Arial" w:hAnsi="Arial" w:cs="Arial"/>
          <w:sz w:val="22"/>
          <w:szCs w:val="22"/>
        </w:rPr>
        <w:t xml:space="preserve">, </w:t>
      </w:r>
      <w:r w:rsidRPr="000A5C99">
        <w:rPr>
          <w:rFonts w:ascii="Arial" w:hAnsi="Arial" w:cs="Arial"/>
          <w:i/>
          <w:iCs/>
          <w:sz w:val="22"/>
          <w:szCs w:val="22"/>
        </w:rPr>
        <w:t>Nicotiana Langsdor</w:t>
      </w:r>
      <w:r>
        <w:rPr>
          <w:rFonts w:ascii="Arial" w:hAnsi="Arial" w:cs="Arial"/>
          <w:i/>
          <w:iCs/>
          <w:sz w:val="22"/>
          <w:szCs w:val="22"/>
        </w:rPr>
        <w:t>f</w:t>
      </w:r>
      <w:r w:rsidRPr="000A5C99">
        <w:rPr>
          <w:rFonts w:ascii="Arial" w:hAnsi="Arial" w:cs="Arial"/>
          <w:i/>
          <w:iCs/>
          <w:sz w:val="22"/>
          <w:szCs w:val="22"/>
        </w:rPr>
        <w:t>fii</w:t>
      </w:r>
      <w:r>
        <w:rPr>
          <w:rFonts w:ascii="Arial" w:hAnsi="Arial" w:cs="Arial"/>
          <w:sz w:val="22"/>
          <w:szCs w:val="22"/>
        </w:rPr>
        <w:t xml:space="preserve">, environmental stresses, </w:t>
      </w:r>
      <w:r w:rsidR="00566917">
        <w:rPr>
          <w:rFonts w:ascii="Arial" w:hAnsi="Arial" w:cs="Arial"/>
          <w:sz w:val="22"/>
          <w:szCs w:val="22"/>
        </w:rPr>
        <w:t>genetic modification</w:t>
      </w:r>
    </w:p>
    <w:p w:rsidR="0080430D" w:rsidRDefault="0080430D" w:rsidP="0085149A">
      <w:pPr>
        <w:ind w:left="1" w:hanging="1"/>
        <w:rPr>
          <w:rFonts w:ascii="Arial" w:hAnsi="Arial" w:cs="Arial"/>
          <w:sz w:val="22"/>
          <w:szCs w:val="22"/>
        </w:rPr>
      </w:pPr>
    </w:p>
    <w:p w:rsidR="0080430D" w:rsidRDefault="0080430D" w:rsidP="0085149A">
      <w:pPr>
        <w:ind w:left="1" w:hanging="1"/>
        <w:rPr>
          <w:rFonts w:ascii="Arial" w:hAnsi="Arial" w:cs="Arial"/>
          <w:sz w:val="22"/>
          <w:szCs w:val="22"/>
        </w:rPr>
      </w:pPr>
    </w:p>
    <w:p w:rsidR="0080430D" w:rsidRPr="00335AAD" w:rsidRDefault="0080430D" w:rsidP="0085149A">
      <w:pPr>
        <w:ind w:left="1" w:hanging="1"/>
        <w:rPr>
          <w:rFonts w:ascii="Arial" w:hAnsi="Arial" w:cs="Arial"/>
          <w:b/>
          <w:bCs/>
          <w:sz w:val="22"/>
          <w:szCs w:val="22"/>
        </w:rPr>
      </w:pPr>
      <w:r w:rsidRPr="002F6377">
        <w:rPr>
          <w:rFonts w:ascii="Arial" w:hAnsi="Arial" w:cs="Arial"/>
          <w:b/>
          <w:bCs/>
          <w:sz w:val="22"/>
          <w:szCs w:val="22"/>
        </w:rPr>
        <w:t>Acknowledgements</w:t>
      </w:r>
      <w:r w:rsidRPr="00A161BD">
        <w:rPr>
          <w:rFonts w:ascii="Arial" w:hAnsi="Arial" w:cs="Arial"/>
          <w:sz w:val="24"/>
          <w:szCs w:val="24"/>
        </w:rPr>
        <w:t>:</w:t>
      </w:r>
      <w:r w:rsidRPr="00A161BD">
        <w:rPr>
          <w:rFonts w:ascii="Arial" w:hAnsi="Arial" w:cs="Arial"/>
          <w:i/>
          <w:iCs/>
          <w:sz w:val="22"/>
          <w:szCs w:val="22"/>
        </w:rPr>
        <w:t>The study was funded by the project PRIN 2009 prot.20098TN4CY_005</w:t>
      </w:r>
      <w:r>
        <w:rPr>
          <w:rFonts w:ascii="Arial" w:hAnsi="Arial" w:cs="Arial"/>
          <w:i/>
          <w:iCs/>
          <w:sz w:val="22"/>
          <w:szCs w:val="22"/>
        </w:rPr>
        <w:t>.</w:t>
      </w:r>
      <w:r w:rsidRPr="000E3F1B">
        <w:rPr>
          <w:sz w:val="22"/>
          <w:szCs w:val="22"/>
        </w:rPr>
        <w:t xml:space="preserve"> </w:t>
      </w:r>
    </w:p>
    <w:sectPr w:rsidR="0080430D" w:rsidRPr="00335AAD" w:rsidSect="0085149A">
      <w:pgSz w:w="11907" w:h="16840" w:code="9"/>
      <w:pgMar w:top="1418" w:right="1418" w:bottom="1418" w:left="1418" w:header="0" w:footer="425" w:gutter="0"/>
      <w:paperSrc w:first="7" w:other="7"/>
      <w:cols w:space="425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angSong_GB2312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hyphenationZone w:val="283"/>
  <w:drawingGridHorizontalSpacing w:val="105"/>
  <w:drawingGridVerticalSpacing w:val="299"/>
  <w:displayHorizontalDrawingGridEvery w:val="2"/>
  <w:characterSpacingControl w:val="compressPunctuation"/>
  <w:doNotValidateAgainstSchema/>
  <w:doNotDemarcateInvalidXml/>
  <w:compat>
    <w:useFELayout/>
  </w:compat>
  <w:rsids>
    <w:rsidRoot w:val="00597B79"/>
    <w:rsid w:val="00026F43"/>
    <w:rsid w:val="00035E93"/>
    <w:rsid w:val="000A5C99"/>
    <w:rsid w:val="000E3F1B"/>
    <w:rsid w:val="00107A9D"/>
    <w:rsid w:val="00133A75"/>
    <w:rsid w:val="00193BF4"/>
    <w:rsid w:val="001C1885"/>
    <w:rsid w:val="001D3CF4"/>
    <w:rsid w:val="002355BA"/>
    <w:rsid w:val="0026207C"/>
    <w:rsid w:val="002B197B"/>
    <w:rsid w:val="002F4900"/>
    <w:rsid w:val="002F6377"/>
    <w:rsid w:val="00300BC2"/>
    <w:rsid w:val="00310775"/>
    <w:rsid w:val="00335AAD"/>
    <w:rsid w:val="003408FD"/>
    <w:rsid w:val="00362587"/>
    <w:rsid w:val="003E2A9A"/>
    <w:rsid w:val="00566917"/>
    <w:rsid w:val="00585197"/>
    <w:rsid w:val="00597B79"/>
    <w:rsid w:val="00631328"/>
    <w:rsid w:val="00640BAE"/>
    <w:rsid w:val="007439D2"/>
    <w:rsid w:val="00793E4C"/>
    <w:rsid w:val="007D2351"/>
    <w:rsid w:val="0080430D"/>
    <w:rsid w:val="0085149A"/>
    <w:rsid w:val="008E1208"/>
    <w:rsid w:val="00941FC7"/>
    <w:rsid w:val="00A161BD"/>
    <w:rsid w:val="00AF0B1E"/>
    <w:rsid w:val="00AF4235"/>
    <w:rsid w:val="00B6750F"/>
    <w:rsid w:val="00B80F5E"/>
    <w:rsid w:val="00B93FE7"/>
    <w:rsid w:val="00BA3CA2"/>
    <w:rsid w:val="00C03364"/>
    <w:rsid w:val="00C059AB"/>
    <w:rsid w:val="00C31A43"/>
    <w:rsid w:val="00C41861"/>
    <w:rsid w:val="00CA20AE"/>
    <w:rsid w:val="00CE6EB4"/>
    <w:rsid w:val="00CE7B4B"/>
    <w:rsid w:val="00D271F8"/>
    <w:rsid w:val="00DF5FCF"/>
    <w:rsid w:val="00F9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B79"/>
    <w:pPr>
      <w:widowControl w:val="0"/>
      <w:jc w:val="both"/>
    </w:pPr>
    <w:rPr>
      <w:kern w:val="2"/>
      <w:sz w:val="21"/>
      <w:szCs w:val="21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r">
    <w:name w:val="Char"/>
    <w:basedOn w:val="Normale"/>
    <w:autoRedefine/>
    <w:uiPriority w:val="99"/>
    <w:rsid w:val="00597B79"/>
    <w:pPr>
      <w:widowControl/>
      <w:spacing w:after="160" w:line="240" w:lineRule="exact"/>
      <w:jc w:val="left"/>
    </w:pPr>
    <w:rPr>
      <w:rFonts w:ascii="Verdana" w:eastAsia="FangSong_GB2312" w:hAnsi="Verdana" w:cs="Verdana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Response of three clamworm populations to weather and environment in the Futian organic-rich mangrove wetland in Shenzhen Bay, China</vt:lpstr>
    </vt:vector>
  </TitlesOfParts>
  <Company>Hewlett-Packard Company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of three clamworm populations to weather and environment in the Futian organic-rich mangrove wetland in Shenzhen Bay, China</dc:title>
  <dc:subject/>
  <dc:creator>starcraft</dc:creator>
  <cp:keywords/>
  <dc:description/>
  <cp:lastModifiedBy>Pina</cp:lastModifiedBy>
  <cp:revision>2</cp:revision>
  <dcterms:created xsi:type="dcterms:W3CDTF">2016-04-27T09:49:00Z</dcterms:created>
  <dcterms:modified xsi:type="dcterms:W3CDTF">2016-04-27T09:49:00Z</dcterms:modified>
</cp:coreProperties>
</file>