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5960F8" w:rsidRDefault="005960F8">
      <w:pPr>
        <w:widowControl w:val="0"/>
        <w:pBdr>
          <w:top w:val="nil"/>
          <w:left w:val="nil"/>
          <w:bottom w:val="nil"/>
          <w:right w:val="nil"/>
          <w:between w:val="nil"/>
        </w:pBdr>
        <w:spacing w:line="276" w:lineRule="auto"/>
        <w:jc w:val="left"/>
      </w:pPr>
    </w:p>
    <w:p w14:paraId="00000004" w14:textId="1833BF46" w:rsidR="005960F8" w:rsidRDefault="009806C0" w:rsidP="009806C0">
      <w:pPr>
        <w:jc w:val="center"/>
        <w:rPr>
          <w:rFonts w:eastAsiaTheme="majorEastAsia"/>
          <w:b/>
          <w:bCs/>
          <w:sz w:val="30"/>
          <w:szCs w:val="30"/>
        </w:rPr>
      </w:pPr>
      <w:r w:rsidRPr="009806C0">
        <w:rPr>
          <w:rFonts w:eastAsiaTheme="majorEastAsia"/>
          <w:b/>
          <w:bCs/>
          <w:sz w:val="30"/>
          <w:szCs w:val="30"/>
        </w:rPr>
        <w:t xml:space="preserve">Determinants of </w:t>
      </w:r>
      <w:r w:rsidR="00DF21CA">
        <w:rPr>
          <w:rFonts w:eastAsiaTheme="majorEastAsia"/>
          <w:b/>
          <w:bCs/>
          <w:sz w:val="30"/>
          <w:szCs w:val="30"/>
        </w:rPr>
        <w:t>i</w:t>
      </w:r>
      <w:r w:rsidRPr="009806C0">
        <w:rPr>
          <w:rFonts w:eastAsiaTheme="majorEastAsia"/>
          <w:b/>
          <w:bCs/>
          <w:sz w:val="30"/>
          <w:szCs w:val="30"/>
        </w:rPr>
        <w:t xml:space="preserve">nternal </w:t>
      </w:r>
      <w:r w:rsidR="00DF21CA">
        <w:rPr>
          <w:rFonts w:eastAsiaTheme="majorEastAsia"/>
          <w:b/>
          <w:bCs/>
          <w:sz w:val="30"/>
          <w:szCs w:val="30"/>
        </w:rPr>
        <w:t>c</w:t>
      </w:r>
      <w:r w:rsidRPr="009806C0">
        <w:rPr>
          <w:rFonts w:eastAsiaTheme="majorEastAsia"/>
          <w:b/>
          <w:bCs/>
          <w:sz w:val="30"/>
          <w:szCs w:val="30"/>
        </w:rPr>
        <w:t xml:space="preserve">arbon </w:t>
      </w:r>
      <w:r w:rsidR="00DF21CA">
        <w:rPr>
          <w:rFonts w:eastAsiaTheme="majorEastAsia"/>
          <w:b/>
          <w:bCs/>
          <w:sz w:val="30"/>
          <w:szCs w:val="30"/>
        </w:rPr>
        <w:t>p</w:t>
      </w:r>
      <w:r w:rsidRPr="009806C0">
        <w:rPr>
          <w:rFonts w:eastAsiaTheme="majorEastAsia"/>
          <w:b/>
          <w:bCs/>
          <w:sz w:val="30"/>
          <w:szCs w:val="30"/>
        </w:rPr>
        <w:t xml:space="preserve">ricing </w:t>
      </w:r>
      <w:r w:rsidR="009930F6">
        <w:rPr>
          <w:rFonts w:eastAsiaTheme="majorEastAsia"/>
          <w:b/>
          <w:bCs/>
          <w:sz w:val="30"/>
          <w:szCs w:val="30"/>
        </w:rPr>
        <w:t>a</w:t>
      </w:r>
      <w:r w:rsidRPr="009806C0">
        <w:rPr>
          <w:rFonts w:eastAsiaTheme="majorEastAsia"/>
          <w:b/>
          <w:bCs/>
          <w:sz w:val="30"/>
          <w:szCs w:val="30"/>
        </w:rPr>
        <w:t xml:space="preserve">doption: Evidence from European </w:t>
      </w:r>
      <w:r w:rsidR="009930F6">
        <w:rPr>
          <w:rFonts w:eastAsiaTheme="majorEastAsia"/>
          <w:b/>
          <w:bCs/>
          <w:sz w:val="30"/>
          <w:szCs w:val="30"/>
        </w:rPr>
        <w:t>c</w:t>
      </w:r>
      <w:r w:rsidRPr="009806C0">
        <w:rPr>
          <w:rFonts w:eastAsiaTheme="majorEastAsia"/>
          <w:b/>
          <w:bCs/>
          <w:sz w:val="30"/>
          <w:szCs w:val="30"/>
        </w:rPr>
        <w:t>ompanies</w:t>
      </w:r>
    </w:p>
    <w:p w14:paraId="00000005" w14:textId="19A102DA" w:rsidR="005960F8" w:rsidRDefault="00000000">
      <w:pPr>
        <w:pStyle w:val="Titolo2"/>
        <w:rPr>
          <w:b w:val="0"/>
          <w:i/>
        </w:rPr>
      </w:pPr>
      <w:bookmarkStart w:id="0" w:name="_heading=h.rg5w6sbyi657" w:colFirst="0" w:colLast="0"/>
      <w:bookmarkEnd w:id="0"/>
      <w:r>
        <w:t>Antonio Costantini</w:t>
      </w:r>
      <w:r>
        <w:br/>
      </w:r>
      <w:r>
        <w:rPr>
          <w:b w:val="0"/>
        </w:rPr>
        <w:t xml:space="preserve">Ca’ Foscari University, </w:t>
      </w:r>
      <w:r w:rsidR="009806C0">
        <w:rPr>
          <w:b w:val="0"/>
        </w:rPr>
        <w:t>Venice School of Management</w:t>
      </w:r>
      <w:r>
        <w:rPr>
          <w:b w:val="0"/>
        </w:rPr>
        <w:t>, Italy</w:t>
      </w:r>
      <w:r>
        <w:rPr>
          <w:b w:val="0"/>
        </w:rPr>
        <w:br/>
      </w:r>
      <w:r w:rsidRPr="00EB7DF5">
        <w:rPr>
          <w:b w:val="0"/>
          <w:i/>
        </w:rPr>
        <w:t>antonio.costantini@unive.it</w:t>
      </w:r>
    </w:p>
    <w:p w14:paraId="00000008" w14:textId="08CBD153" w:rsidR="005960F8" w:rsidRDefault="0075192E" w:rsidP="0075192E">
      <w:pPr>
        <w:pStyle w:val="Titolo2"/>
      </w:pPr>
      <w:bookmarkStart w:id="1" w:name="_heading=h.8lb6n6cpxxq9" w:colFirst="0" w:colLast="0"/>
      <w:bookmarkEnd w:id="1"/>
      <w:r w:rsidRPr="0075192E">
        <w:t>Anna</w:t>
      </w:r>
      <w:r w:rsidRPr="0075192E">
        <w:rPr>
          <w:b w:val="0"/>
          <w:bCs w:val="0"/>
        </w:rPr>
        <w:t xml:space="preserve"> </w:t>
      </w:r>
      <w:proofErr w:type="spellStart"/>
      <w:r w:rsidRPr="0075192E">
        <w:t>Quaggio</w:t>
      </w:r>
      <w:proofErr w:type="spellEnd"/>
      <w:r>
        <w:br/>
      </w:r>
      <w:proofErr w:type="spellStart"/>
      <w:r w:rsidRPr="0075192E">
        <w:rPr>
          <w:b w:val="0"/>
        </w:rPr>
        <w:t>eAmbiente</w:t>
      </w:r>
      <w:proofErr w:type="spellEnd"/>
      <w:r w:rsidRPr="0075192E">
        <w:rPr>
          <w:b w:val="0"/>
        </w:rPr>
        <w:t xml:space="preserve"> </w:t>
      </w:r>
      <w:proofErr w:type="spellStart"/>
      <w:r w:rsidRPr="0075192E">
        <w:rPr>
          <w:b w:val="0"/>
        </w:rPr>
        <w:t>Srl</w:t>
      </w:r>
      <w:proofErr w:type="spellEnd"/>
      <w:r>
        <w:rPr>
          <w:b w:val="0"/>
        </w:rPr>
        <w:t>, Italy</w:t>
      </w:r>
      <w:r>
        <w:rPr>
          <w:b w:val="0"/>
        </w:rPr>
        <w:br/>
      </w:r>
      <w:r w:rsidRPr="00EB7DF5">
        <w:rPr>
          <w:b w:val="0"/>
          <w:i/>
        </w:rPr>
        <w:t>a.quaggio@eambientesrl.com</w:t>
      </w:r>
    </w:p>
    <w:p w14:paraId="00000009" w14:textId="77777777" w:rsidR="005960F8" w:rsidRDefault="005960F8"/>
    <w:p w14:paraId="602618F7" w14:textId="6D276478" w:rsidR="004A6CFC" w:rsidRDefault="00000000" w:rsidP="004A6CFC">
      <w:r>
        <w:rPr>
          <w:i/>
        </w:rPr>
        <w:t xml:space="preserve">Abstract. </w:t>
      </w:r>
      <w:r w:rsidR="004A6CFC">
        <w:t xml:space="preserve">Climate change is one of the most pressing global challenges, and carbon pricing has emerged as an essential instrument to incentivise the reduction of greenhouse gas emissions. Among the various strategies </w:t>
      </w:r>
      <w:r w:rsidR="0027369B">
        <w:t xml:space="preserve">companies </w:t>
      </w:r>
      <w:r w:rsidR="004A6CFC">
        <w:t>adopt</w:t>
      </w:r>
      <w:r w:rsidR="0027369B">
        <w:t xml:space="preserve"> to </w:t>
      </w:r>
      <w:r w:rsidR="0027369B" w:rsidRPr="0027369B">
        <w:t xml:space="preserve">reduce their carbon footprint </w:t>
      </w:r>
      <w:r w:rsidR="0027369B">
        <w:t xml:space="preserve">and </w:t>
      </w:r>
      <w:r w:rsidR="0027369B" w:rsidRPr="0027369B">
        <w:t xml:space="preserve">manage climate-related </w:t>
      </w:r>
      <w:r w:rsidR="0027369B">
        <w:t>r</w:t>
      </w:r>
      <w:r w:rsidR="0027369B" w:rsidRPr="0027369B">
        <w:t>isks</w:t>
      </w:r>
      <w:r w:rsidR="004A6CFC">
        <w:t xml:space="preserve">, </w:t>
      </w:r>
      <w:r w:rsidR="00DF21CA">
        <w:t>i</w:t>
      </w:r>
      <w:r w:rsidR="004A6CFC">
        <w:t xml:space="preserve">nternal </w:t>
      </w:r>
      <w:r w:rsidR="00DF21CA">
        <w:t>c</w:t>
      </w:r>
      <w:r w:rsidR="004A6CFC">
        <w:t xml:space="preserve">arbon </w:t>
      </w:r>
      <w:r w:rsidR="00DF21CA">
        <w:t>p</w:t>
      </w:r>
      <w:r w:rsidR="004A6CFC">
        <w:t xml:space="preserve">ricing (ICP) stands out as a mechanism for integrating the cost of carbon into corporate decision-making. However, the existing literature reveals a gap in understanding the drivers behind ICP adoption and its impact on sustainability performance. While some studies suggest that ICP is implemented to anticipate future regulations and mitigate regulatory risk, others emphasise sectoral and geographical influences (e.g., Aldy et al., 2021; </w:t>
      </w:r>
      <w:r w:rsidR="00DF21CA">
        <w:t xml:space="preserve">Bento and </w:t>
      </w:r>
      <w:proofErr w:type="spellStart"/>
      <w:r w:rsidR="00DF21CA">
        <w:t>Gianfrate</w:t>
      </w:r>
      <w:proofErr w:type="spellEnd"/>
      <w:r w:rsidR="00DF21CA">
        <w:t>, 2020</w:t>
      </w:r>
      <w:r w:rsidR="004A6CFC">
        <w:t>).</w:t>
      </w:r>
    </w:p>
    <w:p w14:paraId="3098A72E" w14:textId="41B7E53B" w:rsidR="004A6CFC" w:rsidRDefault="004A6CFC" w:rsidP="004A6CFC">
      <w:r>
        <w:t>This study uses a quantitative research design to investigate the determinants of ICP adoption among European companies.</w:t>
      </w:r>
    </w:p>
    <w:p w14:paraId="6B525551" w14:textId="32184EF3" w:rsidR="004A6CFC" w:rsidRDefault="004A6CFC" w:rsidP="004A6CFC">
      <w:r>
        <w:t xml:space="preserve">The sample consists of 376 publicly listed firms from the STOXX Europe 600 index that responded to the 2024 Carbon Disclosure Project (CDP) questionnaire, which collects information on companies’ environmental practices and performances. </w:t>
      </w:r>
      <w:r w:rsidR="0027369B">
        <w:t xml:space="preserve">Firms’ </w:t>
      </w:r>
      <w:r>
        <w:t xml:space="preserve">sustainability and financial data </w:t>
      </w:r>
      <w:r w:rsidR="0027369B">
        <w:t>relevant to the study</w:t>
      </w:r>
      <w:r>
        <w:t xml:space="preserve"> were retrieved from the Bloomberg database. A logit regression model has been employed to estimate the probability of ICP adoption in relation to a set of predictors, including GHG emission intensity, sector classification, market capitalisation, and regulatory exposure, in alignment with the analytical framework proposed by Dao et al. (2024).</w:t>
      </w:r>
    </w:p>
    <w:p w14:paraId="509FFAD0" w14:textId="30EA895A" w:rsidR="004A6CFC" w:rsidRDefault="004A6CFC" w:rsidP="004A6CFC">
      <w:r>
        <w:t>Findings suggest that, in the European context, external regulation is not a significant predictor of ICP adoption. Instead, high-emission-intensity sectors, such as energy, materials, and utilities, are more likely to adopt ICP, indicating the relevance of risk management and competitive positioning. Moreover, the study reveals that ICP is often implemented with other sustainability initiatives, such as participation in the Science-Based Targets initiative (SBTi), seeking to foster its impact on emissions reduction.</w:t>
      </w:r>
    </w:p>
    <w:p w14:paraId="5B076F80" w14:textId="4C2E1AE7" w:rsidR="001138D6" w:rsidRDefault="004A6CFC" w:rsidP="004A6CFC">
      <w:r>
        <w:t xml:space="preserve">This research contributes to the literature on carbon pricing by offering new empirical evidence on the diffusion of ICP in Europe and underscores the role of proactive corporate </w:t>
      </w:r>
      <w:r w:rsidR="0027369B">
        <w:t xml:space="preserve">sustainability </w:t>
      </w:r>
      <w:r>
        <w:t>strategies, beyond regulatory compliance, in supporting the ecological transition.</w:t>
      </w:r>
    </w:p>
    <w:p w14:paraId="1991102F" w14:textId="77777777" w:rsidR="004A6CFC" w:rsidRDefault="004A6CFC" w:rsidP="004A6CFC"/>
    <w:p w14:paraId="00000010" w14:textId="01B6F297" w:rsidR="005960F8" w:rsidRDefault="00000000">
      <w:r>
        <w:rPr>
          <w:i/>
        </w:rPr>
        <w:t>Keywords:</w:t>
      </w:r>
      <w:r>
        <w:t xml:space="preserve"> </w:t>
      </w:r>
      <w:r w:rsidR="00D238FF">
        <w:t xml:space="preserve">climate change, </w:t>
      </w:r>
      <w:r w:rsidR="00A9123E">
        <w:t xml:space="preserve">internal </w:t>
      </w:r>
      <w:r>
        <w:t xml:space="preserve">carbon pricing, </w:t>
      </w:r>
      <w:r w:rsidR="00A9123E">
        <w:t>determinants</w:t>
      </w:r>
      <w:r>
        <w:t xml:space="preserve">, </w:t>
      </w:r>
      <w:r w:rsidR="00A9123E">
        <w:t>logit model</w:t>
      </w:r>
    </w:p>
    <w:p w14:paraId="00000011" w14:textId="77777777" w:rsidR="005960F8" w:rsidRDefault="005960F8"/>
    <w:p w14:paraId="00000012" w14:textId="77777777" w:rsidR="005960F8" w:rsidRDefault="005960F8"/>
    <w:p w14:paraId="00000013" w14:textId="00598ABA" w:rsidR="005960F8" w:rsidRDefault="00000000">
      <w:pPr>
        <w:rPr>
          <w:i/>
        </w:rPr>
      </w:pPr>
      <w:r>
        <w:rPr>
          <w:i/>
        </w:rPr>
        <w:t>References</w:t>
      </w:r>
    </w:p>
    <w:p w14:paraId="00000014" w14:textId="77777777" w:rsidR="005960F8" w:rsidRDefault="005960F8"/>
    <w:p w14:paraId="00000015" w14:textId="1959CBC0" w:rsidR="005960F8" w:rsidRDefault="00000000">
      <w:pPr>
        <w:pBdr>
          <w:top w:val="nil"/>
          <w:left w:val="nil"/>
          <w:bottom w:val="nil"/>
          <w:right w:val="nil"/>
          <w:between w:val="nil"/>
        </w:pBdr>
        <w:ind w:left="567" w:hanging="567"/>
      </w:pPr>
      <w:r>
        <w:t xml:space="preserve">Aldy, J. E., Bento, N., </w:t>
      </w:r>
      <w:r w:rsidR="00DF21CA">
        <w:t>and</w:t>
      </w:r>
      <w:r>
        <w:t xml:space="preserve"> </w:t>
      </w:r>
      <w:r w:rsidR="00DF21CA">
        <w:t xml:space="preserve">G. </w:t>
      </w:r>
      <w:proofErr w:type="spellStart"/>
      <w:r>
        <w:t>Gianfrate</w:t>
      </w:r>
      <w:proofErr w:type="spellEnd"/>
      <w:r>
        <w:t xml:space="preserve">. 2021. </w:t>
      </w:r>
      <w:r w:rsidR="00DF21CA">
        <w:t>‘</w:t>
      </w:r>
      <w:r>
        <w:t xml:space="preserve">National </w:t>
      </w:r>
      <w:r w:rsidR="00DF21CA">
        <w:t>climate policies and corporate internal carbon pricing</w:t>
      </w:r>
      <w:r>
        <w:t>.</w:t>
      </w:r>
      <w:r w:rsidR="00DF21CA">
        <w:t>’</w:t>
      </w:r>
      <w:r>
        <w:t xml:space="preserve"> </w:t>
      </w:r>
      <w:r w:rsidRPr="00DF21CA">
        <w:rPr>
          <w:i/>
          <w:iCs/>
        </w:rPr>
        <w:t>The Energy Journal</w:t>
      </w:r>
      <w:r w:rsidR="00DF21CA">
        <w:t xml:space="preserve"> </w:t>
      </w:r>
      <w:r>
        <w:t>42</w:t>
      </w:r>
      <w:r w:rsidR="00DF21CA">
        <w:t xml:space="preserve"> </w:t>
      </w:r>
      <w:r>
        <w:t>(5)</w:t>
      </w:r>
      <w:r w:rsidR="00DF21CA">
        <w:t>:</w:t>
      </w:r>
      <w:r w:rsidR="00B45086">
        <w:t xml:space="preserve"> 89-100.</w:t>
      </w:r>
    </w:p>
    <w:p w14:paraId="5C0D78C8" w14:textId="391B12D1" w:rsidR="00DF21CA" w:rsidRDefault="00DF21CA">
      <w:pPr>
        <w:ind w:left="567" w:hanging="567"/>
      </w:pPr>
      <w:r w:rsidRPr="00DF21CA">
        <w:t xml:space="preserve">Bento, N., </w:t>
      </w:r>
      <w:r>
        <w:t>and G.</w:t>
      </w:r>
      <w:r w:rsidRPr="00DF21CA">
        <w:t xml:space="preserve"> </w:t>
      </w:r>
      <w:proofErr w:type="spellStart"/>
      <w:r w:rsidRPr="00DF21CA">
        <w:t>Gianfrate</w:t>
      </w:r>
      <w:proofErr w:type="spellEnd"/>
      <w:r>
        <w:t>.</w:t>
      </w:r>
      <w:r w:rsidRPr="00DF21CA">
        <w:t xml:space="preserve"> 2020. </w:t>
      </w:r>
      <w:r>
        <w:t>‘</w:t>
      </w:r>
      <w:r w:rsidRPr="00DF21CA">
        <w:t>Determinants of internal carbon pricing.</w:t>
      </w:r>
      <w:r>
        <w:t>’</w:t>
      </w:r>
      <w:r w:rsidRPr="00DF21CA">
        <w:t xml:space="preserve"> </w:t>
      </w:r>
      <w:r w:rsidRPr="00DF21CA">
        <w:rPr>
          <w:i/>
          <w:iCs/>
        </w:rPr>
        <w:t>Energy Policy</w:t>
      </w:r>
      <w:r w:rsidRPr="00DF21CA">
        <w:t>, 143, 111499.</w:t>
      </w:r>
    </w:p>
    <w:p w14:paraId="00000018" w14:textId="46EB9CF7" w:rsidR="005960F8" w:rsidRDefault="00000000">
      <w:pPr>
        <w:ind w:left="567" w:hanging="567"/>
      </w:pPr>
      <w:r>
        <w:t xml:space="preserve">Dao, I., Roncalli, T., </w:t>
      </w:r>
      <w:r w:rsidR="00DF21CA">
        <w:t>and R.</w:t>
      </w:r>
      <w:r>
        <w:t xml:space="preserve"> </w:t>
      </w:r>
      <w:proofErr w:type="spellStart"/>
      <w:r>
        <w:t>Semet</w:t>
      </w:r>
      <w:proofErr w:type="spellEnd"/>
      <w:r w:rsidR="00DF21CA">
        <w:t xml:space="preserve">. </w:t>
      </w:r>
      <w:r>
        <w:t xml:space="preserve">2024. </w:t>
      </w:r>
      <w:r w:rsidR="00C67B4B">
        <w:t>‘</w:t>
      </w:r>
      <w:r>
        <w:t xml:space="preserve">An Introduction to </w:t>
      </w:r>
      <w:r w:rsidR="00DF21CA">
        <w:t>c</w:t>
      </w:r>
      <w:r>
        <w:t xml:space="preserve">arbon </w:t>
      </w:r>
      <w:r w:rsidR="00DF21CA">
        <w:t>p</w:t>
      </w:r>
      <w:r>
        <w:t xml:space="preserve">ricing: Carbon </w:t>
      </w:r>
      <w:r w:rsidR="00DF21CA">
        <w:t>t</w:t>
      </w:r>
      <w:r>
        <w:t xml:space="preserve">ax, Cap &amp; Trade, ETS and </w:t>
      </w:r>
      <w:r w:rsidR="00DF21CA">
        <w:t>i</w:t>
      </w:r>
      <w:r>
        <w:t xml:space="preserve">nternal </w:t>
      </w:r>
      <w:r w:rsidR="00C67B4B">
        <w:t>c</w:t>
      </w:r>
      <w:r>
        <w:t xml:space="preserve">arbon </w:t>
      </w:r>
      <w:r w:rsidR="00C67B4B">
        <w:t>p</w:t>
      </w:r>
      <w:r>
        <w:t>rice.</w:t>
      </w:r>
      <w:r w:rsidR="00C67B4B">
        <w:t>’</w:t>
      </w:r>
      <w:r>
        <w:t xml:space="preserve"> </w:t>
      </w:r>
      <w:r w:rsidR="00C67B4B">
        <w:t xml:space="preserve">Available at SSRN: </w:t>
      </w:r>
      <w:r w:rsidR="00C67B4B" w:rsidRPr="00C67B4B">
        <w:t>http://dx.doi.org/10.2139/ssrn.4940475</w:t>
      </w:r>
      <w:r w:rsidR="00C67B4B">
        <w:t>.</w:t>
      </w:r>
    </w:p>
    <w:p w14:paraId="0000001B" w14:textId="77777777" w:rsidR="005960F8" w:rsidRDefault="005960F8">
      <w:pPr>
        <w:jc w:val="left"/>
      </w:pPr>
    </w:p>
    <w:sectPr w:rsidR="005960F8">
      <w:headerReference w:type="even" r:id="rId7"/>
      <w:headerReference w:type="default" r:id="rId8"/>
      <w:headerReference w:type="first" r:id="rId9"/>
      <w:pgSz w:w="11906" w:h="16838"/>
      <w:pgMar w:top="2268" w:right="1418" w:bottom="1418" w:left="141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39CD7" w14:textId="77777777" w:rsidR="0062270C" w:rsidRDefault="0062270C">
      <w:r>
        <w:separator/>
      </w:r>
    </w:p>
  </w:endnote>
  <w:endnote w:type="continuationSeparator" w:id="0">
    <w:p w14:paraId="5CC28160" w14:textId="77777777" w:rsidR="0062270C" w:rsidRDefault="006227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B8CD92" w14:textId="77777777" w:rsidR="0062270C" w:rsidRDefault="0062270C">
      <w:r>
        <w:separator/>
      </w:r>
    </w:p>
  </w:footnote>
  <w:footnote w:type="continuationSeparator" w:id="0">
    <w:p w14:paraId="1B674119" w14:textId="77777777" w:rsidR="0062270C" w:rsidRDefault="006227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1C" w14:textId="77777777" w:rsidR="005960F8" w:rsidRDefault="00000000">
    <w:pPr>
      <w:pBdr>
        <w:top w:val="nil"/>
        <w:left w:val="nil"/>
        <w:bottom w:val="nil"/>
        <w:right w:val="nil"/>
        <w:between w:val="nil"/>
      </w:pBdr>
      <w:tabs>
        <w:tab w:val="center" w:pos="4536"/>
        <w:tab w:val="right" w:pos="9072"/>
      </w:tabs>
      <w:rPr>
        <w:color w:val="000000"/>
      </w:rPr>
    </w:pPr>
    <w:r>
      <w:rPr>
        <w:color w:val="000000"/>
      </w:rPr>
      <w:pict w14:anchorId="72DAEF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8" type="#_x0000_t75" alt="" style="position:absolute;left:0;text-align:left;margin-left:0;margin-top:0;width:595.15pt;height:841.8pt;z-index:-251657728;mso-position-horizontal:center;mso-position-horizontal-relative:margin;mso-position-vertical:center;mso-position-vertical-relative:margin">
          <v:imagedata r:id="rId1" o:title="image3"/>
          <w10:wrap anchorx="margin" anchory="margin"/>
        </v:shape>
      </w:pict>
    </w:r>
    <w:r>
      <w:rPr>
        <w:color w:val="000000"/>
      </w:rPr>
      <w:pict w14:anchorId="2A86B93A">
        <v:shape id="_x0000_s1027" type="#_x0000_t75" style="position:absolute;left:0;text-align:left;margin-left:0;margin-top:0;width:595.15pt;height:841.8pt;z-index:-251654656;mso-position-horizontal:center;mso-position-horizontal-relative:margin;mso-position-vertical:center;mso-position-vertical-relative:margin" o:allowincell="f">
          <v:imagedata r:id="rId2" o:title="glava"/>
          <w10:wrap anchorx="margin" anchory="margin"/>
        </v:shape>
      </w:pict>
    </w:r>
    <w:r>
      <w:rPr>
        <w:color w:val="000000"/>
      </w:rPr>
      <w:pict w14:anchorId="04BE8C20">
        <v:shape id="WordPictureWatermark8" o:spid="_x0000_s1026" type="#_x0000_t75" alt="" style="position:absolute;left:0;text-align:left;margin-left:0;margin-top:0;width:595.15pt;height:841.8pt;z-index:-251656704;mso-position-horizontal:center;mso-position-horizontal-relative:margin;mso-position-vertical:center;mso-position-vertical-relative:margin">
          <v:imagedata r:id="rId3" o:title="image4"/>
          <w10:wrap anchorx="margin" anchory="margin"/>
        </v:shape>
      </w:pict>
    </w:r>
    <w:r>
      <w:rPr>
        <w:color w:val="000000"/>
      </w:rPr>
      <w:pict w14:anchorId="6212FF13">
        <v:shape id="WordPictureWatermark3" o:spid="_x0000_s1025" type="#_x0000_t75" alt="" style="position:absolute;left:0;text-align:left;margin-left:0;margin-top:0;width:595.15pt;height:841.8pt;z-index:-251655680;mso-position-horizontal:center;mso-position-horizontal-relative:margin;mso-position-vertical:center;mso-position-vertical-relative:margin">
          <v:imagedata r:id="rId4" o:title="image2"/>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1D" w14:textId="77777777" w:rsidR="005960F8" w:rsidRDefault="00000000">
    <w:pPr>
      <w:pBdr>
        <w:top w:val="nil"/>
        <w:left w:val="nil"/>
        <w:bottom w:val="nil"/>
        <w:right w:val="nil"/>
        <w:between w:val="nil"/>
      </w:pBdr>
      <w:tabs>
        <w:tab w:val="center" w:pos="4536"/>
        <w:tab w:val="right" w:pos="9072"/>
        <w:tab w:val="left" w:pos="2410"/>
      </w:tabs>
      <w:rPr>
        <w:color w:val="000000"/>
      </w:rPr>
    </w:pPr>
    <w:r>
      <w:rPr>
        <w:color w:val="000000"/>
      </w:rPr>
      <w:pict w14:anchorId="77A2A0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 o:spid="_x0000_s1033" type="#_x0000_t75" alt="" style="position:absolute;left:0;text-align:left;margin-left:0;margin-top:0;width:595.15pt;height:841.8pt;z-index:-251662848;mso-position-horizontal:center;mso-position-horizontal-relative:page;mso-position-vertical:center;mso-position-vertical-relative:page">
          <v:imagedata r:id="rId1" o:title="image3"/>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1E" w14:textId="77777777" w:rsidR="005960F8" w:rsidRDefault="00000000">
    <w:pPr>
      <w:pBdr>
        <w:top w:val="nil"/>
        <w:left w:val="nil"/>
        <w:bottom w:val="nil"/>
        <w:right w:val="nil"/>
        <w:between w:val="nil"/>
      </w:pBdr>
      <w:tabs>
        <w:tab w:val="center" w:pos="4536"/>
        <w:tab w:val="right" w:pos="9072"/>
      </w:tabs>
      <w:rPr>
        <w:color w:val="000000"/>
      </w:rPr>
    </w:pPr>
    <w:r>
      <w:rPr>
        <w:color w:val="000000"/>
      </w:rPr>
      <w:pict w14:anchorId="1B2C09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 o:spid="_x0000_s1032" type="#_x0000_t75" alt="" style="position:absolute;left:0;text-align:left;margin-left:0;margin-top:0;width:595.15pt;height:841.8pt;z-index:-251661824;mso-position-horizontal:center;mso-position-horizontal-relative:margin;mso-position-vertical:center;mso-position-vertical-relative:margin">
          <v:imagedata r:id="rId1" o:title="image3"/>
          <w10:wrap anchorx="margin" anchory="margin"/>
        </v:shape>
      </w:pict>
    </w:r>
    <w:r>
      <w:rPr>
        <w:color w:val="000000"/>
      </w:rPr>
      <w:pict w14:anchorId="7517E090">
        <v:shape id="WordPictureWatermark7" o:spid="_x0000_s1031" type="#_x0000_t75" alt="" style="position:absolute;left:0;text-align:left;margin-left:0;margin-top:0;width:595.15pt;height:841.8pt;z-index:-251660800;mso-position-horizontal:center;mso-position-horizontal-relative:margin;mso-position-vertical:center;mso-position-vertical-relative:margin">
          <v:imagedata r:id="rId2" o:title="image5"/>
          <w10:wrap anchorx="margin" anchory="margin"/>
        </v:shape>
      </w:pict>
    </w:r>
    <w:r>
      <w:rPr>
        <w:color w:val="000000"/>
      </w:rPr>
      <w:pict w14:anchorId="493D1853">
        <v:shape id="WordPictureWatermark5" o:spid="_x0000_s1030" type="#_x0000_t75" alt="" style="position:absolute;left:0;text-align:left;margin-left:0;margin-top:0;width:595.15pt;height:841.8pt;z-index:-251659776;mso-position-horizontal:center;mso-position-horizontal-relative:margin;mso-position-vertical:center;mso-position-vertical-relative:margin">
          <v:imagedata r:id="rId3" o:title="image4"/>
          <w10:wrap anchorx="margin" anchory="margin"/>
        </v:shape>
      </w:pict>
    </w:r>
    <w:r>
      <w:rPr>
        <w:color w:val="000000"/>
      </w:rPr>
      <w:pict w14:anchorId="3583FA7E">
        <v:shape id="WordPictureWatermark1" o:spid="_x0000_s1029" type="#_x0000_t75" alt="" style="position:absolute;left:0;text-align:left;margin-left:0;margin-top:0;width:595.15pt;height:841.8pt;z-index:-251658752;mso-position-horizontal:center;mso-position-horizontal-relative:margin;mso-position-vertical:center;mso-position-vertical-relative:margin">
          <v:imagedata r:id="rId4" o:title="image2"/>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60F8"/>
    <w:rsid w:val="00021458"/>
    <w:rsid w:val="001138D6"/>
    <w:rsid w:val="0027369B"/>
    <w:rsid w:val="003534DB"/>
    <w:rsid w:val="004A6CFC"/>
    <w:rsid w:val="005960F8"/>
    <w:rsid w:val="0062270C"/>
    <w:rsid w:val="0074692C"/>
    <w:rsid w:val="0075192E"/>
    <w:rsid w:val="007734EE"/>
    <w:rsid w:val="007813BF"/>
    <w:rsid w:val="007D490B"/>
    <w:rsid w:val="008068D7"/>
    <w:rsid w:val="0094000A"/>
    <w:rsid w:val="009806C0"/>
    <w:rsid w:val="009930F6"/>
    <w:rsid w:val="00A9123E"/>
    <w:rsid w:val="00B45086"/>
    <w:rsid w:val="00BB27EA"/>
    <w:rsid w:val="00C67B4B"/>
    <w:rsid w:val="00D238FF"/>
    <w:rsid w:val="00D42E7F"/>
    <w:rsid w:val="00DF21CA"/>
    <w:rsid w:val="00EB7DF5"/>
    <w:rsid w:val="00F55B2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F07F41"/>
  <w15:docId w15:val="{362201A9-1DF2-46E2-B0DB-6E4DE1684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pt-BR" w:eastAsia="it-IT"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2674A"/>
    <w:rPr>
      <w:lang w:val="en-GB"/>
    </w:rPr>
  </w:style>
  <w:style w:type="paragraph" w:styleId="Titolo1">
    <w:name w:val="heading 1"/>
    <w:basedOn w:val="Normale"/>
    <w:next w:val="Normale"/>
    <w:link w:val="Titolo1Carattere"/>
    <w:uiPriority w:val="9"/>
    <w:qFormat/>
    <w:rsid w:val="005A0218"/>
    <w:pPr>
      <w:keepNext/>
      <w:keepLines/>
      <w:jc w:val="center"/>
      <w:outlineLvl w:val="0"/>
    </w:pPr>
    <w:rPr>
      <w:rFonts w:eastAsiaTheme="majorEastAsia"/>
      <w:b/>
      <w:bCs/>
      <w:sz w:val="30"/>
      <w:szCs w:val="30"/>
    </w:rPr>
  </w:style>
  <w:style w:type="paragraph" w:styleId="Titolo2">
    <w:name w:val="heading 2"/>
    <w:basedOn w:val="Normale"/>
    <w:next w:val="Normale"/>
    <w:link w:val="Titolo2Carattere"/>
    <w:uiPriority w:val="9"/>
    <w:unhideWhenUsed/>
    <w:qFormat/>
    <w:rsid w:val="005A0218"/>
    <w:pPr>
      <w:keepNext/>
      <w:keepLines/>
      <w:spacing w:before="200"/>
      <w:jc w:val="center"/>
      <w:outlineLvl w:val="1"/>
    </w:pPr>
    <w:rPr>
      <w:rFonts w:eastAsiaTheme="majorEastAsia"/>
      <w:b/>
      <w:bCs/>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Intestazione">
    <w:name w:val="header"/>
    <w:basedOn w:val="Normale"/>
    <w:link w:val="IntestazioneCarattere"/>
    <w:uiPriority w:val="99"/>
    <w:unhideWhenUsed/>
    <w:rsid w:val="00247DB4"/>
    <w:pPr>
      <w:tabs>
        <w:tab w:val="center" w:pos="4536"/>
        <w:tab w:val="right" w:pos="9072"/>
      </w:tabs>
    </w:pPr>
  </w:style>
  <w:style w:type="character" w:customStyle="1" w:styleId="IntestazioneCarattere">
    <w:name w:val="Intestazione Carattere"/>
    <w:basedOn w:val="Carpredefinitoparagrafo"/>
    <w:link w:val="Intestazione"/>
    <w:uiPriority w:val="99"/>
    <w:rsid w:val="00247DB4"/>
  </w:style>
  <w:style w:type="paragraph" w:styleId="Pidipagina">
    <w:name w:val="footer"/>
    <w:basedOn w:val="Normale"/>
    <w:link w:val="PidipaginaCarattere"/>
    <w:uiPriority w:val="99"/>
    <w:unhideWhenUsed/>
    <w:rsid w:val="00247DB4"/>
    <w:pPr>
      <w:tabs>
        <w:tab w:val="center" w:pos="4536"/>
        <w:tab w:val="right" w:pos="9072"/>
      </w:tabs>
    </w:pPr>
  </w:style>
  <w:style w:type="character" w:customStyle="1" w:styleId="PidipaginaCarattere">
    <w:name w:val="Piè di pagina Carattere"/>
    <w:basedOn w:val="Carpredefinitoparagrafo"/>
    <w:link w:val="Pidipagina"/>
    <w:uiPriority w:val="99"/>
    <w:rsid w:val="00247DB4"/>
  </w:style>
  <w:style w:type="paragraph" w:styleId="NormaleWeb">
    <w:name w:val="Normal (Web)"/>
    <w:basedOn w:val="Normale"/>
    <w:uiPriority w:val="99"/>
    <w:unhideWhenUsed/>
    <w:rsid w:val="002C4AB4"/>
    <w:pPr>
      <w:spacing w:before="100" w:beforeAutospacing="1" w:after="100" w:afterAutospacing="1"/>
    </w:pPr>
    <w:rPr>
      <w:sz w:val="24"/>
      <w:szCs w:val="24"/>
      <w:lang w:eastAsia="sl-SI"/>
    </w:rPr>
  </w:style>
  <w:style w:type="character" w:customStyle="1" w:styleId="Titolo1Carattere">
    <w:name w:val="Titolo 1 Carattere"/>
    <w:basedOn w:val="Carpredefinitoparagrafo"/>
    <w:link w:val="Titolo1"/>
    <w:uiPriority w:val="9"/>
    <w:rsid w:val="005A0218"/>
    <w:rPr>
      <w:rFonts w:ascii="Times New Roman" w:eastAsiaTheme="majorEastAsia" w:hAnsi="Times New Roman" w:cs="Times New Roman"/>
      <w:b/>
      <w:bCs/>
      <w:sz w:val="30"/>
      <w:szCs w:val="30"/>
      <w:lang w:val="en-GB"/>
    </w:rPr>
  </w:style>
  <w:style w:type="character" w:customStyle="1" w:styleId="Titolo2Carattere">
    <w:name w:val="Titolo 2 Carattere"/>
    <w:basedOn w:val="Carpredefinitoparagrafo"/>
    <w:link w:val="Titolo2"/>
    <w:uiPriority w:val="9"/>
    <w:rsid w:val="005A0218"/>
    <w:rPr>
      <w:rFonts w:ascii="Times New Roman" w:eastAsiaTheme="majorEastAsia" w:hAnsi="Times New Roman" w:cs="Times New Roman"/>
      <w:b/>
      <w:bCs/>
      <w:lang w:val="en-GB"/>
    </w:rPr>
  </w:style>
  <w:style w:type="character" w:styleId="Collegamentoipertestuale">
    <w:name w:val="Hyperlink"/>
    <w:basedOn w:val="Carpredefinitoparagrafo"/>
    <w:uiPriority w:val="99"/>
    <w:unhideWhenUsed/>
    <w:rsid w:val="005A0218"/>
    <w:rPr>
      <w:color w:val="0000FF" w:themeColor="hyperlink"/>
      <w:u w:val="single"/>
    </w:rPr>
  </w:style>
  <w:style w:type="table" w:styleId="Grigliatabella">
    <w:name w:val="Table Grid"/>
    <w:basedOn w:val="Tabellanormale"/>
    <w:uiPriority w:val="59"/>
    <w:rsid w:val="001D7D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Carpredefinitoparagrafo"/>
    <w:rsid w:val="001D7D30"/>
  </w:style>
  <w:style w:type="character" w:styleId="Enfasicorsivo">
    <w:name w:val="Emphasis"/>
    <w:basedOn w:val="Carpredefinitoparagrafo"/>
    <w:uiPriority w:val="20"/>
    <w:qFormat/>
    <w:rsid w:val="001D7D30"/>
    <w:rPr>
      <w:i/>
      <w:iCs/>
    </w:rPr>
  </w:style>
  <w:style w:type="paragraph" w:styleId="Testofumetto">
    <w:name w:val="Balloon Text"/>
    <w:basedOn w:val="Normale"/>
    <w:link w:val="TestofumettoCarattere"/>
    <w:uiPriority w:val="99"/>
    <w:semiHidden/>
    <w:unhideWhenUsed/>
    <w:rsid w:val="004239B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239B8"/>
    <w:rPr>
      <w:rFonts w:ascii="Tahoma" w:hAnsi="Tahoma" w:cs="Tahoma"/>
      <w:sz w:val="16"/>
      <w:szCs w:val="16"/>
      <w:lang w:val="en-GB"/>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styleId="Menzionenonrisolta">
    <w:name w:val="Unresolved Mention"/>
    <w:basedOn w:val="Carpredefinitoparagrafo"/>
    <w:uiPriority w:val="99"/>
    <w:semiHidden/>
    <w:unhideWhenUsed/>
    <w:rsid w:val="009806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177767">
      <w:bodyDiv w:val="1"/>
      <w:marLeft w:val="0"/>
      <w:marRight w:val="0"/>
      <w:marTop w:val="0"/>
      <w:marBottom w:val="0"/>
      <w:divBdr>
        <w:top w:val="none" w:sz="0" w:space="0" w:color="auto"/>
        <w:left w:val="none" w:sz="0" w:space="0" w:color="auto"/>
        <w:bottom w:val="none" w:sz="0" w:space="0" w:color="auto"/>
        <w:right w:val="none" w:sz="0" w:space="0" w:color="auto"/>
      </w:divBdr>
    </w:div>
    <w:div w:id="967707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wmf"/><Relationship Id="rId1" Type="http://schemas.openxmlformats.org/officeDocument/2006/relationships/image" Target="media/image1.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5.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PlRveHhwnciaWOT+pVuMw4knAQ==">CgMxLjAyDmguN2xsemR1MjZrNjUxMg5oLnJnNXc2c2J5aTY1NzIOaC44bGI2bjZjcHh4cTk4AHIhMUJnUWdfUlVqSkVMQUd1aGxqUGdBU05Pa1FPQ05mcUR0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1</Pages>
  <Words>470</Words>
  <Characters>2681</Characters>
  <Application>Microsoft Office Word</Application>
  <DocSecurity>0</DocSecurity>
  <Lines>22</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dc:creator>
  <cp:lastModifiedBy>COSTANTINI Antonio</cp:lastModifiedBy>
  <cp:revision>11</cp:revision>
  <dcterms:created xsi:type="dcterms:W3CDTF">2024-12-11T21:34:00Z</dcterms:created>
  <dcterms:modified xsi:type="dcterms:W3CDTF">2025-03-31T11:22:00Z</dcterms:modified>
</cp:coreProperties>
</file>