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E7740A" w14:textId="51CCB6D1" w:rsidR="00112D4B" w:rsidRDefault="00112D4B" w:rsidP="00D72742">
      <w:pPr>
        <w:pStyle w:val="Heading1"/>
        <w:ind w:left="284" w:right="237"/>
        <w:jc w:val="center"/>
        <w:rPr>
          <w:lang w:val="it-IT"/>
        </w:rPr>
      </w:pPr>
      <w:bookmarkStart w:id="0" w:name="_GoBack"/>
      <w:bookmarkEnd w:id="0"/>
      <w:r>
        <w:rPr>
          <w:b w:val="0"/>
          <w:noProof/>
          <w:lang w:eastAsia="en-GB"/>
        </w:rPr>
        <w:drawing>
          <wp:anchor distT="0" distB="0" distL="114300" distR="114300" simplePos="0" relativeHeight="251659264" behindDoc="0" locked="0" layoutInCell="1" allowOverlap="1" wp14:anchorId="5B405144" wp14:editId="5D52D44B">
            <wp:simplePos x="0" y="0"/>
            <wp:positionH relativeFrom="margin">
              <wp:align>center</wp:align>
            </wp:positionH>
            <wp:positionV relativeFrom="paragraph">
              <wp:posOffset>64135</wp:posOffset>
            </wp:positionV>
            <wp:extent cx="6667500" cy="9211261"/>
            <wp:effectExtent l="0" t="0" r="0"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apporto_comuni2020_cover.png"/>
                    <pic:cNvPicPr/>
                  </pic:nvPicPr>
                  <pic:blipFill>
                    <a:blip r:embed="rId8">
                      <a:extLst>
                        <a:ext uri="{28A0092B-C50C-407E-A947-70E740481C1C}">
                          <a14:useLocalDpi xmlns:a14="http://schemas.microsoft.com/office/drawing/2010/main" val="0"/>
                        </a:ext>
                      </a:extLst>
                    </a:blip>
                    <a:stretch>
                      <a:fillRect/>
                    </a:stretch>
                  </pic:blipFill>
                  <pic:spPr>
                    <a:xfrm>
                      <a:off x="0" y="0"/>
                      <a:ext cx="6667500" cy="9211261"/>
                    </a:xfrm>
                    <a:prstGeom prst="rect">
                      <a:avLst/>
                    </a:prstGeom>
                  </pic:spPr>
                </pic:pic>
              </a:graphicData>
            </a:graphic>
            <wp14:sizeRelH relativeFrom="margin">
              <wp14:pctWidth>0</wp14:pctWidth>
            </wp14:sizeRelH>
            <wp14:sizeRelV relativeFrom="margin">
              <wp14:pctHeight>0</wp14:pctHeight>
            </wp14:sizeRelV>
          </wp:anchor>
        </w:drawing>
      </w:r>
    </w:p>
    <w:p w14:paraId="2F16DC7F" w14:textId="2392CCEF" w:rsidR="00112D4B" w:rsidRDefault="00112D4B">
      <w:pPr>
        <w:spacing w:line="259" w:lineRule="auto"/>
        <w:jc w:val="left"/>
        <w:rPr>
          <w:rFonts w:ascii="Garamond" w:eastAsiaTheme="majorEastAsia" w:hAnsi="Garamond" w:cstheme="majorBidi"/>
          <w:b/>
          <w:sz w:val="36"/>
          <w:szCs w:val="32"/>
          <w:lang w:val="it-IT"/>
        </w:rPr>
      </w:pPr>
      <w:r>
        <w:rPr>
          <w:rFonts w:ascii="Garamond" w:eastAsiaTheme="majorEastAsia" w:hAnsi="Garamond" w:cstheme="majorBidi"/>
          <w:b/>
          <w:sz w:val="36"/>
          <w:szCs w:val="32"/>
          <w:lang w:val="it-IT"/>
        </w:rPr>
        <w:br w:type="page"/>
      </w:r>
    </w:p>
    <w:p w14:paraId="5A67C91D" w14:textId="435B7F0C" w:rsidR="00333C5B" w:rsidRDefault="00333C5B" w:rsidP="00D72742">
      <w:pPr>
        <w:pStyle w:val="Heading1"/>
        <w:ind w:left="284" w:right="237"/>
        <w:jc w:val="center"/>
        <w:rPr>
          <w:lang w:val="it-IT"/>
        </w:rPr>
      </w:pPr>
      <w:r w:rsidRPr="00333C5B">
        <w:rPr>
          <w:lang w:val="it-IT"/>
        </w:rPr>
        <w:lastRenderedPageBreak/>
        <w:t xml:space="preserve">Criticità finanziaria e scioglimento dei </w:t>
      </w:r>
      <w:r w:rsidR="00D02C16">
        <w:rPr>
          <w:lang w:val="it-IT"/>
        </w:rPr>
        <w:t xml:space="preserve">consigli </w:t>
      </w:r>
      <w:r w:rsidRPr="00333C5B">
        <w:rPr>
          <w:lang w:val="it-IT"/>
        </w:rPr>
        <w:t>comun</w:t>
      </w:r>
      <w:r w:rsidR="00D02C16">
        <w:rPr>
          <w:lang w:val="it-IT"/>
        </w:rPr>
        <w:t>ali</w:t>
      </w:r>
      <w:r w:rsidRPr="00333C5B">
        <w:rPr>
          <w:lang w:val="it-IT"/>
        </w:rPr>
        <w:t xml:space="preserve"> per infiltrazione mafiosa: un approccio quantitativ</w:t>
      </w:r>
      <w:r>
        <w:rPr>
          <w:lang w:val="it-IT"/>
        </w:rPr>
        <w:t>o</w:t>
      </w:r>
    </w:p>
    <w:p w14:paraId="44B094FE" w14:textId="77777777" w:rsidR="002953EA" w:rsidRPr="002953EA" w:rsidRDefault="002953EA" w:rsidP="00D72742">
      <w:pPr>
        <w:ind w:left="284" w:right="237"/>
        <w:rPr>
          <w:lang w:val="it-IT"/>
        </w:rPr>
      </w:pPr>
    </w:p>
    <w:p w14:paraId="58F8ADA7" w14:textId="65C1F58C" w:rsidR="00333C5B" w:rsidRPr="00271354" w:rsidRDefault="00333C5B" w:rsidP="00D72742">
      <w:pPr>
        <w:ind w:left="284" w:right="237"/>
        <w:jc w:val="center"/>
        <w:rPr>
          <w:rFonts w:cs="Times New Roman"/>
          <w:sz w:val="24"/>
          <w:szCs w:val="24"/>
          <w:lang w:val="it-IT"/>
        </w:rPr>
      </w:pPr>
      <w:r w:rsidRPr="00271354">
        <w:rPr>
          <w:rFonts w:cs="Times New Roman"/>
          <w:sz w:val="24"/>
          <w:szCs w:val="24"/>
          <w:lang w:val="it-IT"/>
        </w:rPr>
        <w:t>Marco Di Cataldo, Giulia Romani</w:t>
      </w:r>
    </w:p>
    <w:p w14:paraId="5CF5F4F1" w14:textId="77777777" w:rsidR="00333C5B" w:rsidRPr="00333C5B" w:rsidRDefault="00333C5B" w:rsidP="00D72742">
      <w:pPr>
        <w:ind w:left="284" w:right="237"/>
        <w:rPr>
          <w:rFonts w:cs="Times New Roman"/>
          <w:sz w:val="24"/>
          <w:szCs w:val="24"/>
          <w:lang w:val="it-IT"/>
        </w:rPr>
      </w:pPr>
    </w:p>
    <w:p w14:paraId="5A85B8F5" w14:textId="531FD7C4" w:rsidR="00333C5B" w:rsidRDefault="00333C5B" w:rsidP="00861E13">
      <w:pPr>
        <w:pStyle w:val="Heading2"/>
        <w:numPr>
          <w:ilvl w:val="0"/>
          <w:numId w:val="1"/>
        </w:numPr>
        <w:ind w:left="709" w:right="237" w:hanging="425"/>
        <w:rPr>
          <w:lang w:val="it-IT"/>
        </w:rPr>
      </w:pPr>
      <w:r w:rsidRPr="00333C5B">
        <w:rPr>
          <w:lang w:val="it-IT"/>
        </w:rPr>
        <w:t>Introduzione</w:t>
      </w:r>
    </w:p>
    <w:p w14:paraId="58C9E390" w14:textId="39AF0D3C" w:rsidR="002953EA" w:rsidRDefault="002953EA" w:rsidP="00D72742">
      <w:pPr>
        <w:ind w:left="284" w:right="237"/>
        <w:rPr>
          <w:lang w:val="it-IT"/>
        </w:rPr>
      </w:pPr>
    </w:p>
    <w:p w14:paraId="545A5DC0" w14:textId="1AD38A4A" w:rsidR="00BC53D4" w:rsidRDefault="00100A3D" w:rsidP="00D72742">
      <w:pPr>
        <w:ind w:left="284" w:right="237"/>
        <w:rPr>
          <w:sz w:val="24"/>
          <w:szCs w:val="24"/>
          <w:lang w:val="it-IT"/>
        </w:rPr>
      </w:pPr>
      <w:r>
        <w:rPr>
          <w:sz w:val="24"/>
          <w:szCs w:val="24"/>
          <w:lang w:val="it-IT"/>
        </w:rPr>
        <w:t>Il corretto funzionamento dell’apparato amministrativo comunale e la gestione del bilancio pubblico locale possono essere inquinati da diversi fenomeni. U</w:t>
      </w:r>
      <w:r w:rsidR="00BC53D4">
        <w:rPr>
          <w:sz w:val="24"/>
          <w:szCs w:val="24"/>
          <w:lang w:val="it-IT"/>
        </w:rPr>
        <w:t>no</w:t>
      </w:r>
      <w:r w:rsidR="00D02C16">
        <w:rPr>
          <w:sz w:val="24"/>
          <w:szCs w:val="24"/>
          <w:lang w:val="it-IT"/>
        </w:rPr>
        <w:t xml:space="preserve"> d</w:t>
      </w:r>
      <w:r>
        <w:rPr>
          <w:sz w:val="24"/>
          <w:szCs w:val="24"/>
          <w:lang w:val="it-IT"/>
        </w:rPr>
        <w:t>i questi</w:t>
      </w:r>
      <w:r w:rsidR="00DA5CD6">
        <w:rPr>
          <w:sz w:val="24"/>
          <w:szCs w:val="24"/>
          <w:lang w:val="it-IT"/>
        </w:rPr>
        <w:t xml:space="preserve"> </w:t>
      </w:r>
      <w:r>
        <w:rPr>
          <w:sz w:val="24"/>
          <w:szCs w:val="24"/>
          <w:lang w:val="it-IT"/>
        </w:rPr>
        <w:t xml:space="preserve">è </w:t>
      </w:r>
      <w:r w:rsidR="00DA5CD6">
        <w:rPr>
          <w:sz w:val="24"/>
          <w:szCs w:val="24"/>
          <w:lang w:val="it-IT"/>
        </w:rPr>
        <w:t xml:space="preserve">la presenza di collegamenti tra gli amministratori degli enti locali e le organizzazioni </w:t>
      </w:r>
      <w:r>
        <w:rPr>
          <w:sz w:val="24"/>
          <w:szCs w:val="24"/>
          <w:lang w:val="it-IT"/>
        </w:rPr>
        <w:t>malavitose</w:t>
      </w:r>
      <w:r w:rsidR="00DA5CD6">
        <w:rPr>
          <w:sz w:val="24"/>
          <w:szCs w:val="24"/>
          <w:lang w:val="it-IT"/>
        </w:rPr>
        <w:t xml:space="preserve">. Le infiltrazioni mafiose negli enti locali sono regolate dal D.L. 164/1991, che prevede lo scioglimento e commissariamento dei consigli comunali </w:t>
      </w:r>
      <w:r>
        <w:rPr>
          <w:sz w:val="24"/>
          <w:szCs w:val="24"/>
          <w:lang w:val="it-IT"/>
        </w:rPr>
        <w:t xml:space="preserve">nel caso in cui venga accertata una qualsiasi forma di </w:t>
      </w:r>
      <w:r w:rsidR="00F272E8">
        <w:rPr>
          <w:sz w:val="24"/>
          <w:szCs w:val="24"/>
          <w:lang w:val="it-IT"/>
        </w:rPr>
        <w:t>condizionamento da parte della criminalità organizza</w:t>
      </w:r>
      <w:r>
        <w:rPr>
          <w:sz w:val="24"/>
          <w:szCs w:val="24"/>
          <w:lang w:val="it-IT"/>
        </w:rPr>
        <w:t>ta</w:t>
      </w:r>
      <w:r w:rsidR="00DA5CD6">
        <w:rPr>
          <w:sz w:val="24"/>
          <w:szCs w:val="24"/>
          <w:lang w:val="it-IT"/>
        </w:rPr>
        <w:t xml:space="preserve">. </w:t>
      </w:r>
      <w:r w:rsidR="00596756">
        <w:rPr>
          <w:sz w:val="24"/>
          <w:szCs w:val="24"/>
          <w:lang w:val="it-IT"/>
        </w:rPr>
        <w:t>Nei periodi di infiltrazione</w:t>
      </w:r>
      <w:r w:rsidR="00E14B0F">
        <w:rPr>
          <w:sz w:val="24"/>
          <w:szCs w:val="24"/>
          <w:lang w:val="it-IT"/>
        </w:rPr>
        <w:t>,</w:t>
      </w:r>
      <w:r w:rsidR="00F272E8">
        <w:rPr>
          <w:sz w:val="24"/>
          <w:szCs w:val="24"/>
          <w:lang w:val="it-IT"/>
        </w:rPr>
        <w:t xml:space="preserve"> i gruppi criminali, per mezzo dei rappresentati d</w:t>
      </w:r>
      <w:r w:rsidR="00596756">
        <w:rPr>
          <w:sz w:val="24"/>
          <w:szCs w:val="24"/>
          <w:lang w:val="it-IT"/>
        </w:rPr>
        <w:t>elle istituzioni locali</w:t>
      </w:r>
      <w:r w:rsidR="00DA5CD6">
        <w:rPr>
          <w:sz w:val="24"/>
          <w:szCs w:val="24"/>
          <w:lang w:val="it-IT"/>
        </w:rPr>
        <w:t xml:space="preserve"> </w:t>
      </w:r>
      <w:r w:rsidR="00F272E8">
        <w:rPr>
          <w:sz w:val="24"/>
          <w:szCs w:val="24"/>
          <w:lang w:val="it-IT"/>
        </w:rPr>
        <w:t xml:space="preserve">collusi, sono in grado di influenzare in maniera significativa </w:t>
      </w:r>
      <w:r w:rsidR="00E14B0F">
        <w:rPr>
          <w:sz w:val="24"/>
          <w:szCs w:val="24"/>
          <w:lang w:val="it-IT"/>
        </w:rPr>
        <w:t>le decisioni</w:t>
      </w:r>
      <w:r w:rsidR="00F272E8">
        <w:rPr>
          <w:sz w:val="24"/>
          <w:szCs w:val="24"/>
          <w:lang w:val="it-IT"/>
        </w:rPr>
        <w:t xml:space="preserve"> pres</w:t>
      </w:r>
      <w:r w:rsidR="00E14B0F">
        <w:rPr>
          <w:sz w:val="24"/>
          <w:szCs w:val="24"/>
          <w:lang w:val="it-IT"/>
        </w:rPr>
        <w:t>e</w:t>
      </w:r>
      <w:r w:rsidR="00F272E8">
        <w:rPr>
          <w:sz w:val="24"/>
          <w:szCs w:val="24"/>
          <w:lang w:val="it-IT"/>
        </w:rPr>
        <w:t xml:space="preserve"> d</w:t>
      </w:r>
      <w:r w:rsidR="001E0151">
        <w:rPr>
          <w:sz w:val="24"/>
          <w:szCs w:val="24"/>
          <w:lang w:val="it-IT"/>
        </w:rPr>
        <w:t>a</w:t>
      </w:r>
      <w:r w:rsidR="00F272E8">
        <w:rPr>
          <w:sz w:val="24"/>
          <w:szCs w:val="24"/>
          <w:lang w:val="it-IT"/>
        </w:rPr>
        <w:t xml:space="preserve">l consiglio comunale, </w:t>
      </w:r>
      <w:r w:rsidR="00E14B0F">
        <w:rPr>
          <w:sz w:val="24"/>
          <w:szCs w:val="24"/>
          <w:lang w:val="it-IT"/>
        </w:rPr>
        <w:t xml:space="preserve">ivi </w:t>
      </w:r>
      <w:r w:rsidR="00F272E8">
        <w:rPr>
          <w:sz w:val="24"/>
          <w:szCs w:val="24"/>
          <w:lang w:val="it-IT"/>
        </w:rPr>
        <w:t>compres</w:t>
      </w:r>
      <w:r w:rsidR="00E14B0F">
        <w:rPr>
          <w:sz w:val="24"/>
          <w:szCs w:val="24"/>
          <w:lang w:val="it-IT"/>
        </w:rPr>
        <w:t>i</w:t>
      </w:r>
      <w:r w:rsidR="00F272E8">
        <w:rPr>
          <w:sz w:val="24"/>
          <w:szCs w:val="24"/>
          <w:lang w:val="it-IT"/>
        </w:rPr>
        <w:t xml:space="preserve"> </w:t>
      </w:r>
      <w:r w:rsidR="00E14B0F">
        <w:rPr>
          <w:sz w:val="24"/>
          <w:szCs w:val="24"/>
          <w:lang w:val="it-IT"/>
        </w:rPr>
        <w:t xml:space="preserve">i provvedimenti </w:t>
      </w:r>
      <w:r w:rsidR="00F272E8">
        <w:rPr>
          <w:sz w:val="24"/>
          <w:szCs w:val="24"/>
          <w:lang w:val="it-IT"/>
        </w:rPr>
        <w:t>relativ</w:t>
      </w:r>
      <w:r w:rsidR="00E14B0F">
        <w:rPr>
          <w:sz w:val="24"/>
          <w:szCs w:val="24"/>
          <w:lang w:val="it-IT"/>
        </w:rPr>
        <w:t>i</w:t>
      </w:r>
      <w:r w:rsidR="00F272E8">
        <w:rPr>
          <w:sz w:val="24"/>
          <w:szCs w:val="24"/>
          <w:lang w:val="it-IT"/>
        </w:rPr>
        <w:t xml:space="preserve"> al</w:t>
      </w:r>
      <w:r w:rsidR="00E14B0F">
        <w:rPr>
          <w:sz w:val="24"/>
          <w:szCs w:val="24"/>
          <w:lang w:val="it-IT"/>
        </w:rPr>
        <w:t>la</w:t>
      </w:r>
      <w:r w:rsidR="00BC53D4">
        <w:rPr>
          <w:sz w:val="24"/>
          <w:szCs w:val="24"/>
          <w:lang w:val="it-IT"/>
        </w:rPr>
        <w:t xml:space="preserve"> definizione </w:t>
      </w:r>
      <w:r w:rsidR="00FC48DF">
        <w:rPr>
          <w:sz w:val="24"/>
          <w:szCs w:val="24"/>
          <w:lang w:val="it-IT"/>
        </w:rPr>
        <w:t>del bilancio</w:t>
      </w:r>
      <w:r w:rsidR="00BC53D4">
        <w:rPr>
          <w:sz w:val="24"/>
          <w:szCs w:val="24"/>
          <w:lang w:val="it-IT"/>
        </w:rPr>
        <w:t xml:space="preserve"> pubblic</w:t>
      </w:r>
      <w:r w:rsidR="00FC48DF">
        <w:rPr>
          <w:sz w:val="24"/>
          <w:szCs w:val="24"/>
          <w:lang w:val="it-IT"/>
        </w:rPr>
        <w:t>o</w:t>
      </w:r>
      <w:r w:rsidR="00F272E8">
        <w:rPr>
          <w:sz w:val="24"/>
          <w:szCs w:val="24"/>
          <w:lang w:val="it-IT"/>
        </w:rPr>
        <w:t xml:space="preserve">. </w:t>
      </w:r>
    </w:p>
    <w:p w14:paraId="28E8A83C" w14:textId="101549FA" w:rsidR="00DA5CD6" w:rsidRDefault="00F272E8" w:rsidP="00D72742">
      <w:pPr>
        <w:ind w:left="284" w:right="237"/>
        <w:rPr>
          <w:sz w:val="24"/>
          <w:szCs w:val="24"/>
          <w:lang w:val="it-IT"/>
        </w:rPr>
      </w:pPr>
      <w:r>
        <w:rPr>
          <w:sz w:val="24"/>
          <w:szCs w:val="24"/>
          <w:lang w:val="it-IT"/>
        </w:rPr>
        <w:t>In questo capitolo</w:t>
      </w:r>
      <w:r w:rsidR="00E14B0F">
        <w:rPr>
          <w:sz w:val="24"/>
          <w:szCs w:val="24"/>
          <w:lang w:val="it-IT"/>
        </w:rPr>
        <w:t xml:space="preserve"> si analizza </w:t>
      </w:r>
      <w:r w:rsidR="00BC53D4">
        <w:rPr>
          <w:sz w:val="24"/>
          <w:szCs w:val="24"/>
          <w:lang w:val="it-IT"/>
        </w:rPr>
        <w:t>il legame tra casi di infiltrazione mafiosa dei consigli comunali e finanza pubblica locale. I</w:t>
      </w:r>
      <w:r w:rsidR="00E14B0F">
        <w:rPr>
          <w:sz w:val="24"/>
          <w:szCs w:val="24"/>
          <w:lang w:val="it-IT"/>
        </w:rPr>
        <w:t xml:space="preserve">n particolare, ci </w:t>
      </w:r>
      <w:r w:rsidR="00100A3D">
        <w:rPr>
          <w:sz w:val="24"/>
          <w:szCs w:val="24"/>
          <w:lang w:val="it-IT"/>
        </w:rPr>
        <w:t xml:space="preserve">si </w:t>
      </w:r>
      <w:r w:rsidR="00E14B0F">
        <w:rPr>
          <w:sz w:val="24"/>
          <w:szCs w:val="24"/>
          <w:lang w:val="it-IT"/>
        </w:rPr>
        <w:t>interrog</w:t>
      </w:r>
      <w:r w:rsidR="00100A3D">
        <w:rPr>
          <w:sz w:val="24"/>
          <w:szCs w:val="24"/>
          <w:lang w:val="it-IT"/>
        </w:rPr>
        <w:t>a</w:t>
      </w:r>
      <w:r w:rsidR="00E14B0F">
        <w:rPr>
          <w:sz w:val="24"/>
          <w:szCs w:val="24"/>
          <w:lang w:val="it-IT"/>
        </w:rPr>
        <w:t xml:space="preserve"> sul</w:t>
      </w:r>
      <w:r w:rsidR="00D913E3">
        <w:rPr>
          <w:sz w:val="24"/>
          <w:szCs w:val="24"/>
          <w:lang w:val="it-IT"/>
        </w:rPr>
        <w:t>la presenza di un</w:t>
      </w:r>
      <w:r w:rsidR="00E14B0F">
        <w:rPr>
          <w:sz w:val="24"/>
          <w:szCs w:val="24"/>
          <w:lang w:val="it-IT"/>
        </w:rPr>
        <w:t xml:space="preserve"> legame </w:t>
      </w:r>
      <w:r w:rsidR="00D913E3">
        <w:rPr>
          <w:sz w:val="24"/>
          <w:szCs w:val="24"/>
          <w:lang w:val="it-IT"/>
        </w:rPr>
        <w:t>statistico</w:t>
      </w:r>
      <w:r w:rsidR="00E14B0F">
        <w:rPr>
          <w:sz w:val="24"/>
          <w:szCs w:val="24"/>
          <w:lang w:val="it-IT"/>
        </w:rPr>
        <w:t xml:space="preserve"> tra episodi di scioglimento del governo locale per comprovata infiltrazione mafiosa e casi di criticità finanziaria</w:t>
      </w:r>
      <w:r w:rsidR="001E0151">
        <w:rPr>
          <w:sz w:val="24"/>
          <w:szCs w:val="24"/>
          <w:lang w:val="it-IT"/>
        </w:rPr>
        <w:t>,</w:t>
      </w:r>
      <w:r w:rsidR="00100A3D">
        <w:rPr>
          <w:sz w:val="24"/>
          <w:szCs w:val="24"/>
          <w:lang w:val="it-IT"/>
        </w:rPr>
        <w:t xml:space="preserve"> quali</w:t>
      </w:r>
      <w:r w:rsidR="00BC53D4">
        <w:rPr>
          <w:sz w:val="24"/>
          <w:szCs w:val="24"/>
          <w:lang w:val="it-IT"/>
        </w:rPr>
        <w:t xml:space="preserve"> dissesto e piani di riequilibrio pluriennale</w:t>
      </w:r>
      <w:r w:rsidR="00E14B0F">
        <w:rPr>
          <w:sz w:val="24"/>
          <w:szCs w:val="24"/>
          <w:lang w:val="it-IT"/>
        </w:rPr>
        <w:t>.</w:t>
      </w:r>
      <w:r w:rsidR="00BC53D4">
        <w:rPr>
          <w:sz w:val="24"/>
          <w:szCs w:val="24"/>
          <w:lang w:val="it-IT"/>
        </w:rPr>
        <w:t xml:space="preserve"> </w:t>
      </w:r>
    </w:p>
    <w:p w14:paraId="057247E7" w14:textId="57A12345" w:rsidR="00D02C16" w:rsidRDefault="00E02DDD" w:rsidP="00D72742">
      <w:pPr>
        <w:ind w:left="284" w:right="237"/>
        <w:rPr>
          <w:sz w:val="24"/>
          <w:szCs w:val="24"/>
          <w:lang w:val="it-IT"/>
        </w:rPr>
      </w:pPr>
      <w:r>
        <w:rPr>
          <w:sz w:val="24"/>
          <w:szCs w:val="24"/>
          <w:lang w:val="it-IT"/>
        </w:rPr>
        <w:t xml:space="preserve">Nella prima parte del capitolo (sezione 2) si discutono le caratteristiche sistematiche dei governi locali infiltrati dalle organizzazioni criminali, per quel che concerne la spesa pubblica. </w:t>
      </w:r>
      <w:r w:rsidR="00C03546">
        <w:rPr>
          <w:sz w:val="24"/>
          <w:szCs w:val="24"/>
          <w:lang w:val="it-IT"/>
        </w:rPr>
        <w:t xml:space="preserve">Dopo aver riassunto il funzionamento e l’evoluzione del decreto che prevede lo scioglimento per infiltrazione mafiosa, viene esaminato l’impatto delle infiltrazioni mafiose sulle scelte di investimento da parte dei consigli comunali infiltrati. Nel farlo, ci si riferisce </w:t>
      </w:r>
      <w:r>
        <w:rPr>
          <w:sz w:val="24"/>
          <w:szCs w:val="24"/>
          <w:lang w:val="it-IT"/>
        </w:rPr>
        <w:t>ad uno studio recentemente prodotto da Di Cataldo e Mastrorocco (2020) sui comuni di Campania, Calabria e Sicilia, in cui vengono esaminat</w:t>
      </w:r>
      <w:r w:rsidR="008D586C">
        <w:rPr>
          <w:sz w:val="24"/>
          <w:szCs w:val="24"/>
          <w:lang w:val="it-IT"/>
        </w:rPr>
        <w:t>e</w:t>
      </w:r>
      <w:r w:rsidR="00D913E3">
        <w:rPr>
          <w:sz w:val="24"/>
          <w:szCs w:val="24"/>
          <w:lang w:val="it-IT"/>
        </w:rPr>
        <w:t xml:space="preserve"> sia la spesa </w:t>
      </w:r>
      <w:r w:rsidR="00D913E3">
        <w:rPr>
          <w:sz w:val="24"/>
          <w:szCs w:val="24"/>
          <w:lang w:val="it-IT"/>
        </w:rPr>
        <w:lastRenderedPageBreak/>
        <w:t>comunale</w:t>
      </w:r>
      <w:r w:rsidR="002A29CF">
        <w:rPr>
          <w:sz w:val="24"/>
          <w:szCs w:val="24"/>
          <w:lang w:val="it-IT"/>
        </w:rPr>
        <w:t xml:space="preserve"> </w:t>
      </w:r>
      <w:r>
        <w:rPr>
          <w:sz w:val="24"/>
          <w:szCs w:val="24"/>
          <w:lang w:val="it-IT"/>
        </w:rPr>
        <w:t xml:space="preserve">in conto corrente </w:t>
      </w:r>
      <w:r w:rsidR="00D913E3">
        <w:rPr>
          <w:sz w:val="24"/>
          <w:szCs w:val="24"/>
          <w:lang w:val="it-IT"/>
        </w:rPr>
        <w:t>ch</w:t>
      </w:r>
      <w:r>
        <w:rPr>
          <w:sz w:val="24"/>
          <w:szCs w:val="24"/>
          <w:lang w:val="it-IT"/>
        </w:rPr>
        <w:t>e</w:t>
      </w:r>
      <w:r w:rsidR="001E0151">
        <w:rPr>
          <w:sz w:val="24"/>
          <w:szCs w:val="24"/>
          <w:lang w:val="it-IT"/>
        </w:rPr>
        <w:t xml:space="preserve"> quella</w:t>
      </w:r>
      <w:r>
        <w:rPr>
          <w:sz w:val="24"/>
          <w:szCs w:val="24"/>
          <w:lang w:val="it-IT"/>
        </w:rPr>
        <w:t xml:space="preserve"> in conto capitale</w:t>
      </w:r>
      <w:r w:rsidR="00D913E3">
        <w:rPr>
          <w:sz w:val="24"/>
          <w:szCs w:val="24"/>
          <w:lang w:val="it-IT"/>
        </w:rPr>
        <w:t>, suddivise per</w:t>
      </w:r>
      <w:r w:rsidR="00647090">
        <w:rPr>
          <w:sz w:val="24"/>
          <w:szCs w:val="24"/>
          <w:lang w:val="it-IT"/>
        </w:rPr>
        <w:t xml:space="preserve"> singole funzioni di bilancio</w:t>
      </w:r>
      <w:r w:rsidR="00D913E3">
        <w:rPr>
          <w:sz w:val="24"/>
          <w:szCs w:val="24"/>
          <w:lang w:val="it-IT"/>
        </w:rPr>
        <w:t xml:space="preserve">, per identificare il modo in cui </w:t>
      </w:r>
      <w:r w:rsidR="001E0151">
        <w:rPr>
          <w:sz w:val="24"/>
          <w:szCs w:val="24"/>
          <w:lang w:val="it-IT"/>
        </w:rPr>
        <w:t xml:space="preserve">esse </w:t>
      </w:r>
      <w:r w:rsidR="00D913E3">
        <w:rPr>
          <w:sz w:val="24"/>
          <w:szCs w:val="24"/>
          <w:lang w:val="it-IT"/>
        </w:rPr>
        <w:t xml:space="preserve"> vengono distorte </w:t>
      </w:r>
      <w:r w:rsidR="009E20DC">
        <w:rPr>
          <w:sz w:val="24"/>
          <w:szCs w:val="24"/>
          <w:lang w:val="it-IT"/>
        </w:rPr>
        <w:t xml:space="preserve">sistematicamente </w:t>
      </w:r>
      <w:r w:rsidR="00D913E3">
        <w:rPr>
          <w:sz w:val="24"/>
          <w:szCs w:val="24"/>
          <w:lang w:val="it-IT"/>
        </w:rPr>
        <w:t>d</w:t>
      </w:r>
      <w:r w:rsidR="008D586C">
        <w:rPr>
          <w:sz w:val="24"/>
          <w:szCs w:val="24"/>
          <w:lang w:val="it-IT"/>
        </w:rPr>
        <w:t>al</w:t>
      </w:r>
      <w:r w:rsidR="00D913E3">
        <w:rPr>
          <w:sz w:val="24"/>
          <w:szCs w:val="24"/>
          <w:lang w:val="it-IT"/>
        </w:rPr>
        <w:t xml:space="preserve">le amministrazioni </w:t>
      </w:r>
      <w:r w:rsidR="008D586C">
        <w:rPr>
          <w:sz w:val="24"/>
          <w:szCs w:val="24"/>
          <w:lang w:val="it-IT"/>
        </w:rPr>
        <w:t xml:space="preserve">locali </w:t>
      </w:r>
      <w:r w:rsidR="00D913E3">
        <w:rPr>
          <w:sz w:val="24"/>
          <w:szCs w:val="24"/>
          <w:lang w:val="it-IT"/>
        </w:rPr>
        <w:t>colluse con la malavita.</w:t>
      </w:r>
      <w:r w:rsidR="00DA5CD6">
        <w:rPr>
          <w:sz w:val="24"/>
          <w:szCs w:val="24"/>
          <w:lang w:val="it-IT"/>
        </w:rPr>
        <w:t xml:space="preserve"> </w:t>
      </w:r>
    </w:p>
    <w:p w14:paraId="6DB801E2" w14:textId="5BD2E3DC" w:rsidR="00DA5CD6" w:rsidRDefault="009E20DC" w:rsidP="00D72742">
      <w:pPr>
        <w:ind w:left="284" w:right="237"/>
        <w:rPr>
          <w:sz w:val="24"/>
          <w:szCs w:val="24"/>
          <w:lang w:val="it-IT"/>
        </w:rPr>
      </w:pPr>
      <w:r>
        <w:rPr>
          <w:sz w:val="24"/>
          <w:szCs w:val="24"/>
          <w:lang w:val="it-IT"/>
        </w:rPr>
        <w:t>L</w:t>
      </w:r>
      <w:r w:rsidR="008D586C">
        <w:rPr>
          <w:sz w:val="24"/>
          <w:szCs w:val="24"/>
          <w:lang w:val="it-IT"/>
        </w:rPr>
        <w:t>a sezione s</w:t>
      </w:r>
      <w:r w:rsidR="00FC2445">
        <w:rPr>
          <w:sz w:val="24"/>
          <w:szCs w:val="24"/>
          <w:lang w:val="it-IT"/>
        </w:rPr>
        <w:t>eguente</w:t>
      </w:r>
      <w:r w:rsidR="008D586C">
        <w:rPr>
          <w:sz w:val="24"/>
          <w:szCs w:val="24"/>
          <w:lang w:val="it-IT"/>
        </w:rPr>
        <w:t xml:space="preserve"> (sezione 3)</w:t>
      </w:r>
      <w:r>
        <w:rPr>
          <w:sz w:val="24"/>
          <w:szCs w:val="24"/>
          <w:lang w:val="it-IT"/>
        </w:rPr>
        <w:t xml:space="preserve"> rappresenta il cuore del capitolo e si concentra sul legame tra scioglimenti per mafia e casi di criticità finanziaria. In primo luogo</w:t>
      </w:r>
      <w:r w:rsidR="001E0151">
        <w:rPr>
          <w:sz w:val="24"/>
          <w:szCs w:val="24"/>
          <w:lang w:val="it-IT"/>
        </w:rPr>
        <w:t>,</w:t>
      </w:r>
      <w:r>
        <w:rPr>
          <w:sz w:val="24"/>
          <w:szCs w:val="24"/>
          <w:lang w:val="it-IT"/>
        </w:rPr>
        <w:t xml:space="preserve"> viene </w:t>
      </w:r>
      <w:r w:rsidR="00100614">
        <w:rPr>
          <w:sz w:val="24"/>
          <w:szCs w:val="24"/>
          <w:lang w:val="it-IT"/>
        </w:rPr>
        <w:t>realizzat</w:t>
      </w:r>
      <w:r>
        <w:rPr>
          <w:sz w:val="24"/>
          <w:szCs w:val="24"/>
          <w:lang w:val="it-IT"/>
        </w:rPr>
        <w:t xml:space="preserve">a una mappatura di tutto il territorio nazionale che geolocalizza i comuni in cui si sono verificati questo tipo di episodi. </w:t>
      </w:r>
      <w:r w:rsidR="00FC2445">
        <w:rPr>
          <w:sz w:val="24"/>
          <w:szCs w:val="24"/>
          <w:lang w:val="it-IT"/>
        </w:rPr>
        <w:t xml:space="preserve">Successivamente, un’analisi statistica consente di dimostrare che i comuni in cui si è verificato uno dei due casi in analisi – scioglimento per mafia e criticità finanziaria – hanno una maggiore probabilità di incorrere anche nel secondo caso. </w:t>
      </w:r>
      <w:r w:rsidR="005358C5">
        <w:rPr>
          <w:sz w:val="24"/>
          <w:szCs w:val="24"/>
          <w:lang w:val="it-IT"/>
        </w:rPr>
        <w:t>Infine, un</w:t>
      </w:r>
      <w:r w:rsidR="002F4BD4">
        <w:rPr>
          <w:sz w:val="24"/>
          <w:szCs w:val="24"/>
          <w:lang w:val="it-IT"/>
        </w:rPr>
        <w:t xml:space="preserve"> approfondimento</w:t>
      </w:r>
      <w:r w:rsidR="005358C5">
        <w:rPr>
          <w:sz w:val="24"/>
          <w:szCs w:val="24"/>
          <w:lang w:val="it-IT"/>
        </w:rPr>
        <w:t xml:space="preserve"> specifico sui comuni in cui si sono verificati entrambi gli episodi analizza la frequenza con la quale </w:t>
      </w:r>
      <w:r w:rsidR="00E92E5D">
        <w:rPr>
          <w:sz w:val="24"/>
          <w:szCs w:val="24"/>
          <w:lang w:val="it-IT"/>
        </w:rPr>
        <w:t xml:space="preserve"> infiltrazione mafiosa e </w:t>
      </w:r>
      <w:r w:rsidR="00B76362">
        <w:rPr>
          <w:sz w:val="24"/>
          <w:szCs w:val="24"/>
          <w:lang w:val="it-IT"/>
        </w:rPr>
        <w:t>problemi di bilancio</w:t>
      </w:r>
      <w:r w:rsidR="005358C5">
        <w:rPr>
          <w:sz w:val="24"/>
          <w:szCs w:val="24"/>
          <w:lang w:val="it-IT"/>
        </w:rPr>
        <w:t xml:space="preserve"> tendono a essere responsabilità dello stesso governo locale.</w:t>
      </w:r>
      <w:r w:rsidR="002F4BD4">
        <w:rPr>
          <w:sz w:val="24"/>
          <w:szCs w:val="24"/>
          <w:lang w:val="it-IT"/>
        </w:rPr>
        <w:t xml:space="preserve"> I risultati dello studio sono riassunti nella sezione conclusiva del capitolo.</w:t>
      </w:r>
    </w:p>
    <w:p w14:paraId="393E03AA" w14:textId="1CB78DDB" w:rsidR="00FC2445" w:rsidRDefault="00FC2445" w:rsidP="00D72742">
      <w:pPr>
        <w:ind w:left="284" w:right="237"/>
        <w:rPr>
          <w:sz w:val="24"/>
          <w:szCs w:val="24"/>
          <w:lang w:val="it-IT"/>
        </w:rPr>
      </w:pPr>
    </w:p>
    <w:p w14:paraId="1D2E47AB" w14:textId="44D7F144" w:rsidR="002953EA" w:rsidRPr="00861E13" w:rsidRDefault="00861E13" w:rsidP="00861E13">
      <w:pPr>
        <w:pStyle w:val="Heading2"/>
        <w:numPr>
          <w:ilvl w:val="0"/>
          <w:numId w:val="1"/>
        </w:numPr>
        <w:spacing w:after="360"/>
        <w:ind w:left="284" w:right="237" w:firstLine="0"/>
        <w:rPr>
          <w:lang w:val="it-IT"/>
        </w:rPr>
      </w:pPr>
      <w:r>
        <w:rPr>
          <w:lang w:val="it-IT"/>
        </w:rPr>
        <w:t>Finanza pubblica nei governi comunali</w:t>
      </w:r>
      <w:r w:rsidR="002953EA" w:rsidRPr="00861E13">
        <w:rPr>
          <w:lang w:val="it-IT"/>
        </w:rPr>
        <w:t xml:space="preserve"> infiltrati </w:t>
      </w:r>
      <w:r w:rsidRPr="00861E13">
        <w:rPr>
          <w:lang w:val="it-IT"/>
        </w:rPr>
        <w:t>e sciolti per mafia</w:t>
      </w:r>
    </w:p>
    <w:p w14:paraId="1772B0D2" w14:textId="040EA995" w:rsidR="00024EDC" w:rsidRDefault="00734403" w:rsidP="00D72742">
      <w:pPr>
        <w:ind w:left="284" w:right="237"/>
        <w:rPr>
          <w:rFonts w:cs="Times New Roman"/>
          <w:sz w:val="24"/>
          <w:szCs w:val="24"/>
          <w:lang w:val="it-IT"/>
        </w:rPr>
      </w:pPr>
      <w:r w:rsidRPr="00734403">
        <w:rPr>
          <w:rFonts w:cs="Times New Roman"/>
          <w:sz w:val="24"/>
          <w:szCs w:val="24"/>
          <w:lang w:val="it-IT"/>
        </w:rPr>
        <w:t xml:space="preserve">Quali sono </w:t>
      </w:r>
      <w:r>
        <w:rPr>
          <w:rFonts w:cs="Times New Roman"/>
          <w:sz w:val="24"/>
          <w:szCs w:val="24"/>
          <w:lang w:val="it-IT"/>
        </w:rPr>
        <w:t xml:space="preserve">le caratteristiche </w:t>
      </w:r>
      <w:r w:rsidR="00365C38">
        <w:rPr>
          <w:rFonts w:cs="Times New Roman"/>
          <w:sz w:val="24"/>
          <w:szCs w:val="24"/>
          <w:lang w:val="it-IT"/>
        </w:rPr>
        <w:t>di finanza pubblica</w:t>
      </w:r>
      <w:r>
        <w:rPr>
          <w:rFonts w:cs="Times New Roman"/>
          <w:sz w:val="24"/>
          <w:szCs w:val="24"/>
          <w:lang w:val="it-IT"/>
        </w:rPr>
        <w:t xml:space="preserve"> dei </w:t>
      </w:r>
      <w:r w:rsidR="00861E13">
        <w:rPr>
          <w:rFonts w:cs="Times New Roman"/>
          <w:sz w:val="24"/>
          <w:szCs w:val="24"/>
          <w:lang w:val="it-IT"/>
        </w:rPr>
        <w:t>governi locali</w:t>
      </w:r>
      <w:r>
        <w:rPr>
          <w:rFonts w:cs="Times New Roman"/>
          <w:sz w:val="24"/>
          <w:szCs w:val="24"/>
          <w:lang w:val="it-IT"/>
        </w:rPr>
        <w:t xml:space="preserve"> infiltrati e sciolti per mafia? In un recente studio, </w:t>
      </w:r>
      <w:r w:rsidR="008E0E18">
        <w:rPr>
          <w:rFonts w:cs="Times New Roman"/>
          <w:sz w:val="24"/>
          <w:szCs w:val="24"/>
          <w:lang w:val="it-IT"/>
        </w:rPr>
        <w:t>Di Cataldo e Mastrorocco (2020)</w:t>
      </w:r>
      <w:r>
        <w:rPr>
          <w:rFonts w:cs="Times New Roman"/>
          <w:sz w:val="24"/>
          <w:szCs w:val="24"/>
          <w:lang w:val="it-IT"/>
        </w:rPr>
        <w:t xml:space="preserve"> si propongono di esaminare </w:t>
      </w:r>
      <w:r w:rsidR="00CA432A">
        <w:rPr>
          <w:rFonts w:cs="Times New Roman"/>
          <w:sz w:val="24"/>
          <w:szCs w:val="24"/>
          <w:lang w:val="it-IT"/>
        </w:rPr>
        <w:t>gli effetti prodotti dalle infiltrazioni mafiose a livello comunale sul</w:t>
      </w:r>
      <w:r>
        <w:rPr>
          <w:rFonts w:cs="Times New Roman"/>
          <w:sz w:val="24"/>
          <w:szCs w:val="24"/>
          <w:lang w:val="it-IT"/>
        </w:rPr>
        <w:t>l</w:t>
      </w:r>
      <w:r w:rsidR="006A42A7">
        <w:rPr>
          <w:rFonts w:cs="Times New Roman"/>
          <w:sz w:val="24"/>
          <w:szCs w:val="24"/>
          <w:lang w:val="it-IT"/>
        </w:rPr>
        <w:t>’andamento</w:t>
      </w:r>
      <w:r>
        <w:rPr>
          <w:rFonts w:cs="Times New Roman"/>
          <w:sz w:val="24"/>
          <w:szCs w:val="24"/>
          <w:lang w:val="it-IT"/>
        </w:rPr>
        <w:t xml:space="preserve"> d</w:t>
      </w:r>
      <w:r w:rsidR="00CA432A">
        <w:rPr>
          <w:rFonts w:cs="Times New Roman"/>
          <w:sz w:val="24"/>
          <w:szCs w:val="24"/>
          <w:lang w:val="it-IT"/>
        </w:rPr>
        <w:t>ella</w:t>
      </w:r>
      <w:r>
        <w:rPr>
          <w:rFonts w:cs="Times New Roman"/>
          <w:sz w:val="24"/>
          <w:szCs w:val="24"/>
          <w:lang w:val="it-IT"/>
        </w:rPr>
        <w:t xml:space="preserve"> </w:t>
      </w:r>
      <w:r w:rsidR="00365C38">
        <w:rPr>
          <w:rFonts w:cs="Times New Roman"/>
          <w:sz w:val="24"/>
          <w:szCs w:val="24"/>
          <w:lang w:val="it-IT"/>
        </w:rPr>
        <w:t xml:space="preserve">spesa </w:t>
      </w:r>
      <w:r>
        <w:rPr>
          <w:rFonts w:cs="Times New Roman"/>
          <w:sz w:val="24"/>
          <w:szCs w:val="24"/>
          <w:lang w:val="it-IT"/>
        </w:rPr>
        <w:t xml:space="preserve">pubblica. L’obiettivo degli autori è di identificare comportamenti sistematici tenuti dagli amministratori locali in merito alla </w:t>
      </w:r>
      <w:r w:rsidR="006A42A7">
        <w:rPr>
          <w:rFonts w:cs="Times New Roman"/>
          <w:sz w:val="24"/>
          <w:szCs w:val="24"/>
          <w:lang w:val="it-IT"/>
        </w:rPr>
        <w:t xml:space="preserve">contabilità ed in particolare la </w:t>
      </w:r>
      <w:r>
        <w:rPr>
          <w:rFonts w:cs="Times New Roman"/>
          <w:sz w:val="24"/>
          <w:szCs w:val="24"/>
          <w:lang w:val="it-IT"/>
        </w:rPr>
        <w:t xml:space="preserve">spesa pubblica, durante i periodi di accertata infiltrazione. A tale scopo, </w:t>
      </w:r>
      <w:r w:rsidR="00024EDC">
        <w:rPr>
          <w:rFonts w:cs="Times New Roman"/>
          <w:sz w:val="24"/>
          <w:szCs w:val="24"/>
          <w:lang w:val="it-IT"/>
        </w:rPr>
        <w:t xml:space="preserve">utilizzando informazioni basate sui </w:t>
      </w:r>
      <w:r w:rsidR="006A42A7">
        <w:rPr>
          <w:rFonts w:cs="Times New Roman"/>
          <w:sz w:val="24"/>
          <w:szCs w:val="24"/>
          <w:lang w:val="it-IT"/>
        </w:rPr>
        <w:t>C</w:t>
      </w:r>
      <w:r w:rsidR="00024EDC">
        <w:rPr>
          <w:rFonts w:cs="Times New Roman"/>
          <w:sz w:val="24"/>
          <w:szCs w:val="24"/>
          <w:lang w:val="it-IT"/>
        </w:rPr>
        <w:t xml:space="preserve">ertificati </w:t>
      </w:r>
      <w:r w:rsidR="006A42A7">
        <w:rPr>
          <w:rFonts w:cs="Times New Roman"/>
          <w:sz w:val="24"/>
          <w:szCs w:val="24"/>
          <w:lang w:val="it-IT"/>
        </w:rPr>
        <w:t>C</w:t>
      </w:r>
      <w:r w:rsidR="00024EDC">
        <w:rPr>
          <w:rFonts w:cs="Times New Roman"/>
          <w:sz w:val="24"/>
          <w:szCs w:val="24"/>
          <w:lang w:val="it-IT"/>
        </w:rPr>
        <w:t xml:space="preserve">onsuntivi comunali </w:t>
      </w:r>
      <w:r w:rsidR="002F4BD4">
        <w:rPr>
          <w:rFonts w:cs="Times New Roman"/>
          <w:sz w:val="24"/>
          <w:szCs w:val="24"/>
          <w:lang w:val="it-IT"/>
        </w:rPr>
        <w:t>del</w:t>
      </w:r>
      <w:r w:rsidR="00024EDC">
        <w:rPr>
          <w:rFonts w:cs="Times New Roman"/>
          <w:sz w:val="24"/>
          <w:szCs w:val="24"/>
          <w:lang w:val="it-IT"/>
        </w:rPr>
        <w:t xml:space="preserve"> Ministero dell’Interno,</w:t>
      </w:r>
      <w:r w:rsidR="006A42A7">
        <w:rPr>
          <w:rFonts w:cs="Times New Roman"/>
          <w:sz w:val="24"/>
          <w:szCs w:val="24"/>
          <w:lang w:val="it-IT"/>
        </w:rPr>
        <w:t xml:space="preserve"> gli autori hanno </w:t>
      </w:r>
      <w:r w:rsidR="00024EDC">
        <w:rPr>
          <w:rFonts w:cs="Times New Roman"/>
          <w:sz w:val="24"/>
          <w:szCs w:val="24"/>
          <w:lang w:val="it-IT"/>
        </w:rPr>
        <w:t>ricostruit</w:t>
      </w:r>
      <w:r w:rsidR="006A42A7">
        <w:rPr>
          <w:rFonts w:cs="Times New Roman"/>
          <w:sz w:val="24"/>
          <w:szCs w:val="24"/>
          <w:lang w:val="it-IT"/>
        </w:rPr>
        <w:t>o la contabilità</w:t>
      </w:r>
      <w:r w:rsidR="00024EDC">
        <w:rPr>
          <w:rFonts w:cs="Times New Roman"/>
          <w:sz w:val="24"/>
          <w:szCs w:val="24"/>
          <w:lang w:val="it-IT"/>
        </w:rPr>
        <w:t xml:space="preserve"> annual</w:t>
      </w:r>
      <w:r w:rsidR="006A42A7">
        <w:rPr>
          <w:rFonts w:cs="Times New Roman"/>
          <w:sz w:val="24"/>
          <w:szCs w:val="24"/>
          <w:lang w:val="it-IT"/>
        </w:rPr>
        <w:t>e</w:t>
      </w:r>
      <w:r w:rsidR="00024EDC">
        <w:rPr>
          <w:rFonts w:cs="Times New Roman"/>
          <w:sz w:val="24"/>
          <w:szCs w:val="24"/>
          <w:lang w:val="it-IT"/>
        </w:rPr>
        <w:t xml:space="preserve"> </w:t>
      </w:r>
      <w:r w:rsidR="006A42A7">
        <w:rPr>
          <w:rFonts w:cs="Times New Roman"/>
          <w:sz w:val="24"/>
          <w:szCs w:val="24"/>
          <w:lang w:val="it-IT"/>
        </w:rPr>
        <w:t>d</w:t>
      </w:r>
      <w:r w:rsidR="00E96B2D">
        <w:rPr>
          <w:rFonts w:cs="Times New Roman"/>
          <w:sz w:val="24"/>
          <w:szCs w:val="24"/>
          <w:lang w:val="it-IT"/>
        </w:rPr>
        <w:t>i ciascun governo</w:t>
      </w:r>
      <w:r w:rsidR="006A42A7">
        <w:rPr>
          <w:rFonts w:cs="Times New Roman"/>
          <w:sz w:val="24"/>
          <w:szCs w:val="24"/>
          <w:lang w:val="it-IT"/>
        </w:rPr>
        <w:t xml:space="preserve"> </w:t>
      </w:r>
      <w:r w:rsidR="00024EDC">
        <w:rPr>
          <w:rFonts w:cs="Times New Roman"/>
          <w:sz w:val="24"/>
          <w:szCs w:val="24"/>
          <w:lang w:val="it-IT"/>
        </w:rPr>
        <w:t>comunal</w:t>
      </w:r>
      <w:r w:rsidR="00E96B2D">
        <w:rPr>
          <w:rFonts w:cs="Times New Roman"/>
          <w:sz w:val="24"/>
          <w:szCs w:val="24"/>
          <w:lang w:val="it-IT"/>
        </w:rPr>
        <w:t>e</w:t>
      </w:r>
      <w:r w:rsidR="00024EDC">
        <w:rPr>
          <w:rFonts w:cs="Times New Roman"/>
          <w:sz w:val="24"/>
          <w:szCs w:val="24"/>
          <w:lang w:val="it-IT"/>
        </w:rPr>
        <w:t xml:space="preserve"> di Calabria, Campania e Sicilia</w:t>
      </w:r>
      <w:r w:rsidR="00BB00AB">
        <w:rPr>
          <w:rFonts w:cs="Times New Roman"/>
          <w:sz w:val="24"/>
          <w:szCs w:val="24"/>
          <w:lang w:val="it-IT"/>
        </w:rPr>
        <w:t xml:space="preserve"> per il periodo 1998-2013</w:t>
      </w:r>
      <w:r w:rsidR="00024EDC">
        <w:rPr>
          <w:rFonts w:cs="Times New Roman"/>
          <w:sz w:val="24"/>
          <w:szCs w:val="24"/>
          <w:lang w:val="it-IT"/>
        </w:rPr>
        <w:t xml:space="preserve">, le regioni in cui il provvedimento di scioglimento per mafia è stato più frequentemente applicato. </w:t>
      </w:r>
      <w:r w:rsidR="006A42A7">
        <w:rPr>
          <w:rFonts w:cs="Times New Roman"/>
          <w:sz w:val="24"/>
          <w:szCs w:val="24"/>
          <w:lang w:val="it-IT"/>
        </w:rPr>
        <w:t xml:space="preserve">E’ </w:t>
      </w:r>
      <w:r w:rsidR="00024EDC">
        <w:rPr>
          <w:rFonts w:cs="Times New Roman"/>
          <w:sz w:val="24"/>
          <w:szCs w:val="24"/>
          <w:lang w:val="it-IT"/>
        </w:rPr>
        <w:t xml:space="preserve">stato inoltre </w:t>
      </w:r>
      <w:r w:rsidR="006A42A7">
        <w:rPr>
          <w:rFonts w:cs="Times New Roman"/>
          <w:sz w:val="24"/>
          <w:szCs w:val="24"/>
          <w:lang w:val="it-IT"/>
        </w:rPr>
        <w:t xml:space="preserve">possibile </w:t>
      </w:r>
      <w:r w:rsidR="00024EDC">
        <w:rPr>
          <w:rFonts w:cs="Times New Roman"/>
          <w:sz w:val="24"/>
          <w:szCs w:val="24"/>
          <w:lang w:val="it-IT"/>
        </w:rPr>
        <w:t>disaggrega</w:t>
      </w:r>
      <w:r w:rsidR="006A42A7">
        <w:rPr>
          <w:rFonts w:cs="Times New Roman"/>
          <w:sz w:val="24"/>
          <w:szCs w:val="24"/>
          <w:lang w:val="it-IT"/>
        </w:rPr>
        <w:t>re</w:t>
      </w:r>
      <w:r w:rsidR="00024EDC">
        <w:rPr>
          <w:rFonts w:cs="Times New Roman"/>
          <w:sz w:val="24"/>
          <w:szCs w:val="24"/>
          <w:lang w:val="it-IT"/>
        </w:rPr>
        <w:t xml:space="preserve"> </w:t>
      </w:r>
      <w:r w:rsidR="006A42A7">
        <w:rPr>
          <w:rFonts w:cs="Times New Roman"/>
          <w:sz w:val="24"/>
          <w:szCs w:val="24"/>
          <w:lang w:val="it-IT"/>
        </w:rPr>
        <w:t xml:space="preserve">i dati raccolti </w:t>
      </w:r>
      <w:r w:rsidR="00024EDC">
        <w:rPr>
          <w:rFonts w:cs="Times New Roman"/>
          <w:sz w:val="24"/>
          <w:szCs w:val="24"/>
          <w:lang w:val="it-IT"/>
        </w:rPr>
        <w:t>per capitolo di spesa, suddividen</w:t>
      </w:r>
      <w:r w:rsidR="001E0151">
        <w:rPr>
          <w:rFonts w:cs="Times New Roman"/>
          <w:sz w:val="24"/>
          <w:szCs w:val="24"/>
          <w:lang w:val="it-IT"/>
        </w:rPr>
        <w:t>d</w:t>
      </w:r>
      <w:r w:rsidR="00024EDC">
        <w:rPr>
          <w:rFonts w:cs="Times New Roman"/>
          <w:sz w:val="24"/>
          <w:szCs w:val="24"/>
          <w:lang w:val="it-IT"/>
        </w:rPr>
        <w:t>o l</w:t>
      </w:r>
      <w:r w:rsidR="006A42A7">
        <w:rPr>
          <w:rFonts w:cs="Times New Roman"/>
          <w:sz w:val="24"/>
          <w:szCs w:val="24"/>
          <w:lang w:val="it-IT"/>
        </w:rPr>
        <w:t>e uscite registrate da ciascun comune non solo per spesa corrente e spesa in conto capitale, ma anche per specifica categoria di investimento.</w:t>
      </w:r>
    </w:p>
    <w:p w14:paraId="7C6ACF2D" w14:textId="1E5DE00A" w:rsidR="00DD26AC" w:rsidRDefault="00DD26AC" w:rsidP="00DD26AC">
      <w:pPr>
        <w:ind w:left="284" w:right="237"/>
        <w:rPr>
          <w:rFonts w:cs="Times New Roman"/>
          <w:sz w:val="24"/>
          <w:szCs w:val="24"/>
          <w:lang w:val="it-IT"/>
        </w:rPr>
      </w:pPr>
      <w:r>
        <w:rPr>
          <w:rFonts w:cs="Times New Roman"/>
          <w:sz w:val="24"/>
          <w:szCs w:val="24"/>
          <w:lang w:val="it-IT"/>
        </w:rPr>
        <w:lastRenderedPageBreak/>
        <w:t xml:space="preserve">Prima di presentare l’analisi empirica e i suoi risultati, </w:t>
      </w:r>
      <w:r w:rsidR="002F4BD4">
        <w:rPr>
          <w:rFonts w:cs="Times New Roman"/>
          <w:sz w:val="24"/>
          <w:szCs w:val="24"/>
          <w:lang w:val="it-IT"/>
        </w:rPr>
        <w:t>illustriamo</w:t>
      </w:r>
      <w:r>
        <w:rPr>
          <w:rFonts w:cs="Times New Roman"/>
          <w:sz w:val="24"/>
          <w:szCs w:val="24"/>
          <w:lang w:val="it-IT"/>
        </w:rPr>
        <w:t xml:space="preserve"> il funzionamento della normativa che regolamenta lo scioglimento dei governi comunali per infiltrazione mafiosa.</w:t>
      </w:r>
    </w:p>
    <w:p w14:paraId="7F6F4E3F" w14:textId="16BDF4DE" w:rsidR="00861E13" w:rsidRDefault="00861E13" w:rsidP="00D72742">
      <w:pPr>
        <w:ind w:left="284" w:right="237"/>
        <w:rPr>
          <w:rFonts w:cs="Times New Roman"/>
          <w:sz w:val="24"/>
          <w:szCs w:val="24"/>
          <w:lang w:val="it-IT"/>
        </w:rPr>
      </w:pPr>
    </w:p>
    <w:p w14:paraId="1067A259" w14:textId="2AABE29C" w:rsidR="00861E13" w:rsidRDefault="00861E13" w:rsidP="00D72742">
      <w:pPr>
        <w:ind w:left="284" w:right="237"/>
        <w:rPr>
          <w:rFonts w:cs="Times New Roman"/>
          <w:i/>
          <w:iCs/>
          <w:sz w:val="24"/>
          <w:szCs w:val="24"/>
          <w:lang w:val="it-IT"/>
        </w:rPr>
      </w:pPr>
      <w:r w:rsidRPr="00861E13">
        <w:rPr>
          <w:rFonts w:cs="Times New Roman"/>
          <w:i/>
          <w:iCs/>
          <w:sz w:val="24"/>
          <w:szCs w:val="24"/>
          <w:lang w:val="it-IT"/>
        </w:rPr>
        <w:t>2.1 La legge sullo scioglimento comunale per infiltrazioni mafiose</w:t>
      </w:r>
    </w:p>
    <w:p w14:paraId="1F215629" w14:textId="77777777" w:rsidR="00861E13" w:rsidRPr="00861E13" w:rsidRDefault="00861E13" w:rsidP="00D72742">
      <w:pPr>
        <w:ind w:left="284" w:right="237"/>
        <w:rPr>
          <w:rFonts w:cs="Times New Roman"/>
          <w:i/>
          <w:iCs/>
          <w:sz w:val="24"/>
          <w:szCs w:val="24"/>
          <w:lang w:val="it-IT"/>
        </w:rPr>
      </w:pPr>
    </w:p>
    <w:p w14:paraId="7EF6C093" w14:textId="418C7958" w:rsidR="00861E13" w:rsidRPr="00B51283" w:rsidRDefault="00861E13" w:rsidP="00861E13">
      <w:pPr>
        <w:ind w:left="284" w:right="237"/>
        <w:rPr>
          <w:rFonts w:cs="Times New Roman"/>
          <w:sz w:val="24"/>
          <w:szCs w:val="24"/>
          <w:lang w:val="it-IT"/>
        </w:rPr>
      </w:pPr>
      <w:r w:rsidRPr="00B51283">
        <w:rPr>
          <w:rFonts w:cs="Times New Roman"/>
          <w:sz w:val="24"/>
          <w:szCs w:val="24"/>
          <w:lang w:val="it-IT"/>
        </w:rPr>
        <w:t>Lo strumento dello scioglimento per infiltrazione mafiosa viene introdotto dal decreto</w:t>
      </w:r>
      <w:r w:rsidR="00A00451">
        <w:rPr>
          <w:rFonts w:cs="Times New Roman"/>
          <w:sz w:val="24"/>
          <w:szCs w:val="24"/>
          <w:lang w:val="it-IT"/>
        </w:rPr>
        <w:t xml:space="preserve"> </w:t>
      </w:r>
      <w:r w:rsidRPr="00B51283">
        <w:rPr>
          <w:rFonts w:cs="Times New Roman"/>
          <w:sz w:val="24"/>
          <w:szCs w:val="24"/>
          <w:lang w:val="it-IT"/>
        </w:rPr>
        <w:t xml:space="preserve"> </w:t>
      </w:r>
      <w:r w:rsidR="000A1293">
        <w:rPr>
          <w:rFonts w:cs="Times New Roman"/>
          <w:sz w:val="24"/>
          <w:szCs w:val="24"/>
          <w:lang w:val="it-IT"/>
        </w:rPr>
        <w:t xml:space="preserve">legge </w:t>
      </w:r>
      <w:r w:rsidRPr="00B51283">
        <w:rPr>
          <w:rFonts w:cs="Times New Roman"/>
          <w:sz w:val="24"/>
          <w:szCs w:val="24"/>
          <w:lang w:val="it-IT"/>
        </w:rPr>
        <w:t>n.</w:t>
      </w:r>
      <w:r w:rsidR="000A1293">
        <w:rPr>
          <w:rFonts w:cs="Times New Roman"/>
          <w:sz w:val="24"/>
          <w:szCs w:val="24"/>
          <w:lang w:val="it-IT"/>
        </w:rPr>
        <w:t xml:space="preserve"> </w:t>
      </w:r>
      <w:r w:rsidRPr="00B51283">
        <w:rPr>
          <w:rFonts w:cs="Times New Roman"/>
          <w:sz w:val="24"/>
          <w:szCs w:val="24"/>
          <w:lang w:val="it-IT"/>
        </w:rPr>
        <w:t>164 del 1991, a seguito della “strage di Taurianova”, episodio di violenza mafiosa che coinvo</w:t>
      </w:r>
      <w:r w:rsidR="001E0151">
        <w:rPr>
          <w:rFonts w:cs="Times New Roman"/>
          <w:sz w:val="24"/>
          <w:szCs w:val="24"/>
          <w:lang w:val="it-IT"/>
        </w:rPr>
        <w:t xml:space="preserve">ge </w:t>
      </w:r>
      <w:r w:rsidRPr="00B51283">
        <w:rPr>
          <w:rFonts w:cs="Times New Roman"/>
          <w:sz w:val="24"/>
          <w:szCs w:val="24"/>
          <w:lang w:val="it-IT"/>
        </w:rPr>
        <w:t xml:space="preserve"> il boss Rocco Zagari, eletto più volte consigliere comunale. </w:t>
      </w:r>
    </w:p>
    <w:p w14:paraId="5B46B3AC" w14:textId="78CB05CF" w:rsidR="00861E13" w:rsidRPr="00B51283" w:rsidRDefault="00861E13" w:rsidP="00861E13">
      <w:pPr>
        <w:ind w:left="284" w:right="237"/>
        <w:rPr>
          <w:rFonts w:cs="Times New Roman"/>
          <w:sz w:val="24"/>
          <w:szCs w:val="24"/>
          <w:lang w:val="it-IT"/>
        </w:rPr>
      </w:pPr>
      <w:r w:rsidRPr="00B51283">
        <w:rPr>
          <w:rFonts w:cs="Times New Roman"/>
          <w:sz w:val="24"/>
          <w:szCs w:val="24"/>
          <w:lang w:val="it-IT"/>
        </w:rPr>
        <w:t xml:space="preserve">Il decreto disciplina lo scioglimento di consigli comunali e provinciali per </w:t>
      </w:r>
      <w:r w:rsidRPr="002F4BD4">
        <w:rPr>
          <w:rFonts w:cs="Times New Roman"/>
          <w:sz w:val="24"/>
          <w:szCs w:val="24"/>
          <w:lang w:val="it-IT"/>
        </w:rPr>
        <w:t>presunte</w:t>
      </w:r>
      <w:r w:rsidRPr="00B51283">
        <w:rPr>
          <w:rFonts w:cs="Times New Roman"/>
          <w:sz w:val="24"/>
          <w:szCs w:val="24"/>
          <w:lang w:val="it-IT"/>
        </w:rPr>
        <w:t xml:space="preserve"> infiltrazioni mafiose. Lo strumento ha</w:t>
      </w:r>
      <w:r w:rsidR="001E0151">
        <w:rPr>
          <w:rFonts w:cs="Times New Roman"/>
          <w:sz w:val="24"/>
          <w:szCs w:val="24"/>
          <w:lang w:val="it-IT"/>
        </w:rPr>
        <w:t>,</w:t>
      </w:r>
      <w:r w:rsidRPr="00B51283">
        <w:rPr>
          <w:rFonts w:cs="Times New Roman"/>
          <w:sz w:val="24"/>
          <w:szCs w:val="24"/>
          <w:lang w:val="it-IT"/>
        </w:rPr>
        <w:t xml:space="preserve"> infatti</w:t>
      </w:r>
      <w:r w:rsidR="001E0151">
        <w:rPr>
          <w:rFonts w:cs="Times New Roman"/>
          <w:sz w:val="24"/>
          <w:szCs w:val="24"/>
          <w:lang w:val="it-IT"/>
        </w:rPr>
        <w:t>,</w:t>
      </w:r>
      <w:r w:rsidRPr="00B51283">
        <w:rPr>
          <w:rFonts w:cs="Times New Roman"/>
          <w:sz w:val="24"/>
          <w:szCs w:val="24"/>
          <w:lang w:val="it-IT"/>
        </w:rPr>
        <w:t xml:space="preserve"> natura preventiva rispetto a possibili condizionamenti mafiosi degli enti locali: perché venga attivato è sufficiente la presunzione dell’infiltrazione mafiosa, mentre l’accertamento della sussistenza avviene in seguito allo scioglimento. </w:t>
      </w:r>
    </w:p>
    <w:p w14:paraId="4267B975" w14:textId="42AB92FC" w:rsidR="00861E13" w:rsidRPr="00B51283" w:rsidRDefault="00C04392" w:rsidP="00861E13">
      <w:pPr>
        <w:ind w:left="284" w:right="237"/>
        <w:rPr>
          <w:rFonts w:cs="Times New Roman"/>
          <w:sz w:val="24"/>
          <w:szCs w:val="24"/>
          <w:lang w:val="it-IT"/>
        </w:rPr>
      </w:pPr>
      <w:r>
        <w:rPr>
          <w:rFonts w:cs="Times New Roman"/>
          <w:sz w:val="24"/>
          <w:szCs w:val="24"/>
          <w:lang w:val="it-IT"/>
        </w:rPr>
        <w:t>Il</w:t>
      </w:r>
      <w:r w:rsidR="00861E13" w:rsidRPr="00B51283">
        <w:rPr>
          <w:rFonts w:cs="Times New Roman"/>
          <w:sz w:val="24"/>
          <w:szCs w:val="24"/>
          <w:lang w:val="it-IT"/>
        </w:rPr>
        <w:t xml:space="preserve"> decreto prevede la sospensione degli amministratori locali sottoposti a procedimento penale per delitto di favoreggiamento o sottoposti </w:t>
      </w:r>
      <w:r w:rsidR="00214E17">
        <w:rPr>
          <w:rFonts w:cs="Times New Roman"/>
          <w:sz w:val="24"/>
          <w:szCs w:val="24"/>
          <w:lang w:val="it-IT"/>
        </w:rPr>
        <w:t xml:space="preserve">a misure di prevenzione </w:t>
      </w:r>
      <w:r w:rsidR="00861E13" w:rsidRPr="00B51283">
        <w:rPr>
          <w:rFonts w:cs="Times New Roman"/>
          <w:sz w:val="24"/>
          <w:szCs w:val="24"/>
          <w:lang w:val="it-IT"/>
        </w:rPr>
        <w:t>in quanto indiziati di appartenere ad associazioni di stampo mafioso</w:t>
      </w:r>
      <w:r w:rsidR="002F4BD4">
        <w:rPr>
          <w:rFonts w:cs="Times New Roman"/>
          <w:sz w:val="24"/>
          <w:szCs w:val="24"/>
          <w:lang w:val="it-IT"/>
        </w:rPr>
        <w:t>, stabilendo</w:t>
      </w:r>
      <w:r w:rsidR="00861E13" w:rsidRPr="00B51283">
        <w:rPr>
          <w:rFonts w:cs="Times New Roman"/>
          <w:sz w:val="24"/>
          <w:szCs w:val="24"/>
          <w:lang w:val="it-IT"/>
        </w:rPr>
        <w:t xml:space="preserve"> che “i consigli comunali e  provinciali  sono sciolti quando</w:t>
      </w:r>
      <w:r w:rsidR="00861E13">
        <w:rPr>
          <w:rFonts w:cs="Times New Roman"/>
          <w:sz w:val="24"/>
          <w:szCs w:val="24"/>
          <w:lang w:val="it-IT"/>
        </w:rPr>
        <w:t xml:space="preserve"> [...]</w:t>
      </w:r>
      <w:r w:rsidR="00861E13" w:rsidRPr="00B51283">
        <w:rPr>
          <w:rFonts w:cs="Times New Roman"/>
          <w:sz w:val="24"/>
          <w:szCs w:val="24"/>
          <w:lang w:val="it-IT"/>
        </w:rPr>
        <w:t xml:space="preserve"> emergono elementi su collegamenti  diretti o indiretti degli amministratori con la criminalità organizzata o su forme di   condizionamento   degli   amministratori   stessi  che compromettono  l'imparzialità  degli  organi  elettivi  e  il   buon andamento delle amministrazioni comunali e  provinciali,  nonché il regolare funzionamento dei servizi alle stesse  affidati  ovvero  che risultano tali da arrecare grave  e  perdurante  pregiudizio  per  lo stato della sicurezza pubblica”.  </w:t>
      </w:r>
      <w:r w:rsidR="00861E13">
        <w:rPr>
          <w:rFonts w:cs="Times New Roman"/>
          <w:sz w:val="24"/>
          <w:szCs w:val="24"/>
          <w:lang w:val="it-IT"/>
        </w:rPr>
        <w:t>L</w:t>
      </w:r>
      <w:r w:rsidR="00861E13" w:rsidRPr="00B51283">
        <w:rPr>
          <w:rFonts w:cs="Times New Roman"/>
          <w:sz w:val="24"/>
          <w:szCs w:val="24"/>
          <w:lang w:val="it-IT"/>
        </w:rPr>
        <w:t xml:space="preserve">o scioglimento è disposto con decreto del Presidente della Repubblica, su proposta del Ministro dell’Interno, previa deliberazione del Consiglio dei Ministri, ed avviato dal prefetto della Provincia con una relazione che tiene conto di elementi eventualmente acquisiti dall'Alto Commissario per il coordinamento della lotta contro la delinquenza mafiosa. In seguito allo scioglimento, viene nominata una commissione straordinaria per la gestione dell’ente fino a nuove elezioni. Tale commissione si compone di tre membri scelti tra funzionari di stato e magistrati di giurisdizione ordinaria o amministrativa, in servizio o in quiescenza. Il decreto di scioglimento </w:t>
      </w:r>
      <w:r w:rsidR="00861E13" w:rsidRPr="00B51283">
        <w:rPr>
          <w:rFonts w:cs="Times New Roman"/>
          <w:sz w:val="24"/>
          <w:szCs w:val="24"/>
          <w:lang w:val="it-IT"/>
        </w:rPr>
        <w:lastRenderedPageBreak/>
        <w:t xml:space="preserve">conserva i suoi effetti per un periodo di 18 mesi, prorogabili fino a 24, e nei 90 giorni successivi si procede al rinnovo degli organi. </w:t>
      </w:r>
    </w:p>
    <w:p w14:paraId="35C881CE" w14:textId="4B32B519" w:rsidR="007D5401" w:rsidRDefault="00861E13" w:rsidP="007D5401">
      <w:pPr>
        <w:widowControl w:val="0"/>
        <w:autoSpaceDE w:val="0"/>
        <w:autoSpaceDN w:val="0"/>
        <w:adjustRightInd w:val="0"/>
        <w:ind w:left="284" w:right="237"/>
        <w:rPr>
          <w:rFonts w:cs="Times New Roman"/>
          <w:sz w:val="24"/>
          <w:szCs w:val="24"/>
          <w:lang w:val="it-IT"/>
        </w:rPr>
      </w:pPr>
      <w:r w:rsidRPr="00B51283">
        <w:rPr>
          <w:rFonts w:cs="Times New Roman"/>
          <w:sz w:val="24"/>
          <w:szCs w:val="24"/>
          <w:lang w:val="it-IT"/>
        </w:rPr>
        <w:t>Il decreto di scioglimento comporta la cessazione delle cariche pubbliche e degli incarichi connessi. Fino al primo turno elettorale utile, l’ente è sottoposto alla gestione della commissione straordinaria, che è tenuta alla semplice realizzazione di “opere pubbliche indifferibili” e interventi prioritari, salvo il potere di revocare deliberazioni precedentemente adottate relative ad appalti o con</w:t>
      </w:r>
      <w:r w:rsidRPr="00100A3D">
        <w:rPr>
          <w:rFonts w:cs="Times New Roman"/>
          <w:sz w:val="24"/>
          <w:szCs w:val="24"/>
          <w:lang w:val="it-IT"/>
        </w:rPr>
        <w:t>cessioni di servizi locali per i quali sia accertato il condizionamento mafioso</w:t>
      </w:r>
      <w:r w:rsidR="00B834F3" w:rsidRPr="00100A3D">
        <w:rPr>
          <w:rFonts w:cs="Times New Roman"/>
          <w:sz w:val="24"/>
          <w:szCs w:val="24"/>
          <w:lang w:val="it-IT"/>
        </w:rPr>
        <w:t xml:space="preserve"> (Mete, 20</w:t>
      </w:r>
      <w:r w:rsidR="00100A3D" w:rsidRPr="00100A3D">
        <w:rPr>
          <w:rFonts w:cs="Times New Roman"/>
          <w:sz w:val="24"/>
          <w:szCs w:val="24"/>
          <w:lang w:val="it-IT"/>
        </w:rPr>
        <w:t>09</w:t>
      </w:r>
      <w:r w:rsidR="00B834F3" w:rsidRPr="00100A3D">
        <w:rPr>
          <w:rFonts w:cs="Times New Roman"/>
          <w:sz w:val="24"/>
          <w:szCs w:val="24"/>
          <w:lang w:val="it-IT"/>
        </w:rPr>
        <w:t>)</w:t>
      </w:r>
      <w:r w:rsidRPr="00100A3D">
        <w:rPr>
          <w:rFonts w:cs="Times New Roman"/>
          <w:sz w:val="24"/>
          <w:szCs w:val="24"/>
          <w:lang w:val="it-IT"/>
        </w:rPr>
        <w:t>.</w:t>
      </w:r>
      <w:r w:rsidRPr="00B51283">
        <w:rPr>
          <w:rFonts w:cs="Times New Roman"/>
          <w:sz w:val="24"/>
          <w:szCs w:val="24"/>
          <w:lang w:val="it-IT"/>
        </w:rPr>
        <w:t xml:space="preserve"> </w:t>
      </w:r>
    </w:p>
    <w:p w14:paraId="766ABD64" w14:textId="780BBBA4" w:rsidR="007D5401" w:rsidRDefault="00BB00AB" w:rsidP="007D5401">
      <w:pPr>
        <w:widowControl w:val="0"/>
        <w:autoSpaceDE w:val="0"/>
        <w:autoSpaceDN w:val="0"/>
        <w:adjustRightInd w:val="0"/>
        <w:ind w:left="284" w:right="237"/>
        <w:rPr>
          <w:rFonts w:cs="Times New Roman"/>
          <w:sz w:val="24"/>
          <w:szCs w:val="24"/>
          <w:lang w:val="it-IT"/>
        </w:rPr>
      </w:pPr>
      <w:r>
        <w:rPr>
          <w:rFonts w:cs="Times New Roman"/>
          <w:sz w:val="24"/>
          <w:szCs w:val="24"/>
          <w:lang w:val="it-IT"/>
        </w:rPr>
        <w:t>L</w:t>
      </w:r>
      <w:r w:rsidR="007D5401" w:rsidRPr="007D5401">
        <w:rPr>
          <w:rFonts w:cs="Times New Roman"/>
          <w:sz w:val="24"/>
          <w:szCs w:val="24"/>
          <w:lang w:val="it-IT"/>
        </w:rPr>
        <w:t xml:space="preserve">a Corte </w:t>
      </w:r>
      <w:r w:rsidR="007D5401">
        <w:rPr>
          <w:rFonts w:cs="Times New Roman"/>
          <w:sz w:val="24"/>
          <w:szCs w:val="24"/>
          <w:lang w:val="it-IT"/>
        </w:rPr>
        <w:t>Costituzionale</w:t>
      </w:r>
      <w:r w:rsidR="00420B39">
        <w:rPr>
          <w:rFonts w:cs="Times New Roman"/>
          <w:sz w:val="24"/>
          <w:szCs w:val="24"/>
          <w:lang w:val="it-IT"/>
        </w:rPr>
        <w:t>,</w:t>
      </w:r>
      <w:r w:rsidR="007D5401">
        <w:rPr>
          <w:rFonts w:cs="Times New Roman"/>
          <w:sz w:val="24"/>
          <w:szCs w:val="24"/>
          <w:lang w:val="it-IT"/>
        </w:rPr>
        <w:t xml:space="preserve"> </w:t>
      </w:r>
      <w:r w:rsidR="00420B39">
        <w:rPr>
          <w:rFonts w:cs="Times New Roman"/>
          <w:sz w:val="24"/>
          <w:szCs w:val="24"/>
          <w:lang w:val="it-IT"/>
        </w:rPr>
        <w:t>nel ribadire gli elementi che comportano lo scioglimento con la sentenza n.</w:t>
      </w:r>
      <w:r w:rsidR="00420B39" w:rsidRPr="007D5401">
        <w:rPr>
          <w:rFonts w:cs="Times New Roman"/>
          <w:sz w:val="24"/>
          <w:szCs w:val="24"/>
          <w:lang w:val="it-IT"/>
        </w:rPr>
        <w:t xml:space="preserve"> 103/1993</w:t>
      </w:r>
      <w:r w:rsidR="00420B39">
        <w:rPr>
          <w:rFonts w:cs="Times New Roman"/>
          <w:sz w:val="24"/>
          <w:szCs w:val="24"/>
          <w:lang w:val="it-IT"/>
        </w:rPr>
        <w:t xml:space="preserve">, stabilisce che </w:t>
      </w:r>
      <w:r w:rsidR="007D5401" w:rsidRPr="007D5401">
        <w:rPr>
          <w:rFonts w:cs="Times New Roman"/>
          <w:sz w:val="24"/>
          <w:szCs w:val="24"/>
          <w:lang w:val="it-IT"/>
        </w:rPr>
        <w:t xml:space="preserve">i collegamenti degli amministratori locali con la criminalità organizzata </w:t>
      </w:r>
      <w:r w:rsidR="007D5401">
        <w:rPr>
          <w:rFonts w:cs="Times New Roman"/>
          <w:sz w:val="24"/>
          <w:szCs w:val="24"/>
          <w:lang w:val="it-IT"/>
        </w:rPr>
        <w:t>e</w:t>
      </w:r>
      <w:r w:rsidR="007D5401" w:rsidRPr="007D5401">
        <w:rPr>
          <w:rFonts w:cs="Times New Roman"/>
          <w:sz w:val="24"/>
          <w:szCs w:val="24"/>
          <w:lang w:val="it-IT"/>
        </w:rPr>
        <w:t xml:space="preserve"> i condizionamenti esercitati da quest’ultima </w:t>
      </w:r>
      <w:r w:rsidR="007D5401">
        <w:rPr>
          <w:rFonts w:cs="Times New Roman"/>
          <w:sz w:val="24"/>
          <w:szCs w:val="24"/>
          <w:lang w:val="it-IT"/>
        </w:rPr>
        <w:t>comportano</w:t>
      </w:r>
      <w:r w:rsidR="007D5401" w:rsidRPr="007D5401">
        <w:rPr>
          <w:rFonts w:cs="Times New Roman"/>
          <w:sz w:val="24"/>
          <w:szCs w:val="24"/>
          <w:lang w:val="it-IT"/>
        </w:rPr>
        <w:t xml:space="preserve"> pregiudizi quali la mancanza di libera determinazione per gli organi elettivi e amministrativi, l</w:t>
      </w:r>
      <w:r w:rsidR="00420B39">
        <w:rPr>
          <w:rFonts w:cs="Times New Roman"/>
          <w:sz w:val="24"/>
          <w:szCs w:val="24"/>
          <w:lang w:val="it-IT"/>
        </w:rPr>
        <w:t>’</w:t>
      </w:r>
      <w:r w:rsidR="007D5401" w:rsidRPr="007D5401">
        <w:rPr>
          <w:rFonts w:cs="Times New Roman"/>
          <w:sz w:val="24"/>
          <w:szCs w:val="24"/>
          <w:lang w:val="it-IT"/>
        </w:rPr>
        <w:t>andamento negativo dell'ente, il malfunzionamento dei servizi affidati all'ente oppure pericolo per l</w:t>
      </w:r>
      <w:r w:rsidR="00420B39">
        <w:rPr>
          <w:rFonts w:cs="Times New Roman"/>
          <w:sz w:val="24"/>
          <w:szCs w:val="24"/>
          <w:lang w:val="it-IT"/>
        </w:rPr>
        <w:t>’</w:t>
      </w:r>
      <w:r w:rsidR="007D5401" w:rsidRPr="007D5401">
        <w:rPr>
          <w:rFonts w:cs="Times New Roman"/>
          <w:sz w:val="24"/>
          <w:szCs w:val="24"/>
          <w:lang w:val="it-IT"/>
        </w:rPr>
        <w:t xml:space="preserve">ordine e la sicurezza pubblica. In seguito, le commissioni hanno rilevato tali elementi in circostanze di gestione irregolare di appalti o concessioni, abusivismo edilizio, omissioni degli amministratori di fronte a gesti della mafia. </w:t>
      </w:r>
      <w:r w:rsidR="009B3673">
        <w:rPr>
          <w:rFonts w:cs="Times New Roman"/>
          <w:sz w:val="24"/>
          <w:szCs w:val="24"/>
          <w:lang w:val="it-IT"/>
        </w:rPr>
        <w:t>Secondo un rapporto pubblicato dalla Commissione Affari Costituzionali nel 200</w:t>
      </w:r>
      <w:r w:rsidR="00B76362">
        <w:rPr>
          <w:rFonts w:cs="Times New Roman"/>
          <w:sz w:val="24"/>
          <w:szCs w:val="24"/>
          <w:lang w:val="it-IT"/>
        </w:rPr>
        <w:t>7</w:t>
      </w:r>
      <w:r w:rsidR="004C6ED2">
        <w:rPr>
          <w:rFonts w:cs="Times New Roman"/>
          <w:sz w:val="24"/>
          <w:szCs w:val="24"/>
          <w:lang w:val="it-IT"/>
        </w:rPr>
        <w:t>,</w:t>
      </w:r>
      <w:r w:rsidR="009B3673">
        <w:rPr>
          <w:rFonts w:cs="Times New Roman"/>
          <w:sz w:val="24"/>
          <w:szCs w:val="24"/>
          <w:lang w:val="it-IT"/>
        </w:rPr>
        <w:t xml:space="preserve"> l</w:t>
      </w:r>
      <w:r w:rsidR="007D5401" w:rsidRPr="007D5401">
        <w:rPr>
          <w:rFonts w:cs="Times New Roman"/>
          <w:sz w:val="24"/>
          <w:szCs w:val="24"/>
          <w:lang w:val="it-IT"/>
        </w:rPr>
        <w:t>e infiltrazioni mafiose si manifestano attraverso segnali ricorrenti e piuttosto palesi, quali “assenza di piani regolatori, inefficienza dei servizi di polizia municipale, scuole in rovina, strade dissestate, rifiuti abbandonati per la mancanza di raccolta, abusivismo edilizio dilagante anche in zone demaniali, assistenza sanitaria inesistente, cimiteri abbandonati, personale assunto in maniera clientelare, senza alcuna selezione di merito</w:t>
      </w:r>
      <w:r w:rsidR="007D5401">
        <w:rPr>
          <w:rFonts w:cs="Times New Roman"/>
          <w:sz w:val="24"/>
          <w:szCs w:val="24"/>
          <w:lang w:val="it-IT"/>
        </w:rPr>
        <w:t xml:space="preserve"> </w:t>
      </w:r>
      <w:r w:rsidR="007D5401" w:rsidRPr="007D5401">
        <w:rPr>
          <w:rFonts w:cs="Times New Roman"/>
          <w:sz w:val="24"/>
          <w:szCs w:val="24"/>
          <w:lang w:val="it-IT"/>
        </w:rPr>
        <w:t>(…)</w:t>
      </w:r>
      <w:r w:rsidR="009B3673">
        <w:rPr>
          <w:rFonts w:cs="Times New Roman"/>
          <w:sz w:val="24"/>
          <w:szCs w:val="24"/>
          <w:lang w:val="it-IT"/>
        </w:rPr>
        <w:t>”</w:t>
      </w:r>
      <w:r w:rsidR="007D5401" w:rsidRPr="007D5401">
        <w:rPr>
          <w:rFonts w:cs="Times New Roman"/>
          <w:sz w:val="24"/>
          <w:szCs w:val="24"/>
          <w:lang w:val="it-IT"/>
        </w:rPr>
        <w:t xml:space="preserve">. </w:t>
      </w:r>
      <w:r w:rsidR="009B3673">
        <w:rPr>
          <w:rFonts w:cs="Times New Roman"/>
          <w:sz w:val="24"/>
          <w:szCs w:val="24"/>
          <w:lang w:val="it-IT"/>
        </w:rPr>
        <w:t xml:space="preserve"> Il rapporto segnala inoltre casi di</w:t>
      </w:r>
      <w:r w:rsidR="007D5401" w:rsidRPr="007D5401">
        <w:rPr>
          <w:rFonts w:cs="Times New Roman"/>
          <w:sz w:val="24"/>
          <w:szCs w:val="24"/>
          <w:lang w:val="it-IT"/>
        </w:rPr>
        <w:t xml:space="preserve"> dissesto finanziario </w:t>
      </w:r>
      <w:r w:rsidR="009B3673">
        <w:rPr>
          <w:rFonts w:cs="Times New Roman"/>
          <w:sz w:val="24"/>
          <w:szCs w:val="24"/>
          <w:lang w:val="it-IT"/>
        </w:rPr>
        <w:t>ne</w:t>
      </w:r>
      <w:r w:rsidR="007D5401" w:rsidRPr="007D5401">
        <w:rPr>
          <w:rFonts w:cs="Times New Roman"/>
          <w:sz w:val="24"/>
          <w:szCs w:val="24"/>
          <w:lang w:val="it-IT"/>
        </w:rPr>
        <w:t xml:space="preserve">i governi mafiosi del territorio. </w:t>
      </w:r>
      <w:r w:rsidR="009B3673">
        <w:rPr>
          <w:rFonts w:cs="Times New Roman"/>
          <w:sz w:val="24"/>
          <w:szCs w:val="24"/>
          <w:lang w:val="it-IT"/>
        </w:rPr>
        <w:t>Si nota come l</w:t>
      </w:r>
      <w:r w:rsidR="007D5401" w:rsidRPr="007D5401">
        <w:rPr>
          <w:rFonts w:cs="Times New Roman"/>
          <w:sz w:val="24"/>
          <w:szCs w:val="24"/>
          <w:lang w:val="it-IT"/>
        </w:rPr>
        <w:t>a spesa pubblica</w:t>
      </w:r>
      <w:r w:rsidR="009B3673">
        <w:rPr>
          <w:rFonts w:cs="Times New Roman"/>
          <w:sz w:val="24"/>
          <w:szCs w:val="24"/>
          <w:lang w:val="it-IT"/>
        </w:rPr>
        <w:t xml:space="preserve"> dei governi infiltrati</w:t>
      </w:r>
      <w:r w:rsidR="007D5401" w:rsidRPr="007D5401">
        <w:rPr>
          <w:rFonts w:cs="Times New Roman"/>
          <w:sz w:val="24"/>
          <w:szCs w:val="24"/>
          <w:lang w:val="it-IT"/>
        </w:rPr>
        <w:t xml:space="preserve">, anziché essere finalizzata a soddisfare le esigenze della collettività, è diretta a favorire le imprese contigue o quelle direttamente controllate dai sodalizi criminali (Commissione Affari Costituzionali, </w:t>
      </w:r>
      <w:r w:rsidR="00B76362" w:rsidRPr="007D5401">
        <w:rPr>
          <w:rFonts w:cs="Times New Roman"/>
          <w:sz w:val="24"/>
          <w:szCs w:val="24"/>
          <w:lang w:val="it-IT"/>
        </w:rPr>
        <w:t>200</w:t>
      </w:r>
      <w:r w:rsidR="00B76362">
        <w:rPr>
          <w:rFonts w:cs="Times New Roman"/>
          <w:sz w:val="24"/>
          <w:szCs w:val="24"/>
          <w:lang w:val="it-IT"/>
        </w:rPr>
        <w:t>7</w:t>
      </w:r>
      <w:r w:rsidR="007D5401" w:rsidRPr="007D5401">
        <w:rPr>
          <w:rFonts w:cs="Times New Roman"/>
          <w:sz w:val="24"/>
          <w:szCs w:val="24"/>
          <w:lang w:val="it-IT"/>
        </w:rPr>
        <w:t>).</w:t>
      </w:r>
    </w:p>
    <w:p w14:paraId="36ED7218" w14:textId="752A6EB2" w:rsidR="0025376E" w:rsidRDefault="0025376E" w:rsidP="0025376E">
      <w:pPr>
        <w:widowControl w:val="0"/>
        <w:autoSpaceDE w:val="0"/>
        <w:autoSpaceDN w:val="0"/>
        <w:adjustRightInd w:val="0"/>
        <w:ind w:left="284" w:right="237"/>
        <w:rPr>
          <w:rFonts w:cs="Times New Roman"/>
          <w:sz w:val="24"/>
          <w:szCs w:val="24"/>
          <w:lang w:val="it-IT"/>
        </w:rPr>
      </w:pPr>
      <w:r w:rsidRPr="00B51283">
        <w:rPr>
          <w:rFonts w:cs="Times New Roman"/>
          <w:sz w:val="24"/>
          <w:szCs w:val="24"/>
          <w:lang w:val="it-IT"/>
        </w:rPr>
        <w:t xml:space="preserve">Modifiche sostanziali della normativa sono intervenute </w:t>
      </w:r>
      <w:r>
        <w:rPr>
          <w:rFonts w:cs="Times New Roman"/>
          <w:sz w:val="24"/>
          <w:szCs w:val="24"/>
          <w:lang w:val="it-IT"/>
        </w:rPr>
        <w:t>n</w:t>
      </w:r>
      <w:r w:rsidRPr="00B51283">
        <w:rPr>
          <w:rFonts w:cs="Times New Roman"/>
          <w:sz w:val="24"/>
          <w:szCs w:val="24"/>
          <w:lang w:val="it-IT"/>
        </w:rPr>
        <w:t>el 2009</w:t>
      </w:r>
      <w:r w:rsidR="00A00451">
        <w:rPr>
          <w:rFonts w:cs="Times New Roman"/>
          <w:sz w:val="24"/>
          <w:szCs w:val="24"/>
          <w:lang w:val="it-IT"/>
        </w:rPr>
        <w:t>.</w:t>
      </w:r>
      <w:r w:rsidRPr="00B51283">
        <w:rPr>
          <w:rFonts w:cs="Times New Roman"/>
          <w:sz w:val="24"/>
          <w:szCs w:val="24"/>
          <w:lang w:val="it-IT"/>
        </w:rPr>
        <w:t xml:space="preserve">  </w:t>
      </w:r>
      <w:r>
        <w:rPr>
          <w:rFonts w:cs="Times New Roman"/>
          <w:sz w:val="24"/>
          <w:szCs w:val="24"/>
          <w:lang w:val="it-IT"/>
        </w:rPr>
        <w:t>U</w:t>
      </w:r>
      <w:r w:rsidRPr="00B51283">
        <w:rPr>
          <w:rFonts w:cs="Times New Roman"/>
          <w:sz w:val="24"/>
          <w:szCs w:val="24"/>
          <w:lang w:val="it-IT"/>
        </w:rPr>
        <w:t xml:space="preserve">n primo elemento su cui incidono le modifiche è quello dei criteri per decretare lo scioglimento: si stabilisce che siano necessari «concreti, univoci e rilevanti elementi su collegamenti diretti o indiretti con la criminalità organizzata» a carico degli amministratori locali. Una seconda modifica riguarda l’estensione delle previsioni normative anche alla struttura </w:t>
      </w:r>
      <w:r w:rsidRPr="00B51283">
        <w:rPr>
          <w:rFonts w:cs="Times New Roman"/>
          <w:sz w:val="24"/>
          <w:szCs w:val="24"/>
          <w:lang w:val="it-IT"/>
        </w:rPr>
        <w:lastRenderedPageBreak/>
        <w:t xml:space="preserve">amministrativa dell’ente. </w:t>
      </w:r>
      <w:r>
        <w:rPr>
          <w:rFonts w:cs="Times New Roman"/>
          <w:sz w:val="24"/>
          <w:szCs w:val="24"/>
          <w:lang w:val="it-IT"/>
        </w:rPr>
        <w:t>Viene introdotta la possibilità che</w:t>
      </w:r>
      <w:r w:rsidRPr="00B51283">
        <w:rPr>
          <w:rFonts w:cs="Times New Roman"/>
          <w:sz w:val="24"/>
          <w:szCs w:val="24"/>
          <w:lang w:val="it-IT"/>
        </w:rPr>
        <w:t>, qualora la relazione prefettizia rilevi la sussistenza di collegamenti o condizionamenti da parte della criminalità organizzata con riferimento all’apparato burocratico,  venga adottato “ogni  provvedimento utile a far cessare immediatamente il pregiudizio in atto e ricondurre alla normalità la vita</w:t>
      </w:r>
      <w:r w:rsidR="002F4BD4">
        <w:rPr>
          <w:rFonts w:cs="Times New Roman"/>
          <w:sz w:val="24"/>
          <w:szCs w:val="24"/>
          <w:lang w:val="it-IT"/>
        </w:rPr>
        <w:t xml:space="preserve"> </w:t>
      </w:r>
      <w:r w:rsidRPr="00B51283">
        <w:rPr>
          <w:rFonts w:cs="Times New Roman"/>
          <w:sz w:val="24"/>
          <w:szCs w:val="24"/>
          <w:lang w:val="it-IT"/>
        </w:rPr>
        <w:t>amministrativa dell</w:t>
      </w:r>
      <w:r w:rsidR="002F4BD4">
        <w:rPr>
          <w:rFonts w:cs="Times New Roman"/>
          <w:sz w:val="24"/>
          <w:szCs w:val="24"/>
          <w:lang w:val="it-IT"/>
        </w:rPr>
        <w:t>’</w:t>
      </w:r>
      <w:r w:rsidRPr="00B51283">
        <w:rPr>
          <w:rFonts w:cs="Times New Roman"/>
          <w:sz w:val="24"/>
          <w:szCs w:val="24"/>
          <w:lang w:val="it-IT"/>
        </w:rPr>
        <w:t>ente”. Infine, la nuova normativa introduce l’incandidabilità per gli amministratori responsabili delle condotte che hanno portato allo scioglimento, limitatamente al primo turno elettorale nella regione dell’ente interessato dallo scioglimento.</w:t>
      </w:r>
    </w:p>
    <w:p w14:paraId="7C30F629" w14:textId="4046E927" w:rsidR="00B7309B" w:rsidRPr="00734403" w:rsidRDefault="00B7309B" w:rsidP="00B7309B">
      <w:pPr>
        <w:widowControl w:val="0"/>
        <w:autoSpaceDE w:val="0"/>
        <w:autoSpaceDN w:val="0"/>
        <w:adjustRightInd w:val="0"/>
        <w:ind w:left="284" w:right="237"/>
        <w:rPr>
          <w:rFonts w:cs="Times New Roman"/>
          <w:color w:val="FF0000"/>
          <w:sz w:val="24"/>
          <w:szCs w:val="24"/>
          <w:lang w:val="it-IT"/>
        </w:rPr>
      </w:pPr>
      <w:r>
        <w:rPr>
          <w:rFonts w:cs="Times New Roman"/>
          <w:sz w:val="24"/>
          <w:szCs w:val="24"/>
          <w:lang w:val="it-IT"/>
        </w:rPr>
        <w:t>In tutto</w:t>
      </w:r>
      <w:r w:rsidR="004C6ED2">
        <w:rPr>
          <w:rFonts w:cs="Times New Roman"/>
          <w:sz w:val="24"/>
          <w:szCs w:val="24"/>
          <w:lang w:val="it-IT"/>
        </w:rPr>
        <w:t>,</w:t>
      </w:r>
      <w:r>
        <w:rPr>
          <w:rFonts w:cs="Times New Roman"/>
          <w:sz w:val="24"/>
          <w:szCs w:val="24"/>
          <w:lang w:val="it-IT"/>
        </w:rPr>
        <w:t xml:space="preserve"> d</w:t>
      </w:r>
      <w:r w:rsidRPr="00B51283">
        <w:rPr>
          <w:rFonts w:cs="Times New Roman"/>
          <w:sz w:val="24"/>
          <w:szCs w:val="24"/>
          <w:lang w:val="it-IT"/>
        </w:rPr>
        <w:t xml:space="preserve">al 1991 al </w:t>
      </w:r>
      <w:r w:rsidR="000A1293" w:rsidRPr="000A1293">
        <w:rPr>
          <w:sz w:val="24"/>
          <w:szCs w:val="24"/>
          <w:lang w:val="it-IT"/>
        </w:rPr>
        <w:t>2</w:t>
      </w:r>
      <w:r w:rsidR="000A1293">
        <w:rPr>
          <w:sz w:val="24"/>
          <w:szCs w:val="24"/>
          <w:lang w:val="it-IT"/>
        </w:rPr>
        <w:t>0</w:t>
      </w:r>
      <w:r>
        <w:rPr>
          <w:rFonts w:cs="Times New Roman"/>
          <w:sz w:val="24"/>
          <w:szCs w:val="24"/>
          <w:lang w:val="it-IT"/>
        </w:rPr>
        <w:t>20</w:t>
      </w:r>
      <w:r w:rsidR="004C6ED2">
        <w:rPr>
          <w:rFonts w:cs="Times New Roman"/>
          <w:sz w:val="24"/>
          <w:szCs w:val="24"/>
          <w:lang w:val="it-IT"/>
        </w:rPr>
        <w:t>,</w:t>
      </w:r>
      <w:r w:rsidRPr="00B51283">
        <w:rPr>
          <w:rFonts w:cs="Times New Roman"/>
          <w:sz w:val="24"/>
          <w:szCs w:val="24"/>
          <w:lang w:val="it-IT"/>
        </w:rPr>
        <w:t xml:space="preserve"> sono stati sciolti per infiltrazione mafiosa</w:t>
      </w:r>
      <w:r>
        <w:rPr>
          <w:rFonts w:cs="Times New Roman"/>
          <w:sz w:val="24"/>
          <w:szCs w:val="24"/>
          <w:lang w:val="it-IT"/>
        </w:rPr>
        <w:t xml:space="preserve"> 443</w:t>
      </w:r>
      <w:r w:rsidRPr="00B51283">
        <w:rPr>
          <w:rFonts w:cs="Times New Roman"/>
          <w:sz w:val="24"/>
          <w:szCs w:val="24"/>
          <w:lang w:val="it-IT"/>
        </w:rPr>
        <w:t xml:space="preserve"> </w:t>
      </w:r>
      <w:r>
        <w:rPr>
          <w:rFonts w:cs="Times New Roman"/>
          <w:sz w:val="24"/>
          <w:szCs w:val="24"/>
          <w:lang w:val="it-IT"/>
        </w:rPr>
        <w:t xml:space="preserve">governi comunali in 251 </w:t>
      </w:r>
      <w:r w:rsidRPr="00B51283">
        <w:rPr>
          <w:rFonts w:cs="Times New Roman"/>
          <w:sz w:val="24"/>
          <w:szCs w:val="24"/>
          <w:lang w:val="it-IT"/>
        </w:rPr>
        <w:t>enti</w:t>
      </w:r>
      <w:r>
        <w:rPr>
          <w:rFonts w:cs="Times New Roman"/>
          <w:sz w:val="24"/>
          <w:szCs w:val="24"/>
          <w:lang w:val="it-IT"/>
        </w:rPr>
        <w:t xml:space="preserve"> (diversi comuni sono stati oggetto di più di un caso di scioglimento)</w:t>
      </w:r>
      <w:r w:rsidRPr="00B51283">
        <w:rPr>
          <w:rFonts w:cs="Times New Roman"/>
          <w:sz w:val="24"/>
          <w:szCs w:val="24"/>
          <w:lang w:val="it-IT"/>
        </w:rPr>
        <w:t xml:space="preserve">, cui si aggiungono </w:t>
      </w:r>
      <w:r>
        <w:rPr>
          <w:rFonts w:cs="Times New Roman"/>
          <w:sz w:val="24"/>
          <w:szCs w:val="24"/>
          <w:lang w:val="it-IT"/>
        </w:rPr>
        <w:t>25</w:t>
      </w:r>
      <w:r w:rsidRPr="00B51283">
        <w:rPr>
          <w:rFonts w:cs="Times New Roman"/>
          <w:sz w:val="24"/>
          <w:szCs w:val="24"/>
          <w:lang w:val="it-IT"/>
        </w:rPr>
        <w:t xml:space="preserve"> </w:t>
      </w:r>
      <w:r w:rsidRPr="00734403">
        <w:rPr>
          <w:rFonts w:cs="Times New Roman"/>
          <w:sz w:val="24"/>
          <w:szCs w:val="24"/>
          <w:lang w:val="it-IT"/>
        </w:rPr>
        <w:t>provvedimenti di scioglimento annullati dal</w:t>
      </w:r>
      <w:r w:rsidR="00A00451">
        <w:rPr>
          <w:rFonts w:cs="Times New Roman"/>
          <w:sz w:val="24"/>
          <w:szCs w:val="24"/>
          <w:lang w:val="it-IT"/>
        </w:rPr>
        <w:t>la giustizia</w:t>
      </w:r>
      <w:r w:rsidRPr="00734403">
        <w:rPr>
          <w:rFonts w:cs="Times New Roman"/>
          <w:sz w:val="24"/>
          <w:szCs w:val="24"/>
          <w:lang w:val="it-IT"/>
        </w:rPr>
        <w:t xml:space="preserve"> amministrativ</w:t>
      </w:r>
      <w:r w:rsidR="00A00451">
        <w:rPr>
          <w:rFonts w:cs="Times New Roman"/>
          <w:sz w:val="24"/>
          <w:szCs w:val="24"/>
          <w:lang w:val="it-IT"/>
        </w:rPr>
        <w:t>a</w:t>
      </w:r>
      <w:r w:rsidRPr="00734403">
        <w:rPr>
          <w:rFonts w:cs="Times New Roman"/>
          <w:sz w:val="24"/>
          <w:szCs w:val="24"/>
          <w:lang w:val="it-IT"/>
        </w:rPr>
        <w:t xml:space="preserve">. Le regioni più interessate sono Sicilia, Calabria e Campania, con le provincie dei capoluoghi </w:t>
      </w:r>
      <w:r w:rsidR="004C6ED2">
        <w:rPr>
          <w:rFonts w:cs="Times New Roman"/>
          <w:sz w:val="24"/>
          <w:szCs w:val="24"/>
          <w:lang w:val="it-IT"/>
        </w:rPr>
        <w:t xml:space="preserve">che ne risultano </w:t>
      </w:r>
      <w:r w:rsidRPr="00734403">
        <w:rPr>
          <w:rFonts w:cs="Times New Roman"/>
          <w:sz w:val="24"/>
          <w:szCs w:val="24"/>
          <w:lang w:val="it-IT"/>
        </w:rPr>
        <w:t xml:space="preserve">particolarmente colpite. </w:t>
      </w:r>
    </w:p>
    <w:p w14:paraId="180468B0" w14:textId="4BA465D9" w:rsidR="00B7309B" w:rsidRDefault="00B7309B" w:rsidP="00861E13">
      <w:pPr>
        <w:widowControl w:val="0"/>
        <w:autoSpaceDE w:val="0"/>
        <w:autoSpaceDN w:val="0"/>
        <w:adjustRightInd w:val="0"/>
        <w:ind w:left="284" w:right="237"/>
        <w:rPr>
          <w:rFonts w:cs="Times New Roman"/>
          <w:sz w:val="24"/>
          <w:szCs w:val="24"/>
          <w:lang w:val="it-IT"/>
        </w:rPr>
      </w:pPr>
    </w:p>
    <w:p w14:paraId="7CE40793" w14:textId="4196F1E7" w:rsidR="00C3034C" w:rsidRPr="00C3034C" w:rsidRDefault="00C3034C" w:rsidP="00C3034C">
      <w:pPr>
        <w:widowControl w:val="0"/>
        <w:autoSpaceDE w:val="0"/>
        <w:autoSpaceDN w:val="0"/>
        <w:adjustRightInd w:val="0"/>
        <w:spacing w:after="0" w:line="276" w:lineRule="auto"/>
        <w:ind w:left="284" w:right="237"/>
        <w:jc w:val="center"/>
        <w:rPr>
          <w:rFonts w:cs="Times New Roman"/>
          <w:b/>
          <w:bCs/>
          <w:sz w:val="24"/>
          <w:szCs w:val="24"/>
          <w:lang w:val="it-IT"/>
        </w:rPr>
      </w:pPr>
      <w:r w:rsidRPr="00C3034C">
        <w:rPr>
          <w:rFonts w:cs="Times New Roman"/>
          <w:b/>
          <w:bCs/>
          <w:sz w:val="24"/>
          <w:szCs w:val="24"/>
          <w:lang w:val="it-IT"/>
        </w:rPr>
        <w:t>Figura 1</w:t>
      </w:r>
    </w:p>
    <w:p w14:paraId="56CB0F19" w14:textId="54516BB6" w:rsidR="00C3034C" w:rsidRDefault="005A2EC2" w:rsidP="00C3034C">
      <w:pPr>
        <w:widowControl w:val="0"/>
        <w:autoSpaceDE w:val="0"/>
        <w:autoSpaceDN w:val="0"/>
        <w:adjustRightInd w:val="0"/>
        <w:spacing w:after="0" w:line="276" w:lineRule="auto"/>
        <w:ind w:left="284" w:right="237"/>
        <w:jc w:val="center"/>
        <w:rPr>
          <w:rFonts w:cs="Times New Roman"/>
          <w:sz w:val="24"/>
          <w:szCs w:val="24"/>
          <w:lang w:val="it-IT"/>
        </w:rPr>
      </w:pPr>
      <w:r>
        <w:rPr>
          <w:rFonts w:cs="Times New Roman"/>
          <w:sz w:val="24"/>
          <w:szCs w:val="24"/>
          <w:lang w:val="it-IT"/>
        </w:rPr>
        <w:t>Applicazioni della legge 164/1991</w:t>
      </w:r>
      <w:r w:rsidR="00C3034C">
        <w:rPr>
          <w:rFonts w:cs="Times New Roman"/>
          <w:sz w:val="24"/>
          <w:szCs w:val="24"/>
          <w:lang w:val="it-IT"/>
        </w:rPr>
        <w:t xml:space="preserve"> per anno</w:t>
      </w:r>
    </w:p>
    <w:p w14:paraId="44785BF5" w14:textId="0C56D922" w:rsidR="00C3034C" w:rsidRDefault="00C3034C" w:rsidP="00C3034C">
      <w:pPr>
        <w:widowControl w:val="0"/>
        <w:autoSpaceDE w:val="0"/>
        <w:autoSpaceDN w:val="0"/>
        <w:adjustRightInd w:val="0"/>
        <w:ind w:left="284" w:right="237"/>
        <w:jc w:val="center"/>
        <w:rPr>
          <w:rFonts w:cs="Times New Roman"/>
          <w:sz w:val="24"/>
          <w:szCs w:val="24"/>
          <w:lang w:val="it-IT"/>
        </w:rPr>
      </w:pPr>
      <w:r w:rsidRPr="00C3034C">
        <w:rPr>
          <w:rFonts w:cs="Times New Roman"/>
          <w:noProof/>
          <w:sz w:val="24"/>
          <w:szCs w:val="24"/>
          <w:lang w:eastAsia="en-GB"/>
        </w:rPr>
        <w:drawing>
          <wp:inline distT="0" distB="0" distL="0" distR="0" wp14:anchorId="67897CF5" wp14:editId="1FFBCFE7">
            <wp:extent cx="4386895" cy="321734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34723" cy="3252422"/>
                    </a:xfrm>
                    <a:prstGeom prst="rect">
                      <a:avLst/>
                    </a:prstGeom>
                    <a:noFill/>
                    <a:ln>
                      <a:noFill/>
                    </a:ln>
                  </pic:spPr>
                </pic:pic>
              </a:graphicData>
            </a:graphic>
          </wp:inline>
        </w:drawing>
      </w:r>
    </w:p>
    <w:p w14:paraId="6A3684D6" w14:textId="2F2C7571" w:rsidR="00B76362" w:rsidRDefault="00B76362" w:rsidP="00861E13">
      <w:pPr>
        <w:widowControl w:val="0"/>
        <w:autoSpaceDE w:val="0"/>
        <w:autoSpaceDN w:val="0"/>
        <w:adjustRightInd w:val="0"/>
        <w:ind w:left="284" w:right="237"/>
        <w:rPr>
          <w:rFonts w:cs="Times New Roman"/>
          <w:sz w:val="24"/>
          <w:szCs w:val="24"/>
          <w:lang w:val="it-IT"/>
        </w:rPr>
      </w:pPr>
    </w:p>
    <w:p w14:paraId="57A239B4" w14:textId="058C9D70" w:rsidR="00B76362" w:rsidRDefault="00B76362" w:rsidP="00861E13">
      <w:pPr>
        <w:widowControl w:val="0"/>
        <w:autoSpaceDE w:val="0"/>
        <w:autoSpaceDN w:val="0"/>
        <w:adjustRightInd w:val="0"/>
        <w:ind w:left="284" w:right="237"/>
        <w:rPr>
          <w:rFonts w:cs="Times New Roman"/>
          <w:sz w:val="24"/>
          <w:szCs w:val="24"/>
          <w:lang w:val="it-IT"/>
        </w:rPr>
      </w:pPr>
    </w:p>
    <w:p w14:paraId="7E808C81" w14:textId="249B2142" w:rsidR="00B76362" w:rsidRDefault="00B76362" w:rsidP="00861E13">
      <w:pPr>
        <w:widowControl w:val="0"/>
        <w:autoSpaceDE w:val="0"/>
        <w:autoSpaceDN w:val="0"/>
        <w:adjustRightInd w:val="0"/>
        <w:ind w:left="284" w:right="237"/>
        <w:rPr>
          <w:rFonts w:cs="Times New Roman"/>
          <w:sz w:val="24"/>
          <w:szCs w:val="24"/>
          <w:lang w:val="it-IT"/>
        </w:rPr>
      </w:pPr>
    </w:p>
    <w:p w14:paraId="4B42BCE7" w14:textId="13599934" w:rsidR="00861E13" w:rsidRPr="00861E13" w:rsidRDefault="00861E13" w:rsidP="00D72742">
      <w:pPr>
        <w:ind w:left="284" w:right="237"/>
        <w:rPr>
          <w:rFonts w:cs="Times New Roman"/>
          <w:i/>
          <w:iCs/>
          <w:sz w:val="24"/>
          <w:szCs w:val="24"/>
          <w:lang w:val="it-IT"/>
        </w:rPr>
      </w:pPr>
      <w:r w:rsidRPr="00861E13">
        <w:rPr>
          <w:rFonts w:cs="Times New Roman"/>
          <w:i/>
          <w:iCs/>
          <w:sz w:val="24"/>
          <w:szCs w:val="24"/>
          <w:lang w:val="it-IT"/>
        </w:rPr>
        <w:lastRenderedPageBreak/>
        <w:t xml:space="preserve">2.2 Lo studio statistico sulla spesa pubblica </w:t>
      </w:r>
      <w:r w:rsidR="009C43E7">
        <w:rPr>
          <w:rFonts w:cs="Times New Roman"/>
          <w:i/>
          <w:iCs/>
          <w:sz w:val="24"/>
          <w:szCs w:val="24"/>
          <w:lang w:val="it-IT"/>
        </w:rPr>
        <w:t>n</w:t>
      </w:r>
      <w:r w:rsidRPr="00861E13">
        <w:rPr>
          <w:rFonts w:cs="Times New Roman"/>
          <w:i/>
          <w:iCs/>
          <w:sz w:val="24"/>
          <w:szCs w:val="24"/>
          <w:lang w:val="it-IT"/>
        </w:rPr>
        <w:t>ei governi infiltrati</w:t>
      </w:r>
    </w:p>
    <w:p w14:paraId="3BB43149" w14:textId="77777777" w:rsidR="00861E13" w:rsidRDefault="00861E13" w:rsidP="00D72742">
      <w:pPr>
        <w:ind w:left="284" w:right="237"/>
        <w:rPr>
          <w:rFonts w:cs="Times New Roman"/>
          <w:sz w:val="24"/>
          <w:szCs w:val="24"/>
          <w:lang w:val="it-IT"/>
        </w:rPr>
      </w:pPr>
    </w:p>
    <w:p w14:paraId="097EA5F2" w14:textId="73DC8590" w:rsidR="00767115" w:rsidRDefault="00DD26AC" w:rsidP="00D72742">
      <w:pPr>
        <w:ind w:left="284" w:right="237"/>
        <w:rPr>
          <w:rFonts w:cs="Times New Roman"/>
          <w:sz w:val="24"/>
          <w:szCs w:val="24"/>
          <w:lang w:val="it-IT"/>
        </w:rPr>
      </w:pPr>
      <w:r>
        <w:rPr>
          <w:rFonts w:cs="Times New Roman"/>
          <w:sz w:val="24"/>
          <w:szCs w:val="24"/>
          <w:lang w:val="it-IT"/>
        </w:rPr>
        <w:t xml:space="preserve">Nel loro studio, </w:t>
      </w:r>
      <w:r w:rsidR="008E0E18">
        <w:rPr>
          <w:rFonts w:cs="Times New Roman"/>
          <w:sz w:val="24"/>
          <w:szCs w:val="24"/>
          <w:lang w:val="it-IT"/>
        </w:rPr>
        <w:t>Di Cataldo e Mastrorocco (2020)</w:t>
      </w:r>
      <w:r w:rsidR="00E96B2D">
        <w:rPr>
          <w:rFonts w:cs="Times New Roman"/>
          <w:sz w:val="24"/>
          <w:szCs w:val="24"/>
          <w:lang w:val="it-IT"/>
        </w:rPr>
        <w:t xml:space="preserve"> confronta</w:t>
      </w:r>
      <w:r w:rsidR="002F4BD4">
        <w:rPr>
          <w:rFonts w:cs="Times New Roman"/>
          <w:sz w:val="24"/>
          <w:szCs w:val="24"/>
          <w:lang w:val="it-IT"/>
        </w:rPr>
        <w:t>n</w:t>
      </w:r>
      <w:r w:rsidR="00E96B2D">
        <w:rPr>
          <w:rFonts w:cs="Times New Roman"/>
          <w:sz w:val="24"/>
          <w:szCs w:val="24"/>
          <w:lang w:val="it-IT"/>
        </w:rPr>
        <w:t xml:space="preserve">o la spesa contabilizzata durante i governi </w:t>
      </w:r>
      <w:r w:rsidR="00C04392">
        <w:rPr>
          <w:rFonts w:cs="Times New Roman"/>
          <w:sz w:val="24"/>
          <w:szCs w:val="24"/>
          <w:lang w:val="it-IT"/>
        </w:rPr>
        <w:t>comunali in cui è stata accertata l’</w:t>
      </w:r>
      <w:r w:rsidR="00E96B2D">
        <w:rPr>
          <w:rFonts w:cs="Times New Roman"/>
          <w:sz w:val="24"/>
          <w:szCs w:val="24"/>
          <w:lang w:val="it-IT"/>
        </w:rPr>
        <w:t>infiltra</w:t>
      </w:r>
      <w:r w:rsidR="00C04392">
        <w:rPr>
          <w:rFonts w:cs="Times New Roman"/>
          <w:sz w:val="24"/>
          <w:szCs w:val="24"/>
          <w:lang w:val="it-IT"/>
        </w:rPr>
        <w:t>zione mafiosa</w:t>
      </w:r>
      <w:r w:rsidR="00E96B2D">
        <w:rPr>
          <w:rFonts w:cs="Times New Roman"/>
          <w:sz w:val="24"/>
          <w:szCs w:val="24"/>
          <w:lang w:val="it-IT"/>
        </w:rPr>
        <w:t xml:space="preserve"> e </w:t>
      </w:r>
      <w:r w:rsidR="00C04392">
        <w:rPr>
          <w:rFonts w:cs="Times New Roman"/>
          <w:sz w:val="24"/>
          <w:szCs w:val="24"/>
          <w:lang w:val="it-IT"/>
        </w:rPr>
        <w:t xml:space="preserve">che sono stati </w:t>
      </w:r>
      <w:r w:rsidR="00E96B2D">
        <w:rPr>
          <w:rFonts w:cs="Times New Roman"/>
          <w:sz w:val="24"/>
          <w:szCs w:val="24"/>
          <w:lang w:val="it-IT"/>
        </w:rPr>
        <w:t>successivamente sciolti</w:t>
      </w:r>
      <w:r w:rsidR="00C04392">
        <w:rPr>
          <w:rFonts w:cs="Times New Roman"/>
          <w:sz w:val="24"/>
          <w:szCs w:val="24"/>
          <w:lang w:val="it-IT"/>
        </w:rPr>
        <w:t xml:space="preserve"> dalle autorità competenti</w:t>
      </w:r>
      <w:r w:rsidR="00E96B2D">
        <w:rPr>
          <w:rFonts w:cs="Times New Roman"/>
          <w:sz w:val="24"/>
          <w:szCs w:val="24"/>
          <w:lang w:val="it-IT"/>
        </w:rPr>
        <w:t>, con governi comunali non sciolti per mafia</w:t>
      </w:r>
      <w:r w:rsidR="00C04392">
        <w:rPr>
          <w:rFonts w:cs="Times New Roman"/>
          <w:sz w:val="24"/>
          <w:szCs w:val="24"/>
          <w:lang w:val="it-IT"/>
        </w:rPr>
        <w:t xml:space="preserve">. L’analisi è condotta per i comuni di </w:t>
      </w:r>
      <w:r>
        <w:rPr>
          <w:rFonts w:cs="Times New Roman"/>
          <w:sz w:val="24"/>
          <w:szCs w:val="24"/>
          <w:lang w:val="it-IT"/>
        </w:rPr>
        <w:t>Campania, Calabria e Sicilia</w:t>
      </w:r>
      <w:r w:rsidR="00D72742">
        <w:rPr>
          <w:rFonts w:cs="Times New Roman"/>
          <w:sz w:val="24"/>
          <w:szCs w:val="24"/>
          <w:lang w:val="it-IT"/>
        </w:rPr>
        <w:t>, utilizzando avanzate metodologie di identificazione statistica per ottenere la stima di rapporti causali</w:t>
      </w:r>
      <w:r w:rsidR="00E96B2D">
        <w:rPr>
          <w:rFonts w:cs="Times New Roman"/>
          <w:sz w:val="24"/>
          <w:szCs w:val="24"/>
          <w:lang w:val="it-IT"/>
        </w:rPr>
        <w:t xml:space="preserve">. </w:t>
      </w:r>
      <w:r w:rsidR="00243544">
        <w:rPr>
          <w:rFonts w:cs="Times New Roman"/>
          <w:sz w:val="24"/>
          <w:szCs w:val="24"/>
          <w:lang w:val="it-IT"/>
        </w:rPr>
        <w:t xml:space="preserve">Naturalmente, la strategia di stima prevede l’esclusione della gestione commissariale post infiltrazione dal gruppo di governi utilizzati per il confronto con le amministrazioni infiltrate, </w:t>
      </w:r>
      <w:r w:rsidR="00C04392">
        <w:rPr>
          <w:rFonts w:cs="Times New Roman"/>
          <w:sz w:val="24"/>
          <w:szCs w:val="24"/>
          <w:lang w:val="it-IT"/>
        </w:rPr>
        <w:t>a causa de</w:t>
      </w:r>
      <w:r w:rsidR="00243544">
        <w:rPr>
          <w:rFonts w:cs="Times New Roman"/>
          <w:sz w:val="24"/>
          <w:szCs w:val="24"/>
          <w:lang w:val="it-IT"/>
        </w:rPr>
        <w:t xml:space="preserve">lla gestione conservativa della finanza pubblica da parte dei commissari </w:t>
      </w:r>
      <w:r w:rsidR="00A94513">
        <w:rPr>
          <w:rFonts w:cs="Times New Roman"/>
          <w:sz w:val="24"/>
          <w:szCs w:val="24"/>
          <w:lang w:val="it-IT"/>
        </w:rPr>
        <w:t xml:space="preserve">straordinari </w:t>
      </w:r>
      <w:r w:rsidR="00243544">
        <w:rPr>
          <w:rFonts w:cs="Times New Roman"/>
          <w:sz w:val="24"/>
          <w:szCs w:val="24"/>
          <w:lang w:val="it-IT"/>
        </w:rPr>
        <w:t xml:space="preserve">(Acconcia et al., </w:t>
      </w:r>
      <w:r w:rsidR="00767115">
        <w:rPr>
          <w:rFonts w:cs="Times New Roman"/>
          <w:sz w:val="24"/>
          <w:szCs w:val="24"/>
          <w:lang w:val="it-IT"/>
        </w:rPr>
        <w:t>2014).</w:t>
      </w:r>
      <w:r w:rsidR="00243544">
        <w:rPr>
          <w:rFonts w:cs="Times New Roman"/>
          <w:sz w:val="24"/>
          <w:szCs w:val="24"/>
          <w:lang w:val="it-IT"/>
        </w:rPr>
        <w:t xml:space="preserve"> </w:t>
      </w:r>
    </w:p>
    <w:p w14:paraId="0D9A7794" w14:textId="7B6B5CFF" w:rsidR="003036A1" w:rsidRDefault="00DB6019" w:rsidP="00D72742">
      <w:pPr>
        <w:ind w:left="284" w:right="237"/>
        <w:rPr>
          <w:rFonts w:cs="Times New Roman"/>
          <w:sz w:val="24"/>
          <w:szCs w:val="24"/>
          <w:lang w:val="it-IT"/>
        </w:rPr>
      </w:pPr>
      <w:r>
        <w:rPr>
          <w:rFonts w:cs="Times New Roman"/>
          <w:sz w:val="24"/>
          <w:szCs w:val="24"/>
          <w:lang w:val="it-IT"/>
        </w:rPr>
        <w:t>I risultati dell’analisi econometrica restituiscono un preciso quadro che caratterizza il comportamento de</w:t>
      </w:r>
      <w:r w:rsidR="003036A1">
        <w:rPr>
          <w:rFonts w:cs="Times New Roman"/>
          <w:sz w:val="24"/>
          <w:szCs w:val="24"/>
          <w:lang w:val="it-IT"/>
        </w:rPr>
        <w:t>lle</w:t>
      </w:r>
      <w:r>
        <w:rPr>
          <w:rFonts w:cs="Times New Roman"/>
          <w:sz w:val="24"/>
          <w:szCs w:val="24"/>
          <w:lang w:val="it-IT"/>
        </w:rPr>
        <w:t xml:space="preserve"> amministra</w:t>
      </w:r>
      <w:r w:rsidR="003036A1">
        <w:rPr>
          <w:rFonts w:cs="Times New Roman"/>
          <w:sz w:val="24"/>
          <w:szCs w:val="24"/>
          <w:lang w:val="it-IT"/>
        </w:rPr>
        <w:t>zioni locali</w:t>
      </w:r>
      <w:r>
        <w:rPr>
          <w:rFonts w:cs="Times New Roman"/>
          <w:sz w:val="24"/>
          <w:szCs w:val="24"/>
          <w:lang w:val="it-IT"/>
        </w:rPr>
        <w:t xml:space="preserve"> collus</w:t>
      </w:r>
      <w:r w:rsidR="003036A1">
        <w:rPr>
          <w:rFonts w:cs="Times New Roman"/>
          <w:sz w:val="24"/>
          <w:szCs w:val="24"/>
          <w:lang w:val="it-IT"/>
        </w:rPr>
        <w:t>e</w:t>
      </w:r>
      <w:r>
        <w:rPr>
          <w:rFonts w:cs="Times New Roman"/>
          <w:sz w:val="24"/>
          <w:szCs w:val="24"/>
          <w:lang w:val="it-IT"/>
        </w:rPr>
        <w:t xml:space="preserve"> con la criminalità organizzata. </w:t>
      </w:r>
      <w:r w:rsidR="003036A1">
        <w:rPr>
          <w:rFonts w:cs="Times New Roman"/>
          <w:sz w:val="24"/>
          <w:szCs w:val="24"/>
          <w:lang w:val="it-IT"/>
        </w:rPr>
        <w:t>Una interessante rilevazione certifica come, durante i periodi di infiltrazione, la spesa totale dei governi locali sciolti non venga significativamente alterata rispetto a governi locali non sciolti</w:t>
      </w:r>
      <w:r w:rsidR="00CA432A">
        <w:rPr>
          <w:rFonts w:cs="Times New Roman"/>
          <w:sz w:val="24"/>
          <w:szCs w:val="24"/>
          <w:lang w:val="it-IT"/>
        </w:rPr>
        <w:t xml:space="preserve"> nel territorio delle tre regioni meridionali oggetto dello studio</w:t>
      </w:r>
      <w:r w:rsidR="003036A1">
        <w:rPr>
          <w:rFonts w:cs="Times New Roman"/>
          <w:sz w:val="24"/>
          <w:szCs w:val="24"/>
          <w:lang w:val="it-IT"/>
        </w:rPr>
        <w:t xml:space="preserve">. Questa osservazione riguarda sia la spesa in conto corrente che la spesa in conto capitale. Detto altrimenti, il bilancio </w:t>
      </w:r>
      <w:r w:rsidR="00CA432A">
        <w:rPr>
          <w:rFonts w:cs="Times New Roman"/>
          <w:sz w:val="24"/>
          <w:szCs w:val="24"/>
          <w:lang w:val="it-IT"/>
        </w:rPr>
        <w:t xml:space="preserve">delle uscite </w:t>
      </w:r>
      <w:r w:rsidR="003036A1">
        <w:rPr>
          <w:rFonts w:cs="Times New Roman"/>
          <w:sz w:val="24"/>
          <w:szCs w:val="24"/>
          <w:lang w:val="it-IT"/>
        </w:rPr>
        <w:t>comunal</w:t>
      </w:r>
      <w:r w:rsidR="00CA432A">
        <w:rPr>
          <w:rFonts w:cs="Times New Roman"/>
          <w:sz w:val="24"/>
          <w:szCs w:val="24"/>
          <w:lang w:val="it-IT"/>
        </w:rPr>
        <w:t xml:space="preserve">i in termini sia di spesa per beni e servizi che di investimenti pubblici </w:t>
      </w:r>
      <w:r w:rsidR="002F4BD4">
        <w:rPr>
          <w:rFonts w:cs="Times New Roman"/>
          <w:sz w:val="24"/>
          <w:szCs w:val="24"/>
          <w:lang w:val="it-IT"/>
        </w:rPr>
        <w:t>non è statisticamente differente</w:t>
      </w:r>
      <w:r w:rsidR="00CA432A">
        <w:rPr>
          <w:rFonts w:cs="Times New Roman"/>
          <w:sz w:val="24"/>
          <w:szCs w:val="24"/>
          <w:lang w:val="it-IT"/>
        </w:rPr>
        <w:t xml:space="preserve"> tra governi comunali infiltrati e poi sciolti e governi comunali non sciolti. Questo particolare risultato ottenuto da </w:t>
      </w:r>
      <w:r w:rsidR="008E0E18">
        <w:rPr>
          <w:rFonts w:cs="Times New Roman"/>
          <w:sz w:val="24"/>
          <w:szCs w:val="24"/>
          <w:lang w:val="it-IT"/>
        </w:rPr>
        <w:t>Di Cataldo e Mastrorocco (2020)</w:t>
      </w:r>
      <w:r w:rsidR="00CA432A">
        <w:rPr>
          <w:rFonts w:cs="Times New Roman"/>
          <w:sz w:val="24"/>
          <w:szCs w:val="24"/>
          <w:lang w:val="it-IT"/>
        </w:rPr>
        <w:t xml:space="preserve"> verrà analizzato ulteriormente nella prossima</w:t>
      </w:r>
      <w:r w:rsidR="003036A1">
        <w:rPr>
          <w:rFonts w:cs="Times New Roman"/>
          <w:sz w:val="24"/>
          <w:szCs w:val="24"/>
          <w:lang w:val="it-IT"/>
        </w:rPr>
        <w:t xml:space="preserve"> </w:t>
      </w:r>
      <w:r w:rsidR="00D72742">
        <w:rPr>
          <w:rFonts w:cs="Times New Roman"/>
          <w:sz w:val="24"/>
          <w:szCs w:val="24"/>
          <w:lang w:val="it-IT"/>
        </w:rPr>
        <w:t>sezione di questo capitolo.</w:t>
      </w:r>
    </w:p>
    <w:p w14:paraId="193683F7" w14:textId="60DBAF0D" w:rsidR="00134ED8" w:rsidRDefault="00D72742" w:rsidP="00D72742">
      <w:pPr>
        <w:ind w:left="284" w:right="237"/>
        <w:rPr>
          <w:rFonts w:cs="Times New Roman"/>
          <w:sz w:val="24"/>
          <w:szCs w:val="24"/>
          <w:shd w:val="clear" w:color="auto" w:fill="FFFFFF"/>
          <w:lang w:val="it-IT"/>
        </w:rPr>
      </w:pPr>
      <w:r>
        <w:rPr>
          <w:rFonts w:cs="Times New Roman"/>
          <w:sz w:val="24"/>
          <w:szCs w:val="24"/>
          <w:lang w:val="it-IT"/>
        </w:rPr>
        <w:t xml:space="preserve">L’analisi prodotta da </w:t>
      </w:r>
      <w:r w:rsidR="008E0E18">
        <w:rPr>
          <w:rFonts w:cs="Times New Roman"/>
          <w:sz w:val="24"/>
          <w:szCs w:val="24"/>
          <w:lang w:val="it-IT"/>
        </w:rPr>
        <w:t>Di Cataldo e Mastrorocco (2020)</w:t>
      </w:r>
      <w:r>
        <w:rPr>
          <w:rFonts w:cs="Times New Roman"/>
          <w:sz w:val="24"/>
          <w:szCs w:val="24"/>
          <w:lang w:val="it-IT"/>
        </w:rPr>
        <w:t xml:space="preserve"> si sofferma quindi su</w:t>
      </w:r>
      <w:r w:rsidR="00AA7580">
        <w:rPr>
          <w:rFonts w:cs="Times New Roman"/>
          <w:sz w:val="24"/>
          <w:szCs w:val="24"/>
          <w:lang w:val="it-IT"/>
        </w:rPr>
        <w:t>lle</w:t>
      </w:r>
      <w:r>
        <w:rPr>
          <w:rFonts w:cs="Times New Roman"/>
          <w:sz w:val="24"/>
          <w:szCs w:val="24"/>
          <w:lang w:val="it-IT"/>
        </w:rPr>
        <w:t xml:space="preserve"> funzioni di spesa pubblica</w:t>
      </w:r>
      <w:r w:rsidR="00AA7580">
        <w:rPr>
          <w:rFonts w:cs="Times New Roman"/>
          <w:sz w:val="24"/>
          <w:szCs w:val="24"/>
          <w:lang w:val="it-IT"/>
        </w:rPr>
        <w:t xml:space="preserve"> comunale</w:t>
      </w:r>
      <w:r>
        <w:rPr>
          <w:rFonts w:cs="Times New Roman"/>
          <w:sz w:val="24"/>
          <w:szCs w:val="24"/>
          <w:lang w:val="it-IT"/>
        </w:rPr>
        <w:t xml:space="preserve">, con l’obiettivo di </w:t>
      </w:r>
      <w:r w:rsidR="005072FD">
        <w:rPr>
          <w:rFonts w:cs="Times New Roman"/>
          <w:sz w:val="24"/>
          <w:szCs w:val="24"/>
          <w:lang w:val="it-IT"/>
        </w:rPr>
        <w:t>esaminare</w:t>
      </w:r>
      <w:r w:rsidR="00B4358D">
        <w:rPr>
          <w:rFonts w:cs="Times New Roman"/>
          <w:sz w:val="24"/>
          <w:szCs w:val="24"/>
          <w:lang w:val="it-IT"/>
        </w:rPr>
        <w:t>, per ciascuna di esse,</w:t>
      </w:r>
      <w:r w:rsidR="005072FD">
        <w:rPr>
          <w:rFonts w:cs="Times New Roman"/>
          <w:sz w:val="24"/>
          <w:szCs w:val="24"/>
          <w:lang w:val="it-IT"/>
        </w:rPr>
        <w:t xml:space="preserve"> l’andamento di bilancio delle amministrazioni locali infiltrate dalla mafia. La strategia empirica utilizzata per caratterizzare il comportamento dei governi infiltrati si basa nuovamente sul confronto d</w:t>
      </w:r>
      <w:r w:rsidR="00777B9D">
        <w:rPr>
          <w:rFonts w:cs="Times New Roman"/>
          <w:sz w:val="24"/>
          <w:szCs w:val="24"/>
          <w:lang w:val="it-IT"/>
        </w:rPr>
        <w:t>elle</w:t>
      </w:r>
      <w:r w:rsidR="005072FD">
        <w:rPr>
          <w:rFonts w:cs="Times New Roman"/>
          <w:sz w:val="24"/>
          <w:szCs w:val="24"/>
          <w:lang w:val="it-IT"/>
        </w:rPr>
        <w:t xml:space="preserve"> amministrazioni</w:t>
      </w:r>
      <w:r w:rsidR="00777B9D">
        <w:rPr>
          <w:rFonts w:cs="Times New Roman"/>
          <w:sz w:val="24"/>
          <w:szCs w:val="24"/>
          <w:lang w:val="it-IT"/>
        </w:rPr>
        <w:t xml:space="preserve"> locali calabresi, campane e siciliane</w:t>
      </w:r>
      <w:r w:rsidR="005072FD">
        <w:rPr>
          <w:rFonts w:cs="Times New Roman"/>
          <w:sz w:val="24"/>
          <w:szCs w:val="24"/>
          <w:lang w:val="it-IT"/>
        </w:rPr>
        <w:t xml:space="preserve"> con i governi comunali che non sono stati sciolti per mafia</w:t>
      </w:r>
      <w:r w:rsidR="00777B9D">
        <w:rPr>
          <w:rFonts w:cs="Times New Roman"/>
          <w:sz w:val="24"/>
          <w:szCs w:val="24"/>
          <w:lang w:val="it-IT"/>
        </w:rPr>
        <w:t xml:space="preserve"> nelle stesse regioni</w:t>
      </w:r>
      <w:r w:rsidR="005072FD">
        <w:rPr>
          <w:rFonts w:cs="Times New Roman"/>
          <w:sz w:val="24"/>
          <w:szCs w:val="24"/>
          <w:lang w:val="it-IT"/>
        </w:rPr>
        <w:t xml:space="preserve">. L’analisi econometrica </w:t>
      </w:r>
      <w:r w:rsidR="00243544">
        <w:rPr>
          <w:rFonts w:cs="Times New Roman"/>
          <w:sz w:val="24"/>
          <w:szCs w:val="24"/>
          <w:lang w:val="it-IT"/>
        </w:rPr>
        <w:t xml:space="preserve">permette di ricostruire in maniera dettagliata la rendicontazione di finanza pubblica prodotta degli amministratori collusi. In particolare, lo studio dimostra </w:t>
      </w:r>
      <w:r w:rsidR="00B4358D">
        <w:rPr>
          <w:rFonts w:cs="Times New Roman"/>
          <w:sz w:val="24"/>
          <w:szCs w:val="24"/>
          <w:lang w:val="it-IT"/>
        </w:rPr>
        <w:t>come</w:t>
      </w:r>
      <w:r w:rsidR="00243544">
        <w:rPr>
          <w:rFonts w:cs="Times New Roman"/>
          <w:sz w:val="24"/>
          <w:szCs w:val="24"/>
          <w:lang w:val="it-IT"/>
        </w:rPr>
        <w:t>, nel momento della definizione del bilancio locale, la spesa in conto capitale riguardant</w:t>
      </w:r>
      <w:r w:rsidR="00D81209">
        <w:rPr>
          <w:rFonts w:cs="Times New Roman"/>
          <w:sz w:val="24"/>
          <w:szCs w:val="24"/>
          <w:lang w:val="it-IT"/>
        </w:rPr>
        <w:t>e</w:t>
      </w:r>
      <w:r w:rsidR="00243544">
        <w:rPr>
          <w:rFonts w:cs="Times New Roman"/>
          <w:sz w:val="24"/>
          <w:szCs w:val="24"/>
          <w:lang w:val="it-IT"/>
        </w:rPr>
        <w:t xml:space="preserve"> la </w:t>
      </w:r>
      <w:r w:rsidR="00AA7580">
        <w:rPr>
          <w:rFonts w:cs="Times New Roman"/>
          <w:sz w:val="24"/>
          <w:szCs w:val="24"/>
          <w:lang w:val="it-IT"/>
        </w:rPr>
        <w:t>“</w:t>
      </w:r>
      <w:r w:rsidR="00243544">
        <w:rPr>
          <w:rFonts w:cs="Times New Roman"/>
          <w:sz w:val="24"/>
          <w:szCs w:val="24"/>
          <w:lang w:val="it-IT"/>
        </w:rPr>
        <w:t>gestione del territorio</w:t>
      </w:r>
      <w:r w:rsidR="009E695E">
        <w:rPr>
          <w:rFonts w:cs="Times New Roman"/>
          <w:sz w:val="24"/>
          <w:szCs w:val="24"/>
          <w:lang w:val="it-IT"/>
        </w:rPr>
        <w:t xml:space="preserve"> ed </w:t>
      </w:r>
      <w:r w:rsidR="00243544">
        <w:rPr>
          <w:rFonts w:cs="Times New Roman"/>
          <w:sz w:val="24"/>
          <w:szCs w:val="24"/>
          <w:lang w:val="it-IT"/>
        </w:rPr>
        <w:t>ambiente</w:t>
      </w:r>
      <w:r w:rsidR="00AA7580">
        <w:rPr>
          <w:rFonts w:cs="Times New Roman"/>
          <w:sz w:val="24"/>
          <w:szCs w:val="24"/>
          <w:lang w:val="it-IT"/>
        </w:rPr>
        <w:t>”</w:t>
      </w:r>
      <w:r w:rsidR="00243544">
        <w:rPr>
          <w:rFonts w:cs="Times New Roman"/>
          <w:sz w:val="24"/>
          <w:szCs w:val="24"/>
          <w:lang w:val="it-IT"/>
        </w:rPr>
        <w:t xml:space="preserve"> tend</w:t>
      </w:r>
      <w:r w:rsidR="00B4358D">
        <w:rPr>
          <w:rFonts w:cs="Times New Roman"/>
          <w:sz w:val="24"/>
          <w:szCs w:val="24"/>
          <w:lang w:val="it-IT"/>
        </w:rPr>
        <w:t>a</w:t>
      </w:r>
      <w:r w:rsidR="00243544">
        <w:rPr>
          <w:rFonts w:cs="Times New Roman"/>
          <w:sz w:val="24"/>
          <w:szCs w:val="24"/>
          <w:lang w:val="it-IT"/>
        </w:rPr>
        <w:t xml:space="preserve"> ad aumentare in maniera statisticamente </w:t>
      </w:r>
      <w:r w:rsidR="00243544">
        <w:rPr>
          <w:rFonts w:cs="Times New Roman"/>
          <w:sz w:val="24"/>
          <w:szCs w:val="24"/>
          <w:lang w:val="it-IT"/>
        </w:rPr>
        <w:lastRenderedPageBreak/>
        <w:t>significativa</w:t>
      </w:r>
      <w:r w:rsidR="00AA7580">
        <w:rPr>
          <w:rFonts w:cs="Times New Roman"/>
          <w:sz w:val="24"/>
          <w:szCs w:val="24"/>
          <w:lang w:val="it-IT"/>
        </w:rPr>
        <w:t xml:space="preserve"> nei governi sciolti, rispetto a quelli non sciolti</w:t>
      </w:r>
      <w:r w:rsidR="006C5BA3">
        <w:rPr>
          <w:rFonts w:cs="Times New Roman"/>
          <w:sz w:val="24"/>
          <w:szCs w:val="24"/>
          <w:lang w:val="it-IT"/>
        </w:rPr>
        <w:t>.</w:t>
      </w:r>
      <w:r w:rsidR="009E695E">
        <w:rPr>
          <w:rFonts w:cs="Times New Roman"/>
          <w:sz w:val="24"/>
          <w:szCs w:val="24"/>
          <w:lang w:val="it-IT"/>
        </w:rPr>
        <w:t xml:space="preserve"> Tale </w:t>
      </w:r>
      <w:r w:rsidR="009E695E" w:rsidRPr="00D20D2B">
        <w:rPr>
          <w:rFonts w:cs="Times New Roman"/>
          <w:sz w:val="24"/>
          <w:szCs w:val="24"/>
          <w:lang w:val="it-IT"/>
        </w:rPr>
        <w:t>capitolo di spesa fa riferimento</w:t>
      </w:r>
      <w:r w:rsidR="00D20D2B">
        <w:rPr>
          <w:rFonts w:cs="Times New Roman"/>
          <w:sz w:val="24"/>
          <w:szCs w:val="24"/>
          <w:lang w:val="it-IT"/>
        </w:rPr>
        <w:t>, tra l’altro,</w:t>
      </w:r>
      <w:r w:rsidR="009E695E" w:rsidRPr="00D20D2B">
        <w:rPr>
          <w:rFonts w:cs="Times New Roman"/>
          <w:sz w:val="24"/>
          <w:szCs w:val="24"/>
          <w:lang w:val="it-IT"/>
        </w:rPr>
        <w:t xml:space="preserve"> a</w:t>
      </w:r>
      <w:r w:rsidR="00D81209" w:rsidRPr="00D20D2B">
        <w:rPr>
          <w:rFonts w:cs="Times New Roman"/>
          <w:sz w:val="24"/>
          <w:szCs w:val="24"/>
          <w:shd w:val="clear" w:color="auto" w:fill="FFFFFF"/>
          <w:lang w:val="it-IT"/>
        </w:rPr>
        <w:t xml:space="preserve">gli interventi di edilizia </w:t>
      </w:r>
      <w:r w:rsidR="00995509">
        <w:rPr>
          <w:rFonts w:cs="Times New Roman"/>
          <w:sz w:val="24"/>
          <w:szCs w:val="24"/>
          <w:shd w:val="clear" w:color="auto" w:fill="FFFFFF"/>
          <w:lang w:val="it-IT"/>
        </w:rPr>
        <w:t>economico-popolare</w:t>
      </w:r>
      <w:r w:rsidR="00D81209" w:rsidRPr="00D20D2B">
        <w:rPr>
          <w:rFonts w:cs="Times New Roman"/>
          <w:sz w:val="24"/>
          <w:szCs w:val="24"/>
          <w:shd w:val="clear" w:color="auto" w:fill="FFFFFF"/>
          <w:lang w:val="it-IT"/>
        </w:rPr>
        <w:t xml:space="preserve"> e di edilizia residenziale pubblica</w:t>
      </w:r>
      <w:r w:rsidR="009E695E" w:rsidRPr="00D20D2B">
        <w:rPr>
          <w:rFonts w:cs="Times New Roman"/>
          <w:sz w:val="24"/>
          <w:szCs w:val="24"/>
          <w:shd w:val="clear" w:color="auto" w:fill="FFFFFF"/>
          <w:lang w:val="it-IT"/>
        </w:rPr>
        <w:t xml:space="preserve">, nonchè alla gestione dello smaltimento </w:t>
      </w:r>
      <w:r w:rsidR="00B4358D">
        <w:rPr>
          <w:rFonts w:cs="Times New Roman"/>
          <w:sz w:val="24"/>
          <w:szCs w:val="24"/>
          <w:shd w:val="clear" w:color="auto" w:fill="FFFFFF"/>
          <w:lang w:val="it-IT"/>
        </w:rPr>
        <w:t xml:space="preserve">dei </w:t>
      </w:r>
      <w:r w:rsidR="009E695E" w:rsidRPr="00D20D2B">
        <w:rPr>
          <w:rFonts w:cs="Times New Roman"/>
          <w:sz w:val="24"/>
          <w:szCs w:val="24"/>
          <w:shd w:val="clear" w:color="auto" w:fill="FFFFFF"/>
          <w:lang w:val="it-IT"/>
        </w:rPr>
        <w:t>rifiuti</w:t>
      </w:r>
      <w:r w:rsidR="00AA7580">
        <w:rPr>
          <w:rFonts w:cs="Times New Roman"/>
          <w:sz w:val="24"/>
          <w:szCs w:val="24"/>
          <w:shd w:val="clear" w:color="auto" w:fill="FFFFFF"/>
          <w:lang w:val="it-IT"/>
        </w:rPr>
        <w:t xml:space="preserve">. Tutti questi </w:t>
      </w:r>
      <w:r w:rsidR="002F4BD4">
        <w:rPr>
          <w:rFonts w:cs="Times New Roman"/>
          <w:sz w:val="24"/>
          <w:szCs w:val="24"/>
          <w:shd w:val="clear" w:color="auto" w:fill="FFFFFF"/>
          <w:lang w:val="it-IT"/>
        </w:rPr>
        <w:t>rappresentano</w:t>
      </w:r>
      <w:r w:rsidR="00134ED8">
        <w:rPr>
          <w:rFonts w:cs="Times New Roman"/>
          <w:sz w:val="24"/>
          <w:szCs w:val="24"/>
          <w:shd w:val="clear" w:color="auto" w:fill="FFFFFF"/>
          <w:lang w:val="it-IT"/>
        </w:rPr>
        <w:t xml:space="preserve"> settori chiave per gli interessi delle organizzazioni criminali, sia per ragioni di riciclaggio, che di profitto economico</w:t>
      </w:r>
      <w:r w:rsidR="00AA7580">
        <w:rPr>
          <w:rFonts w:cs="Times New Roman"/>
          <w:sz w:val="24"/>
          <w:szCs w:val="24"/>
          <w:shd w:val="clear" w:color="auto" w:fill="FFFFFF"/>
          <w:lang w:val="it-IT"/>
        </w:rPr>
        <w:t xml:space="preserve"> (Sciarrone, 2011). Si ipotizza quindi che l’aumento di investimenti in questi settori sia dettato da un </w:t>
      </w:r>
      <w:r w:rsidR="005A45EC">
        <w:rPr>
          <w:rFonts w:cs="Times New Roman"/>
          <w:sz w:val="24"/>
          <w:szCs w:val="24"/>
          <w:shd w:val="clear" w:color="auto" w:fill="FFFFFF"/>
          <w:lang w:val="it-IT"/>
        </w:rPr>
        <w:t>incremento</w:t>
      </w:r>
      <w:r w:rsidR="00AA7580">
        <w:rPr>
          <w:rFonts w:cs="Times New Roman"/>
          <w:sz w:val="24"/>
          <w:szCs w:val="24"/>
          <w:shd w:val="clear" w:color="auto" w:fill="FFFFFF"/>
          <w:lang w:val="it-IT"/>
        </w:rPr>
        <w:t xml:space="preserve"> nella quantità e valore totale degli appalti pubblici</w:t>
      </w:r>
      <w:r w:rsidR="00B4358D">
        <w:rPr>
          <w:rFonts w:cs="Times New Roman"/>
          <w:sz w:val="24"/>
          <w:szCs w:val="24"/>
          <w:shd w:val="clear" w:color="auto" w:fill="FFFFFF"/>
          <w:lang w:val="it-IT"/>
        </w:rPr>
        <w:t xml:space="preserve"> gestiti dai comuni infiltrati</w:t>
      </w:r>
      <w:r w:rsidR="00AA7580">
        <w:rPr>
          <w:rFonts w:cs="Times New Roman"/>
          <w:sz w:val="24"/>
          <w:szCs w:val="24"/>
          <w:shd w:val="clear" w:color="auto" w:fill="FFFFFF"/>
          <w:lang w:val="it-IT"/>
        </w:rPr>
        <w:t xml:space="preserve">. </w:t>
      </w:r>
      <w:r w:rsidR="00B4358D">
        <w:rPr>
          <w:rFonts w:cs="Times New Roman"/>
          <w:sz w:val="24"/>
          <w:szCs w:val="24"/>
          <w:shd w:val="clear" w:color="auto" w:fill="FFFFFF"/>
          <w:lang w:val="it-IT"/>
        </w:rPr>
        <w:t>Questa interpretazione si basa sul fatto che, secondo vari studi, l</w:t>
      </w:r>
      <w:r w:rsidR="00AA7580">
        <w:rPr>
          <w:rFonts w:cs="Times New Roman"/>
          <w:sz w:val="24"/>
          <w:szCs w:val="24"/>
          <w:shd w:val="clear" w:color="auto" w:fill="FFFFFF"/>
          <w:lang w:val="it-IT"/>
        </w:rPr>
        <w:t>a possibilità di condizionare il ciclo delle opere pubbliche rappresenta uno degli incentivi chiave che inducono all’infiltrazione nel sistema politico locale e che consentono alle mafie di rafforzare il con</w:t>
      </w:r>
      <w:r w:rsidR="00134ED8">
        <w:rPr>
          <w:rFonts w:cs="Times New Roman"/>
          <w:sz w:val="24"/>
          <w:szCs w:val="24"/>
          <w:shd w:val="clear" w:color="auto" w:fill="FFFFFF"/>
          <w:lang w:val="it-IT"/>
        </w:rPr>
        <w:t>trollo del territorio (Sciarrone, 2011</w:t>
      </w:r>
      <w:r w:rsidR="009F779E">
        <w:rPr>
          <w:rFonts w:cs="Times New Roman"/>
          <w:sz w:val="24"/>
          <w:szCs w:val="24"/>
          <w:shd w:val="clear" w:color="auto" w:fill="FFFFFF"/>
          <w:lang w:val="it-IT"/>
        </w:rPr>
        <w:t>; Cantone e Di Feo, 2014</w:t>
      </w:r>
      <w:r w:rsidR="00134ED8">
        <w:rPr>
          <w:rFonts w:cs="Times New Roman"/>
          <w:sz w:val="24"/>
          <w:szCs w:val="24"/>
          <w:shd w:val="clear" w:color="auto" w:fill="FFFFFF"/>
          <w:lang w:val="it-IT"/>
        </w:rPr>
        <w:t xml:space="preserve">). Lo studio </w:t>
      </w:r>
      <w:r w:rsidR="00A94513">
        <w:rPr>
          <w:rFonts w:cs="Times New Roman"/>
          <w:sz w:val="24"/>
          <w:szCs w:val="24"/>
          <w:shd w:val="clear" w:color="auto" w:fill="FFFFFF"/>
          <w:lang w:val="it-IT"/>
        </w:rPr>
        <w:t xml:space="preserve">econometrico </w:t>
      </w:r>
      <w:r w:rsidR="00134ED8">
        <w:rPr>
          <w:rFonts w:cs="Times New Roman"/>
          <w:sz w:val="24"/>
          <w:szCs w:val="24"/>
          <w:shd w:val="clear" w:color="auto" w:fill="FFFFFF"/>
          <w:lang w:val="it-IT"/>
        </w:rPr>
        <w:t>rivela inoltre che, durante le infiltrazioni, si verifica una riduzione significativa di investimenti pubblici per le funzioni di polizia locale, nonchè una riduzione di spesa per i servizi di viabilità e illuminazione pubblica.</w:t>
      </w:r>
    </w:p>
    <w:p w14:paraId="4F43DF0C" w14:textId="130846A2" w:rsidR="00782E3D" w:rsidRDefault="00777B9D" w:rsidP="00D72742">
      <w:pPr>
        <w:ind w:left="284" w:right="237"/>
        <w:rPr>
          <w:rFonts w:cs="Times New Roman"/>
          <w:sz w:val="24"/>
          <w:szCs w:val="24"/>
          <w:shd w:val="clear" w:color="auto" w:fill="FFFFFF"/>
          <w:lang w:val="it-IT"/>
        </w:rPr>
      </w:pPr>
      <w:r>
        <w:rPr>
          <w:rFonts w:cs="Times New Roman"/>
          <w:sz w:val="24"/>
          <w:szCs w:val="24"/>
          <w:shd w:val="clear" w:color="auto" w:fill="FFFFFF"/>
          <w:lang w:val="it-IT"/>
        </w:rPr>
        <w:t>Nel complesso, gli autori interpretano questo insieme di risultati come un segnale del fatto che</w:t>
      </w:r>
      <w:r w:rsidR="00782E3D">
        <w:rPr>
          <w:rFonts w:cs="Times New Roman"/>
          <w:sz w:val="24"/>
          <w:szCs w:val="24"/>
          <w:shd w:val="clear" w:color="auto" w:fill="FFFFFF"/>
          <w:lang w:val="it-IT"/>
        </w:rPr>
        <w:t xml:space="preserve">, nelle amministrazioni locali colluse con la criminalità organizzata, le decisioni di finanza pubblica sono pesantemente influenzate dal condizionamento dei clan mafiosi. In particolare, si </w:t>
      </w:r>
      <w:r w:rsidR="00A94513">
        <w:rPr>
          <w:rFonts w:cs="Times New Roman"/>
          <w:sz w:val="24"/>
          <w:szCs w:val="24"/>
          <w:shd w:val="clear" w:color="auto" w:fill="FFFFFF"/>
          <w:lang w:val="it-IT"/>
        </w:rPr>
        <w:t xml:space="preserve">nota </w:t>
      </w:r>
      <w:r w:rsidR="00782E3D">
        <w:rPr>
          <w:rFonts w:cs="Times New Roman"/>
          <w:sz w:val="24"/>
          <w:szCs w:val="24"/>
          <w:shd w:val="clear" w:color="auto" w:fill="FFFFFF"/>
          <w:lang w:val="it-IT"/>
        </w:rPr>
        <w:t xml:space="preserve">una propensione ad investire </w:t>
      </w:r>
      <w:r w:rsidR="00247A9B">
        <w:rPr>
          <w:rFonts w:cs="Times New Roman"/>
          <w:sz w:val="24"/>
          <w:szCs w:val="24"/>
          <w:shd w:val="clear" w:color="auto" w:fill="FFFFFF"/>
          <w:lang w:val="it-IT"/>
        </w:rPr>
        <w:t>in maggior misura</w:t>
      </w:r>
      <w:r w:rsidR="00782E3D">
        <w:rPr>
          <w:rFonts w:cs="Times New Roman"/>
          <w:sz w:val="24"/>
          <w:szCs w:val="24"/>
          <w:shd w:val="clear" w:color="auto" w:fill="FFFFFF"/>
          <w:lang w:val="it-IT"/>
        </w:rPr>
        <w:t xml:space="preserve"> in settori </w:t>
      </w:r>
      <w:r w:rsidR="00247A9B">
        <w:rPr>
          <w:rFonts w:cs="Times New Roman"/>
          <w:sz w:val="24"/>
          <w:szCs w:val="24"/>
          <w:shd w:val="clear" w:color="auto" w:fill="FFFFFF"/>
          <w:lang w:val="it-IT"/>
        </w:rPr>
        <w:t xml:space="preserve">considerati </w:t>
      </w:r>
      <w:r w:rsidR="00782E3D">
        <w:rPr>
          <w:rFonts w:cs="Times New Roman"/>
          <w:sz w:val="24"/>
          <w:szCs w:val="24"/>
          <w:shd w:val="clear" w:color="auto" w:fill="FFFFFF"/>
          <w:lang w:val="it-IT"/>
        </w:rPr>
        <w:t xml:space="preserve">fondamentali </w:t>
      </w:r>
      <w:r w:rsidR="00BB00AB">
        <w:rPr>
          <w:rFonts w:cs="Times New Roman"/>
          <w:sz w:val="24"/>
          <w:szCs w:val="24"/>
          <w:shd w:val="clear" w:color="auto" w:fill="FFFFFF"/>
          <w:lang w:val="it-IT"/>
        </w:rPr>
        <w:t xml:space="preserve">dalla </w:t>
      </w:r>
      <w:r w:rsidR="00782E3D">
        <w:rPr>
          <w:rFonts w:cs="Times New Roman"/>
          <w:sz w:val="24"/>
          <w:szCs w:val="24"/>
          <w:shd w:val="clear" w:color="auto" w:fill="FFFFFF"/>
          <w:lang w:val="it-IT"/>
        </w:rPr>
        <w:t>mafie</w:t>
      </w:r>
      <w:r w:rsidR="005A45EC">
        <w:rPr>
          <w:rFonts w:cs="Times New Roman"/>
          <w:sz w:val="24"/>
          <w:szCs w:val="24"/>
          <w:shd w:val="clear" w:color="auto" w:fill="FFFFFF"/>
          <w:lang w:val="it-IT"/>
        </w:rPr>
        <w:t>,</w:t>
      </w:r>
      <w:r w:rsidR="00247A9B">
        <w:rPr>
          <w:rFonts w:cs="Times New Roman"/>
          <w:sz w:val="24"/>
          <w:szCs w:val="24"/>
          <w:shd w:val="clear" w:color="auto" w:fill="FFFFFF"/>
          <w:lang w:val="it-IT"/>
        </w:rPr>
        <w:t xml:space="preserve"> </w:t>
      </w:r>
      <w:r w:rsidR="005A45EC">
        <w:rPr>
          <w:rFonts w:cs="Times New Roman"/>
          <w:sz w:val="24"/>
          <w:szCs w:val="24"/>
          <w:shd w:val="clear" w:color="auto" w:fill="FFFFFF"/>
          <w:lang w:val="it-IT"/>
        </w:rPr>
        <w:t>favorendo in questo modo le imprese contigue o controllate dai sodalizi criminali e, più in generale, rafforzando l’</w:t>
      </w:r>
      <w:r w:rsidR="00247A9B">
        <w:rPr>
          <w:rFonts w:cs="Times New Roman"/>
          <w:sz w:val="24"/>
          <w:szCs w:val="24"/>
          <w:shd w:val="clear" w:color="auto" w:fill="FFFFFF"/>
          <w:lang w:val="it-IT"/>
        </w:rPr>
        <w:t xml:space="preserve">infiltrazione </w:t>
      </w:r>
      <w:r w:rsidR="005A45EC">
        <w:rPr>
          <w:rFonts w:cs="Times New Roman"/>
          <w:sz w:val="24"/>
          <w:szCs w:val="24"/>
          <w:shd w:val="clear" w:color="auto" w:fill="FFFFFF"/>
          <w:lang w:val="it-IT"/>
        </w:rPr>
        <w:t xml:space="preserve">mafiosa </w:t>
      </w:r>
      <w:r w:rsidR="00782E3D">
        <w:rPr>
          <w:rFonts w:cs="Times New Roman"/>
          <w:sz w:val="24"/>
          <w:szCs w:val="24"/>
          <w:shd w:val="clear" w:color="auto" w:fill="FFFFFF"/>
          <w:lang w:val="it-IT"/>
        </w:rPr>
        <w:t>nell</w:t>
      </w:r>
      <w:r w:rsidR="00B4358D">
        <w:rPr>
          <w:rFonts w:cs="Times New Roman"/>
          <w:sz w:val="24"/>
          <w:szCs w:val="24"/>
          <w:shd w:val="clear" w:color="auto" w:fill="FFFFFF"/>
          <w:lang w:val="it-IT"/>
        </w:rPr>
        <w:t xml:space="preserve">a cosiddetta </w:t>
      </w:r>
      <w:r w:rsidR="00782E3D">
        <w:rPr>
          <w:rFonts w:cs="Times New Roman"/>
          <w:sz w:val="24"/>
          <w:szCs w:val="24"/>
          <w:shd w:val="clear" w:color="auto" w:fill="FFFFFF"/>
          <w:lang w:val="it-IT"/>
        </w:rPr>
        <w:t xml:space="preserve">economia legale. La riduzione di spesa </w:t>
      </w:r>
      <w:r w:rsidR="00247A9B">
        <w:rPr>
          <w:rFonts w:cs="Times New Roman"/>
          <w:sz w:val="24"/>
          <w:szCs w:val="24"/>
          <w:shd w:val="clear" w:color="auto" w:fill="FFFFFF"/>
          <w:lang w:val="it-IT"/>
        </w:rPr>
        <w:t xml:space="preserve">comunale </w:t>
      </w:r>
      <w:r w:rsidR="00782E3D">
        <w:rPr>
          <w:rFonts w:cs="Times New Roman"/>
          <w:sz w:val="24"/>
          <w:szCs w:val="24"/>
          <w:shd w:val="clear" w:color="auto" w:fill="FFFFFF"/>
          <w:lang w:val="it-IT"/>
        </w:rPr>
        <w:t xml:space="preserve">per servizi essenziali </w:t>
      </w:r>
      <w:r w:rsidR="00B4358D">
        <w:rPr>
          <w:rFonts w:cs="Times New Roman"/>
          <w:sz w:val="24"/>
          <w:szCs w:val="24"/>
          <w:shd w:val="clear" w:color="auto" w:fill="FFFFFF"/>
          <w:lang w:val="it-IT"/>
        </w:rPr>
        <w:t xml:space="preserve">quali viabilità e ordine pubblico </w:t>
      </w:r>
      <w:r w:rsidR="00782E3D">
        <w:rPr>
          <w:rFonts w:cs="Times New Roman"/>
          <w:sz w:val="24"/>
          <w:szCs w:val="24"/>
          <w:shd w:val="clear" w:color="auto" w:fill="FFFFFF"/>
          <w:lang w:val="it-IT"/>
        </w:rPr>
        <w:t xml:space="preserve">potrebbe </w:t>
      </w:r>
      <w:r w:rsidR="00247A9B">
        <w:rPr>
          <w:rFonts w:cs="Times New Roman"/>
          <w:sz w:val="24"/>
          <w:szCs w:val="24"/>
          <w:shd w:val="clear" w:color="auto" w:fill="FFFFFF"/>
          <w:lang w:val="it-IT"/>
        </w:rPr>
        <w:t xml:space="preserve">invece </w:t>
      </w:r>
      <w:r w:rsidR="00782E3D">
        <w:rPr>
          <w:rFonts w:cs="Times New Roman"/>
          <w:sz w:val="24"/>
          <w:szCs w:val="24"/>
          <w:shd w:val="clear" w:color="auto" w:fill="FFFFFF"/>
          <w:lang w:val="it-IT"/>
        </w:rPr>
        <w:t xml:space="preserve">essere un indicatore del fatto che </w:t>
      </w:r>
      <w:r w:rsidR="00247A9B">
        <w:rPr>
          <w:rFonts w:cs="Times New Roman"/>
          <w:sz w:val="24"/>
          <w:szCs w:val="24"/>
          <w:shd w:val="clear" w:color="auto" w:fill="FFFFFF"/>
          <w:lang w:val="it-IT"/>
        </w:rPr>
        <w:t xml:space="preserve">gli amministratori collusi siano consapevoli </w:t>
      </w:r>
      <w:r w:rsidR="00B4358D">
        <w:rPr>
          <w:rFonts w:cs="Times New Roman"/>
          <w:sz w:val="24"/>
          <w:szCs w:val="24"/>
          <w:shd w:val="clear" w:color="auto" w:fill="FFFFFF"/>
          <w:lang w:val="it-IT"/>
        </w:rPr>
        <w:t xml:space="preserve">che una maggiore spesa per edilizia e gestione dei rifiuti comporti </w:t>
      </w:r>
      <w:r w:rsidR="00247A9B">
        <w:rPr>
          <w:rFonts w:cs="Times New Roman"/>
          <w:sz w:val="24"/>
          <w:szCs w:val="24"/>
          <w:shd w:val="clear" w:color="auto" w:fill="FFFFFF"/>
          <w:lang w:val="it-IT"/>
        </w:rPr>
        <w:t>dei rischi legati alla possibile apertura di procedure di criticità finanziaria nei propri confronti</w:t>
      </w:r>
      <w:r w:rsidR="00B4358D">
        <w:rPr>
          <w:rFonts w:cs="Times New Roman"/>
          <w:sz w:val="24"/>
          <w:szCs w:val="24"/>
          <w:shd w:val="clear" w:color="auto" w:fill="FFFFFF"/>
          <w:lang w:val="it-IT"/>
        </w:rPr>
        <w:t xml:space="preserve">. Pertanto, si può ipotizzare </w:t>
      </w:r>
      <w:r w:rsidR="00247A9B">
        <w:rPr>
          <w:rFonts w:cs="Times New Roman"/>
          <w:sz w:val="24"/>
          <w:szCs w:val="24"/>
          <w:shd w:val="clear" w:color="auto" w:fill="FFFFFF"/>
          <w:lang w:val="it-IT"/>
        </w:rPr>
        <w:t xml:space="preserve">che </w:t>
      </w:r>
      <w:r w:rsidR="00B4358D">
        <w:rPr>
          <w:rFonts w:cs="Times New Roman"/>
          <w:sz w:val="24"/>
          <w:szCs w:val="24"/>
          <w:shd w:val="clear" w:color="auto" w:fill="FFFFFF"/>
          <w:lang w:val="it-IT"/>
        </w:rPr>
        <w:t xml:space="preserve">la riduzione di spesa per servizi al cittadino sia dettata dal </w:t>
      </w:r>
      <w:r w:rsidR="00247A9B">
        <w:rPr>
          <w:rFonts w:cs="Times New Roman"/>
          <w:sz w:val="24"/>
          <w:szCs w:val="24"/>
          <w:shd w:val="clear" w:color="auto" w:fill="FFFFFF"/>
          <w:lang w:val="it-IT"/>
        </w:rPr>
        <w:t>tenta</w:t>
      </w:r>
      <w:r w:rsidR="00B4358D">
        <w:rPr>
          <w:rFonts w:cs="Times New Roman"/>
          <w:sz w:val="24"/>
          <w:szCs w:val="24"/>
          <w:shd w:val="clear" w:color="auto" w:fill="FFFFFF"/>
          <w:lang w:val="it-IT"/>
        </w:rPr>
        <w:t>tivo</w:t>
      </w:r>
      <w:r w:rsidR="00247A9B">
        <w:rPr>
          <w:rFonts w:cs="Times New Roman"/>
          <w:sz w:val="24"/>
          <w:szCs w:val="24"/>
          <w:shd w:val="clear" w:color="auto" w:fill="FFFFFF"/>
          <w:lang w:val="it-IT"/>
        </w:rPr>
        <w:t xml:space="preserve"> </w:t>
      </w:r>
      <w:r w:rsidR="00B4358D">
        <w:rPr>
          <w:rFonts w:cs="Times New Roman"/>
          <w:sz w:val="24"/>
          <w:szCs w:val="24"/>
          <w:shd w:val="clear" w:color="auto" w:fill="FFFFFF"/>
          <w:lang w:val="it-IT"/>
        </w:rPr>
        <w:t xml:space="preserve">da parte degli amministratori </w:t>
      </w:r>
      <w:r w:rsidR="00247A9B">
        <w:rPr>
          <w:rFonts w:cs="Times New Roman"/>
          <w:sz w:val="24"/>
          <w:szCs w:val="24"/>
          <w:shd w:val="clear" w:color="auto" w:fill="FFFFFF"/>
          <w:lang w:val="it-IT"/>
        </w:rPr>
        <w:t xml:space="preserve">di evitare </w:t>
      </w:r>
      <w:r w:rsidR="00B4358D">
        <w:rPr>
          <w:rFonts w:cs="Times New Roman"/>
          <w:sz w:val="24"/>
          <w:szCs w:val="24"/>
          <w:shd w:val="clear" w:color="auto" w:fill="FFFFFF"/>
          <w:lang w:val="it-IT"/>
        </w:rPr>
        <w:t xml:space="preserve">procedure di </w:t>
      </w:r>
      <w:r w:rsidR="00B7309B">
        <w:rPr>
          <w:rFonts w:cs="Times New Roman"/>
          <w:sz w:val="24"/>
          <w:szCs w:val="24"/>
          <w:shd w:val="clear" w:color="auto" w:fill="FFFFFF"/>
          <w:lang w:val="it-IT"/>
        </w:rPr>
        <w:t>dissesto e riequilibrio finanziario</w:t>
      </w:r>
      <w:r w:rsidR="000739C6">
        <w:rPr>
          <w:rFonts w:cs="Times New Roman"/>
          <w:sz w:val="24"/>
          <w:szCs w:val="24"/>
          <w:shd w:val="clear" w:color="auto" w:fill="FFFFFF"/>
          <w:lang w:val="it-IT"/>
        </w:rPr>
        <w:t xml:space="preserve"> pluriennale</w:t>
      </w:r>
      <w:r w:rsidR="00B7309B">
        <w:rPr>
          <w:rFonts w:cs="Times New Roman"/>
          <w:sz w:val="24"/>
          <w:szCs w:val="24"/>
          <w:shd w:val="clear" w:color="auto" w:fill="FFFFFF"/>
          <w:lang w:val="it-IT"/>
        </w:rPr>
        <w:t xml:space="preserve">. In quest’ottica, è interessante notare come la riduzione di investimenti si verifichi in particolar modo </w:t>
      </w:r>
      <w:r w:rsidR="00247A9B">
        <w:rPr>
          <w:rFonts w:cs="Times New Roman"/>
          <w:sz w:val="24"/>
          <w:szCs w:val="24"/>
          <w:shd w:val="clear" w:color="auto" w:fill="FFFFFF"/>
          <w:lang w:val="it-IT"/>
        </w:rPr>
        <w:t>in settori considerati dalle organizzazioni criminali meno funzionali ai propri</w:t>
      </w:r>
      <w:r w:rsidR="005A45EC">
        <w:rPr>
          <w:rFonts w:cs="Times New Roman"/>
          <w:sz w:val="24"/>
          <w:szCs w:val="24"/>
          <w:shd w:val="clear" w:color="auto" w:fill="FFFFFF"/>
          <w:lang w:val="it-IT"/>
        </w:rPr>
        <w:t xml:space="preserve"> diretti</w:t>
      </w:r>
      <w:r w:rsidR="00247A9B">
        <w:rPr>
          <w:rFonts w:cs="Times New Roman"/>
          <w:sz w:val="24"/>
          <w:szCs w:val="24"/>
          <w:shd w:val="clear" w:color="auto" w:fill="FFFFFF"/>
          <w:lang w:val="it-IT"/>
        </w:rPr>
        <w:t xml:space="preserve"> interessi economici. </w:t>
      </w:r>
      <w:r w:rsidR="00B7309B">
        <w:rPr>
          <w:rFonts w:cs="Times New Roman"/>
          <w:sz w:val="24"/>
          <w:szCs w:val="24"/>
          <w:shd w:val="clear" w:color="auto" w:fill="FFFFFF"/>
          <w:lang w:val="it-IT"/>
        </w:rPr>
        <w:t>U</w:t>
      </w:r>
      <w:r w:rsidR="00247A9B">
        <w:rPr>
          <w:rFonts w:cs="Times New Roman"/>
          <w:sz w:val="24"/>
          <w:szCs w:val="24"/>
          <w:shd w:val="clear" w:color="auto" w:fill="FFFFFF"/>
          <w:lang w:val="it-IT"/>
        </w:rPr>
        <w:t>na riduzione di spesa in tali settori p</w:t>
      </w:r>
      <w:r w:rsidR="00B7309B">
        <w:rPr>
          <w:rFonts w:cs="Times New Roman"/>
          <w:sz w:val="24"/>
          <w:szCs w:val="24"/>
          <w:shd w:val="clear" w:color="auto" w:fill="FFFFFF"/>
          <w:lang w:val="it-IT"/>
        </w:rPr>
        <w:t xml:space="preserve">uò però </w:t>
      </w:r>
      <w:r w:rsidR="00247A9B">
        <w:rPr>
          <w:rFonts w:cs="Times New Roman"/>
          <w:sz w:val="24"/>
          <w:szCs w:val="24"/>
          <w:shd w:val="clear" w:color="auto" w:fill="FFFFFF"/>
          <w:lang w:val="it-IT"/>
        </w:rPr>
        <w:t xml:space="preserve">incidere negativamente sulla percezione </w:t>
      </w:r>
      <w:r w:rsidR="00365C38">
        <w:rPr>
          <w:rFonts w:cs="Times New Roman"/>
          <w:sz w:val="24"/>
          <w:szCs w:val="24"/>
          <w:shd w:val="clear" w:color="auto" w:fill="FFFFFF"/>
          <w:lang w:val="it-IT"/>
        </w:rPr>
        <w:t>dei cittadini</w:t>
      </w:r>
      <w:r w:rsidR="00247A9B">
        <w:rPr>
          <w:rFonts w:cs="Times New Roman"/>
          <w:sz w:val="24"/>
          <w:szCs w:val="24"/>
          <w:shd w:val="clear" w:color="auto" w:fill="FFFFFF"/>
          <w:lang w:val="it-IT"/>
        </w:rPr>
        <w:t xml:space="preserve"> riguardo la presenza ed efficienza delle istituzioni pubbliche, </w:t>
      </w:r>
      <w:r w:rsidR="00B7309B">
        <w:rPr>
          <w:rFonts w:cs="Times New Roman"/>
          <w:sz w:val="24"/>
          <w:szCs w:val="24"/>
          <w:shd w:val="clear" w:color="auto" w:fill="FFFFFF"/>
          <w:lang w:val="it-IT"/>
        </w:rPr>
        <w:t xml:space="preserve">rafforzando </w:t>
      </w:r>
      <w:r w:rsidR="00365C38">
        <w:rPr>
          <w:rFonts w:cs="Times New Roman"/>
          <w:sz w:val="24"/>
          <w:szCs w:val="24"/>
          <w:shd w:val="clear" w:color="auto" w:fill="FFFFFF"/>
          <w:lang w:val="it-IT"/>
        </w:rPr>
        <w:t xml:space="preserve">ulteriormente </w:t>
      </w:r>
      <w:r w:rsidR="00247A9B">
        <w:rPr>
          <w:rFonts w:cs="Times New Roman"/>
          <w:sz w:val="24"/>
          <w:szCs w:val="24"/>
          <w:shd w:val="clear" w:color="auto" w:fill="FFFFFF"/>
          <w:lang w:val="it-IT"/>
        </w:rPr>
        <w:t xml:space="preserve">i </w:t>
      </w:r>
      <w:r w:rsidR="00B7309B">
        <w:rPr>
          <w:rFonts w:cs="Times New Roman"/>
          <w:sz w:val="24"/>
          <w:szCs w:val="24"/>
          <w:shd w:val="clear" w:color="auto" w:fill="FFFFFF"/>
          <w:lang w:val="it-IT"/>
        </w:rPr>
        <w:t xml:space="preserve">gruppi </w:t>
      </w:r>
      <w:r w:rsidR="00247A9B">
        <w:rPr>
          <w:rFonts w:cs="Times New Roman"/>
          <w:sz w:val="24"/>
          <w:szCs w:val="24"/>
          <w:shd w:val="clear" w:color="auto" w:fill="FFFFFF"/>
          <w:lang w:val="it-IT"/>
        </w:rPr>
        <w:t>criminali</w:t>
      </w:r>
      <w:r w:rsidR="00B7309B">
        <w:rPr>
          <w:rFonts w:cs="Times New Roman"/>
          <w:sz w:val="24"/>
          <w:szCs w:val="24"/>
          <w:shd w:val="clear" w:color="auto" w:fill="FFFFFF"/>
          <w:lang w:val="it-IT"/>
        </w:rPr>
        <w:t xml:space="preserve"> come alternativ</w:t>
      </w:r>
      <w:r w:rsidR="005A45EC">
        <w:rPr>
          <w:rFonts w:cs="Times New Roman"/>
          <w:sz w:val="24"/>
          <w:szCs w:val="24"/>
          <w:shd w:val="clear" w:color="auto" w:fill="FFFFFF"/>
          <w:lang w:val="it-IT"/>
        </w:rPr>
        <w:t>i</w:t>
      </w:r>
      <w:r w:rsidR="00B7309B">
        <w:rPr>
          <w:rFonts w:cs="Times New Roman"/>
          <w:sz w:val="24"/>
          <w:szCs w:val="24"/>
          <w:shd w:val="clear" w:color="auto" w:fill="FFFFFF"/>
          <w:lang w:val="it-IT"/>
        </w:rPr>
        <w:t xml:space="preserve"> ad esse</w:t>
      </w:r>
      <w:r w:rsidR="00247A9B">
        <w:rPr>
          <w:rFonts w:cs="Times New Roman"/>
          <w:sz w:val="24"/>
          <w:szCs w:val="24"/>
          <w:shd w:val="clear" w:color="auto" w:fill="FFFFFF"/>
          <w:lang w:val="it-IT"/>
        </w:rPr>
        <w:t>.</w:t>
      </w:r>
    </w:p>
    <w:p w14:paraId="6343B23B" w14:textId="5519FADB" w:rsidR="00A94513" w:rsidRDefault="00A94513" w:rsidP="00B43088">
      <w:pPr>
        <w:pStyle w:val="Heading2"/>
        <w:numPr>
          <w:ilvl w:val="0"/>
          <w:numId w:val="1"/>
        </w:numPr>
        <w:spacing w:before="240" w:after="160"/>
        <w:ind w:hanging="436"/>
        <w:rPr>
          <w:shd w:val="clear" w:color="auto" w:fill="FFFFFF"/>
          <w:lang w:val="it-IT"/>
        </w:rPr>
      </w:pPr>
      <w:r>
        <w:rPr>
          <w:shd w:val="clear" w:color="auto" w:fill="FFFFFF"/>
          <w:lang w:val="it-IT"/>
        </w:rPr>
        <w:lastRenderedPageBreak/>
        <w:t>Scioglimento per infiltrazione mafiosa e criticità finanziarie</w:t>
      </w:r>
    </w:p>
    <w:p w14:paraId="60B97A66" w14:textId="77777777" w:rsidR="00C1002F" w:rsidRPr="00C1002F" w:rsidRDefault="00C1002F" w:rsidP="00C1002F">
      <w:pPr>
        <w:rPr>
          <w:lang w:val="it-IT"/>
        </w:rPr>
      </w:pPr>
    </w:p>
    <w:p w14:paraId="6222D2AF" w14:textId="6090E81F" w:rsidR="00DB4B53" w:rsidRDefault="00A94513" w:rsidP="00C1002F">
      <w:pPr>
        <w:ind w:left="284" w:right="237"/>
        <w:rPr>
          <w:rFonts w:cs="Times New Roman"/>
          <w:sz w:val="24"/>
          <w:szCs w:val="24"/>
          <w:shd w:val="clear" w:color="auto" w:fill="FFFFFF"/>
          <w:lang w:val="it-IT"/>
        </w:rPr>
      </w:pPr>
      <w:r>
        <w:rPr>
          <w:rFonts w:cs="Times New Roman"/>
          <w:sz w:val="24"/>
          <w:szCs w:val="24"/>
          <w:shd w:val="clear" w:color="auto" w:fill="FFFFFF"/>
          <w:lang w:val="it-IT"/>
        </w:rPr>
        <w:t xml:space="preserve">Lo studio di </w:t>
      </w:r>
      <w:r w:rsidR="008E0E18">
        <w:rPr>
          <w:rFonts w:cs="Times New Roman"/>
          <w:sz w:val="24"/>
          <w:szCs w:val="24"/>
          <w:shd w:val="clear" w:color="auto" w:fill="FFFFFF"/>
          <w:lang w:val="it-IT"/>
        </w:rPr>
        <w:t>Di Cataldo e Mastrorocco (2020)</w:t>
      </w:r>
      <w:r>
        <w:rPr>
          <w:rFonts w:cs="Times New Roman"/>
          <w:sz w:val="24"/>
          <w:szCs w:val="24"/>
          <w:shd w:val="clear" w:color="auto" w:fill="FFFFFF"/>
          <w:lang w:val="it-IT"/>
        </w:rPr>
        <w:t xml:space="preserve"> dimostra dunque che </w:t>
      </w:r>
      <w:r w:rsidR="00C1002F">
        <w:rPr>
          <w:rFonts w:cs="Times New Roman"/>
          <w:sz w:val="24"/>
          <w:szCs w:val="24"/>
          <w:shd w:val="clear" w:color="auto" w:fill="FFFFFF"/>
          <w:lang w:val="it-IT"/>
        </w:rPr>
        <w:t xml:space="preserve">le infiltrazioni mafiose influiscono significativamente sulle decisioni di finanza locale dei governi comunali, portando ad una variazione nell’allocazione delle risorse pubbliche ed investimenti. </w:t>
      </w:r>
      <w:r w:rsidR="00CD2E39">
        <w:rPr>
          <w:rFonts w:cs="Times New Roman"/>
          <w:sz w:val="24"/>
          <w:szCs w:val="24"/>
          <w:shd w:val="clear" w:color="auto" w:fill="FFFFFF"/>
          <w:lang w:val="it-IT"/>
        </w:rPr>
        <w:t>Gli autori notano</w:t>
      </w:r>
      <w:r w:rsidR="00EF40C7">
        <w:rPr>
          <w:rFonts w:cs="Times New Roman"/>
          <w:sz w:val="24"/>
          <w:szCs w:val="24"/>
          <w:shd w:val="clear" w:color="auto" w:fill="FFFFFF"/>
          <w:lang w:val="it-IT"/>
        </w:rPr>
        <w:t>,</w:t>
      </w:r>
      <w:r w:rsidR="00CD2E39">
        <w:rPr>
          <w:rFonts w:cs="Times New Roman"/>
          <w:sz w:val="24"/>
          <w:szCs w:val="24"/>
          <w:shd w:val="clear" w:color="auto" w:fill="FFFFFF"/>
          <w:lang w:val="it-IT"/>
        </w:rPr>
        <w:t xml:space="preserve"> tuttavia</w:t>
      </w:r>
      <w:r w:rsidR="00EF40C7">
        <w:rPr>
          <w:rFonts w:cs="Times New Roman"/>
          <w:sz w:val="24"/>
          <w:szCs w:val="24"/>
          <w:shd w:val="clear" w:color="auto" w:fill="FFFFFF"/>
          <w:lang w:val="it-IT"/>
        </w:rPr>
        <w:t>,</w:t>
      </w:r>
      <w:r w:rsidR="00CD2E39">
        <w:rPr>
          <w:rFonts w:cs="Times New Roman"/>
          <w:sz w:val="24"/>
          <w:szCs w:val="24"/>
          <w:shd w:val="clear" w:color="auto" w:fill="FFFFFF"/>
          <w:lang w:val="it-IT"/>
        </w:rPr>
        <w:t xml:space="preserve"> che tale distorsione non interessi gli investimenti totali, quanto piuttosto settori specifici di spesa.</w:t>
      </w:r>
      <w:r w:rsidR="00DB4B53">
        <w:rPr>
          <w:rFonts w:cs="Times New Roman"/>
          <w:sz w:val="24"/>
          <w:szCs w:val="24"/>
          <w:shd w:val="clear" w:color="auto" w:fill="FFFFFF"/>
          <w:lang w:val="it-IT"/>
        </w:rPr>
        <w:t xml:space="preserve"> Pertanto, i governi infiltrati non paiono significativamente più propensi ad andare incontro a </w:t>
      </w:r>
      <w:r w:rsidR="00B43088">
        <w:rPr>
          <w:rFonts w:cs="Times New Roman"/>
          <w:sz w:val="24"/>
          <w:szCs w:val="24"/>
          <w:shd w:val="clear" w:color="auto" w:fill="FFFFFF"/>
          <w:lang w:val="it-IT"/>
        </w:rPr>
        <w:t xml:space="preserve">situazioni di criticità finanziaria e a conseguenti </w:t>
      </w:r>
      <w:r w:rsidR="00DB4B53">
        <w:rPr>
          <w:rFonts w:cs="Times New Roman"/>
          <w:sz w:val="24"/>
          <w:szCs w:val="24"/>
          <w:shd w:val="clear" w:color="auto" w:fill="FFFFFF"/>
          <w:lang w:val="it-IT"/>
        </w:rPr>
        <w:t xml:space="preserve">procedure </w:t>
      </w:r>
      <w:r w:rsidR="00B43088">
        <w:rPr>
          <w:rFonts w:cs="Times New Roman"/>
          <w:sz w:val="24"/>
          <w:szCs w:val="24"/>
          <w:shd w:val="clear" w:color="auto" w:fill="FFFFFF"/>
          <w:lang w:val="it-IT"/>
        </w:rPr>
        <w:t xml:space="preserve">che prevedano un rientro nei conti. </w:t>
      </w:r>
      <w:r w:rsidR="00DB4B53">
        <w:rPr>
          <w:rFonts w:cs="Times New Roman"/>
          <w:sz w:val="24"/>
          <w:szCs w:val="24"/>
          <w:shd w:val="clear" w:color="auto" w:fill="FFFFFF"/>
          <w:lang w:val="it-IT"/>
        </w:rPr>
        <w:t xml:space="preserve">E’ importante sottolineare che tale risultato è stato ottenuto focalizzandosi su comuni veramente comparabili tra loro, condizione fondamentale </w:t>
      </w:r>
      <w:r w:rsidR="00EF40C7">
        <w:rPr>
          <w:rFonts w:cs="Times New Roman"/>
          <w:sz w:val="24"/>
          <w:szCs w:val="24"/>
          <w:shd w:val="clear" w:color="auto" w:fill="FFFFFF"/>
          <w:lang w:val="it-IT"/>
        </w:rPr>
        <w:t xml:space="preserve">questa </w:t>
      </w:r>
      <w:r w:rsidR="00DB4B53">
        <w:rPr>
          <w:rFonts w:cs="Times New Roman"/>
          <w:sz w:val="24"/>
          <w:szCs w:val="24"/>
          <w:shd w:val="clear" w:color="auto" w:fill="FFFFFF"/>
          <w:lang w:val="it-IT"/>
        </w:rPr>
        <w:t xml:space="preserve">per isolare l’impatto delle infiltrazioni in </w:t>
      </w:r>
      <w:r w:rsidR="00EB14BD">
        <w:rPr>
          <w:rFonts w:cs="Times New Roman"/>
          <w:sz w:val="24"/>
          <w:szCs w:val="24"/>
          <w:shd w:val="clear" w:color="auto" w:fill="FFFFFF"/>
          <w:lang w:val="it-IT"/>
        </w:rPr>
        <w:t>ogni</w:t>
      </w:r>
      <w:r w:rsidR="00DB4B53">
        <w:rPr>
          <w:rFonts w:cs="Times New Roman"/>
          <w:sz w:val="24"/>
          <w:szCs w:val="24"/>
          <w:shd w:val="clear" w:color="auto" w:fill="FFFFFF"/>
          <w:lang w:val="it-IT"/>
        </w:rPr>
        <w:t xml:space="preserve"> singolo governo sugli investimenti promossi da quello stesso governo. Cosa accade però se si confrontano i comuni in cui sono avvenute le infiltrazioni, nel loro insieme, con gli altri comuni? </w:t>
      </w:r>
      <w:r w:rsidR="00EB14BD">
        <w:rPr>
          <w:rFonts w:cs="Times New Roman"/>
          <w:sz w:val="24"/>
          <w:szCs w:val="24"/>
          <w:shd w:val="clear" w:color="auto" w:fill="FFFFFF"/>
          <w:lang w:val="it-IT"/>
        </w:rPr>
        <w:t xml:space="preserve">In particolare, possiamo aspettarci </w:t>
      </w:r>
      <w:r w:rsidR="007D161A">
        <w:rPr>
          <w:rFonts w:cs="Times New Roman"/>
          <w:sz w:val="24"/>
          <w:szCs w:val="24"/>
          <w:shd w:val="clear" w:color="auto" w:fill="FFFFFF"/>
          <w:lang w:val="it-IT"/>
        </w:rPr>
        <w:t>che nei</w:t>
      </w:r>
      <w:r w:rsidR="00EB14BD">
        <w:rPr>
          <w:rFonts w:cs="Times New Roman"/>
          <w:sz w:val="24"/>
          <w:szCs w:val="24"/>
          <w:shd w:val="clear" w:color="auto" w:fill="FFFFFF"/>
          <w:lang w:val="it-IT"/>
        </w:rPr>
        <w:t xml:space="preserve"> comuni </w:t>
      </w:r>
      <w:r w:rsidR="007D161A">
        <w:rPr>
          <w:rFonts w:cs="Times New Roman"/>
          <w:sz w:val="24"/>
          <w:szCs w:val="24"/>
          <w:shd w:val="clear" w:color="auto" w:fill="FFFFFF"/>
          <w:lang w:val="it-IT"/>
        </w:rPr>
        <w:t>in cui si sono verificati casi di scioglimento per infiltrazione mafiosa vi siano</w:t>
      </w:r>
      <w:r w:rsidR="005538E9">
        <w:rPr>
          <w:rFonts w:cs="Times New Roman"/>
          <w:sz w:val="24"/>
          <w:szCs w:val="24"/>
          <w:shd w:val="clear" w:color="auto" w:fill="FFFFFF"/>
          <w:lang w:val="it-IT"/>
        </w:rPr>
        <w:t xml:space="preserve"> anche</w:t>
      </w:r>
      <w:r w:rsidR="00EB14BD">
        <w:rPr>
          <w:rFonts w:cs="Times New Roman"/>
          <w:sz w:val="24"/>
          <w:szCs w:val="24"/>
          <w:shd w:val="clear" w:color="auto" w:fill="FFFFFF"/>
          <w:lang w:val="it-IT"/>
        </w:rPr>
        <w:t xml:space="preserve"> </w:t>
      </w:r>
      <w:r w:rsidR="007D161A">
        <w:rPr>
          <w:rFonts w:cs="Times New Roman"/>
          <w:sz w:val="24"/>
          <w:szCs w:val="24"/>
          <w:shd w:val="clear" w:color="auto" w:fill="FFFFFF"/>
          <w:lang w:val="it-IT"/>
        </w:rPr>
        <w:t xml:space="preserve">casi </w:t>
      </w:r>
      <w:r w:rsidR="00EB14BD">
        <w:rPr>
          <w:rFonts w:cs="Times New Roman"/>
          <w:sz w:val="24"/>
          <w:szCs w:val="24"/>
          <w:shd w:val="clear" w:color="auto" w:fill="FFFFFF"/>
          <w:lang w:val="it-IT"/>
        </w:rPr>
        <w:t>di criticità finanziaria qual</w:t>
      </w:r>
      <w:r w:rsidR="00501BDC">
        <w:rPr>
          <w:rFonts w:cs="Times New Roman"/>
          <w:sz w:val="24"/>
          <w:szCs w:val="24"/>
          <w:shd w:val="clear" w:color="auto" w:fill="FFFFFF"/>
          <w:lang w:val="it-IT"/>
        </w:rPr>
        <w:t>i</w:t>
      </w:r>
      <w:r w:rsidR="00EB14BD">
        <w:rPr>
          <w:rFonts w:cs="Times New Roman"/>
          <w:sz w:val="24"/>
          <w:szCs w:val="24"/>
          <w:shd w:val="clear" w:color="auto" w:fill="FFFFFF"/>
          <w:lang w:val="it-IT"/>
        </w:rPr>
        <w:t xml:space="preserve"> dissesto e piani di riequilibrio </w:t>
      </w:r>
      <w:r w:rsidR="000739C6">
        <w:rPr>
          <w:rFonts w:cs="Times New Roman"/>
          <w:sz w:val="24"/>
          <w:szCs w:val="24"/>
          <w:shd w:val="clear" w:color="auto" w:fill="FFFFFF"/>
          <w:lang w:val="it-IT"/>
        </w:rPr>
        <w:t>pluriennale</w:t>
      </w:r>
      <w:r w:rsidR="005538E9">
        <w:rPr>
          <w:rStyle w:val="FootnoteReference"/>
          <w:rFonts w:cs="Times New Roman"/>
          <w:sz w:val="24"/>
          <w:szCs w:val="24"/>
          <w:shd w:val="clear" w:color="auto" w:fill="FFFFFF"/>
          <w:lang w:val="it-IT"/>
        </w:rPr>
        <w:footnoteReference w:id="1"/>
      </w:r>
      <w:r w:rsidR="005A45EC">
        <w:rPr>
          <w:rFonts w:cs="Times New Roman"/>
          <w:sz w:val="24"/>
          <w:szCs w:val="24"/>
          <w:shd w:val="clear" w:color="auto" w:fill="FFFFFF"/>
          <w:lang w:val="it-IT"/>
        </w:rPr>
        <w:t>, e viceversa</w:t>
      </w:r>
      <w:r w:rsidR="00EB14BD">
        <w:rPr>
          <w:rFonts w:cs="Times New Roman"/>
          <w:sz w:val="24"/>
          <w:szCs w:val="24"/>
          <w:shd w:val="clear" w:color="auto" w:fill="FFFFFF"/>
          <w:lang w:val="it-IT"/>
        </w:rPr>
        <w:t xml:space="preserve">? </w:t>
      </w:r>
    </w:p>
    <w:p w14:paraId="22F4B71B" w14:textId="77777777" w:rsidR="00C66585" w:rsidRDefault="00C66585" w:rsidP="00C1002F">
      <w:pPr>
        <w:ind w:left="284" w:right="237"/>
        <w:rPr>
          <w:rFonts w:cs="Times New Roman"/>
          <w:sz w:val="24"/>
          <w:szCs w:val="24"/>
          <w:shd w:val="clear" w:color="auto" w:fill="FFFFFF"/>
          <w:lang w:val="it-IT"/>
        </w:rPr>
      </w:pPr>
    </w:p>
    <w:p w14:paraId="7B53B9FC" w14:textId="44068D47" w:rsidR="00C66585" w:rsidRPr="00C66585" w:rsidRDefault="00C66585" w:rsidP="00C1002F">
      <w:pPr>
        <w:ind w:left="284" w:right="237"/>
        <w:rPr>
          <w:rFonts w:cs="Times New Roman"/>
          <w:i/>
          <w:iCs/>
          <w:sz w:val="24"/>
          <w:szCs w:val="24"/>
          <w:shd w:val="clear" w:color="auto" w:fill="FFFFFF"/>
          <w:lang w:val="it-IT"/>
        </w:rPr>
      </w:pPr>
      <w:r w:rsidRPr="00C66585">
        <w:rPr>
          <w:rFonts w:cs="Times New Roman"/>
          <w:i/>
          <w:iCs/>
          <w:sz w:val="24"/>
          <w:szCs w:val="24"/>
          <w:shd w:val="clear" w:color="auto" w:fill="FFFFFF"/>
          <w:lang w:val="it-IT"/>
        </w:rPr>
        <w:t xml:space="preserve">3.1 Mappatura dei comuni sciolti e con criticità finanziarie </w:t>
      </w:r>
    </w:p>
    <w:p w14:paraId="32B7FA16" w14:textId="77777777" w:rsidR="00C66585" w:rsidRDefault="00C66585" w:rsidP="00C1002F">
      <w:pPr>
        <w:ind w:left="284" w:right="237"/>
        <w:rPr>
          <w:rFonts w:cs="Times New Roman"/>
          <w:sz w:val="24"/>
          <w:szCs w:val="24"/>
          <w:shd w:val="clear" w:color="auto" w:fill="FFFFFF"/>
          <w:lang w:val="it-IT"/>
        </w:rPr>
      </w:pPr>
    </w:p>
    <w:p w14:paraId="4820BD42" w14:textId="1882834D" w:rsidR="00E12B43" w:rsidRDefault="00E12B43" w:rsidP="00C1002F">
      <w:pPr>
        <w:ind w:left="284" w:right="237"/>
        <w:rPr>
          <w:rFonts w:cs="Times New Roman"/>
          <w:sz w:val="24"/>
          <w:szCs w:val="24"/>
          <w:shd w:val="clear" w:color="auto" w:fill="FFFFFF"/>
          <w:lang w:val="it-IT"/>
        </w:rPr>
      </w:pPr>
      <w:r>
        <w:rPr>
          <w:rFonts w:cs="Times New Roman"/>
          <w:sz w:val="24"/>
          <w:szCs w:val="24"/>
          <w:shd w:val="clear" w:color="auto" w:fill="FFFFFF"/>
          <w:lang w:val="it-IT"/>
        </w:rPr>
        <w:t>Per prima cosa, utilizzando informazioni sui comuni in cui si sono verificati uno o più episodi di scioglimento per infiltrazione mafiosa e i comuni in cui almeno una volta il consiglio comunale ha deliberato il dissesto o il riequilibrio finanziario, possiamo produrre una illustrazione della loro posizione nel territorio nazionale.</w:t>
      </w:r>
    </w:p>
    <w:p w14:paraId="66D0C9C1" w14:textId="33B90312" w:rsidR="00B43088" w:rsidRDefault="00B43088" w:rsidP="00B43088">
      <w:pPr>
        <w:spacing w:after="0" w:line="276" w:lineRule="auto"/>
        <w:ind w:left="284" w:right="237"/>
        <w:jc w:val="center"/>
        <w:rPr>
          <w:b/>
          <w:bCs/>
          <w:lang w:val="it-IT"/>
        </w:rPr>
      </w:pPr>
      <w:r w:rsidRPr="008B6CEF">
        <w:rPr>
          <w:b/>
          <w:bCs/>
          <w:lang w:val="it-IT"/>
        </w:rPr>
        <w:lastRenderedPageBreak/>
        <w:t xml:space="preserve">Figura </w:t>
      </w:r>
      <w:r>
        <w:rPr>
          <w:b/>
          <w:bCs/>
          <w:lang w:val="it-IT"/>
        </w:rPr>
        <w:t>2</w:t>
      </w:r>
      <w:r w:rsidRPr="008B6CEF">
        <w:rPr>
          <w:b/>
          <w:bCs/>
          <w:lang w:val="it-IT"/>
        </w:rPr>
        <w:t xml:space="preserve"> </w:t>
      </w:r>
    </w:p>
    <w:p w14:paraId="72D8EC5E" w14:textId="77777777" w:rsidR="00B43088" w:rsidRDefault="00B43088" w:rsidP="00B43088">
      <w:pPr>
        <w:spacing w:after="0" w:line="276" w:lineRule="auto"/>
        <w:ind w:left="284" w:right="237"/>
        <w:jc w:val="center"/>
        <w:rPr>
          <w:rFonts w:cs="Times New Roman"/>
          <w:sz w:val="24"/>
          <w:szCs w:val="24"/>
          <w:lang w:val="it-IT"/>
        </w:rPr>
      </w:pPr>
      <w:r>
        <w:rPr>
          <w:rFonts w:cs="Times New Roman"/>
          <w:sz w:val="24"/>
          <w:szCs w:val="24"/>
          <w:lang w:val="it-IT"/>
        </w:rPr>
        <w:t>Comuni sciolti per mafia e con criticità finanziarie – distribuzione geografica</w:t>
      </w:r>
    </w:p>
    <w:p w14:paraId="06F0CAA3" w14:textId="7F887ED1" w:rsidR="00B43088" w:rsidRDefault="00B43088" w:rsidP="009C43E7">
      <w:pPr>
        <w:ind w:left="284" w:right="237"/>
        <w:jc w:val="left"/>
        <w:rPr>
          <w:i/>
          <w:iCs/>
          <w:lang w:val="it-IT"/>
        </w:rPr>
      </w:pPr>
      <w:r>
        <w:rPr>
          <w:i/>
          <w:iCs/>
          <w:noProof/>
          <w:lang w:eastAsia="en-GB"/>
        </w:rPr>
        <w:drawing>
          <wp:anchor distT="0" distB="0" distL="114300" distR="114300" simplePos="0" relativeHeight="251658240" behindDoc="0" locked="0" layoutInCell="1" allowOverlap="1" wp14:anchorId="5E9A85B0" wp14:editId="32D48165">
            <wp:simplePos x="0" y="0"/>
            <wp:positionH relativeFrom="column">
              <wp:posOffset>874395</wp:posOffset>
            </wp:positionH>
            <wp:positionV relativeFrom="paragraph">
              <wp:posOffset>0</wp:posOffset>
            </wp:positionV>
            <wp:extent cx="3934460" cy="4246880"/>
            <wp:effectExtent l="0" t="0" r="8890" b="1270"/>
            <wp:wrapSquare wrapText="bothSides"/>
            <wp:docPr id="3" name="Picture 3"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appa_mafia_dissest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934460" cy="4246880"/>
                    </a:xfrm>
                    <a:prstGeom prst="rect">
                      <a:avLst/>
                    </a:prstGeom>
                  </pic:spPr>
                </pic:pic>
              </a:graphicData>
            </a:graphic>
          </wp:anchor>
        </w:drawing>
      </w:r>
      <w:r w:rsidR="009C43E7">
        <w:rPr>
          <w:i/>
          <w:iCs/>
          <w:lang w:val="it-IT"/>
        </w:rPr>
        <w:br w:type="textWrapping" w:clear="all"/>
      </w:r>
    </w:p>
    <w:p w14:paraId="28CD7DE9" w14:textId="77777777" w:rsidR="00420B39" w:rsidRDefault="00420B39" w:rsidP="00420B39">
      <w:pPr>
        <w:ind w:left="284" w:right="237"/>
        <w:rPr>
          <w:rFonts w:cs="Times New Roman"/>
          <w:sz w:val="24"/>
          <w:szCs w:val="24"/>
          <w:shd w:val="clear" w:color="auto" w:fill="FFFFFF"/>
          <w:lang w:val="it-IT"/>
        </w:rPr>
      </w:pPr>
      <w:r>
        <w:rPr>
          <w:rFonts w:cs="Times New Roman"/>
          <w:sz w:val="24"/>
          <w:szCs w:val="24"/>
          <w:shd w:val="clear" w:color="auto" w:fill="FFFFFF"/>
          <w:lang w:val="it-IT"/>
        </w:rPr>
        <w:t xml:space="preserve">Nella Figura 2 è possibile osservare la geolocalizzazione di tutti i comuni sciolti in cui vi sia stato almeno un caso accertato di infiltrazione mafiosa, segnati in colore arancione. La stragrande maggioranza di essi è localizzata nelle regioni meridionali, in particolare in Campania, Calabria e Sicilia. In giallo, la Figura riporta tutti i comuni in cui vi siano stati episodi di dissesto finanziario o di riequilibrio pluriennale. Rispetto agli scioglimenti per mafia la distribuzione geografica è più disomogenea. Tuttavia, anche in questo caso possiamo notare una marcata presenza di questo tipo di situazioni nel meridione. </w:t>
      </w:r>
    </w:p>
    <w:p w14:paraId="6E642E88" w14:textId="77777777" w:rsidR="00420B39" w:rsidRDefault="00420B39" w:rsidP="00420B39">
      <w:pPr>
        <w:ind w:left="284" w:right="237"/>
        <w:rPr>
          <w:rFonts w:cs="Times New Roman"/>
          <w:sz w:val="24"/>
          <w:szCs w:val="24"/>
          <w:shd w:val="clear" w:color="auto" w:fill="FFFFFF"/>
          <w:lang w:val="it-IT"/>
        </w:rPr>
      </w:pPr>
      <w:r>
        <w:rPr>
          <w:rFonts w:cs="Times New Roman"/>
          <w:sz w:val="24"/>
          <w:szCs w:val="24"/>
          <w:shd w:val="clear" w:color="auto" w:fill="FFFFFF"/>
          <w:lang w:val="it-IT"/>
        </w:rPr>
        <w:t xml:space="preserve">Infine, in rosso sono segnati nella Figura 2 tutti i comuni che, nell’arco della loro storia, sono incorsi sia in una o più procedure di dissesto o riequilibrio dei conti, che in almeno un caso di scioglimento del consiglio comunale per accertata infiltrazione mafiosa. Possiamo notare come, fatta eccezione per il comune di Gallipoli in Puglia, tutti gli altri in cui si registrano entrambe le casistiche sono localizzati solo in Campania, Calabria e Sicilia. In particolare, notiamo una concentrazione di casi nelle province di Napoli e </w:t>
      </w:r>
      <w:r>
        <w:rPr>
          <w:rFonts w:cs="Times New Roman"/>
          <w:sz w:val="24"/>
          <w:szCs w:val="24"/>
          <w:shd w:val="clear" w:color="auto" w:fill="FFFFFF"/>
          <w:lang w:val="it-IT"/>
        </w:rPr>
        <w:lastRenderedPageBreak/>
        <w:t xml:space="preserve">Caserta in Campania, e in quelle di Reggio Calabria, Catanzaro, Crotone e Vibo Valentia in Calabria. In Sicilia i comuni sia con scioglimento che con criticità finanziarie sono inferiori e distribuiti in diverse province della regione. </w:t>
      </w:r>
    </w:p>
    <w:p w14:paraId="10B6E672" w14:textId="765705A0" w:rsidR="00760868" w:rsidRDefault="00AD59EC" w:rsidP="00D72742">
      <w:pPr>
        <w:ind w:left="284" w:right="237"/>
        <w:rPr>
          <w:rFonts w:cs="Times New Roman"/>
          <w:sz w:val="24"/>
          <w:szCs w:val="24"/>
          <w:lang w:val="it-IT"/>
        </w:rPr>
      </w:pPr>
      <w:r>
        <w:rPr>
          <w:rFonts w:cs="Times New Roman"/>
          <w:sz w:val="24"/>
          <w:szCs w:val="24"/>
          <w:lang w:val="it-IT"/>
        </w:rPr>
        <w:t>Nella Figura 3</w:t>
      </w:r>
      <w:r w:rsidR="00912A1F">
        <w:rPr>
          <w:rFonts w:cs="Times New Roman"/>
          <w:sz w:val="24"/>
          <w:szCs w:val="24"/>
          <w:lang w:val="it-IT"/>
        </w:rPr>
        <w:t xml:space="preserve"> sono</w:t>
      </w:r>
      <w:r>
        <w:rPr>
          <w:rFonts w:cs="Times New Roman"/>
          <w:sz w:val="24"/>
          <w:szCs w:val="24"/>
          <w:lang w:val="it-IT"/>
        </w:rPr>
        <w:t xml:space="preserve"> </w:t>
      </w:r>
      <w:r w:rsidR="00C713E6">
        <w:rPr>
          <w:rFonts w:cs="Times New Roman"/>
          <w:sz w:val="24"/>
          <w:szCs w:val="24"/>
          <w:lang w:val="it-IT"/>
        </w:rPr>
        <w:t>cl</w:t>
      </w:r>
      <w:r w:rsidR="00F15141">
        <w:rPr>
          <w:rFonts w:cs="Times New Roman"/>
          <w:sz w:val="24"/>
          <w:szCs w:val="24"/>
          <w:lang w:val="it-IT"/>
        </w:rPr>
        <w:t>a</w:t>
      </w:r>
      <w:r w:rsidR="00C713E6">
        <w:rPr>
          <w:rFonts w:cs="Times New Roman"/>
          <w:sz w:val="24"/>
          <w:szCs w:val="24"/>
          <w:lang w:val="it-IT"/>
        </w:rPr>
        <w:t xml:space="preserve">ssificati </w:t>
      </w:r>
      <w:r w:rsidR="00912A1F">
        <w:rPr>
          <w:rFonts w:cs="Times New Roman"/>
          <w:sz w:val="24"/>
          <w:szCs w:val="24"/>
          <w:lang w:val="it-IT"/>
        </w:rPr>
        <w:t xml:space="preserve">i </w:t>
      </w:r>
      <w:r>
        <w:rPr>
          <w:rFonts w:cs="Times New Roman"/>
          <w:sz w:val="24"/>
          <w:szCs w:val="24"/>
          <w:lang w:val="it-IT"/>
        </w:rPr>
        <w:t>comuni</w:t>
      </w:r>
      <w:r w:rsidR="00912A1F">
        <w:rPr>
          <w:rFonts w:cs="Times New Roman"/>
          <w:sz w:val="24"/>
          <w:szCs w:val="24"/>
          <w:lang w:val="it-IT"/>
        </w:rPr>
        <w:t xml:space="preserve"> </w:t>
      </w:r>
      <w:r>
        <w:rPr>
          <w:rFonts w:cs="Times New Roman"/>
          <w:sz w:val="24"/>
          <w:szCs w:val="24"/>
          <w:lang w:val="it-IT"/>
        </w:rPr>
        <w:t xml:space="preserve">in cui si sono </w:t>
      </w:r>
      <w:r w:rsidR="00912A1F">
        <w:rPr>
          <w:rFonts w:cs="Times New Roman"/>
          <w:sz w:val="24"/>
          <w:szCs w:val="24"/>
          <w:lang w:val="it-IT"/>
        </w:rPr>
        <w:t>registrati</w:t>
      </w:r>
      <w:r>
        <w:rPr>
          <w:rFonts w:cs="Times New Roman"/>
          <w:sz w:val="24"/>
          <w:szCs w:val="24"/>
          <w:lang w:val="it-IT"/>
        </w:rPr>
        <w:t xml:space="preserve"> l’uno, l’altro, o entrambi i casi.</w:t>
      </w:r>
      <w:r w:rsidR="00F15141">
        <w:rPr>
          <w:rFonts w:cs="Times New Roman"/>
          <w:sz w:val="24"/>
          <w:szCs w:val="24"/>
          <w:lang w:val="it-IT"/>
        </w:rPr>
        <w:t xml:space="preserve"> </w:t>
      </w:r>
      <w:r w:rsidR="0077050E">
        <w:rPr>
          <w:rFonts w:cs="Times New Roman"/>
          <w:sz w:val="24"/>
          <w:szCs w:val="24"/>
          <w:lang w:val="it-IT"/>
        </w:rPr>
        <w:t>I</w:t>
      </w:r>
      <w:r w:rsidR="00F15141">
        <w:rPr>
          <w:rFonts w:cs="Times New Roman"/>
          <w:sz w:val="24"/>
          <w:szCs w:val="24"/>
          <w:lang w:val="it-IT"/>
        </w:rPr>
        <w:t xml:space="preserve"> comuni con almeno un episodio di scioglimento per infiltrazione mafiosa e/o almeno un caso di criticità finanziaria </w:t>
      </w:r>
      <w:r w:rsidR="0077050E">
        <w:rPr>
          <w:rFonts w:cs="Times New Roman"/>
          <w:sz w:val="24"/>
          <w:szCs w:val="24"/>
          <w:lang w:val="it-IT"/>
        </w:rPr>
        <w:t>sono in totale</w:t>
      </w:r>
      <w:r w:rsidR="00F15141">
        <w:rPr>
          <w:rFonts w:cs="Times New Roman"/>
          <w:sz w:val="24"/>
          <w:szCs w:val="24"/>
          <w:lang w:val="it-IT"/>
        </w:rPr>
        <w:t xml:space="preserve"> 764</w:t>
      </w:r>
      <w:r w:rsidR="00C66585">
        <w:rPr>
          <w:rFonts w:cs="Times New Roman"/>
          <w:sz w:val="24"/>
          <w:szCs w:val="24"/>
          <w:lang w:val="it-IT"/>
        </w:rPr>
        <w:t>. Di questi, 251 hanno avuto uno o più casi di scioglimento, 60</w:t>
      </w:r>
      <w:r w:rsidR="00BF73C0">
        <w:rPr>
          <w:rFonts w:cs="Times New Roman"/>
          <w:sz w:val="24"/>
          <w:szCs w:val="24"/>
          <w:lang w:val="it-IT"/>
        </w:rPr>
        <w:t>3</w:t>
      </w:r>
      <w:r w:rsidR="00C66585">
        <w:rPr>
          <w:rFonts w:cs="Times New Roman"/>
          <w:sz w:val="24"/>
          <w:szCs w:val="24"/>
          <w:lang w:val="it-IT"/>
        </w:rPr>
        <w:t xml:space="preserve"> hanno avuto uno o più casi di dissesto o riequilibrio finanziario, mentre </w:t>
      </w:r>
      <w:r w:rsidR="003A169F">
        <w:rPr>
          <w:rFonts w:cs="Times New Roman"/>
          <w:sz w:val="24"/>
          <w:szCs w:val="24"/>
          <w:lang w:val="it-IT"/>
        </w:rPr>
        <w:t xml:space="preserve">ben </w:t>
      </w:r>
      <w:r w:rsidR="00C66585">
        <w:rPr>
          <w:rFonts w:cs="Times New Roman"/>
          <w:sz w:val="24"/>
          <w:szCs w:val="24"/>
          <w:lang w:val="it-IT"/>
        </w:rPr>
        <w:t>89 sono i comuni in cui si sono verificati entrambi gli episodi</w:t>
      </w:r>
      <w:r w:rsidR="00171EA7">
        <w:rPr>
          <w:rFonts w:cs="Times New Roman"/>
          <w:sz w:val="24"/>
          <w:szCs w:val="24"/>
          <w:lang w:val="it-IT"/>
        </w:rPr>
        <w:t>. Questi 89 sono comuni in cui gli episodi sono avvenuti</w:t>
      </w:r>
      <w:r w:rsidR="00C66585">
        <w:rPr>
          <w:rFonts w:cs="Times New Roman"/>
          <w:sz w:val="24"/>
          <w:szCs w:val="24"/>
          <w:lang w:val="it-IT"/>
        </w:rPr>
        <w:t xml:space="preserve"> in un qualsiasi momento nel tempo</w:t>
      </w:r>
      <w:r w:rsidR="00171EA7">
        <w:rPr>
          <w:rFonts w:cs="Times New Roman"/>
          <w:sz w:val="24"/>
          <w:szCs w:val="24"/>
          <w:lang w:val="it-IT"/>
        </w:rPr>
        <w:t xml:space="preserve"> e non necessariamente in contemporanea</w:t>
      </w:r>
      <w:r w:rsidR="00C66585">
        <w:rPr>
          <w:rFonts w:cs="Times New Roman"/>
          <w:sz w:val="24"/>
          <w:szCs w:val="24"/>
          <w:lang w:val="it-IT"/>
        </w:rPr>
        <w:t xml:space="preserve">.   </w:t>
      </w:r>
    </w:p>
    <w:p w14:paraId="5B25AC1E" w14:textId="77777777" w:rsidR="00BF73C0" w:rsidRDefault="00BF73C0" w:rsidP="00BF73C0">
      <w:pPr>
        <w:ind w:left="284" w:right="237"/>
        <w:rPr>
          <w:rFonts w:cs="Times New Roman"/>
          <w:sz w:val="24"/>
          <w:szCs w:val="24"/>
          <w:lang w:val="it-IT"/>
        </w:rPr>
      </w:pPr>
      <w:r>
        <w:rPr>
          <w:rFonts w:cs="Times New Roman"/>
          <w:sz w:val="24"/>
          <w:szCs w:val="24"/>
          <w:lang w:val="it-IT"/>
        </w:rPr>
        <w:t>Gli stessi dati sono riassunti anche nella Tabella 1.</w:t>
      </w:r>
    </w:p>
    <w:p w14:paraId="2DC1D862" w14:textId="77777777" w:rsidR="00AD59EC" w:rsidRDefault="00AD59EC" w:rsidP="00D72742">
      <w:pPr>
        <w:ind w:left="284" w:right="237"/>
        <w:rPr>
          <w:rFonts w:cs="Times New Roman"/>
          <w:sz w:val="24"/>
          <w:szCs w:val="24"/>
          <w:lang w:val="it-IT"/>
        </w:rPr>
      </w:pPr>
    </w:p>
    <w:p w14:paraId="2A958D6F" w14:textId="1A9EDAE2" w:rsidR="00912A1F" w:rsidRPr="00A24C18" w:rsidRDefault="00912A1F" w:rsidP="00912A1F">
      <w:pPr>
        <w:spacing w:after="0" w:line="276" w:lineRule="auto"/>
        <w:ind w:left="284" w:right="237"/>
        <w:jc w:val="center"/>
        <w:rPr>
          <w:b/>
          <w:bCs/>
          <w:sz w:val="24"/>
          <w:szCs w:val="24"/>
          <w:lang w:val="it-IT"/>
        </w:rPr>
      </w:pPr>
      <w:r w:rsidRPr="00A24C18">
        <w:rPr>
          <w:b/>
          <w:bCs/>
          <w:sz w:val="24"/>
          <w:szCs w:val="24"/>
          <w:lang w:val="it-IT"/>
        </w:rPr>
        <w:t xml:space="preserve">Figura </w:t>
      </w:r>
      <w:r w:rsidR="00AD59EC" w:rsidRPr="00A24C18">
        <w:rPr>
          <w:b/>
          <w:bCs/>
          <w:sz w:val="24"/>
          <w:szCs w:val="24"/>
          <w:lang w:val="it-IT"/>
        </w:rPr>
        <w:t>3</w:t>
      </w:r>
      <w:r w:rsidRPr="00A24C18">
        <w:rPr>
          <w:b/>
          <w:bCs/>
          <w:sz w:val="24"/>
          <w:szCs w:val="24"/>
          <w:lang w:val="it-IT"/>
        </w:rPr>
        <w:t xml:space="preserve"> </w:t>
      </w:r>
    </w:p>
    <w:p w14:paraId="465FB23E" w14:textId="4DA1274D" w:rsidR="00912A1F" w:rsidRPr="00A24C18" w:rsidRDefault="00912A1F" w:rsidP="00912A1F">
      <w:pPr>
        <w:spacing w:after="0" w:line="276" w:lineRule="auto"/>
        <w:ind w:left="284" w:right="237"/>
        <w:jc w:val="center"/>
        <w:rPr>
          <w:rFonts w:cs="Times New Roman"/>
          <w:sz w:val="24"/>
          <w:szCs w:val="24"/>
          <w:lang w:val="it-IT"/>
        </w:rPr>
      </w:pPr>
      <w:r w:rsidRPr="00A24C18">
        <w:rPr>
          <w:rFonts w:cs="Times New Roman"/>
          <w:sz w:val="24"/>
          <w:szCs w:val="24"/>
          <w:lang w:val="it-IT"/>
        </w:rPr>
        <w:t>Numero di comuni sciolti per mafia e</w:t>
      </w:r>
      <w:r w:rsidR="00AD59EC" w:rsidRPr="00A24C18">
        <w:rPr>
          <w:rFonts w:cs="Times New Roman"/>
          <w:sz w:val="24"/>
          <w:szCs w:val="24"/>
          <w:lang w:val="it-IT"/>
        </w:rPr>
        <w:t>/o</w:t>
      </w:r>
      <w:r w:rsidRPr="00A24C18">
        <w:rPr>
          <w:rFonts w:cs="Times New Roman"/>
          <w:sz w:val="24"/>
          <w:szCs w:val="24"/>
          <w:lang w:val="it-IT"/>
        </w:rPr>
        <w:t xml:space="preserve"> </w:t>
      </w:r>
      <w:r w:rsidR="007818F1" w:rsidRPr="00A24C18">
        <w:rPr>
          <w:rFonts w:cs="Times New Roman"/>
          <w:sz w:val="24"/>
          <w:szCs w:val="24"/>
          <w:lang w:val="it-IT"/>
        </w:rPr>
        <w:t>con</w:t>
      </w:r>
      <w:r w:rsidRPr="00A24C18">
        <w:rPr>
          <w:rFonts w:cs="Times New Roman"/>
          <w:sz w:val="24"/>
          <w:szCs w:val="24"/>
          <w:lang w:val="it-IT"/>
        </w:rPr>
        <w:t xml:space="preserve"> criticità finanziarie</w:t>
      </w:r>
    </w:p>
    <w:p w14:paraId="6F55AB1D" w14:textId="75A1AF12" w:rsidR="00912A1F" w:rsidRDefault="00420B39" w:rsidP="00912A1F">
      <w:pPr>
        <w:ind w:right="237"/>
        <w:jc w:val="center"/>
        <w:rPr>
          <w:i/>
          <w:iCs/>
          <w:lang w:val="it-IT"/>
        </w:rPr>
      </w:pPr>
      <w:r w:rsidRPr="00420B39">
        <w:rPr>
          <w:i/>
          <w:iCs/>
          <w:lang w:val="it-IT"/>
        </w:rPr>
        <w:t xml:space="preserve"> </w:t>
      </w:r>
      <w:r w:rsidRPr="00420B39">
        <w:rPr>
          <w:i/>
          <w:iCs/>
          <w:noProof/>
          <w:lang w:eastAsia="en-GB"/>
        </w:rPr>
        <w:drawing>
          <wp:inline distT="0" distB="0" distL="0" distR="0" wp14:anchorId="38145A13" wp14:editId="61E6A208">
            <wp:extent cx="4880344" cy="2440172"/>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06149" cy="2453075"/>
                    </a:xfrm>
                    <a:prstGeom prst="rect">
                      <a:avLst/>
                    </a:prstGeom>
                    <a:noFill/>
                    <a:ln>
                      <a:noFill/>
                    </a:ln>
                  </pic:spPr>
                </pic:pic>
              </a:graphicData>
            </a:graphic>
          </wp:inline>
        </w:drawing>
      </w:r>
    </w:p>
    <w:p w14:paraId="7D29C260" w14:textId="77777777" w:rsidR="00BF73C0" w:rsidRDefault="00BF73C0" w:rsidP="00BF73C0">
      <w:pPr>
        <w:spacing w:line="276" w:lineRule="auto"/>
        <w:ind w:right="237"/>
        <w:rPr>
          <w:rFonts w:cs="Times New Roman"/>
          <w:b/>
          <w:bCs/>
          <w:sz w:val="24"/>
          <w:szCs w:val="24"/>
          <w:lang w:val="it-IT"/>
        </w:rPr>
      </w:pPr>
    </w:p>
    <w:p w14:paraId="27851879" w14:textId="714B9F43" w:rsidR="00BF73C0" w:rsidRPr="00BF73C0" w:rsidRDefault="00BF73C0" w:rsidP="004A7FD2">
      <w:pPr>
        <w:spacing w:after="0" w:line="276" w:lineRule="auto"/>
        <w:ind w:left="284" w:right="237"/>
        <w:jc w:val="center"/>
        <w:rPr>
          <w:rFonts w:cs="Times New Roman"/>
          <w:b/>
          <w:bCs/>
          <w:sz w:val="24"/>
          <w:szCs w:val="24"/>
          <w:lang w:val="it-IT"/>
        </w:rPr>
      </w:pPr>
      <w:r w:rsidRPr="00BF73C0">
        <w:rPr>
          <w:rFonts w:cs="Times New Roman"/>
          <w:b/>
          <w:bCs/>
          <w:sz w:val="24"/>
          <w:szCs w:val="24"/>
          <w:lang w:val="it-IT"/>
        </w:rPr>
        <w:t>Tabella 1</w:t>
      </w:r>
    </w:p>
    <w:p w14:paraId="241F26B3" w14:textId="0DA25434" w:rsidR="00BF73C0" w:rsidRDefault="00BF73C0" w:rsidP="004A7FD2">
      <w:pPr>
        <w:spacing w:after="0" w:line="276" w:lineRule="auto"/>
        <w:ind w:left="284" w:right="237"/>
        <w:jc w:val="center"/>
        <w:rPr>
          <w:rFonts w:cs="Times New Roman"/>
          <w:sz w:val="24"/>
          <w:szCs w:val="24"/>
          <w:lang w:val="it-IT"/>
        </w:rPr>
      </w:pPr>
      <w:r>
        <w:rPr>
          <w:rFonts w:cs="Times New Roman"/>
          <w:sz w:val="24"/>
          <w:szCs w:val="24"/>
          <w:lang w:val="it-IT"/>
        </w:rPr>
        <w:t>Numero di casi di comuni sciolti per mafia e con criticità finanziarie</w:t>
      </w:r>
    </w:p>
    <w:tbl>
      <w:tblPr>
        <w:tblW w:w="5529" w:type="dxa"/>
        <w:jc w:val="center"/>
        <w:tblLayout w:type="fixed"/>
        <w:tblLook w:val="04A0" w:firstRow="1" w:lastRow="0" w:firstColumn="1" w:lastColumn="0" w:noHBand="0" w:noVBand="1"/>
      </w:tblPr>
      <w:tblGrid>
        <w:gridCol w:w="1842"/>
        <w:gridCol w:w="1275"/>
        <w:gridCol w:w="1278"/>
        <w:gridCol w:w="1134"/>
      </w:tblGrid>
      <w:tr w:rsidR="00BF73C0" w:rsidRPr="00086E97" w14:paraId="5FB630A5" w14:textId="77777777" w:rsidTr="001E0151">
        <w:trPr>
          <w:trHeight w:val="287"/>
          <w:jc w:val="center"/>
        </w:trPr>
        <w:tc>
          <w:tcPr>
            <w:tcW w:w="1842" w:type="dxa"/>
            <w:tcBorders>
              <w:top w:val="double" w:sz="4" w:space="0" w:color="auto"/>
              <w:left w:val="nil"/>
            </w:tcBorders>
            <w:shd w:val="clear" w:color="auto" w:fill="auto"/>
            <w:noWrap/>
            <w:vAlign w:val="center"/>
            <w:hideMark/>
          </w:tcPr>
          <w:p w14:paraId="5A1C62BD" w14:textId="77777777" w:rsidR="00BF73C0" w:rsidRPr="002C004B" w:rsidRDefault="00BF73C0" w:rsidP="001E0151">
            <w:pPr>
              <w:spacing w:after="0" w:line="240" w:lineRule="auto"/>
              <w:jc w:val="left"/>
              <w:rPr>
                <w:rFonts w:ascii="Arial" w:eastAsia="Times New Roman" w:hAnsi="Arial" w:cs="Arial"/>
                <w:sz w:val="16"/>
                <w:szCs w:val="16"/>
                <w:lang w:val="it-IT" w:eastAsia="en-GB"/>
              </w:rPr>
            </w:pPr>
          </w:p>
        </w:tc>
        <w:tc>
          <w:tcPr>
            <w:tcW w:w="2553" w:type="dxa"/>
            <w:gridSpan w:val="2"/>
            <w:tcBorders>
              <w:top w:val="double" w:sz="4" w:space="0" w:color="auto"/>
            </w:tcBorders>
            <w:vAlign w:val="bottom"/>
          </w:tcPr>
          <w:p w14:paraId="0E04D1F7" w14:textId="77777777" w:rsidR="00BF73C0" w:rsidRPr="002C004B" w:rsidRDefault="00BF73C0" w:rsidP="001E0151">
            <w:pPr>
              <w:spacing w:after="0" w:line="240" w:lineRule="auto"/>
              <w:jc w:val="center"/>
              <w:rPr>
                <w:rFonts w:ascii="Arial" w:eastAsia="Times New Roman" w:hAnsi="Arial" w:cs="Arial"/>
                <w:sz w:val="16"/>
                <w:szCs w:val="16"/>
                <w:lang w:val="it-IT" w:eastAsia="en-GB"/>
              </w:rPr>
            </w:pPr>
            <w:r w:rsidRPr="002C004B">
              <w:rPr>
                <w:rFonts w:ascii="Arial" w:eastAsia="Times New Roman" w:hAnsi="Arial" w:cs="Arial"/>
                <w:sz w:val="16"/>
                <w:szCs w:val="16"/>
                <w:lang w:val="it-IT" w:eastAsia="en-GB"/>
              </w:rPr>
              <w:t>Criticit</w:t>
            </w:r>
            <w:r>
              <w:rPr>
                <w:rFonts w:ascii="Arial" w:eastAsia="Times New Roman" w:hAnsi="Arial" w:cs="Arial"/>
                <w:sz w:val="16"/>
                <w:szCs w:val="16"/>
                <w:lang w:val="it-IT" w:eastAsia="en-GB"/>
              </w:rPr>
              <w:t>à finanziaria</w:t>
            </w:r>
          </w:p>
        </w:tc>
        <w:tc>
          <w:tcPr>
            <w:tcW w:w="1134" w:type="dxa"/>
            <w:tcBorders>
              <w:top w:val="double" w:sz="4" w:space="0" w:color="auto"/>
              <w:left w:val="nil"/>
              <w:right w:val="nil"/>
            </w:tcBorders>
          </w:tcPr>
          <w:p w14:paraId="69F7BA62" w14:textId="77777777" w:rsidR="00BF73C0" w:rsidRPr="002C004B" w:rsidRDefault="00BF73C0" w:rsidP="001E0151">
            <w:pPr>
              <w:spacing w:after="0" w:line="240" w:lineRule="auto"/>
              <w:jc w:val="center"/>
              <w:rPr>
                <w:rFonts w:ascii="Arial" w:eastAsia="Times New Roman" w:hAnsi="Arial" w:cs="Arial"/>
                <w:sz w:val="16"/>
                <w:szCs w:val="16"/>
                <w:lang w:val="it-IT" w:eastAsia="en-GB"/>
              </w:rPr>
            </w:pPr>
          </w:p>
        </w:tc>
      </w:tr>
      <w:tr w:rsidR="00BF73C0" w:rsidRPr="00086E97" w14:paraId="15F44F25" w14:textId="77777777" w:rsidTr="001E0151">
        <w:trPr>
          <w:trHeight w:val="159"/>
          <w:jc w:val="center"/>
        </w:trPr>
        <w:tc>
          <w:tcPr>
            <w:tcW w:w="1842" w:type="dxa"/>
            <w:tcBorders>
              <w:top w:val="nil"/>
              <w:left w:val="nil"/>
            </w:tcBorders>
            <w:shd w:val="clear" w:color="auto" w:fill="auto"/>
            <w:noWrap/>
            <w:vAlign w:val="center"/>
          </w:tcPr>
          <w:p w14:paraId="6B750B1F" w14:textId="77777777" w:rsidR="00BF73C0" w:rsidRPr="00086E97" w:rsidRDefault="00BF73C0" w:rsidP="001E0151">
            <w:pPr>
              <w:spacing w:after="0" w:line="240" w:lineRule="auto"/>
              <w:jc w:val="center"/>
              <w:rPr>
                <w:rFonts w:ascii="Arial" w:eastAsia="Times New Roman" w:hAnsi="Arial" w:cs="Arial"/>
                <w:sz w:val="16"/>
                <w:szCs w:val="16"/>
                <w:lang w:eastAsia="en-GB"/>
              </w:rPr>
            </w:pPr>
            <w:r w:rsidRPr="002C004B">
              <w:rPr>
                <w:rFonts w:ascii="Arial" w:eastAsia="Times New Roman" w:hAnsi="Arial" w:cs="Arial"/>
                <w:sz w:val="16"/>
                <w:szCs w:val="16"/>
                <w:lang w:val="it-IT" w:eastAsia="en-GB"/>
              </w:rPr>
              <w:t>Scioglimento per infiltrazione mafiosa</w:t>
            </w:r>
          </w:p>
        </w:tc>
        <w:tc>
          <w:tcPr>
            <w:tcW w:w="1275" w:type="dxa"/>
            <w:tcBorders>
              <w:top w:val="nil"/>
              <w:bottom w:val="single" w:sz="4" w:space="0" w:color="auto"/>
              <w:right w:val="nil"/>
            </w:tcBorders>
            <w:shd w:val="clear" w:color="auto" w:fill="auto"/>
            <w:noWrap/>
            <w:vAlign w:val="bottom"/>
          </w:tcPr>
          <w:p w14:paraId="043894A8" w14:textId="77777777" w:rsidR="00BF73C0" w:rsidRPr="00086E97" w:rsidRDefault="00BF73C0" w:rsidP="001E0151">
            <w:pPr>
              <w:spacing w:after="0" w:line="240" w:lineRule="auto"/>
              <w:jc w:val="center"/>
              <w:rPr>
                <w:rFonts w:ascii="Arial" w:eastAsia="Times New Roman" w:hAnsi="Arial" w:cs="Arial"/>
                <w:sz w:val="16"/>
                <w:szCs w:val="16"/>
                <w:lang w:eastAsia="en-GB"/>
              </w:rPr>
            </w:pPr>
            <w:r>
              <w:rPr>
                <w:rFonts w:ascii="Arial" w:eastAsia="Times New Roman" w:hAnsi="Arial" w:cs="Arial"/>
                <w:sz w:val="16"/>
                <w:szCs w:val="16"/>
                <w:lang w:eastAsia="en-GB"/>
              </w:rPr>
              <w:t>No</w:t>
            </w:r>
          </w:p>
        </w:tc>
        <w:tc>
          <w:tcPr>
            <w:tcW w:w="1278" w:type="dxa"/>
            <w:tcBorders>
              <w:top w:val="nil"/>
              <w:left w:val="nil"/>
              <w:bottom w:val="single" w:sz="4" w:space="0" w:color="auto"/>
            </w:tcBorders>
            <w:shd w:val="clear" w:color="auto" w:fill="auto"/>
            <w:noWrap/>
            <w:vAlign w:val="bottom"/>
          </w:tcPr>
          <w:p w14:paraId="09ABB632" w14:textId="77777777" w:rsidR="00BF73C0" w:rsidRDefault="00BF73C0" w:rsidP="001E0151">
            <w:pPr>
              <w:spacing w:after="0" w:line="240" w:lineRule="auto"/>
              <w:jc w:val="center"/>
              <w:rPr>
                <w:rFonts w:ascii="Arial" w:eastAsia="Times New Roman" w:hAnsi="Arial" w:cs="Arial"/>
                <w:sz w:val="16"/>
                <w:szCs w:val="16"/>
                <w:lang w:eastAsia="en-GB"/>
              </w:rPr>
            </w:pPr>
            <w:r>
              <w:rPr>
                <w:rFonts w:ascii="Arial" w:eastAsia="Times New Roman" w:hAnsi="Arial" w:cs="Arial"/>
                <w:sz w:val="16"/>
                <w:szCs w:val="16"/>
                <w:lang w:eastAsia="en-GB"/>
              </w:rPr>
              <w:t>Si</w:t>
            </w:r>
          </w:p>
        </w:tc>
        <w:tc>
          <w:tcPr>
            <w:tcW w:w="1134" w:type="dxa"/>
            <w:tcBorders>
              <w:top w:val="nil"/>
              <w:left w:val="nil"/>
              <w:right w:val="nil"/>
            </w:tcBorders>
            <w:vAlign w:val="center"/>
          </w:tcPr>
          <w:p w14:paraId="1B794261" w14:textId="77777777" w:rsidR="00BF73C0" w:rsidRDefault="00BF73C0" w:rsidP="001E0151">
            <w:pPr>
              <w:spacing w:after="0" w:line="240" w:lineRule="auto"/>
              <w:jc w:val="left"/>
              <w:rPr>
                <w:rFonts w:ascii="Arial" w:eastAsia="Times New Roman" w:hAnsi="Arial" w:cs="Arial"/>
                <w:sz w:val="16"/>
                <w:szCs w:val="16"/>
                <w:lang w:eastAsia="en-GB"/>
              </w:rPr>
            </w:pPr>
          </w:p>
        </w:tc>
      </w:tr>
      <w:tr w:rsidR="00BF73C0" w:rsidRPr="00086E97" w14:paraId="623C33FF" w14:textId="77777777" w:rsidTr="001E0151">
        <w:trPr>
          <w:trHeight w:val="355"/>
          <w:jc w:val="center"/>
        </w:trPr>
        <w:tc>
          <w:tcPr>
            <w:tcW w:w="1842" w:type="dxa"/>
            <w:tcBorders>
              <w:left w:val="nil"/>
              <w:right w:val="single" w:sz="4" w:space="0" w:color="auto"/>
            </w:tcBorders>
            <w:shd w:val="clear" w:color="auto" w:fill="auto"/>
            <w:noWrap/>
            <w:vAlign w:val="center"/>
          </w:tcPr>
          <w:p w14:paraId="588CF1FE" w14:textId="77777777" w:rsidR="00BF73C0" w:rsidRPr="00086E97" w:rsidRDefault="00BF73C0" w:rsidP="001E0151">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No</w:t>
            </w:r>
          </w:p>
        </w:tc>
        <w:tc>
          <w:tcPr>
            <w:tcW w:w="1275" w:type="dxa"/>
            <w:tcBorders>
              <w:top w:val="single" w:sz="4" w:space="0" w:color="auto"/>
              <w:left w:val="single" w:sz="4" w:space="0" w:color="auto"/>
              <w:right w:val="nil"/>
            </w:tcBorders>
            <w:shd w:val="clear" w:color="auto" w:fill="auto"/>
            <w:noWrap/>
            <w:vAlign w:val="center"/>
          </w:tcPr>
          <w:p w14:paraId="322C75EA" w14:textId="77777777" w:rsidR="00BF73C0" w:rsidRPr="00086E97" w:rsidRDefault="00BF73C0" w:rsidP="001E0151">
            <w:pPr>
              <w:spacing w:after="0" w:line="240" w:lineRule="auto"/>
              <w:jc w:val="center"/>
              <w:rPr>
                <w:rFonts w:ascii="Arial" w:eastAsia="Times New Roman" w:hAnsi="Arial" w:cs="Arial"/>
                <w:sz w:val="16"/>
                <w:szCs w:val="16"/>
                <w:lang w:eastAsia="en-GB"/>
              </w:rPr>
            </w:pPr>
            <w:r>
              <w:rPr>
                <w:rFonts w:ascii="Arial" w:eastAsia="Times New Roman" w:hAnsi="Arial" w:cs="Arial"/>
                <w:sz w:val="16"/>
                <w:szCs w:val="16"/>
                <w:lang w:eastAsia="en-GB"/>
              </w:rPr>
              <w:t>7134</w:t>
            </w:r>
          </w:p>
        </w:tc>
        <w:tc>
          <w:tcPr>
            <w:tcW w:w="1278" w:type="dxa"/>
            <w:tcBorders>
              <w:top w:val="single" w:sz="4" w:space="0" w:color="auto"/>
              <w:left w:val="nil"/>
              <w:right w:val="single" w:sz="4" w:space="0" w:color="auto"/>
            </w:tcBorders>
            <w:shd w:val="clear" w:color="auto" w:fill="auto"/>
            <w:noWrap/>
            <w:vAlign w:val="center"/>
            <w:hideMark/>
          </w:tcPr>
          <w:p w14:paraId="6EB46746" w14:textId="77777777" w:rsidR="00BF73C0" w:rsidRPr="00086E97" w:rsidRDefault="00BF73C0" w:rsidP="001E0151">
            <w:pPr>
              <w:spacing w:after="0" w:line="240" w:lineRule="auto"/>
              <w:jc w:val="center"/>
              <w:rPr>
                <w:rFonts w:ascii="Arial" w:eastAsia="Times New Roman" w:hAnsi="Arial" w:cs="Arial"/>
                <w:sz w:val="16"/>
                <w:szCs w:val="16"/>
                <w:lang w:eastAsia="en-GB"/>
              </w:rPr>
            </w:pPr>
            <w:r>
              <w:rPr>
                <w:rFonts w:ascii="Arial" w:eastAsia="Times New Roman" w:hAnsi="Arial" w:cs="Arial"/>
                <w:sz w:val="16"/>
                <w:szCs w:val="16"/>
                <w:lang w:eastAsia="en-GB"/>
              </w:rPr>
              <w:t>514</w:t>
            </w:r>
          </w:p>
        </w:tc>
        <w:tc>
          <w:tcPr>
            <w:tcW w:w="1134" w:type="dxa"/>
            <w:tcBorders>
              <w:left w:val="single" w:sz="4" w:space="0" w:color="auto"/>
              <w:right w:val="nil"/>
            </w:tcBorders>
            <w:vAlign w:val="center"/>
          </w:tcPr>
          <w:p w14:paraId="19EADD65" w14:textId="77777777" w:rsidR="00BF73C0" w:rsidRPr="00086E97" w:rsidRDefault="00BF73C0" w:rsidP="001E0151">
            <w:pPr>
              <w:spacing w:after="0" w:line="240" w:lineRule="auto"/>
              <w:jc w:val="center"/>
              <w:rPr>
                <w:rFonts w:ascii="Arial" w:eastAsia="Times New Roman" w:hAnsi="Arial" w:cs="Arial"/>
                <w:sz w:val="16"/>
                <w:szCs w:val="16"/>
                <w:lang w:eastAsia="en-GB"/>
              </w:rPr>
            </w:pPr>
            <w:r>
              <w:rPr>
                <w:rFonts w:ascii="Arial" w:eastAsia="Times New Roman" w:hAnsi="Arial" w:cs="Arial"/>
                <w:sz w:val="16"/>
                <w:szCs w:val="16"/>
                <w:lang w:eastAsia="en-GB"/>
              </w:rPr>
              <w:t>7648</w:t>
            </w:r>
          </w:p>
        </w:tc>
      </w:tr>
      <w:tr w:rsidR="00BF73C0" w:rsidRPr="00086E97" w14:paraId="2F2F0BCF" w14:textId="77777777" w:rsidTr="001E0151">
        <w:trPr>
          <w:trHeight w:val="428"/>
          <w:jc w:val="center"/>
        </w:trPr>
        <w:tc>
          <w:tcPr>
            <w:tcW w:w="1842" w:type="dxa"/>
            <w:tcBorders>
              <w:top w:val="nil"/>
              <w:left w:val="nil"/>
              <w:right w:val="single" w:sz="4" w:space="0" w:color="auto"/>
            </w:tcBorders>
            <w:shd w:val="clear" w:color="auto" w:fill="auto"/>
            <w:noWrap/>
            <w:vAlign w:val="center"/>
          </w:tcPr>
          <w:p w14:paraId="3AA3A257" w14:textId="77777777" w:rsidR="00BF73C0" w:rsidRPr="00086E97" w:rsidRDefault="00BF73C0" w:rsidP="001E0151">
            <w:pPr>
              <w:spacing w:after="0" w:line="240" w:lineRule="auto"/>
              <w:jc w:val="right"/>
              <w:rPr>
                <w:rFonts w:ascii="Arial" w:eastAsia="Times New Roman" w:hAnsi="Arial" w:cs="Arial"/>
                <w:sz w:val="16"/>
                <w:szCs w:val="16"/>
                <w:lang w:eastAsia="en-GB"/>
              </w:rPr>
            </w:pPr>
            <w:r>
              <w:rPr>
                <w:rFonts w:ascii="Arial" w:eastAsia="Times New Roman" w:hAnsi="Arial" w:cs="Arial"/>
                <w:sz w:val="16"/>
                <w:szCs w:val="16"/>
                <w:lang w:eastAsia="en-GB"/>
              </w:rPr>
              <w:t>Si</w:t>
            </w:r>
          </w:p>
        </w:tc>
        <w:tc>
          <w:tcPr>
            <w:tcW w:w="1275" w:type="dxa"/>
            <w:tcBorders>
              <w:top w:val="nil"/>
              <w:left w:val="single" w:sz="4" w:space="0" w:color="auto"/>
              <w:bottom w:val="single" w:sz="4" w:space="0" w:color="auto"/>
              <w:right w:val="nil"/>
            </w:tcBorders>
            <w:shd w:val="clear" w:color="auto" w:fill="auto"/>
            <w:noWrap/>
            <w:vAlign w:val="center"/>
          </w:tcPr>
          <w:p w14:paraId="3297C23E" w14:textId="77777777" w:rsidR="00BF73C0" w:rsidRPr="00086E97" w:rsidRDefault="00BF73C0" w:rsidP="001E0151">
            <w:pPr>
              <w:spacing w:after="0" w:line="240" w:lineRule="auto"/>
              <w:jc w:val="center"/>
              <w:rPr>
                <w:rFonts w:ascii="Arial" w:hAnsi="Arial" w:cs="Arial"/>
                <w:sz w:val="16"/>
                <w:szCs w:val="16"/>
              </w:rPr>
            </w:pPr>
            <w:r>
              <w:rPr>
                <w:rFonts w:ascii="Arial" w:eastAsia="Times New Roman" w:hAnsi="Arial" w:cs="Arial"/>
                <w:sz w:val="16"/>
                <w:szCs w:val="16"/>
                <w:lang w:eastAsia="en-GB"/>
              </w:rPr>
              <w:t>162</w:t>
            </w:r>
          </w:p>
        </w:tc>
        <w:tc>
          <w:tcPr>
            <w:tcW w:w="1278" w:type="dxa"/>
            <w:tcBorders>
              <w:top w:val="nil"/>
              <w:left w:val="nil"/>
              <w:bottom w:val="single" w:sz="4" w:space="0" w:color="auto"/>
              <w:right w:val="single" w:sz="4" w:space="0" w:color="auto"/>
            </w:tcBorders>
            <w:shd w:val="clear" w:color="auto" w:fill="auto"/>
            <w:noWrap/>
            <w:vAlign w:val="center"/>
          </w:tcPr>
          <w:p w14:paraId="030387D0" w14:textId="77777777" w:rsidR="00BF73C0" w:rsidRPr="00086E97" w:rsidRDefault="00BF73C0" w:rsidP="001E0151">
            <w:pPr>
              <w:spacing w:after="0" w:line="240" w:lineRule="auto"/>
              <w:jc w:val="center"/>
              <w:rPr>
                <w:rFonts w:ascii="Arial" w:hAnsi="Arial" w:cs="Arial"/>
                <w:sz w:val="16"/>
                <w:szCs w:val="16"/>
              </w:rPr>
            </w:pPr>
            <w:r>
              <w:rPr>
                <w:rFonts w:ascii="Arial" w:eastAsia="Times New Roman" w:hAnsi="Arial" w:cs="Arial"/>
                <w:sz w:val="16"/>
                <w:szCs w:val="16"/>
                <w:lang w:eastAsia="en-GB"/>
              </w:rPr>
              <w:t>89</w:t>
            </w:r>
          </w:p>
        </w:tc>
        <w:tc>
          <w:tcPr>
            <w:tcW w:w="1134" w:type="dxa"/>
            <w:tcBorders>
              <w:top w:val="nil"/>
              <w:left w:val="single" w:sz="4" w:space="0" w:color="auto"/>
              <w:right w:val="nil"/>
            </w:tcBorders>
            <w:vAlign w:val="center"/>
          </w:tcPr>
          <w:p w14:paraId="397DEE63" w14:textId="77777777" w:rsidR="00BF73C0" w:rsidRPr="00086E97" w:rsidRDefault="00BF73C0" w:rsidP="001E0151">
            <w:pPr>
              <w:spacing w:after="0" w:line="240" w:lineRule="auto"/>
              <w:jc w:val="center"/>
              <w:rPr>
                <w:rFonts w:ascii="Arial" w:eastAsia="Times New Roman" w:hAnsi="Arial" w:cs="Arial"/>
                <w:sz w:val="16"/>
                <w:szCs w:val="16"/>
                <w:lang w:eastAsia="en-GB"/>
              </w:rPr>
            </w:pPr>
            <w:r>
              <w:rPr>
                <w:rFonts w:ascii="Arial" w:eastAsia="Times New Roman" w:hAnsi="Arial" w:cs="Arial"/>
                <w:sz w:val="16"/>
                <w:szCs w:val="16"/>
                <w:lang w:eastAsia="en-GB"/>
              </w:rPr>
              <w:t>251</w:t>
            </w:r>
          </w:p>
        </w:tc>
      </w:tr>
      <w:tr w:rsidR="00BF73C0" w:rsidRPr="00086E97" w14:paraId="7C0ED275" w14:textId="77777777" w:rsidTr="001E0151">
        <w:trPr>
          <w:trHeight w:val="407"/>
          <w:jc w:val="center"/>
        </w:trPr>
        <w:tc>
          <w:tcPr>
            <w:tcW w:w="1842" w:type="dxa"/>
            <w:tcBorders>
              <w:left w:val="nil"/>
              <w:bottom w:val="double" w:sz="4" w:space="0" w:color="auto"/>
            </w:tcBorders>
            <w:shd w:val="clear" w:color="auto" w:fill="auto"/>
            <w:noWrap/>
            <w:vAlign w:val="bottom"/>
          </w:tcPr>
          <w:p w14:paraId="3AE4C563" w14:textId="77777777" w:rsidR="00BF73C0" w:rsidRPr="00086E97" w:rsidRDefault="00BF73C0" w:rsidP="001E0151">
            <w:pPr>
              <w:spacing w:after="0" w:line="240" w:lineRule="auto"/>
              <w:rPr>
                <w:rFonts w:ascii="Arial" w:eastAsia="Times New Roman" w:hAnsi="Arial" w:cs="Arial"/>
                <w:sz w:val="16"/>
                <w:szCs w:val="16"/>
                <w:lang w:eastAsia="en-GB"/>
              </w:rPr>
            </w:pPr>
          </w:p>
        </w:tc>
        <w:tc>
          <w:tcPr>
            <w:tcW w:w="1275" w:type="dxa"/>
            <w:tcBorders>
              <w:top w:val="single" w:sz="4" w:space="0" w:color="auto"/>
              <w:bottom w:val="double" w:sz="4" w:space="0" w:color="auto"/>
              <w:right w:val="nil"/>
            </w:tcBorders>
            <w:shd w:val="clear" w:color="auto" w:fill="auto"/>
            <w:noWrap/>
            <w:vAlign w:val="center"/>
          </w:tcPr>
          <w:p w14:paraId="757541DA" w14:textId="77777777" w:rsidR="00BF73C0" w:rsidRPr="00086E97" w:rsidRDefault="00BF73C0" w:rsidP="001E0151">
            <w:pPr>
              <w:spacing w:after="0" w:line="240" w:lineRule="auto"/>
              <w:jc w:val="center"/>
              <w:rPr>
                <w:rFonts w:ascii="Arial" w:eastAsia="Times New Roman" w:hAnsi="Arial" w:cs="Arial"/>
                <w:sz w:val="16"/>
                <w:szCs w:val="16"/>
                <w:lang w:eastAsia="en-GB"/>
              </w:rPr>
            </w:pPr>
            <w:r>
              <w:rPr>
                <w:rFonts w:ascii="Arial" w:eastAsia="Times New Roman" w:hAnsi="Arial" w:cs="Arial"/>
                <w:sz w:val="16"/>
                <w:szCs w:val="16"/>
                <w:lang w:eastAsia="en-GB"/>
              </w:rPr>
              <w:t>7296</w:t>
            </w:r>
          </w:p>
        </w:tc>
        <w:tc>
          <w:tcPr>
            <w:tcW w:w="1278" w:type="dxa"/>
            <w:tcBorders>
              <w:top w:val="single" w:sz="4" w:space="0" w:color="auto"/>
              <w:left w:val="nil"/>
              <w:bottom w:val="double" w:sz="4" w:space="0" w:color="auto"/>
            </w:tcBorders>
            <w:shd w:val="clear" w:color="auto" w:fill="auto"/>
            <w:noWrap/>
            <w:vAlign w:val="center"/>
          </w:tcPr>
          <w:p w14:paraId="2E6C2EB3" w14:textId="77777777" w:rsidR="00BF73C0" w:rsidRPr="00086E97" w:rsidRDefault="00BF73C0" w:rsidP="001E0151">
            <w:pPr>
              <w:spacing w:after="0" w:line="240" w:lineRule="auto"/>
              <w:jc w:val="center"/>
              <w:rPr>
                <w:rFonts w:ascii="Arial" w:eastAsia="Times New Roman" w:hAnsi="Arial" w:cs="Arial"/>
                <w:sz w:val="16"/>
                <w:szCs w:val="16"/>
                <w:lang w:eastAsia="en-GB"/>
              </w:rPr>
            </w:pPr>
            <w:r>
              <w:rPr>
                <w:rFonts w:ascii="Arial" w:eastAsia="Times New Roman" w:hAnsi="Arial" w:cs="Arial"/>
                <w:sz w:val="16"/>
                <w:szCs w:val="16"/>
                <w:lang w:eastAsia="en-GB"/>
              </w:rPr>
              <w:t>603</w:t>
            </w:r>
          </w:p>
        </w:tc>
        <w:tc>
          <w:tcPr>
            <w:tcW w:w="1134" w:type="dxa"/>
            <w:tcBorders>
              <w:left w:val="nil"/>
              <w:bottom w:val="double" w:sz="4" w:space="0" w:color="auto"/>
              <w:right w:val="nil"/>
            </w:tcBorders>
            <w:vAlign w:val="center"/>
          </w:tcPr>
          <w:p w14:paraId="07484F17" w14:textId="77777777" w:rsidR="00BF73C0" w:rsidRPr="00086E97" w:rsidRDefault="00BF73C0" w:rsidP="001E0151">
            <w:pPr>
              <w:spacing w:after="0" w:line="240" w:lineRule="auto"/>
              <w:jc w:val="center"/>
              <w:rPr>
                <w:rFonts w:ascii="Arial" w:hAnsi="Arial" w:cs="Arial"/>
                <w:sz w:val="16"/>
                <w:szCs w:val="16"/>
              </w:rPr>
            </w:pPr>
            <w:r>
              <w:rPr>
                <w:rFonts w:ascii="Arial" w:hAnsi="Arial" w:cs="Arial"/>
                <w:sz w:val="16"/>
                <w:szCs w:val="16"/>
              </w:rPr>
              <w:t>7898</w:t>
            </w:r>
          </w:p>
        </w:tc>
      </w:tr>
    </w:tbl>
    <w:p w14:paraId="5FACE00B" w14:textId="77777777" w:rsidR="00BF73C0" w:rsidRDefault="00BF73C0" w:rsidP="00BF73C0">
      <w:pPr>
        <w:ind w:left="284" w:right="237"/>
        <w:rPr>
          <w:rFonts w:cs="Times New Roman"/>
          <w:sz w:val="24"/>
          <w:szCs w:val="24"/>
          <w:lang w:val="it-IT"/>
        </w:rPr>
      </w:pPr>
    </w:p>
    <w:p w14:paraId="2B114E9E" w14:textId="3ACBDB18" w:rsidR="00E12B43" w:rsidRPr="00E12B43" w:rsidRDefault="00E12B43" w:rsidP="00E12B43">
      <w:pPr>
        <w:pStyle w:val="ListParagraph"/>
        <w:numPr>
          <w:ilvl w:val="1"/>
          <w:numId w:val="1"/>
        </w:numPr>
        <w:ind w:right="237"/>
        <w:rPr>
          <w:rFonts w:cs="Times New Roman"/>
          <w:i/>
          <w:iCs/>
          <w:sz w:val="24"/>
          <w:szCs w:val="24"/>
          <w:lang w:val="it-IT"/>
        </w:rPr>
      </w:pPr>
      <w:r w:rsidRPr="00E12B43">
        <w:rPr>
          <w:rFonts w:cs="Times New Roman"/>
          <w:i/>
          <w:iCs/>
          <w:sz w:val="24"/>
          <w:szCs w:val="24"/>
          <w:lang w:val="it-IT"/>
        </w:rPr>
        <w:lastRenderedPageBreak/>
        <w:t>Analisi quantitativa di probabilità</w:t>
      </w:r>
      <w:r w:rsidR="00DC21E3">
        <w:rPr>
          <w:rFonts w:cs="Times New Roman"/>
          <w:i/>
          <w:iCs/>
          <w:sz w:val="24"/>
          <w:szCs w:val="24"/>
          <w:lang w:val="it-IT"/>
        </w:rPr>
        <w:t>: esiste un legame tra scioglimento e criticità finanziaria?</w:t>
      </w:r>
    </w:p>
    <w:p w14:paraId="0ADA9183" w14:textId="77777777" w:rsidR="00E12B43" w:rsidRDefault="00E12B43" w:rsidP="00E12B43">
      <w:pPr>
        <w:ind w:left="360" w:right="237"/>
        <w:rPr>
          <w:rFonts w:cs="Times New Roman"/>
          <w:sz w:val="24"/>
          <w:szCs w:val="24"/>
          <w:lang w:val="it-IT"/>
        </w:rPr>
      </w:pPr>
    </w:p>
    <w:p w14:paraId="6BCD182F" w14:textId="2FEB2461" w:rsidR="00C66585" w:rsidRDefault="00C66585" w:rsidP="00E12B43">
      <w:pPr>
        <w:ind w:left="360" w:right="237"/>
        <w:rPr>
          <w:rFonts w:cs="Times New Roman"/>
          <w:sz w:val="24"/>
          <w:szCs w:val="24"/>
          <w:lang w:val="it-IT"/>
        </w:rPr>
      </w:pPr>
      <w:r w:rsidRPr="00E12B43">
        <w:rPr>
          <w:rFonts w:cs="Times New Roman"/>
          <w:sz w:val="24"/>
          <w:szCs w:val="24"/>
          <w:lang w:val="it-IT"/>
        </w:rPr>
        <w:t xml:space="preserve">Il conteggio riportato in Figura 3 </w:t>
      </w:r>
      <w:r w:rsidR="004A7FD2">
        <w:rPr>
          <w:rFonts w:cs="Times New Roman"/>
          <w:sz w:val="24"/>
          <w:szCs w:val="24"/>
          <w:lang w:val="it-IT"/>
        </w:rPr>
        <w:t xml:space="preserve"> e in Tabella 1 </w:t>
      </w:r>
      <w:r w:rsidRPr="00E12B43">
        <w:rPr>
          <w:rFonts w:cs="Times New Roman"/>
          <w:sz w:val="24"/>
          <w:szCs w:val="24"/>
          <w:lang w:val="it-IT"/>
        </w:rPr>
        <w:t>fa riferimento ai comuni in cui</w:t>
      </w:r>
      <w:r w:rsidR="00E12B43">
        <w:rPr>
          <w:rFonts w:cs="Times New Roman"/>
          <w:sz w:val="24"/>
          <w:szCs w:val="24"/>
          <w:lang w:val="it-IT"/>
        </w:rPr>
        <w:t xml:space="preserve"> vi siano stati, </w:t>
      </w:r>
      <w:r w:rsidR="003A169F">
        <w:rPr>
          <w:rFonts w:cs="Times New Roman"/>
          <w:sz w:val="24"/>
          <w:szCs w:val="24"/>
          <w:lang w:val="it-IT"/>
        </w:rPr>
        <w:t xml:space="preserve">in un qualisiasi momento </w:t>
      </w:r>
      <w:r w:rsidR="00E12B43">
        <w:rPr>
          <w:rFonts w:cs="Times New Roman"/>
          <w:sz w:val="24"/>
          <w:szCs w:val="24"/>
          <w:lang w:val="it-IT"/>
        </w:rPr>
        <w:t xml:space="preserve">nell’arco della </w:t>
      </w:r>
      <w:r w:rsidR="003A169F">
        <w:rPr>
          <w:rFonts w:cs="Times New Roman"/>
          <w:sz w:val="24"/>
          <w:szCs w:val="24"/>
          <w:lang w:val="it-IT"/>
        </w:rPr>
        <w:t xml:space="preserve">loro storia, casi di criticità finanziaria e casi di scioglimento per mafia. </w:t>
      </w:r>
      <w:r w:rsidR="00171EA7">
        <w:rPr>
          <w:rFonts w:cs="Times New Roman"/>
          <w:sz w:val="24"/>
          <w:szCs w:val="24"/>
          <w:lang w:val="it-IT"/>
        </w:rPr>
        <w:t>L</w:t>
      </w:r>
      <w:r w:rsidR="003A169F">
        <w:rPr>
          <w:rFonts w:cs="Times New Roman"/>
          <w:sz w:val="24"/>
          <w:szCs w:val="24"/>
          <w:lang w:val="it-IT"/>
        </w:rPr>
        <w:t>a coincidenza dei casi si verifica in ben 89 comuni. Questa rilevazione suggerisce la possibil</w:t>
      </w:r>
      <w:r w:rsidR="00C8062B">
        <w:rPr>
          <w:rFonts w:cs="Times New Roman"/>
          <w:sz w:val="24"/>
          <w:szCs w:val="24"/>
          <w:lang w:val="it-IT"/>
        </w:rPr>
        <w:t>ità</w:t>
      </w:r>
      <w:r w:rsidR="003A169F">
        <w:rPr>
          <w:rFonts w:cs="Times New Roman"/>
          <w:sz w:val="24"/>
          <w:szCs w:val="24"/>
          <w:lang w:val="it-IT"/>
        </w:rPr>
        <w:t xml:space="preserve"> di una associazione statistica tra i due episodi. Ci proponiamo quindi esaminare qualora un comune in cui vi sia stato un episodio di criticità finanziaria abbia una maggiore probabilità di incorrere in una procedura di scioglimento per infiltrazione mafiosa</w:t>
      </w:r>
      <w:r w:rsidR="004A7FD2">
        <w:rPr>
          <w:rFonts w:cs="Times New Roman"/>
          <w:sz w:val="24"/>
          <w:szCs w:val="24"/>
          <w:lang w:val="it-IT"/>
        </w:rPr>
        <w:t xml:space="preserve"> (e viceversa)</w:t>
      </w:r>
      <w:r w:rsidR="003A169F">
        <w:rPr>
          <w:rFonts w:cs="Times New Roman"/>
          <w:sz w:val="24"/>
          <w:szCs w:val="24"/>
          <w:lang w:val="it-IT"/>
        </w:rPr>
        <w:t>.</w:t>
      </w:r>
    </w:p>
    <w:p w14:paraId="68A9B651" w14:textId="5A6017B9" w:rsidR="003A169F" w:rsidRDefault="003A169F" w:rsidP="00E12B43">
      <w:pPr>
        <w:ind w:left="360" w:right="237"/>
        <w:rPr>
          <w:rFonts w:cs="Times New Roman"/>
          <w:sz w:val="24"/>
          <w:szCs w:val="24"/>
          <w:lang w:val="it-IT"/>
        </w:rPr>
      </w:pPr>
      <w:r>
        <w:rPr>
          <w:rFonts w:cs="Times New Roman"/>
          <w:sz w:val="24"/>
          <w:szCs w:val="24"/>
          <w:lang w:val="it-IT"/>
        </w:rPr>
        <w:t xml:space="preserve">Per verificare questa </w:t>
      </w:r>
      <w:r w:rsidR="00C8062B">
        <w:rPr>
          <w:rFonts w:cs="Times New Roman"/>
          <w:sz w:val="24"/>
          <w:szCs w:val="24"/>
          <w:lang w:val="it-IT"/>
        </w:rPr>
        <w:t>ipotesi</w:t>
      </w:r>
      <w:r>
        <w:rPr>
          <w:rFonts w:cs="Times New Roman"/>
          <w:sz w:val="24"/>
          <w:szCs w:val="24"/>
          <w:lang w:val="it-IT"/>
        </w:rPr>
        <w:t xml:space="preserve">, costruiamo due variabili </w:t>
      </w:r>
      <w:r>
        <w:rPr>
          <w:rFonts w:cs="Times New Roman"/>
          <w:i/>
          <w:iCs/>
          <w:sz w:val="24"/>
          <w:szCs w:val="24"/>
          <w:lang w:val="it-IT"/>
        </w:rPr>
        <w:t>dummy</w:t>
      </w:r>
      <w:r>
        <w:rPr>
          <w:rFonts w:cs="Times New Roman"/>
          <w:sz w:val="24"/>
          <w:szCs w:val="24"/>
          <w:lang w:val="it-IT"/>
        </w:rPr>
        <w:t xml:space="preserve"> </w:t>
      </w:r>
      <w:r w:rsidR="00171EA7">
        <w:rPr>
          <w:rFonts w:cs="Times New Roman"/>
          <w:sz w:val="24"/>
          <w:szCs w:val="24"/>
          <w:lang w:val="it-IT"/>
        </w:rPr>
        <w:t xml:space="preserve"> dal valore </w:t>
      </w:r>
      <w:r>
        <w:rPr>
          <w:rFonts w:cs="Times New Roman"/>
          <w:sz w:val="24"/>
          <w:szCs w:val="24"/>
          <w:lang w:val="it-IT"/>
        </w:rPr>
        <w:t>1</w:t>
      </w:r>
      <w:r w:rsidR="00171EA7">
        <w:rPr>
          <w:rFonts w:cs="Times New Roman"/>
          <w:sz w:val="24"/>
          <w:szCs w:val="24"/>
          <w:lang w:val="it-IT"/>
        </w:rPr>
        <w:t xml:space="preserve"> o </w:t>
      </w:r>
      <w:r>
        <w:rPr>
          <w:rFonts w:cs="Times New Roman"/>
          <w:sz w:val="24"/>
          <w:szCs w:val="24"/>
          <w:lang w:val="it-IT"/>
        </w:rPr>
        <w:t xml:space="preserve">0 che, in un contesto </w:t>
      </w:r>
      <w:r w:rsidRPr="003A169F">
        <w:rPr>
          <w:rFonts w:cs="Times New Roman"/>
          <w:i/>
          <w:iCs/>
          <w:sz w:val="24"/>
          <w:szCs w:val="24"/>
          <w:lang w:val="it-IT"/>
        </w:rPr>
        <w:t>cross-section</w:t>
      </w:r>
      <w:r>
        <w:rPr>
          <w:rFonts w:cs="Times New Roman"/>
          <w:sz w:val="24"/>
          <w:szCs w:val="24"/>
          <w:lang w:val="it-IT"/>
        </w:rPr>
        <w:t xml:space="preserve"> e sulla base dell’intero campione di comuni italiani, identificano i comuni con almeno un caso di criticità finanziaria e almeno un caso di scioglimento per mafia. Definiamo quindi un semplice modello di probabilità in cui queste due variabili vengono messe in relazione. L’obiettivo del modello </w:t>
      </w:r>
      <w:r w:rsidR="00F26116">
        <w:rPr>
          <w:rFonts w:cs="Times New Roman"/>
          <w:sz w:val="24"/>
          <w:szCs w:val="24"/>
          <w:lang w:val="it-IT"/>
        </w:rPr>
        <w:t xml:space="preserve">è di verificare se, in presenza di uno dei due casi (criticità finanziaria e scioglimento per infiltrazione mafiosa) si osserva una maggiore probabilità che si verifichi </w:t>
      </w:r>
      <w:r w:rsidR="00171EA7">
        <w:rPr>
          <w:rFonts w:cs="Times New Roman"/>
          <w:sz w:val="24"/>
          <w:szCs w:val="24"/>
          <w:lang w:val="it-IT"/>
        </w:rPr>
        <w:t xml:space="preserve">anche </w:t>
      </w:r>
      <w:r w:rsidR="00F26116">
        <w:rPr>
          <w:rFonts w:cs="Times New Roman"/>
          <w:sz w:val="24"/>
          <w:szCs w:val="24"/>
          <w:lang w:val="it-IT"/>
        </w:rPr>
        <w:t>l’altro caso</w:t>
      </w:r>
      <w:r w:rsidR="00171EA7">
        <w:rPr>
          <w:rFonts w:cs="Times New Roman"/>
          <w:sz w:val="24"/>
          <w:szCs w:val="24"/>
          <w:lang w:val="it-IT"/>
        </w:rPr>
        <w:t>, non necessariamente in contemporanea</w:t>
      </w:r>
      <w:r w:rsidR="00F26116">
        <w:rPr>
          <w:rFonts w:cs="Times New Roman"/>
          <w:sz w:val="24"/>
          <w:szCs w:val="24"/>
          <w:lang w:val="it-IT"/>
        </w:rPr>
        <w:t>.</w:t>
      </w:r>
    </w:p>
    <w:p w14:paraId="2516EBD7" w14:textId="513549D8" w:rsidR="00F26116" w:rsidRPr="00CB50DB" w:rsidRDefault="00F26116" w:rsidP="00E12B43">
      <w:pPr>
        <w:ind w:left="360" w:right="237"/>
        <w:rPr>
          <w:rFonts w:cs="Times New Roman"/>
          <w:sz w:val="24"/>
          <w:szCs w:val="24"/>
          <w:lang w:val="it-IT"/>
        </w:rPr>
      </w:pPr>
      <w:r>
        <w:rPr>
          <w:rFonts w:cs="Times New Roman"/>
          <w:sz w:val="24"/>
          <w:szCs w:val="24"/>
          <w:lang w:val="it-IT"/>
        </w:rPr>
        <w:t xml:space="preserve">Il modello è stimato sia con probabilità lineare che con metodologia </w:t>
      </w:r>
      <w:r w:rsidR="00C8062B">
        <w:rPr>
          <w:rFonts w:cs="Times New Roman"/>
          <w:sz w:val="24"/>
          <w:szCs w:val="24"/>
          <w:lang w:val="it-IT"/>
        </w:rPr>
        <w:t>prob</w:t>
      </w:r>
      <w:r>
        <w:rPr>
          <w:rFonts w:cs="Times New Roman"/>
          <w:sz w:val="24"/>
          <w:szCs w:val="24"/>
          <w:lang w:val="it-IT"/>
        </w:rPr>
        <w:t xml:space="preserve">it. I risultati sono riportati nella Tabella </w:t>
      </w:r>
      <w:r w:rsidR="00BF73C0">
        <w:rPr>
          <w:rFonts w:cs="Times New Roman"/>
          <w:sz w:val="24"/>
          <w:szCs w:val="24"/>
          <w:lang w:val="it-IT"/>
        </w:rPr>
        <w:t>2</w:t>
      </w:r>
      <w:r>
        <w:rPr>
          <w:rFonts w:cs="Times New Roman"/>
          <w:sz w:val="24"/>
          <w:szCs w:val="24"/>
          <w:lang w:val="it-IT"/>
        </w:rPr>
        <w:t xml:space="preserve">. Come possiamo notare, l’ipotesi di partenza viene confermata dai dati. Il modello di probabilità lineare suggerisce che la probabilità di riscontrare episodi di scioglimento per infiltrazione mafiosa in un comune </w:t>
      </w:r>
      <w:r w:rsidR="00CB50DB">
        <w:rPr>
          <w:rFonts w:cs="Times New Roman"/>
          <w:sz w:val="24"/>
          <w:szCs w:val="24"/>
          <w:lang w:val="it-IT"/>
        </w:rPr>
        <w:t>si</w:t>
      </w:r>
      <w:r>
        <w:rPr>
          <w:rFonts w:cs="Times New Roman"/>
          <w:sz w:val="24"/>
          <w:szCs w:val="24"/>
          <w:lang w:val="it-IT"/>
        </w:rPr>
        <w:t xml:space="preserve">a significativamente più alta se </w:t>
      </w:r>
      <w:r w:rsidR="00CB50DB">
        <w:rPr>
          <w:rFonts w:cs="Times New Roman"/>
          <w:sz w:val="24"/>
          <w:szCs w:val="24"/>
          <w:lang w:val="it-IT"/>
        </w:rPr>
        <w:t xml:space="preserve">in </w:t>
      </w:r>
      <w:r>
        <w:rPr>
          <w:rFonts w:cs="Times New Roman"/>
          <w:sz w:val="24"/>
          <w:szCs w:val="24"/>
          <w:lang w:val="it-IT"/>
        </w:rPr>
        <w:t xml:space="preserve">tale comune </w:t>
      </w:r>
      <w:r w:rsidR="00CB50DB">
        <w:rPr>
          <w:rFonts w:cs="Times New Roman"/>
          <w:sz w:val="24"/>
          <w:szCs w:val="24"/>
          <w:lang w:val="it-IT"/>
        </w:rPr>
        <w:t>vi sono state una o più</w:t>
      </w:r>
      <w:r>
        <w:rPr>
          <w:rFonts w:cs="Times New Roman"/>
          <w:sz w:val="24"/>
          <w:szCs w:val="24"/>
          <w:lang w:val="it-IT"/>
        </w:rPr>
        <w:t xml:space="preserve"> procedure di criticità finanziaria.</w:t>
      </w:r>
      <w:r w:rsidR="00CB50DB">
        <w:rPr>
          <w:rFonts w:cs="Times New Roman"/>
          <w:sz w:val="24"/>
          <w:szCs w:val="24"/>
          <w:lang w:val="it-IT"/>
        </w:rPr>
        <w:t xml:space="preserve"> In particolare, la colonna </w:t>
      </w:r>
      <w:r w:rsidR="00AC6E86">
        <w:rPr>
          <w:rFonts w:cs="Times New Roman"/>
          <w:sz w:val="24"/>
          <w:szCs w:val="24"/>
          <w:lang w:val="it-IT"/>
        </w:rPr>
        <w:t>(</w:t>
      </w:r>
      <w:r w:rsidR="00CB50DB">
        <w:rPr>
          <w:rFonts w:cs="Times New Roman"/>
          <w:sz w:val="24"/>
          <w:szCs w:val="24"/>
          <w:lang w:val="it-IT"/>
        </w:rPr>
        <w:t>3</w:t>
      </w:r>
      <w:r w:rsidR="00AC6E86">
        <w:rPr>
          <w:rFonts w:cs="Times New Roman"/>
          <w:sz w:val="24"/>
          <w:szCs w:val="24"/>
          <w:lang w:val="it-IT"/>
        </w:rPr>
        <w:t>)</w:t>
      </w:r>
      <w:r w:rsidR="00CB50DB">
        <w:rPr>
          <w:rFonts w:cs="Times New Roman"/>
          <w:sz w:val="24"/>
          <w:szCs w:val="24"/>
          <w:lang w:val="it-IT"/>
        </w:rPr>
        <w:t xml:space="preserve"> indica che</w:t>
      </w:r>
      <w:r w:rsidR="00171EA7">
        <w:rPr>
          <w:rFonts w:cs="Times New Roman"/>
          <w:sz w:val="24"/>
          <w:szCs w:val="24"/>
          <w:lang w:val="it-IT"/>
        </w:rPr>
        <w:t>,</w:t>
      </w:r>
      <w:r w:rsidR="00CB50DB">
        <w:rPr>
          <w:rFonts w:cs="Times New Roman"/>
          <w:sz w:val="24"/>
          <w:szCs w:val="24"/>
          <w:lang w:val="it-IT"/>
        </w:rPr>
        <w:t xml:space="preserve"> nelle regioni di Campania, Calabria e Sicilia, la presenza di uno dei due episodi in un comune aumenta d</w:t>
      </w:r>
      <w:r w:rsidR="000F2267">
        <w:rPr>
          <w:rFonts w:cs="Times New Roman"/>
          <w:sz w:val="24"/>
          <w:szCs w:val="24"/>
          <w:lang w:val="it-IT"/>
        </w:rPr>
        <w:t>ell’</w:t>
      </w:r>
      <w:r w:rsidR="00CB50DB">
        <w:rPr>
          <w:rFonts w:cs="Times New Roman"/>
          <w:sz w:val="24"/>
          <w:szCs w:val="24"/>
          <w:lang w:val="it-IT"/>
        </w:rPr>
        <w:t>8</w:t>
      </w:r>
      <w:r w:rsidR="000F2267">
        <w:rPr>
          <w:rFonts w:cs="Times New Roman"/>
          <w:sz w:val="24"/>
          <w:szCs w:val="24"/>
          <w:lang w:val="it-IT"/>
        </w:rPr>
        <w:t>%</w:t>
      </w:r>
      <w:r w:rsidR="00CB50DB">
        <w:rPr>
          <w:rFonts w:cs="Times New Roman"/>
          <w:sz w:val="24"/>
          <w:szCs w:val="24"/>
          <w:lang w:val="it-IT"/>
        </w:rPr>
        <w:t xml:space="preserve"> la probabilità di riscontrare anche il secondo episodio nello stesso comune.</w:t>
      </w:r>
      <w:r w:rsidR="00171EA7">
        <w:rPr>
          <w:rFonts w:cs="Times New Roman"/>
          <w:sz w:val="24"/>
          <w:szCs w:val="24"/>
          <w:lang w:val="it-IT"/>
        </w:rPr>
        <w:t xml:space="preserve"> </w:t>
      </w:r>
      <w:r w:rsidR="00D34B95">
        <w:rPr>
          <w:rFonts w:cs="Times New Roman"/>
          <w:sz w:val="24"/>
          <w:szCs w:val="24"/>
          <w:lang w:val="it-IT"/>
        </w:rPr>
        <w:t>Questa stima</w:t>
      </w:r>
      <w:r w:rsidR="00171EA7">
        <w:rPr>
          <w:rFonts w:cs="Times New Roman"/>
          <w:sz w:val="24"/>
          <w:szCs w:val="24"/>
          <w:lang w:val="it-IT"/>
        </w:rPr>
        <w:t xml:space="preserve"> è ottenut</w:t>
      </w:r>
      <w:r w:rsidR="00D34B95">
        <w:rPr>
          <w:rFonts w:cs="Times New Roman"/>
          <w:sz w:val="24"/>
          <w:szCs w:val="24"/>
          <w:lang w:val="it-IT"/>
        </w:rPr>
        <w:t>a</w:t>
      </w:r>
      <w:r w:rsidR="00171EA7">
        <w:rPr>
          <w:rFonts w:cs="Times New Roman"/>
          <w:sz w:val="24"/>
          <w:szCs w:val="24"/>
          <w:lang w:val="it-IT"/>
        </w:rPr>
        <w:t xml:space="preserve"> controllando per qualsiasi fattore </w:t>
      </w:r>
      <w:r w:rsidR="00D34B95">
        <w:rPr>
          <w:rFonts w:cs="Times New Roman"/>
          <w:sz w:val="24"/>
          <w:szCs w:val="24"/>
          <w:lang w:val="it-IT"/>
        </w:rPr>
        <w:t>a livello provinciale invariabile nel tempo</w:t>
      </w:r>
      <w:r w:rsidR="00171EA7">
        <w:rPr>
          <w:rFonts w:cs="Times New Roman"/>
          <w:sz w:val="24"/>
          <w:szCs w:val="24"/>
          <w:lang w:val="it-IT"/>
        </w:rPr>
        <w:t>.</w:t>
      </w:r>
      <w:r w:rsidR="00CB50DB">
        <w:rPr>
          <w:rFonts w:cs="Times New Roman"/>
          <w:sz w:val="24"/>
          <w:szCs w:val="24"/>
          <w:lang w:val="it-IT"/>
        </w:rPr>
        <w:t xml:space="preserve"> I risultati sono confermati nel modello </w:t>
      </w:r>
      <w:r w:rsidR="00100614">
        <w:rPr>
          <w:rFonts w:cs="Times New Roman"/>
          <w:sz w:val="24"/>
          <w:szCs w:val="24"/>
          <w:lang w:val="it-IT"/>
        </w:rPr>
        <w:t>prob</w:t>
      </w:r>
      <w:r w:rsidR="00CB50DB">
        <w:rPr>
          <w:rFonts w:cs="Times New Roman"/>
          <w:sz w:val="24"/>
          <w:szCs w:val="24"/>
          <w:lang w:val="it-IT"/>
        </w:rPr>
        <w:t>it, il quale indica che</w:t>
      </w:r>
      <w:r w:rsidR="00FB4E97">
        <w:rPr>
          <w:rFonts w:cs="Times New Roman"/>
          <w:sz w:val="24"/>
          <w:szCs w:val="24"/>
          <w:lang w:val="it-IT"/>
        </w:rPr>
        <w:t xml:space="preserve"> nei comuni con almeno un caso di criticità finanziaria</w:t>
      </w:r>
      <w:r w:rsidR="00100614">
        <w:rPr>
          <w:rFonts w:cs="Times New Roman"/>
          <w:sz w:val="24"/>
          <w:szCs w:val="24"/>
          <w:lang w:val="it-IT"/>
        </w:rPr>
        <w:t xml:space="preserve"> aumenta</w:t>
      </w:r>
      <w:r w:rsidR="00FB4E97">
        <w:rPr>
          <w:rFonts w:cs="Times New Roman"/>
          <w:sz w:val="24"/>
          <w:szCs w:val="24"/>
          <w:lang w:val="it-IT"/>
        </w:rPr>
        <w:t xml:space="preserve"> </w:t>
      </w:r>
      <w:r w:rsidR="00100614">
        <w:rPr>
          <w:rFonts w:cs="Times New Roman"/>
          <w:sz w:val="24"/>
          <w:szCs w:val="24"/>
          <w:lang w:val="it-IT"/>
        </w:rPr>
        <w:t>la probabilità condizionata</w:t>
      </w:r>
      <w:r w:rsidR="00CB50DB">
        <w:rPr>
          <w:rFonts w:cs="Times New Roman"/>
          <w:i/>
          <w:iCs/>
          <w:sz w:val="24"/>
          <w:szCs w:val="24"/>
          <w:lang w:val="it-IT"/>
        </w:rPr>
        <w:t xml:space="preserve"> </w:t>
      </w:r>
      <w:r w:rsidR="00171EA7">
        <w:rPr>
          <w:rFonts w:cs="Times New Roman"/>
          <w:sz w:val="24"/>
          <w:szCs w:val="24"/>
          <w:lang w:val="it-IT"/>
        </w:rPr>
        <w:t>che si verifichino</w:t>
      </w:r>
      <w:r w:rsidR="00FB4E97">
        <w:rPr>
          <w:rFonts w:cs="Times New Roman"/>
          <w:sz w:val="24"/>
          <w:szCs w:val="24"/>
          <w:lang w:val="it-IT"/>
        </w:rPr>
        <w:t xml:space="preserve"> anche</w:t>
      </w:r>
      <w:r w:rsidR="00CB50DB">
        <w:rPr>
          <w:rFonts w:cs="Times New Roman"/>
          <w:sz w:val="24"/>
          <w:szCs w:val="24"/>
          <w:lang w:val="it-IT"/>
        </w:rPr>
        <w:t xml:space="preserve"> </w:t>
      </w:r>
      <w:r w:rsidR="00FB4E97">
        <w:rPr>
          <w:rFonts w:cs="Times New Roman"/>
          <w:sz w:val="24"/>
          <w:szCs w:val="24"/>
          <w:lang w:val="it-IT"/>
        </w:rPr>
        <w:t>casi di scioglimento per mafia.</w:t>
      </w:r>
    </w:p>
    <w:p w14:paraId="0EE921E0" w14:textId="175C04EA" w:rsidR="00C66585" w:rsidRDefault="00C66585" w:rsidP="00912A1F">
      <w:pPr>
        <w:ind w:left="284" w:right="237"/>
        <w:rPr>
          <w:rFonts w:cs="Times New Roman"/>
          <w:sz w:val="24"/>
          <w:szCs w:val="24"/>
          <w:lang w:val="it-IT"/>
        </w:rPr>
      </w:pPr>
    </w:p>
    <w:p w14:paraId="736F7483" w14:textId="5D7990FC" w:rsidR="00F26116" w:rsidRDefault="00C66585" w:rsidP="00C66585">
      <w:pPr>
        <w:spacing w:after="0" w:line="276" w:lineRule="auto"/>
        <w:ind w:left="284" w:right="237"/>
        <w:jc w:val="center"/>
        <w:rPr>
          <w:rFonts w:cs="Times New Roman"/>
          <w:b/>
          <w:bCs/>
          <w:sz w:val="24"/>
          <w:szCs w:val="24"/>
          <w:lang w:val="it-IT"/>
        </w:rPr>
      </w:pPr>
      <w:r w:rsidRPr="00A552BB">
        <w:rPr>
          <w:rFonts w:cs="Times New Roman"/>
          <w:b/>
          <w:bCs/>
          <w:sz w:val="24"/>
          <w:szCs w:val="24"/>
          <w:lang w:val="it-IT"/>
        </w:rPr>
        <w:lastRenderedPageBreak/>
        <w:t xml:space="preserve">Tabella </w:t>
      </w:r>
      <w:r w:rsidR="00BF73C0">
        <w:rPr>
          <w:rFonts w:cs="Times New Roman"/>
          <w:b/>
          <w:bCs/>
          <w:sz w:val="24"/>
          <w:szCs w:val="24"/>
          <w:lang w:val="it-IT"/>
        </w:rPr>
        <w:t>2</w:t>
      </w:r>
    </w:p>
    <w:p w14:paraId="28373259" w14:textId="1DDB3AF6" w:rsidR="00C66585" w:rsidRPr="00A552BB" w:rsidRDefault="00D34B95" w:rsidP="00C66585">
      <w:pPr>
        <w:spacing w:after="0" w:line="276" w:lineRule="auto"/>
        <w:ind w:left="284" w:right="237"/>
        <w:jc w:val="center"/>
        <w:rPr>
          <w:rFonts w:cs="Times New Roman"/>
          <w:sz w:val="24"/>
          <w:szCs w:val="24"/>
          <w:lang w:val="it-IT"/>
        </w:rPr>
      </w:pPr>
      <w:r>
        <w:rPr>
          <w:rFonts w:cs="Times New Roman"/>
          <w:sz w:val="24"/>
          <w:szCs w:val="24"/>
          <w:lang w:val="it-IT"/>
        </w:rPr>
        <w:t xml:space="preserve">Modelli di probabilità – </w:t>
      </w:r>
      <w:r w:rsidR="00C66585">
        <w:rPr>
          <w:rFonts w:cs="Times New Roman"/>
          <w:sz w:val="24"/>
          <w:szCs w:val="24"/>
          <w:lang w:val="it-IT"/>
        </w:rPr>
        <w:t>Criticità finanziaria e infiltrazione mafiosa</w:t>
      </w:r>
    </w:p>
    <w:tbl>
      <w:tblPr>
        <w:tblW w:w="10773" w:type="dxa"/>
        <w:jc w:val="center"/>
        <w:tblLayout w:type="fixed"/>
        <w:tblLook w:val="04A0" w:firstRow="1" w:lastRow="0" w:firstColumn="1" w:lastColumn="0" w:noHBand="0" w:noVBand="1"/>
      </w:tblPr>
      <w:tblGrid>
        <w:gridCol w:w="2976"/>
        <w:gridCol w:w="1275"/>
        <w:gridCol w:w="1278"/>
        <w:gridCol w:w="1417"/>
        <w:gridCol w:w="1133"/>
        <w:gridCol w:w="1276"/>
        <w:gridCol w:w="1418"/>
      </w:tblGrid>
      <w:tr w:rsidR="00F26116" w:rsidRPr="00A552BB" w14:paraId="1086CA9B" w14:textId="77777777" w:rsidTr="00100614">
        <w:trPr>
          <w:trHeight w:val="262"/>
          <w:jc w:val="center"/>
        </w:trPr>
        <w:tc>
          <w:tcPr>
            <w:tcW w:w="2976" w:type="dxa"/>
            <w:vMerge w:val="restart"/>
            <w:tcBorders>
              <w:top w:val="double" w:sz="4" w:space="0" w:color="auto"/>
              <w:left w:val="nil"/>
              <w:right w:val="nil"/>
            </w:tcBorders>
            <w:shd w:val="clear" w:color="auto" w:fill="auto"/>
            <w:noWrap/>
            <w:vAlign w:val="center"/>
          </w:tcPr>
          <w:p w14:paraId="5D5C7FFB" w14:textId="20652B43" w:rsidR="00F26116" w:rsidRPr="00A552BB" w:rsidRDefault="00F26116" w:rsidP="00F26116">
            <w:pPr>
              <w:spacing w:after="0" w:line="240" w:lineRule="auto"/>
              <w:jc w:val="left"/>
              <w:rPr>
                <w:rFonts w:ascii="Arial" w:eastAsia="Times New Roman" w:hAnsi="Arial" w:cs="Arial"/>
                <w:sz w:val="16"/>
                <w:szCs w:val="16"/>
                <w:lang w:val="it-IT" w:eastAsia="en-GB"/>
              </w:rPr>
            </w:pPr>
            <w:r w:rsidRPr="00A552BB">
              <w:rPr>
                <w:rFonts w:ascii="Arial" w:eastAsia="Times New Roman" w:hAnsi="Arial" w:cs="Arial"/>
                <w:sz w:val="16"/>
                <w:szCs w:val="16"/>
                <w:lang w:val="it-IT" w:eastAsia="en-GB"/>
              </w:rPr>
              <w:t xml:space="preserve">Variabile dipendente: </w:t>
            </w:r>
            <w:r w:rsidRPr="00A552BB">
              <w:rPr>
                <w:rFonts w:ascii="Arial" w:eastAsia="Times New Roman" w:hAnsi="Arial" w:cs="Arial"/>
                <w:sz w:val="16"/>
                <w:szCs w:val="16"/>
                <w:lang w:val="it-IT" w:eastAsia="en-GB"/>
              </w:rPr>
              <w:br/>
              <w:t>Scioglimento per infiltrazione mafiosa</w:t>
            </w:r>
          </w:p>
        </w:tc>
        <w:tc>
          <w:tcPr>
            <w:tcW w:w="3970" w:type="dxa"/>
            <w:gridSpan w:val="3"/>
            <w:tcBorders>
              <w:top w:val="double" w:sz="4" w:space="0" w:color="auto"/>
              <w:left w:val="nil"/>
              <w:right w:val="single" w:sz="4" w:space="0" w:color="auto"/>
            </w:tcBorders>
            <w:shd w:val="clear" w:color="auto" w:fill="auto"/>
            <w:noWrap/>
            <w:vAlign w:val="center"/>
          </w:tcPr>
          <w:p w14:paraId="40A69C46" w14:textId="77777777" w:rsidR="00F26116" w:rsidRPr="00A552BB" w:rsidRDefault="00F26116"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Modello di probabilità lineare</w:t>
            </w:r>
          </w:p>
        </w:tc>
        <w:tc>
          <w:tcPr>
            <w:tcW w:w="3827" w:type="dxa"/>
            <w:gridSpan w:val="3"/>
            <w:tcBorders>
              <w:top w:val="double" w:sz="4" w:space="0" w:color="auto"/>
              <w:left w:val="single" w:sz="4" w:space="0" w:color="auto"/>
              <w:right w:val="nil"/>
            </w:tcBorders>
            <w:vAlign w:val="center"/>
          </w:tcPr>
          <w:p w14:paraId="52C5FCF9" w14:textId="1BB1206E" w:rsidR="00F26116" w:rsidRPr="00A552BB" w:rsidRDefault="00F26116"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 xml:space="preserve">Modello </w:t>
            </w:r>
            <w:r w:rsidR="00D912CD">
              <w:rPr>
                <w:rFonts w:ascii="Arial" w:eastAsia="Times New Roman" w:hAnsi="Arial" w:cs="Arial"/>
                <w:sz w:val="16"/>
                <w:szCs w:val="16"/>
                <w:lang w:eastAsia="en-GB"/>
              </w:rPr>
              <w:t>prob</w:t>
            </w:r>
            <w:r w:rsidRPr="00A552BB">
              <w:rPr>
                <w:rFonts w:ascii="Arial" w:eastAsia="Times New Roman" w:hAnsi="Arial" w:cs="Arial"/>
                <w:sz w:val="16"/>
                <w:szCs w:val="16"/>
                <w:lang w:eastAsia="en-GB"/>
              </w:rPr>
              <w:t>it</w:t>
            </w:r>
          </w:p>
        </w:tc>
      </w:tr>
      <w:tr w:rsidR="00F26116" w:rsidRPr="00A552BB" w14:paraId="61FA84AC" w14:textId="77777777" w:rsidTr="00100614">
        <w:trPr>
          <w:trHeight w:val="501"/>
          <w:jc w:val="center"/>
        </w:trPr>
        <w:tc>
          <w:tcPr>
            <w:tcW w:w="2976" w:type="dxa"/>
            <w:vMerge/>
            <w:tcBorders>
              <w:left w:val="nil"/>
              <w:right w:val="nil"/>
            </w:tcBorders>
            <w:shd w:val="clear" w:color="auto" w:fill="auto"/>
            <w:noWrap/>
            <w:vAlign w:val="center"/>
          </w:tcPr>
          <w:p w14:paraId="1E17503C" w14:textId="5A80E023" w:rsidR="00F26116" w:rsidRPr="00F26116" w:rsidRDefault="00F26116" w:rsidP="00F26116">
            <w:pPr>
              <w:spacing w:after="0" w:line="240" w:lineRule="auto"/>
              <w:jc w:val="left"/>
              <w:rPr>
                <w:rFonts w:ascii="Arial" w:eastAsia="Times New Roman" w:hAnsi="Arial" w:cs="Arial"/>
                <w:sz w:val="16"/>
                <w:szCs w:val="16"/>
                <w:lang w:val="it-IT" w:eastAsia="en-GB"/>
              </w:rPr>
            </w:pPr>
          </w:p>
        </w:tc>
        <w:tc>
          <w:tcPr>
            <w:tcW w:w="1275" w:type="dxa"/>
            <w:tcBorders>
              <w:top w:val="nil"/>
              <w:left w:val="nil"/>
              <w:right w:val="nil"/>
            </w:tcBorders>
            <w:shd w:val="clear" w:color="auto" w:fill="auto"/>
            <w:noWrap/>
            <w:vAlign w:val="center"/>
          </w:tcPr>
          <w:p w14:paraId="7F6DE2E9" w14:textId="77777777" w:rsidR="00F26116" w:rsidRPr="00F26116" w:rsidRDefault="00F26116" w:rsidP="006255DA">
            <w:pPr>
              <w:spacing w:after="0" w:line="240" w:lineRule="auto"/>
              <w:jc w:val="center"/>
              <w:rPr>
                <w:rFonts w:ascii="Arial" w:eastAsia="Times New Roman" w:hAnsi="Arial" w:cs="Arial"/>
                <w:sz w:val="16"/>
                <w:szCs w:val="16"/>
                <w:lang w:val="it-IT" w:eastAsia="en-GB"/>
              </w:rPr>
            </w:pPr>
          </w:p>
        </w:tc>
        <w:tc>
          <w:tcPr>
            <w:tcW w:w="1278" w:type="dxa"/>
            <w:tcBorders>
              <w:top w:val="nil"/>
              <w:left w:val="nil"/>
              <w:right w:val="nil"/>
            </w:tcBorders>
            <w:shd w:val="clear" w:color="auto" w:fill="auto"/>
            <w:noWrap/>
            <w:vAlign w:val="center"/>
          </w:tcPr>
          <w:p w14:paraId="35A71209" w14:textId="77777777" w:rsidR="00F26116" w:rsidRPr="00F26116" w:rsidRDefault="00F26116" w:rsidP="006255DA">
            <w:pPr>
              <w:spacing w:after="0" w:line="240" w:lineRule="auto"/>
              <w:jc w:val="center"/>
              <w:rPr>
                <w:rFonts w:ascii="Arial" w:eastAsia="Times New Roman" w:hAnsi="Arial" w:cs="Arial"/>
                <w:sz w:val="16"/>
                <w:szCs w:val="16"/>
                <w:lang w:val="it-IT" w:eastAsia="en-GB"/>
              </w:rPr>
            </w:pPr>
          </w:p>
        </w:tc>
        <w:tc>
          <w:tcPr>
            <w:tcW w:w="1417" w:type="dxa"/>
            <w:tcBorders>
              <w:top w:val="nil"/>
              <w:left w:val="nil"/>
              <w:right w:val="single" w:sz="4" w:space="0" w:color="auto"/>
            </w:tcBorders>
            <w:vAlign w:val="center"/>
          </w:tcPr>
          <w:p w14:paraId="656BB3D1" w14:textId="77777777" w:rsidR="00F26116" w:rsidRPr="00A552BB" w:rsidRDefault="00F26116"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Campania, Calabria, Sicilia</w:t>
            </w:r>
          </w:p>
        </w:tc>
        <w:tc>
          <w:tcPr>
            <w:tcW w:w="1133" w:type="dxa"/>
            <w:tcBorders>
              <w:top w:val="nil"/>
              <w:left w:val="single" w:sz="4" w:space="0" w:color="auto"/>
              <w:right w:val="nil"/>
            </w:tcBorders>
            <w:vAlign w:val="center"/>
          </w:tcPr>
          <w:p w14:paraId="6FDE3CE1" w14:textId="77777777" w:rsidR="00F26116" w:rsidRPr="00A552BB" w:rsidRDefault="00F26116" w:rsidP="006255DA">
            <w:pPr>
              <w:spacing w:after="0" w:line="240" w:lineRule="auto"/>
              <w:jc w:val="center"/>
              <w:rPr>
                <w:rFonts w:ascii="Arial" w:eastAsia="Times New Roman" w:hAnsi="Arial" w:cs="Arial"/>
                <w:sz w:val="16"/>
                <w:szCs w:val="16"/>
                <w:lang w:eastAsia="en-GB"/>
              </w:rPr>
            </w:pPr>
          </w:p>
        </w:tc>
        <w:tc>
          <w:tcPr>
            <w:tcW w:w="1276" w:type="dxa"/>
            <w:tcBorders>
              <w:top w:val="nil"/>
              <w:left w:val="nil"/>
              <w:right w:val="nil"/>
            </w:tcBorders>
            <w:vAlign w:val="center"/>
          </w:tcPr>
          <w:p w14:paraId="3BD2696B" w14:textId="77777777" w:rsidR="00F26116" w:rsidRPr="00A552BB" w:rsidRDefault="00F26116" w:rsidP="006255DA">
            <w:pPr>
              <w:spacing w:after="0" w:line="240" w:lineRule="auto"/>
              <w:jc w:val="center"/>
              <w:rPr>
                <w:rFonts w:ascii="Arial" w:eastAsia="Times New Roman" w:hAnsi="Arial" w:cs="Arial"/>
                <w:sz w:val="16"/>
                <w:szCs w:val="16"/>
                <w:lang w:eastAsia="en-GB"/>
              </w:rPr>
            </w:pPr>
          </w:p>
        </w:tc>
        <w:tc>
          <w:tcPr>
            <w:tcW w:w="1418" w:type="dxa"/>
            <w:tcBorders>
              <w:top w:val="nil"/>
              <w:left w:val="nil"/>
              <w:right w:val="nil"/>
            </w:tcBorders>
            <w:vAlign w:val="center"/>
          </w:tcPr>
          <w:p w14:paraId="1222F415" w14:textId="77777777" w:rsidR="00F26116" w:rsidRPr="00A552BB" w:rsidRDefault="00F26116"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Campania, Calabria, Sicilia</w:t>
            </w:r>
          </w:p>
        </w:tc>
      </w:tr>
      <w:tr w:rsidR="00C66585" w:rsidRPr="00A552BB" w14:paraId="4631A3BA" w14:textId="77777777" w:rsidTr="00100614">
        <w:trPr>
          <w:trHeight w:val="333"/>
          <w:jc w:val="center"/>
        </w:trPr>
        <w:tc>
          <w:tcPr>
            <w:tcW w:w="2976" w:type="dxa"/>
            <w:tcBorders>
              <w:top w:val="nil"/>
              <w:left w:val="nil"/>
              <w:bottom w:val="single" w:sz="4" w:space="0" w:color="auto"/>
              <w:right w:val="nil"/>
            </w:tcBorders>
            <w:shd w:val="clear" w:color="auto" w:fill="auto"/>
            <w:noWrap/>
            <w:vAlign w:val="bottom"/>
            <w:hideMark/>
          </w:tcPr>
          <w:p w14:paraId="62C0996B" w14:textId="77777777" w:rsidR="00C66585" w:rsidRPr="00A552BB" w:rsidRDefault="00C66585" w:rsidP="006255DA">
            <w:pPr>
              <w:spacing w:after="0" w:line="240" w:lineRule="auto"/>
              <w:rPr>
                <w:rFonts w:ascii="Arial" w:eastAsia="Times New Roman" w:hAnsi="Arial" w:cs="Arial"/>
                <w:sz w:val="16"/>
                <w:szCs w:val="16"/>
                <w:lang w:eastAsia="en-GB"/>
              </w:rPr>
            </w:pPr>
            <w:r w:rsidRPr="00A552BB">
              <w:rPr>
                <w:rFonts w:ascii="Arial" w:eastAsia="Times New Roman" w:hAnsi="Arial" w:cs="Arial"/>
                <w:sz w:val="16"/>
                <w:szCs w:val="16"/>
                <w:lang w:eastAsia="en-GB"/>
              </w:rPr>
              <w:t> </w:t>
            </w:r>
          </w:p>
        </w:tc>
        <w:tc>
          <w:tcPr>
            <w:tcW w:w="1275" w:type="dxa"/>
            <w:tcBorders>
              <w:top w:val="nil"/>
              <w:left w:val="nil"/>
              <w:bottom w:val="single" w:sz="4" w:space="0" w:color="auto"/>
              <w:right w:val="nil"/>
            </w:tcBorders>
            <w:shd w:val="clear" w:color="auto" w:fill="auto"/>
            <w:noWrap/>
            <w:vAlign w:val="center"/>
            <w:hideMark/>
          </w:tcPr>
          <w:p w14:paraId="11CA7D08"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(1)</w:t>
            </w:r>
          </w:p>
        </w:tc>
        <w:tc>
          <w:tcPr>
            <w:tcW w:w="1278" w:type="dxa"/>
            <w:tcBorders>
              <w:top w:val="nil"/>
              <w:left w:val="nil"/>
              <w:bottom w:val="single" w:sz="4" w:space="0" w:color="auto"/>
              <w:right w:val="nil"/>
            </w:tcBorders>
            <w:shd w:val="clear" w:color="auto" w:fill="auto"/>
            <w:noWrap/>
            <w:vAlign w:val="center"/>
            <w:hideMark/>
          </w:tcPr>
          <w:p w14:paraId="202B699C"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(2)</w:t>
            </w:r>
          </w:p>
        </w:tc>
        <w:tc>
          <w:tcPr>
            <w:tcW w:w="1417" w:type="dxa"/>
            <w:tcBorders>
              <w:top w:val="nil"/>
              <w:left w:val="nil"/>
              <w:bottom w:val="single" w:sz="4" w:space="0" w:color="auto"/>
              <w:right w:val="single" w:sz="4" w:space="0" w:color="auto"/>
            </w:tcBorders>
            <w:vAlign w:val="center"/>
          </w:tcPr>
          <w:p w14:paraId="3C7F4703"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(3)</w:t>
            </w:r>
          </w:p>
        </w:tc>
        <w:tc>
          <w:tcPr>
            <w:tcW w:w="1133" w:type="dxa"/>
            <w:tcBorders>
              <w:top w:val="nil"/>
              <w:left w:val="single" w:sz="4" w:space="0" w:color="auto"/>
              <w:bottom w:val="single" w:sz="4" w:space="0" w:color="auto"/>
              <w:right w:val="nil"/>
            </w:tcBorders>
            <w:vAlign w:val="center"/>
          </w:tcPr>
          <w:p w14:paraId="79D4008C"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(4)</w:t>
            </w:r>
          </w:p>
        </w:tc>
        <w:tc>
          <w:tcPr>
            <w:tcW w:w="1276" w:type="dxa"/>
            <w:tcBorders>
              <w:top w:val="nil"/>
              <w:left w:val="nil"/>
              <w:bottom w:val="single" w:sz="4" w:space="0" w:color="auto"/>
              <w:right w:val="nil"/>
            </w:tcBorders>
            <w:vAlign w:val="center"/>
          </w:tcPr>
          <w:p w14:paraId="5525FF7B"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(5)</w:t>
            </w:r>
          </w:p>
        </w:tc>
        <w:tc>
          <w:tcPr>
            <w:tcW w:w="1418" w:type="dxa"/>
            <w:tcBorders>
              <w:top w:val="nil"/>
              <w:left w:val="nil"/>
              <w:bottom w:val="single" w:sz="4" w:space="0" w:color="auto"/>
              <w:right w:val="nil"/>
            </w:tcBorders>
            <w:vAlign w:val="center"/>
          </w:tcPr>
          <w:p w14:paraId="2DC6FF01"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eastAsia="Times New Roman" w:hAnsi="Arial" w:cs="Arial"/>
                <w:sz w:val="16"/>
                <w:szCs w:val="16"/>
                <w:lang w:eastAsia="en-GB"/>
              </w:rPr>
              <w:t>(6)</w:t>
            </w:r>
          </w:p>
        </w:tc>
      </w:tr>
      <w:tr w:rsidR="00C66585" w:rsidRPr="00A552BB" w14:paraId="16DAFA9B" w14:textId="77777777" w:rsidTr="00100614">
        <w:trPr>
          <w:trHeight w:val="170"/>
          <w:jc w:val="center"/>
        </w:trPr>
        <w:tc>
          <w:tcPr>
            <w:tcW w:w="2976" w:type="dxa"/>
            <w:tcBorders>
              <w:top w:val="nil"/>
              <w:left w:val="nil"/>
              <w:bottom w:val="nil"/>
              <w:right w:val="nil"/>
            </w:tcBorders>
            <w:shd w:val="clear" w:color="auto" w:fill="auto"/>
            <w:noWrap/>
            <w:vAlign w:val="bottom"/>
          </w:tcPr>
          <w:p w14:paraId="7962F2A7" w14:textId="77777777" w:rsidR="00C66585" w:rsidRPr="00A552BB" w:rsidRDefault="00C66585" w:rsidP="006255DA">
            <w:pPr>
              <w:spacing w:after="0" w:line="240" w:lineRule="auto"/>
              <w:rPr>
                <w:rFonts w:ascii="Arial" w:eastAsia="Times New Roman" w:hAnsi="Arial" w:cs="Arial"/>
                <w:sz w:val="16"/>
                <w:szCs w:val="16"/>
                <w:lang w:eastAsia="en-GB"/>
              </w:rPr>
            </w:pPr>
          </w:p>
        </w:tc>
        <w:tc>
          <w:tcPr>
            <w:tcW w:w="1275" w:type="dxa"/>
            <w:tcBorders>
              <w:top w:val="nil"/>
              <w:left w:val="nil"/>
              <w:bottom w:val="nil"/>
              <w:right w:val="nil"/>
            </w:tcBorders>
            <w:shd w:val="clear" w:color="auto" w:fill="auto"/>
            <w:noWrap/>
            <w:vAlign w:val="bottom"/>
          </w:tcPr>
          <w:p w14:paraId="6403F9EF" w14:textId="77777777" w:rsidR="00C66585" w:rsidRPr="00A552BB" w:rsidRDefault="00C66585" w:rsidP="006255DA">
            <w:pPr>
              <w:spacing w:after="0" w:line="240" w:lineRule="auto"/>
              <w:jc w:val="center"/>
              <w:rPr>
                <w:rFonts w:ascii="Arial" w:hAnsi="Arial" w:cs="Arial"/>
                <w:sz w:val="16"/>
                <w:szCs w:val="16"/>
              </w:rPr>
            </w:pPr>
          </w:p>
        </w:tc>
        <w:tc>
          <w:tcPr>
            <w:tcW w:w="1278" w:type="dxa"/>
            <w:tcBorders>
              <w:top w:val="nil"/>
              <w:left w:val="nil"/>
              <w:bottom w:val="nil"/>
              <w:right w:val="nil"/>
            </w:tcBorders>
            <w:shd w:val="clear" w:color="auto" w:fill="auto"/>
            <w:noWrap/>
            <w:vAlign w:val="bottom"/>
          </w:tcPr>
          <w:p w14:paraId="07983D0A" w14:textId="77777777" w:rsidR="00C66585" w:rsidRPr="00A552BB" w:rsidRDefault="00C66585" w:rsidP="006255DA">
            <w:pPr>
              <w:spacing w:after="0" w:line="240" w:lineRule="auto"/>
              <w:jc w:val="center"/>
              <w:rPr>
                <w:rFonts w:ascii="Arial" w:hAnsi="Arial" w:cs="Arial"/>
                <w:sz w:val="16"/>
                <w:szCs w:val="16"/>
              </w:rPr>
            </w:pPr>
          </w:p>
        </w:tc>
        <w:tc>
          <w:tcPr>
            <w:tcW w:w="1417" w:type="dxa"/>
            <w:tcBorders>
              <w:top w:val="nil"/>
              <w:left w:val="nil"/>
              <w:bottom w:val="nil"/>
              <w:right w:val="single" w:sz="4" w:space="0" w:color="auto"/>
            </w:tcBorders>
          </w:tcPr>
          <w:p w14:paraId="766A5BBB" w14:textId="77777777" w:rsidR="00C66585" w:rsidRPr="00A552BB" w:rsidRDefault="00C66585" w:rsidP="006255DA">
            <w:pPr>
              <w:spacing w:after="0" w:line="240" w:lineRule="auto"/>
              <w:jc w:val="center"/>
              <w:rPr>
                <w:rFonts w:ascii="Arial" w:eastAsia="Times New Roman" w:hAnsi="Arial" w:cs="Arial"/>
                <w:sz w:val="16"/>
                <w:szCs w:val="16"/>
                <w:lang w:eastAsia="en-GB"/>
              </w:rPr>
            </w:pPr>
          </w:p>
        </w:tc>
        <w:tc>
          <w:tcPr>
            <w:tcW w:w="1133" w:type="dxa"/>
            <w:tcBorders>
              <w:top w:val="nil"/>
              <w:left w:val="single" w:sz="4" w:space="0" w:color="auto"/>
              <w:bottom w:val="nil"/>
              <w:right w:val="nil"/>
            </w:tcBorders>
          </w:tcPr>
          <w:p w14:paraId="694E107D" w14:textId="77777777" w:rsidR="00C66585" w:rsidRPr="00A552BB" w:rsidRDefault="00C66585" w:rsidP="006255DA">
            <w:pPr>
              <w:spacing w:after="0" w:line="240" w:lineRule="auto"/>
              <w:jc w:val="center"/>
              <w:rPr>
                <w:rFonts w:ascii="Arial" w:eastAsia="Times New Roman" w:hAnsi="Arial" w:cs="Arial"/>
                <w:sz w:val="16"/>
                <w:szCs w:val="16"/>
                <w:lang w:eastAsia="en-GB"/>
              </w:rPr>
            </w:pPr>
          </w:p>
        </w:tc>
        <w:tc>
          <w:tcPr>
            <w:tcW w:w="1276" w:type="dxa"/>
            <w:tcBorders>
              <w:top w:val="nil"/>
              <w:left w:val="nil"/>
              <w:bottom w:val="nil"/>
              <w:right w:val="nil"/>
            </w:tcBorders>
          </w:tcPr>
          <w:p w14:paraId="72DB797A" w14:textId="77777777" w:rsidR="00C66585" w:rsidRPr="00A552BB" w:rsidRDefault="00C66585" w:rsidP="006255DA">
            <w:pPr>
              <w:spacing w:after="0" w:line="240" w:lineRule="auto"/>
              <w:jc w:val="center"/>
              <w:rPr>
                <w:rFonts w:ascii="Arial" w:eastAsia="Times New Roman" w:hAnsi="Arial" w:cs="Arial"/>
                <w:sz w:val="16"/>
                <w:szCs w:val="16"/>
                <w:lang w:eastAsia="en-GB"/>
              </w:rPr>
            </w:pPr>
          </w:p>
        </w:tc>
        <w:tc>
          <w:tcPr>
            <w:tcW w:w="1418" w:type="dxa"/>
            <w:tcBorders>
              <w:top w:val="nil"/>
              <w:left w:val="nil"/>
              <w:bottom w:val="nil"/>
              <w:right w:val="nil"/>
            </w:tcBorders>
          </w:tcPr>
          <w:p w14:paraId="68D03700" w14:textId="77777777" w:rsidR="00C66585" w:rsidRPr="00A552BB" w:rsidRDefault="00C66585" w:rsidP="006255DA">
            <w:pPr>
              <w:spacing w:after="0" w:line="240" w:lineRule="auto"/>
              <w:jc w:val="center"/>
              <w:rPr>
                <w:rFonts w:ascii="Arial" w:eastAsia="Times New Roman" w:hAnsi="Arial" w:cs="Arial"/>
                <w:sz w:val="16"/>
                <w:szCs w:val="16"/>
                <w:lang w:eastAsia="en-GB"/>
              </w:rPr>
            </w:pPr>
          </w:p>
        </w:tc>
      </w:tr>
      <w:tr w:rsidR="00C66585" w:rsidRPr="00A552BB" w14:paraId="6FE371BE" w14:textId="77777777" w:rsidTr="00100614">
        <w:trPr>
          <w:trHeight w:val="170"/>
          <w:jc w:val="center"/>
        </w:trPr>
        <w:tc>
          <w:tcPr>
            <w:tcW w:w="2976" w:type="dxa"/>
            <w:tcBorders>
              <w:top w:val="nil"/>
              <w:left w:val="nil"/>
              <w:bottom w:val="nil"/>
              <w:right w:val="nil"/>
            </w:tcBorders>
            <w:shd w:val="clear" w:color="auto" w:fill="auto"/>
            <w:noWrap/>
            <w:vAlign w:val="center"/>
            <w:hideMark/>
          </w:tcPr>
          <w:p w14:paraId="69CCCC98" w14:textId="77777777" w:rsidR="00C66585" w:rsidRPr="00A552BB" w:rsidRDefault="00C66585" w:rsidP="006255DA">
            <w:pPr>
              <w:spacing w:after="0" w:line="240" w:lineRule="auto"/>
              <w:jc w:val="left"/>
              <w:rPr>
                <w:rFonts w:ascii="Arial" w:eastAsia="Times New Roman" w:hAnsi="Arial" w:cs="Arial"/>
                <w:sz w:val="16"/>
                <w:szCs w:val="16"/>
                <w:lang w:eastAsia="en-GB"/>
              </w:rPr>
            </w:pPr>
            <w:r w:rsidRPr="00A552BB">
              <w:rPr>
                <w:rFonts w:ascii="Arial" w:eastAsia="Times New Roman" w:hAnsi="Arial" w:cs="Arial"/>
                <w:sz w:val="16"/>
                <w:szCs w:val="16"/>
                <w:lang w:val="it-IT" w:eastAsia="en-GB"/>
              </w:rPr>
              <w:t>Criticità finanziaria</w:t>
            </w:r>
          </w:p>
        </w:tc>
        <w:tc>
          <w:tcPr>
            <w:tcW w:w="1275" w:type="dxa"/>
            <w:tcBorders>
              <w:top w:val="nil"/>
              <w:left w:val="nil"/>
              <w:bottom w:val="nil"/>
              <w:right w:val="nil"/>
            </w:tcBorders>
            <w:shd w:val="clear" w:color="auto" w:fill="auto"/>
            <w:noWrap/>
            <w:vAlign w:val="bottom"/>
            <w:hideMark/>
          </w:tcPr>
          <w:p w14:paraId="70D1DD93"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hAnsi="Arial" w:cs="Arial"/>
                <w:sz w:val="16"/>
                <w:szCs w:val="16"/>
              </w:rPr>
              <w:t>0.126</w:t>
            </w:r>
            <w:r w:rsidRPr="00A552BB">
              <w:rPr>
                <w:rFonts w:ascii="Arial" w:hAnsi="Arial" w:cs="Arial"/>
                <w:sz w:val="16"/>
                <w:szCs w:val="16"/>
                <w:lang w:val="en-US"/>
              </w:rPr>
              <w:t>**</w:t>
            </w:r>
            <w:r w:rsidRPr="00A552BB">
              <w:rPr>
                <w:rFonts w:ascii="Arial" w:hAnsi="Arial" w:cs="Arial"/>
                <w:sz w:val="16"/>
                <w:szCs w:val="16"/>
              </w:rPr>
              <w:t>*</w:t>
            </w:r>
          </w:p>
        </w:tc>
        <w:tc>
          <w:tcPr>
            <w:tcW w:w="1278" w:type="dxa"/>
            <w:tcBorders>
              <w:top w:val="nil"/>
              <w:left w:val="nil"/>
              <w:bottom w:val="nil"/>
              <w:right w:val="nil"/>
            </w:tcBorders>
            <w:shd w:val="clear" w:color="auto" w:fill="auto"/>
            <w:noWrap/>
            <w:vAlign w:val="bottom"/>
          </w:tcPr>
          <w:p w14:paraId="3E2E41FE"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hAnsi="Arial" w:cs="Arial"/>
                <w:sz w:val="16"/>
                <w:szCs w:val="16"/>
              </w:rPr>
              <w:t>0.045**</w:t>
            </w:r>
          </w:p>
        </w:tc>
        <w:tc>
          <w:tcPr>
            <w:tcW w:w="1417" w:type="dxa"/>
            <w:tcBorders>
              <w:top w:val="nil"/>
              <w:left w:val="nil"/>
              <w:bottom w:val="nil"/>
              <w:right w:val="single" w:sz="4" w:space="0" w:color="auto"/>
            </w:tcBorders>
            <w:vAlign w:val="bottom"/>
          </w:tcPr>
          <w:p w14:paraId="0FA69534" w14:textId="77777777" w:rsidR="00C66585" w:rsidRPr="00A552BB" w:rsidRDefault="00C66585" w:rsidP="006255DA">
            <w:pPr>
              <w:spacing w:after="0" w:line="240" w:lineRule="auto"/>
              <w:jc w:val="center"/>
              <w:rPr>
                <w:rFonts w:ascii="Arial" w:hAnsi="Arial" w:cs="Arial"/>
                <w:sz w:val="16"/>
                <w:szCs w:val="16"/>
              </w:rPr>
            </w:pPr>
            <w:r w:rsidRPr="00A552BB">
              <w:rPr>
                <w:rFonts w:ascii="Arial" w:hAnsi="Arial" w:cs="Arial"/>
                <w:sz w:val="16"/>
                <w:szCs w:val="16"/>
              </w:rPr>
              <w:t>0.084</w:t>
            </w:r>
            <w:r w:rsidRPr="00A552BB">
              <w:rPr>
                <w:rFonts w:ascii="Arial" w:hAnsi="Arial" w:cs="Arial"/>
                <w:sz w:val="16"/>
                <w:szCs w:val="16"/>
                <w:lang w:val="en-US"/>
              </w:rPr>
              <w:t>*</w:t>
            </w:r>
            <w:r w:rsidRPr="00A552BB">
              <w:rPr>
                <w:rFonts w:ascii="Arial" w:hAnsi="Arial" w:cs="Arial"/>
                <w:sz w:val="16"/>
                <w:szCs w:val="16"/>
              </w:rPr>
              <w:t>**</w:t>
            </w:r>
          </w:p>
        </w:tc>
        <w:tc>
          <w:tcPr>
            <w:tcW w:w="1133" w:type="dxa"/>
            <w:tcBorders>
              <w:top w:val="nil"/>
              <w:left w:val="single" w:sz="4" w:space="0" w:color="auto"/>
              <w:bottom w:val="nil"/>
              <w:right w:val="nil"/>
            </w:tcBorders>
          </w:tcPr>
          <w:p w14:paraId="04B69CE6" w14:textId="5AD0DB95" w:rsidR="00C66585" w:rsidRPr="00A552BB" w:rsidRDefault="009A1857" w:rsidP="006255DA">
            <w:pPr>
              <w:spacing w:after="0" w:line="240" w:lineRule="auto"/>
              <w:jc w:val="center"/>
              <w:rPr>
                <w:rFonts w:ascii="Arial" w:hAnsi="Arial" w:cs="Arial"/>
                <w:sz w:val="16"/>
                <w:szCs w:val="16"/>
              </w:rPr>
            </w:pPr>
            <w:r>
              <w:rPr>
                <w:rFonts w:ascii="Arial" w:hAnsi="Arial" w:cs="Arial"/>
                <w:sz w:val="16"/>
                <w:szCs w:val="16"/>
              </w:rPr>
              <w:t>0.064</w:t>
            </w:r>
            <w:r w:rsidR="00C66585" w:rsidRPr="00A552BB">
              <w:rPr>
                <w:rFonts w:ascii="Arial" w:hAnsi="Arial" w:cs="Arial"/>
                <w:sz w:val="16"/>
                <w:szCs w:val="16"/>
              </w:rPr>
              <w:t>***</w:t>
            </w:r>
          </w:p>
        </w:tc>
        <w:tc>
          <w:tcPr>
            <w:tcW w:w="1276" w:type="dxa"/>
            <w:tcBorders>
              <w:top w:val="nil"/>
              <w:left w:val="nil"/>
              <w:bottom w:val="nil"/>
              <w:right w:val="nil"/>
            </w:tcBorders>
          </w:tcPr>
          <w:p w14:paraId="6CADCF16" w14:textId="54224E08" w:rsidR="00C66585" w:rsidRPr="00A552BB" w:rsidRDefault="009A1857" w:rsidP="006255DA">
            <w:pPr>
              <w:spacing w:after="0" w:line="240" w:lineRule="auto"/>
              <w:jc w:val="center"/>
              <w:rPr>
                <w:rFonts w:ascii="Arial" w:hAnsi="Arial" w:cs="Arial"/>
                <w:sz w:val="16"/>
                <w:szCs w:val="16"/>
              </w:rPr>
            </w:pPr>
            <w:r>
              <w:rPr>
                <w:rFonts w:ascii="Arial" w:hAnsi="Arial" w:cs="Arial"/>
                <w:sz w:val="16"/>
                <w:szCs w:val="16"/>
              </w:rPr>
              <w:t>0.047</w:t>
            </w:r>
            <w:r w:rsidR="00C66585" w:rsidRPr="00A552BB">
              <w:rPr>
                <w:rFonts w:ascii="Arial" w:hAnsi="Arial" w:cs="Arial"/>
                <w:sz w:val="16"/>
                <w:szCs w:val="16"/>
              </w:rPr>
              <w:t>***</w:t>
            </w:r>
          </w:p>
        </w:tc>
        <w:tc>
          <w:tcPr>
            <w:tcW w:w="1418" w:type="dxa"/>
            <w:tcBorders>
              <w:top w:val="nil"/>
              <w:left w:val="nil"/>
              <w:bottom w:val="nil"/>
              <w:right w:val="nil"/>
            </w:tcBorders>
          </w:tcPr>
          <w:p w14:paraId="62EE6D49" w14:textId="07B51009" w:rsidR="00C66585" w:rsidRPr="00A552BB" w:rsidRDefault="009A1857" w:rsidP="006255DA">
            <w:pPr>
              <w:spacing w:after="0" w:line="240" w:lineRule="auto"/>
              <w:jc w:val="center"/>
              <w:rPr>
                <w:rFonts w:ascii="Arial" w:hAnsi="Arial" w:cs="Arial"/>
                <w:sz w:val="16"/>
                <w:szCs w:val="16"/>
              </w:rPr>
            </w:pPr>
            <w:r>
              <w:rPr>
                <w:rFonts w:ascii="Arial" w:hAnsi="Arial" w:cs="Arial"/>
                <w:sz w:val="16"/>
                <w:szCs w:val="16"/>
              </w:rPr>
              <w:t>0.083</w:t>
            </w:r>
            <w:r w:rsidR="00C66585" w:rsidRPr="00A552BB">
              <w:rPr>
                <w:rFonts w:ascii="Arial" w:hAnsi="Arial" w:cs="Arial"/>
                <w:sz w:val="16"/>
                <w:szCs w:val="16"/>
              </w:rPr>
              <w:t>***</w:t>
            </w:r>
          </w:p>
        </w:tc>
      </w:tr>
      <w:tr w:rsidR="00C66585" w:rsidRPr="00A552BB" w14:paraId="12B3BAC7" w14:textId="77777777" w:rsidTr="00100614">
        <w:trPr>
          <w:trHeight w:val="170"/>
          <w:jc w:val="center"/>
        </w:trPr>
        <w:tc>
          <w:tcPr>
            <w:tcW w:w="2976" w:type="dxa"/>
            <w:tcBorders>
              <w:top w:val="nil"/>
              <w:left w:val="nil"/>
              <w:bottom w:val="nil"/>
              <w:right w:val="nil"/>
            </w:tcBorders>
            <w:shd w:val="clear" w:color="auto" w:fill="auto"/>
            <w:noWrap/>
            <w:vAlign w:val="center"/>
            <w:hideMark/>
          </w:tcPr>
          <w:p w14:paraId="038F7944" w14:textId="77777777" w:rsidR="00C66585" w:rsidRPr="00A552BB" w:rsidRDefault="00C66585" w:rsidP="006255DA">
            <w:pPr>
              <w:spacing w:after="0" w:line="240" w:lineRule="auto"/>
              <w:jc w:val="left"/>
              <w:rPr>
                <w:rFonts w:ascii="Arial" w:eastAsia="Times New Roman" w:hAnsi="Arial" w:cs="Arial"/>
                <w:sz w:val="16"/>
                <w:szCs w:val="16"/>
                <w:lang w:eastAsia="en-GB"/>
              </w:rPr>
            </w:pPr>
          </w:p>
        </w:tc>
        <w:tc>
          <w:tcPr>
            <w:tcW w:w="1275" w:type="dxa"/>
            <w:tcBorders>
              <w:top w:val="nil"/>
              <w:left w:val="nil"/>
              <w:bottom w:val="nil"/>
              <w:right w:val="nil"/>
            </w:tcBorders>
            <w:shd w:val="clear" w:color="auto" w:fill="auto"/>
            <w:noWrap/>
            <w:vAlign w:val="bottom"/>
            <w:hideMark/>
          </w:tcPr>
          <w:p w14:paraId="322BE744"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hAnsi="Arial" w:cs="Arial"/>
                <w:sz w:val="16"/>
                <w:szCs w:val="16"/>
              </w:rPr>
              <w:t>(0.0340)</w:t>
            </w:r>
          </w:p>
        </w:tc>
        <w:tc>
          <w:tcPr>
            <w:tcW w:w="1278" w:type="dxa"/>
            <w:tcBorders>
              <w:top w:val="nil"/>
              <w:left w:val="nil"/>
              <w:bottom w:val="nil"/>
              <w:right w:val="nil"/>
            </w:tcBorders>
            <w:shd w:val="clear" w:color="auto" w:fill="auto"/>
            <w:noWrap/>
            <w:vAlign w:val="bottom"/>
          </w:tcPr>
          <w:p w14:paraId="5953F311"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hAnsi="Arial" w:cs="Arial"/>
                <w:sz w:val="16"/>
                <w:szCs w:val="16"/>
              </w:rPr>
              <w:t>(0.0174)</w:t>
            </w:r>
          </w:p>
        </w:tc>
        <w:tc>
          <w:tcPr>
            <w:tcW w:w="1417" w:type="dxa"/>
            <w:tcBorders>
              <w:top w:val="nil"/>
              <w:left w:val="nil"/>
              <w:bottom w:val="nil"/>
              <w:right w:val="single" w:sz="4" w:space="0" w:color="auto"/>
            </w:tcBorders>
            <w:vAlign w:val="bottom"/>
          </w:tcPr>
          <w:p w14:paraId="04A0CB71" w14:textId="77777777" w:rsidR="00C66585" w:rsidRPr="00A552BB" w:rsidRDefault="00C66585" w:rsidP="006255DA">
            <w:pPr>
              <w:spacing w:after="0" w:line="240" w:lineRule="auto"/>
              <w:jc w:val="center"/>
              <w:rPr>
                <w:rFonts w:ascii="Arial" w:hAnsi="Arial" w:cs="Arial"/>
                <w:sz w:val="16"/>
                <w:szCs w:val="16"/>
              </w:rPr>
            </w:pPr>
            <w:r w:rsidRPr="00A552BB">
              <w:rPr>
                <w:rFonts w:ascii="Arial" w:hAnsi="Arial" w:cs="Arial"/>
                <w:sz w:val="16"/>
                <w:szCs w:val="16"/>
              </w:rPr>
              <w:t>(0.0275)</w:t>
            </w:r>
          </w:p>
        </w:tc>
        <w:tc>
          <w:tcPr>
            <w:tcW w:w="1133" w:type="dxa"/>
            <w:tcBorders>
              <w:top w:val="nil"/>
              <w:left w:val="single" w:sz="4" w:space="0" w:color="auto"/>
              <w:bottom w:val="nil"/>
              <w:right w:val="nil"/>
            </w:tcBorders>
          </w:tcPr>
          <w:p w14:paraId="27A94F9F" w14:textId="77777777" w:rsidR="00C66585" w:rsidRPr="00A552BB" w:rsidRDefault="00C66585" w:rsidP="006255DA">
            <w:pPr>
              <w:spacing w:after="0" w:line="240" w:lineRule="auto"/>
              <w:jc w:val="center"/>
              <w:rPr>
                <w:rFonts w:ascii="Arial" w:hAnsi="Arial" w:cs="Arial"/>
                <w:sz w:val="16"/>
                <w:szCs w:val="16"/>
              </w:rPr>
            </w:pPr>
            <w:r w:rsidRPr="00A552BB">
              <w:rPr>
                <w:rFonts w:ascii="Arial" w:hAnsi="Arial" w:cs="Arial"/>
                <w:sz w:val="16"/>
                <w:szCs w:val="16"/>
              </w:rPr>
              <w:t>(1.066)</w:t>
            </w:r>
          </w:p>
        </w:tc>
        <w:tc>
          <w:tcPr>
            <w:tcW w:w="1276" w:type="dxa"/>
            <w:tcBorders>
              <w:top w:val="nil"/>
              <w:left w:val="nil"/>
              <w:bottom w:val="nil"/>
              <w:right w:val="nil"/>
            </w:tcBorders>
          </w:tcPr>
          <w:p w14:paraId="256048A0" w14:textId="77777777" w:rsidR="00C66585" w:rsidRPr="00A552BB" w:rsidRDefault="00C66585" w:rsidP="006255DA">
            <w:pPr>
              <w:spacing w:after="0" w:line="240" w:lineRule="auto"/>
              <w:jc w:val="center"/>
              <w:rPr>
                <w:rFonts w:ascii="Arial" w:hAnsi="Arial" w:cs="Arial"/>
                <w:sz w:val="16"/>
                <w:szCs w:val="16"/>
              </w:rPr>
            </w:pPr>
            <w:r w:rsidRPr="00A552BB">
              <w:rPr>
                <w:rFonts w:ascii="Arial" w:hAnsi="Arial" w:cs="Arial"/>
                <w:sz w:val="16"/>
                <w:szCs w:val="16"/>
              </w:rPr>
              <w:t>(0.249)</w:t>
            </w:r>
          </w:p>
        </w:tc>
        <w:tc>
          <w:tcPr>
            <w:tcW w:w="1418" w:type="dxa"/>
            <w:tcBorders>
              <w:top w:val="nil"/>
              <w:left w:val="nil"/>
              <w:bottom w:val="nil"/>
              <w:right w:val="nil"/>
            </w:tcBorders>
          </w:tcPr>
          <w:p w14:paraId="79CEEF00" w14:textId="77777777" w:rsidR="00C66585" w:rsidRPr="00A552BB" w:rsidRDefault="00C66585" w:rsidP="006255DA">
            <w:pPr>
              <w:spacing w:after="0" w:line="240" w:lineRule="auto"/>
              <w:jc w:val="center"/>
              <w:rPr>
                <w:rFonts w:ascii="Arial" w:hAnsi="Arial" w:cs="Arial"/>
                <w:sz w:val="16"/>
                <w:szCs w:val="16"/>
              </w:rPr>
            </w:pPr>
            <w:r w:rsidRPr="00A552BB">
              <w:rPr>
                <w:rFonts w:ascii="Arial" w:hAnsi="Arial" w:cs="Arial"/>
                <w:sz w:val="16"/>
                <w:szCs w:val="16"/>
              </w:rPr>
              <w:t>(0.281)</w:t>
            </w:r>
          </w:p>
        </w:tc>
      </w:tr>
      <w:tr w:rsidR="00C66585" w:rsidRPr="00A552BB" w14:paraId="731AAA87" w14:textId="77777777" w:rsidTr="00100614">
        <w:trPr>
          <w:trHeight w:val="170"/>
          <w:jc w:val="center"/>
        </w:trPr>
        <w:tc>
          <w:tcPr>
            <w:tcW w:w="2976" w:type="dxa"/>
            <w:tcBorders>
              <w:top w:val="nil"/>
              <w:left w:val="nil"/>
              <w:bottom w:val="nil"/>
              <w:right w:val="nil"/>
            </w:tcBorders>
            <w:shd w:val="clear" w:color="auto" w:fill="auto"/>
            <w:noWrap/>
            <w:vAlign w:val="center"/>
          </w:tcPr>
          <w:p w14:paraId="14112DCD" w14:textId="77777777" w:rsidR="00C66585" w:rsidRPr="00A552BB" w:rsidRDefault="00C66585" w:rsidP="006255DA">
            <w:pPr>
              <w:spacing w:after="0" w:line="240" w:lineRule="auto"/>
              <w:jc w:val="left"/>
              <w:rPr>
                <w:rFonts w:ascii="Arial" w:eastAsia="Times New Roman" w:hAnsi="Arial" w:cs="Arial"/>
                <w:sz w:val="16"/>
                <w:szCs w:val="16"/>
                <w:lang w:eastAsia="en-GB"/>
              </w:rPr>
            </w:pPr>
          </w:p>
        </w:tc>
        <w:tc>
          <w:tcPr>
            <w:tcW w:w="1275" w:type="dxa"/>
            <w:tcBorders>
              <w:top w:val="nil"/>
              <w:left w:val="nil"/>
              <w:bottom w:val="nil"/>
              <w:right w:val="nil"/>
            </w:tcBorders>
            <w:shd w:val="clear" w:color="auto" w:fill="auto"/>
            <w:noWrap/>
            <w:vAlign w:val="bottom"/>
          </w:tcPr>
          <w:p w14:paraId="7216CC37" w14:textId="77777777" w:rsidR="00C66585" w:rsidRPr="00A552BB" w:rsidRDefault="00C66585" w:rsidP="006255DA">
            <w:pPr>
              <w:spacing w:after="0" w:line="240" w:lineRule="auto"/>
              <w:rPr>
                <w:rFonts w:ascii="Arial" w:eastAsia="Times New Roman" w:hAnsi="Arial" w:cs="Arial"/>
                <w:sz w:val="16"/>
                <w:szCs w:val="16"/>
                <w:lang w:eastAsia="en-GB"/>
              </w:rPr>
            </w:pPr>
          </w:p>
        </w:tc>
        <w:tc>
          <w:tcPr>
            <w:tcW w:w="1278" w:type="dxa"/>
            <w:tcBorders>
              <w:top w:val="nil"/>
              <w:left w:val="nil"/>
              <w:bottom w:val="nil"/>
              <w:right w:val="nil"/>
            </w:tcBorders>
            <w:shd w:val="clear" w:color="auto" w:fill="auto"/>
            <w:noWrap/>
            <w:vAlign w:val="bottom"/>
          </w:tcPr>
          <w:p w14:paraId="6FA54367" w14:textId="77777777" w:rsidR="00C66585" w:rsidRPr="00A552BB" w:rsidRDefault="00C66585" w:rsidP="006255DA">
            <w:pPr>
              <w:spacing w:after="0" w:line="240" w:lineRule="auto"/>
              <w:jc w:val="center"/>
              <w:rPr>
                <w:rFonts w:ascii="Arial" w:eastAsia="Times New Roman" w:hAnsi="Arial" w:cs="Arial"/>
                <w:sz w:val="16"/>
                <w:szCs w:val="16"/>
                <w:lang w:eastAsia="en-GB"/>
              </w:rPr>
            </w:pPr>
          </w:p>
        </w:tc>
        <w:tc>
          <w:tcPr>
            <w:tcW w:w="1417" w:type="dxa"/>
            <w:tcBorders>
              <w:top w:val="nil"/>
              <w:left w:val="nil"/>
              <w:bottom w:val="nil"/>
              <w:right w:val="single" w:sz="4" w:space="0" w:color="auto"/>
            </w:tcBorders>
            <w:vAlign w:val="bottom"/>
          </w:tcPr>
          <w:p w14:paraId="3217B623" w14:textId="77777777" w:rsidR="00C66585" w:rsidRPr="00A552BB" w:rsidRDefault="00C66585" w:rsidP="006255DA">
            <w:pPr>
              <w:spacing w:after="0" w:line="240" w:lineRule="auto"/>
              <w:jc w:val="center"/>
              <w:rPr>
                <w:rFonts w:ascii="Arial" w:hAnsi="Arial" w:cs="Arial"/>
                <w:sz w:val="16"/>
                <w:szCs w:val="16"/>
              </w:rPr>
            </w:pPr>
          </w:p>
        </w:tc>
        <w:tc>
          <w:tcPr>
            <w:tcW w:w="1133" w:type="dxa"/>
            <w:tcBorders>
              <w:top w:val="nil"/>
              <w:left w:val="single" w:sz="4" w:space="0" w:color="auto"/>
              <w:bottom w:val="nil"/>
              <w:right w:val="nil"/>
            </w:tcBorders>
          </w:tcPr>
          <w:p w14:paraId="52B32FF6" w14:textId="77777777" w:rsidR="00C66585" w:rsidRPr="00A552BB" w:rsidRDefault="00C66585" w:rsidP="006255DA">
            <w:pPr>
              <w:spacing w:after="0" w:line="240" w:lineRule="auto"/>
              <w:jc w:val="center"/>
              <w:rPr>
                <w:rFonts w:ascii="Arial" w:hAnsi="Arial" w:cs="Arial"/>
                <w:sz w:val="16"/>
                <w:szCs w:val="16"/>
              </w:rPr>
            </w:pPr>
          </w:p>
        </w:tc>
        <w:tc>
          <w:tcPr>
            <w:tcW w:w="1276" w:type="dxa"/>
            <w:tcBorders>
              <w:top w:val="nil"/>
              <w:left w:val="nil"/>
              <w:bottom w:val="nil"/>
              <w:right w:val="nil"/>
            </w:tcBorders>
          </w:tcPr>
          <w:p w14:paraId="3F43C2A4" w14:textId="77777777" w:rsidR="00C66585" w:rsidRPr="00A552BB" w:rsidRDefault="00C66585" w:rsidP="006255DA">
            <w:pPr>
              <w:spacing w:after="0" w:line="240" w:lineRule="auto"/>
              <w:jc w:val="center"/>
              <w:rPr>
                <w:rFonts w:ascii="Arial" w:hAnsi="Arial" w:cs="Arial"/>
                <w:sz w:val="16"/>
                <w:szCs w:val="16"/>
              </w:rPr>
            </w:pPr>
          </w:p>
        </w:tc>
        <w:tc>
          <w:tcPr>
            <w:tcW w:w="1418" w:type="dxa"/>
            <w:tcBorders>
              <w:top w:val="nil"/>
              <w:left w:val="nil"/>
              <w:bottom w:val="nil"/>
              <w:right w:val="nil"/>
            </w:tcBorders>
          </w:tcPr>
          <w:p w14:paraId="258ED1FD" w14:textId="77777777" w:rsidR="00C66585" w:rsidRPr="00A552BB" w:rsidRDefault="00C66585" w:rsidP="006255DA">
            <w:pPr>
              <w:spacing w:after="0" w:line="240" w:lineRule="auto"/>
              <w:jc w:val="center"/>
              <w:rPr>
                <w:rFonts w:ascii="Arial" w:hAnsi="Arial" w:cs="Arial"/>
                <w:sz w:val="16"/>
                <w:szCs w:val="16"/>
              </w:rPr>
            </w:pPr>
          </w:p>
        </w:tc>
      </w:tr>
      <w:tr w:rsidR="009A1857" w:rsidRPr="00A552BB" w14:paraId="534C71C0" w14:textId="77777777" w:rsidTr="00100614">
        <w:trPr>
          <w:trHeight w:val="380"/>
          <w:jc w:val="center"/>
        </w:trPr>
        <w:tc>
          <w:tcPr>
            <w:tcW w:w="2976" w:type="dxa"/>
            <w:tcBorders>
              <w:top w:val="nil"/>
              <w:left w:val="nil"/>
              <w:bottom w:val="nil"/>
              <w:right w:val="nil"/>
            </w:tcBorders>
            <w:shd w:val="clear" w:color="auto" w:fill="auto"/>
            <w:noWrap/>
            <w:vAlign w:val="center"/>
          </w:tcPr>
          <w:p w14:paraId="5C01D748" w14:textId="77777777" w:rsidR="009A1857" w:rsidRPr="00A552BB" w:rsidRDefault="009A1857" w:rsidP="009A1857">
            <w:pPr>
              <w:spacing w:after="0" w:line="240" w:lineRule="auto"/>
              <w:jc w:val="left"/>
              <w:rPr>
                <w:rFonts w:ascii="Arial" w:eastAsia="Times New Roman" w:hAnsi="Arial" w:cs="Arial"/>
                <w:sz w:val="16"/>
                <w:szCs w:val="16"/>
                <w:lang w:eastAsia="en-GB"/>
              </w:rPr>
            </w:pPr>
            <w:r w:rsidRPr="00A552BB">
              <w:rPr>
                <w:rFonts w:ascii="Arial" w:eastAsia="Times New Roman" w:hAnsi="Arial" w:cs="Arial"/>
                <w:sz w:val="16"/>
                <w:szCs w:val="16"/>
                <w:lang w:eastAsia="en-GB"/>
              </w:rPr>
              <w:t>Effetti fissi provinciali</w:t>
            </w:r>
          </w:p>
        </w:tc>
        <w:tc>
          <w:tcPr>
            <w:tcW w:w="1275" w:type="dxa"/>
            <w:tcBorders>
              <w:top w:val="nil"/>
              <w:left w:val="nil"/>
              <w:bottom w:val="nil"/>
              <w:right w:val="nil"/>
            </w:tcBorders>
            <w:shd w:val="clear" w:color="auto" w:fill="auto"/>
            <w:noWrap/>
            <w:vAlign w:val="center"/>
          </w:tcPr>
          <w:p w14:paraId="4DACD759" w14:textId="77777777" w:rsidR="009A1857" w:rsidRPr="00A552BB" w:rsidRDefault="009A1857" w:rsidP="009A1857">
            <w:pPr>
              <w:spacing w:after="0" w:line="240" w:lineRule="auto"/>
              <w:jc w:val="center"/>
              <w:rPr>
                <w:rFonts w:ascii="Arial" w:eastAsia="Times New Roman" w:hAnsi="Arial" w:cs="Arial"/>
                <w:sz w:val="16"/>
                <w:szCs w:val="16"/>
                <w:lang w:eastAsia="en-GB"/>
              </w:rPr>
            </w:pPr>
          </w:p>
        </w:tc>
        <w:tc>
          <w:tcPr>
            <w:tcW w:w="1278" w:type="dxa"/>
            <w:tcBorders>
              <w:top w:val="nil"/>
              <w:left w:val="nil"/>
              <w:bottom w:val="nil"/>
              <w:right w:val="nil"/>
            </w:tcBorders>
            <w:shd w:val="clear" w:color="auto" w:fill="auto"/>
            <w:noWrap/>
            <w:vAlign w:val="center"/>
          </w:tcPr>
          <w:p w14:paraId="7ACE4446" w14:textId="77777777" w:rsidR="009A1857" w:rsidRPr="00A552BB" w:rsidRDefault="009A1857" w:rsidP="009A1857">
            <w:pPr>
              <w:spacing w:after="0" w:line="240" w:lineRule="auto"/>
              <w:jc w:val="center"/>
              <w:rPr>
                <w:rFonts w:ascii="Arial" w:eastAsia="Times New Roman" w:hAnsi="Arial" w:cs="Arial"/>
                <w:color w:val="000000"/>
                <w:sz w:val="16"/>
                <w:szCs w:val="16"/>
                <w:lang w:eastAsia="en-GB"/>
              </w:rPr>
            </w:pPr>
            <w:r w:rsidRPr="00A552BB">
              <w:rPr>
                <w:rFonts w:ascii="Segoe UI Symbol" w:eastAsia="Times New Roman" w:hAnsi="Segoe UI Symbol" w:cs="Segoe UI Symbol"/>
                <w:color w:val="000000"/>
                <w:sz w:val="16"/>
                <w:szCs w:val="16"/>
                <w:lang w:eastAsia="en-GB"/>
              </w:rPr>
              <w:t>✓</w:t>
            </w:r>
          </w:p>
        </w:tc>
        <w:tc>
          <w:tcPr>
            <w:tcW w:w="1417" w:type="dxa"/>
            <w:tcBorders>
              <w:top w:val="nil"/>
              <w:left w:val="nil"/>
              <w:bottom w:val="nil"/>
              <w:right w:val="single" w:sz="4" w:space="0" w:color="auto"/>
            </w:tcBorders>
            <w:vAlign w:val="center"/>
          </w:tcPr>
          <w:p w14:paraId="561E348E" w14:textId="77777777" w:rsidR="009A1857" w:rsidRPr="00A552BB" w:rsidRDefault="009A1857" w:rsidP="009A1857">
            <w:pPr>
              <w:spacing w:after="0" w:line="240" w:lineRule="auto"/>
              <w:jc w:val="center"/>
              <w:rPr>
                <w:rFonts w:ascii="Arial" w:eastAsia="Times New Roman" w:hAnsi="Arial" w:cs="Arial"/>
                <w:color w:val="000000"/>
                <w:sz w:val="16"/>
                <w:szCs w:val="16"/>
                <w:lang w:eastAsia="en-GB"/>
              </w:rPr>
            </w:pPr>
            <w:r w:rsidRPr="00A552BB">
              <w:rPr>
                <w:rFonts w:ascii="Segoe UI Symbol" w:eastAsia="Times New Roman" w:hAnsi="Segoe UI Symbol" w:cs="Segoe UI Symbol"/>
                <w:color w:val="000000"/>
                <w:sz w:val="16"/>
                <w:szCs w:val="16"/>
                <w:lang w:eastAsia="en-GB"/>
              </w:rPr>
              <w:t>✓</w:t>
            </w:r>
          </w:p>
        </w:tc>
        <w:tc>
          <w:tcPr>
            <w:tcW w:w="1133" w:type="dxa"/>
            <w:tcBorders>
              <w:top w:val="nil"/>
              <w:left w:val="single" w:sz="4" w:space="0" w:color="auto"/>
              <w:bottom w:val="nil"/>
              <w:right w:val="nil"/>
            </w:tcBorders>
            <w:vAlign w:val="center"/>
          </w:tcPr>
          <w:p w14:paraId="5FD300A1" w14:textId="77777777" w:rsidR="009A1857" w:rsidRPr="00A552BB" w:rsidRDefault="009A1857" w:rsidP="009A1857">
            <w:pPr>
              <w:spacing w:after="0" w:line="240" w:lineRule="auto"/>
              <w:jc w:val="center"/>
              <w:rPr>
                <w:rFonts w:ascii="Arial" w:eastAsia="Times New Roman" w:hAnsi="Arial" w:cs="Arial"/>
                <w:color w:val="000000"/>
                <w:sz w:val="16"/>
                <w:szCs w:val="16"/>
                <w:lang w:eastAsia="en-GB"/>
              </w:rPr>
            </w:pPr>
          </w:p>
        </w:tc>
        <w:tc>
          <w:tcPr>
            <w:tcW w:w="1276" w:type="dxa"/>
            <w:tcBorders>
              <w:top w:val="nil"/>
              <w:left w:val="nil"/>
              <w:bottom w:val="nil"/>
              <w:right w:val="nil"/>
            </w:tcBorders>
            <w:vAlign w:val="center"/>
          </w:tcPr>
          <w:p w14:paraId="3CCC008C" w14:textId="64F0D7C8" w:rsidR="009A1857" w:rsidRPr="00A552BB" w:rsidRDefault="009A1857" w:rsidP="009A1857">
            <w:pPr>
              <w:spacing w:after="0" w:line="240" w:lineRule="auto"/>
              <w:jc w:val="center"/>
              <w:rPr>
                <w:rFonts w:ascii="Arial" w:eastAsia="Times New Roman" w:hAnsi="Arial" w:cs="Arial"/>
                <w:color w:val="000000"/>
                <w:sz w:val="16"/>
                <w:szCs w:val="16"/>
                <w:lang w:eastAsia="en-GB"/>
              </w:rPr>
            </w:pPr>
            <w:r w:rsidRPr="00A552BB">
              <w:rPr>
                <w:rFonts w:ascii="Segoe UI Symbol" w:eastAsia="Times New Roman" w:hAnsi="Segoe UI Symbol" w:cs="Segoe UI Symbol"/>
                <w:color w:val="000000"/>
                <w:sz w:val="16"/>
                <w:szCs w:val="16"/>
                <w:lang w:eastAsia="en-GB"/>
              </w:rPr>
              <w:t>✓</w:t>
            </w:r>
          </w:p>
        </w:tc>
        <w:tc>
          <w:tcPr>
            <w:tcW w:w="1418" w:type="dxa"/>
            <w:tcBorders>
              <w:top w:val="nil"/>
              <w:left w:val="nil"/>
              <w:bottom w:val="nil"/>
              <w:right w:val="nil"/>
            </w:tcBorders>
            <w:vAlign w:val="center"/>
          </w:tcPr>
          <w:p w14:paraId="793DCF73" w14:textId="069301A8" w:rsidR="009A1857" w:rsidRPr="00A552BB" w:rsidRDefault="009A1857" w:rsidP="009A1857">
            <w:pPr>
              <w:spacing w:after="0" w:line="240" w:lineRule="auto"/>
              <w:jc w:val="center"/>
              <w:rPr>
                <w:rFonts w:ascii="Arial" w:eastAsia="Times New Roman" w:hAnsi="Arial" w:cs="Arial"/>
                <w:color w:val="000000"/>
                <w:sz w:val="16"/>
                <w:szCs w:val="16"/>
                <w:lang w:eastAsia="en-GB"/>
              </w:rPr>
            </w:pPr>
            <w:r w:rsidRPr="00A552BB">
              <w:rPr>
                <w:rFonts w:ascii="Segoe UI Symbol" w:eastAsia="Times New Roman" w:hAnsi="Segoe UI Symbol" w:cs="Segoe UI Symbol"/>
                <w:color w:val="000000"/>
                <w:sz w:val="16"/>
                <w:szCs w:val="16"/>
                <w:lang w:eastAsia="en-GB"/>
              </w:rPr>
              <w:t>✓</w:t>
            </w:r>
          </w:p>
        </w:tc>
      </w:tr>
      <w:tr w:rsidR="00C66585" w:rsidRPr="00A552BB" w14:paraId="63F56205" w14:textId="77777777" w:rsidTr="00100614">
        <w:trPr>
          <w:trHeight w:val="419"/>
          <w:jc w:val="center"/>
        </w:trPr>
        <w:tc>
          <w:tcPr>
            <w:tcW w:w="2976" w:type="dxa"/>
            <w:tcBorders>
              <w:top w:val="single" w:sz="4" w:space="0" w:color="auto"/>
              <w:left w:val="nil"/>
              <w:bottom w:val="double" w:sz="4" w:space="0" w:color="auto"/>
              <w:right w:val="nil"/>
            </w:tcBorders>
            <w:shd w:val="clear" w:color="auto" w:fill="auto"/>
            <w:noWrap/>
            <w:vAlign w:val="center"/>
            <w:hideMark/>
          </w:tcPr>
          <w:p w14:paraId="4F231AD3" w14:textId="77777777" w:rsidR="00C66585" w:rsidRPr="00A552BB" w:rsidRDefault="00C66585" w:rsidP="006255DA">
            <w:pPr>
              <w:spacing w:after="0" w:line="240" w:lineRule="auto"/>
              <w:rPr>
                <w:rFonts w:ascii="Arial" w:eastAsia="Times New Roman" w:hAnsi="Arial" w:cs="Arial"/>
                <w:sz w:val="16"/>
                <w:szCs w:val="16"/>
                <w:lang w:eastAsia="en-GB"/>
              </w:rPr>
            </w:pPr>
            <w:r w:rsidRPr="00A552BB">
              <w:rPr>
                <w:rFonts w:ascii="Arial" w:eastAsia="Times New Roman" w:hAnsi="Arial" w:cs="Arial"/>
                <w:sz w:val="16"/>
                <w:szCs w:val="16"/>
                <w:lang w:eastAsia="en-GB"/>
              </w:rPr>
              <w:t>Comuni</w:t>
            </w:r>
          </w:p>
        </w:tc>
        <w:tc>
          <w:tcPr>
            <w:tcW w:w="1275" w:type="dxa"/>
            <w:tcBorders>
              <w:top w:val="single" w:sz="4" w:space="0" w:color="auto"/>
              <w:left w:val="nil"/>
              <w:bottom w:val="double" w:sz="4" w:space="0" w:color="auto"/>
              <w:right w:val="nil"/>
            </w:tcBorders>
            <w:shd w:val="clear" w:color="auto" w:fill="auto"/>
            <w:noWrap/>
            <w:vAlign w:val="center"/>
            <w:hideMark/>
          </w:tcPr>
          <w:p w14:paraId="10C8EE04"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hAnsi="Arial" w:cs="Arial"/>
                <w:sz w:val="16"/>
                <w:szCs w:val="16"/>
              </w:rPr>
              <w:t>7898</w:t>
            </w:r>
          </w:p>
        </w:tc>
        <w:tc>
          <w:tcPr>
            <w:tcW w:w="1278" w:type="dxa"/>
            <w:tcBorders>
              <w:top w:val="single" w:sz="4" w:space="0" w:color="auto"/>
              <w:left w:val="nil"/>
              <w:bottom w:val="double" w:sz="4" w:space="0" w:color="auto"/>
              <w:right w:val="nil"/>
            </w:tcBorders>
            <w:shd w:val="clear" w:color="auto" w:fill="auto"/>
            <w:noWrap/>
            <w:vAlign w:val="center"/>
          </w:tcPr>
          <w:p w14:paraId="075FCF5F" w14:textId="77777777" w:rsidR="00C66585" w:rsidRPr="00A552BB" w:rsidRDefault="00C66585" w:rsidP="006255DA">
            <w:pPr>
              <w:spacing w:after="0" w:line="240" w:lineRule="auto"/>
              <w:jc w:val="center"/>
              <w:rPr>
                <w:rFonts w:ascii="Arial" w:eastAsia="Times New Roman" w:hAnsi="Arial" w:cs="Arial"/>
                <w:sz w:val="16"/>
                <w:szCs w:val="16"/>
                <w:lang w:eastAsia="en-GB"/>
              </w:rPr>
            </w:pPr>
            <w:r w:rsidRPr="00A552BB">
              <w:rPr>
                <w:rFonts w:ascii="Arial" w:hAnsi="Arial" w:cs="Arial"/>
                <w:sz w:val="16"/>
                <w:szCs w:val="16"/>
              </w:rPr>
              <w:t>7898</w:t>
            </w:r>
          </w:p>
        </w:tc>
        <w:tc>
          <w:tcPr>
            <w:tcW w:w="1417" w:type="dxa"/>
            <w:tcBorders>
              <w:top w:val="single" w:sz="4" w:space="0" w:color="auto"/>
              <w:left w:val="nil"/>
              <w:bottom w:val="double" w:sz="4" w:space="0" w:color="auto"/>
              <w:right w:val="single" w:sz="4" w:space="0" w:color="auto"/>
            </w:tcBorders>
            <w:vAlign w:val="center"/>
          </w:tcPr>
          <w:p w14:paraId="01A320AB" w14:textId="77777777" w:rsidR="00C66585" w:rsidRPr="00A552BB" w:rsidRDefault="00C66585" w:rsidP="006255DA">
            <w:pPr>
              <w:spacing w:after="0" w:line="240" w:lineRule="auto"/>
              <w:jc w:val="center"/>
              <w:rPr>
                <w:rFonts w:ascii="Arial" w:hAnsi="Arial" w:cs="Arial"/>
                <w:sz w:val="16"/>
                <w:szCs w:val="16"/>
              </w:rPr>
            </w:pPr>
            <w:r w:rsidRPr="00A552BB">
              <w:rPr>
                <w:rFonts w:ascii="Arial" w:hAnsi="Arial" w:cs="Arial"/>
                <w:sz w:val="16"/>
                <w:szCs w:val="16"/>
              </w:rPr>
              <w:t>1343</w:t>
            </w:r>
          </w:p>
        </w:tc>
        <w:tc>
          <w:tcPr>
            <w:tcW w:w="1133" w:type="dxa"/>
            <w:tcBorders>
              <w:top w:val="single" w:sz="4" w:space="0" w:color="auto"/>
              <w:left w:val="single" w:sz="4" w:space="0" w:color="auto"/>
              <w:bottom w:val="double" w:sz="4" w:space="0" w:color="auto"/>
              <w:right w:val="nil"/>
            </w:tcBorders>
            <w:vAlign w:val="center"/>
          </w:tcPr>
          <w:p w14:paraId="6A28F997" w14:textId="77777777" w:rsidR="00C66585" w:rsidRPr="00A552BB" w:rsidRDefault="00C66585" w:rsidP="006255DA">
            <w:pPr>
              <w:spacing w:after="0" w:line="240" w:lineRule="auto"/>
              <w:jc w:val="center"/>
              <w:rPr>
                <w:rFonts w:ascii="Arial" w:hAnsi="Arial" w:cs="Arial"/>
                <w:sz w:val="16"/>
                <w:szCs w:val="16"/>
              </w:rPr>
            </w:pPr>
            <w:r w:rsidRPr="00A552BB">
              <w:rPr>
                <w:rFonts w:ascii="Arial" w:hAnsi="Arial" w:cs="Arial"/>
                <w:sz w:val="16"/>
                <w:szCs w:val="16"/>
              </w:rPr>
              <w:t>7898</w:t>
            </w:r>
          </w:p>
        </w:tc>
        <w:tc>
          <w:tcPr>
            <w:tcW w:w="1276" w:type="dxa"/>
            <w:tcBorders>
              <w:top w:val="single" w:sz="4" w:space="0" w:color="auto"/>
              <w:left w:val="nil"/>
              <w:bottom w:val="double" w:sz="4" w:space="0" w:color="auto"/>
              <w:right w:val="nil"/>
            </w:tcBorders>
            <w:vAlign w:val="center"/>
          </w:tcPr>
          <w:p w14:paraId="40FBFBE9" w14:textId="1499C0EA" w:rsidR="00C66585" w:rsidRPr="00A552BB" w:rsidRDefault="009A1857" w:rsidP="006255DA">
            <w:pPr>
              <w:spacing w:after="0" w:line="240" w:lineRule="auto"/>
              <w:jc w:val="center"/>
              <w:rPr>
                <w:rFonts w:ascii="Arial" w:hAnsi="Arial" w:cs="Arial"/>
                <w:sz w:val="16"/>
                <w:szCs w:val="16"/>
              </w:rPr>
            </w:pPr>
            <w:r>
              <w:rPr>
                <w:rFonts w:ascii="Arial" w:hAnsi="Arial" w:cs="Arial"/>
                <w:sz w:val="16"/>
                <w:szCs w:val="16"/>
              </w:rPr>
              <w:t>2424</w:t>
            </w:r>
          </w:p>
        </w:tc>
        <w:tc>
          <w:tcPr>
            <w:tcW w:w="1418" w:type="dxa"/>
            <w:tcBorders>
              <w:top w:val="single" w:sz="4" w:space="0" w:color="auto"/>
              <w:left w:val="nil"/>
              <w:bottom w:val="double" w:sz="4" w:space="0" w:color="auto"/>
              <w:right w:val="nil"/>
            </w:tcBorders>
            <w:vAlign w:val="center"/>
          </w:tcPr>
          <w:p w14:paraId="1DFBE7B9" w14:textId="03B2C795" w:rsidR="00C66585" w:rsidRPr="00A552BB" w:rsidRDefault="00C66585" w:rsidP="006255DA">
            <w:pPr>
              <w:spacing w:after="0" w:line="240" w:lineRule="auto"/>
              <w:jc w:val="center"/>
              <w:rPr>
                <w:rFonts w:ascii="Arial" w:hAnsi="Arial" w:cs="Arial"/>
                <w:sz w:val="16"/>
                <w:szCs w:val="16"/>
              </w:rPr>
            </w:pPr>
            <w:r w:rsidRPr="00A552BB">
              <w:rPr>
                <w:rFonts w:ascii="Arial" w:hAnsi="Arial" w:cs="Arial"/>
                <w:sz w:val="16"/>
                <w:szCs w:val="16"/>
              </w:rPr>
              <w:t>13</w:t>
            </w:r>
            <w:r w:rsidR="009A1857">
              <w:rPr>
                <w:rFonts w:ascii="Arial" w:hAnsi="Arial" w:cs="Arial"/>
                <w:sz w:val="16"/>
                <w:szCs w:val="16"/>
              </w:rPr>
              <w:t>2</w:t>
            </w:r>
            <w:r w:rsidRPr="00A552BB">
              <w:rPr>
                <w:rFonts w:ascii="Arial" w:hAnsi="Arial" w:cs="Arial"/>
                <w:sz w:val="16"/>
                <w:szCs w:val="16"/>
              </w:rPr>
              <w:t>3</w:t>
            </w:r>
          </w:p>
        </w:tc>
      </w:tr>
    </w:tbl>
    <w:p w14:paraId="57BE5466" w14:textId="63A19428" w:rsidR="00C66585" w:rsidRPr="00D1162C" w:rsidRDefault="00C66585" w:rsidP="00100614">
      <w:pPr>
        <w:tabs>
          <w:tab w:val="left" w:pos="14034"/>
          <w:tab w:val="left" w:pos="14175"/>
        </w:tabs>
        <w:spacing w:before="120" w:line="276" w:lineRule="auto"/>
        <w:rPr>
          <w:rFonts w:ascii="Arial" w:hAnsi="Arial" w:cs="Arial"/>
          <w:sz w:val="16"/>
          <w:szCs w:val="16"/>
          <w:lang w:val="it-IT"/>
        </w:rPr>
      </w:pPr>
      <w:r>
        <w:rPr>
          <w:rFonts w:ascii="Arial" w:eastAsia="Times New Roman" w:hAnsi="Arial" w:cs="Arial"/>
          <w:sz w:val="16"/>
          <w:szCs w:val="16"/>
          <w:lang w:val="it-IT" w:eastAsia="en-GB"/>
        </w:rPr>
        <w:t>Errori standard</w:t>
      </w:r>
      <w:r w:rsidRPr="00965AD2">
        <w:rPr>
          <w:rFonts w:ascii="Arial" w:eastAsia="Times New Roman" w:hAnsi="Arial" w:cs="Arial"/>
          <w:sz w:val="16"/>
          <w:szCs w:val="16"/>
          <w:lang w:val="it-IT" w:eastAsia="en-GB"/>
        </w:rPr>
        <w:t xml:space="preserve"> cluster</w:t>
      </w:r>
      <w:r>
        <w:rPr>
          <w:rFonts w:ascii="Arial" w:eastAsia="Times New Roman" w:hAnsi="Arial" w:cs="Arial"/>
          <w:sz w:val="16"/>
          <w:szCs w:val="16"/>
          <w:lang w:val="it-IT" w:eastAsia="en-GB"/>
        </w:rPr>
        <w:t>ed</w:t>
      </w:r>
      <w:r w:rsidRPr="00965AD2">
        <w:rPr>
          <w:rFonts w:ascii="Arial" w:eastAsia="Times New Roman" w:hAnsi="Arial" w:cs="Arial"/>
          <w:sz w:val="16"/>
          <w:szCs w:val="16"/>
          <w:lang w:val="it-IT" w:eastAsia="en-GB"/>
        </w:rPr>
        <w:t xml:space="preserve"> a livello provincial</w:t>
      </w:r>
      <w:r>
        <w:rPr>
          <w:rFonts w:ascii="Arial" w:eastAsia="Times New Roman" w:hAnsi="Arial" w:cs="Arial"/>
          <w:sz w:val="16"/>
          <w:szCs w:val="16"/>
          <w:lang w:val="it-IT" w:eastAsia="en-GB"/>
        </w:rPr>
        <w:t>e</w:t>
      </w:r>
      <w:r w:rsidRPr="00965AD2">
        <w:rPr>
          <w:rFonts w:ascii="Arial" w:eastAsia="Times New Roman" w:hAnsi="Arial" w:cs="Arial"/>
          <w:sz w:val="16"/>
          <w:szCs w:val="16"/>
          <w:lang w:val="it-IT" w:eastAsia="en-GB"/>
        </w:rPr>
        <w:t xml:space="preserve"> tra parentesi. </w:t>
      </w:r>
      <w:r w:rsidRPr="007C154D">
        <w:rPr>
          <w:rFonts w:ascii="Arial" w:eastAsia="Times New Roman" w:hAnsi="Arial" w:cs="Arial"/>
          <w:sz w:val="16"/>
          <w:szCs w:val="16"/>
          <w:lang w:val="it-IT" w:eastAsia="en-GB"/>
        </w:rPr>
        <w:t xml:space="preserve">*** p&lt;0.01, ** p&lt;0.05, * p&lt;0.1. </w:t>
      </w:r>
      <w:r>
        <w:rPr>
          <w:rFonts w:ascii="Arial" w:eastAsia="Times New Roman" w:hAnsi="Arial" w:cs="Arial"/>
          <w:sz w:val="16"/>
          <w:szCs w:val="16"/>
          <w:lang w:val="it-IT" w:eastAsia="en-GB"/>
        </w:rPr>
        <w:t xml:space="preserve">Coefficienti riportati nei modelli di probabilità lineare, </w:t>
      </w:r>
      <w:r w:rsidR="00D912CD">
        <w:rPr>
          <w:rFonts w:ascii="Arial" w:eastAsia="Times New Roman" w:hAnsi="Arial" w:cs="Arial"/>
          <w:sz w:val="16"/>
          <w:szCs w:val="16"/>
          <w:lang w:val="it-IT" w:eastAsia="en-GB"/>
        </w:rPr>
        <w:t>effetti marginali</w:t>
      </w:r>
      <w:r>
        <w:rPr>
          <w:rFonts w:ascii="Arial" w:eastAsia="Times New Roman" w:hAnsi="Arial" w:cs="Arial"/>
          <w:sz w:val="16"/>
          <w:szCs w:val="16"/>
          <w:lang w:val="it-IT" w:eastAsia="en-GB"/>
        </w:rPr>
        <w:t xml:space="preserve"> riportat</w:t>
      </w:r>
      <w:r w:rsidR="00FB4E97">
        <w:rPr>
          <w:rFonts w:ascii="Arial" w:eastAsia="Times New Roman" w:hAnsi="Arial" w:cs="Arial"/>
          <w:sz w:val="16"/>
          <w:szCs w:val="16"/>
          <w:lang w:val="it-IT" w:eastAsia="en-GB"/>
        </w:rPr>
        <w:t>i</w:t>
      </w:r>
      <w:r>
        <w:rPr>
          <w:rFonts w:ascii="Arial" w:eastAsia="Times New Roman" w:hAnsi="Arial" w:cs="Arial"/>
          <w:sz w:val="16"/>
          <w:szCs w:val="16"/>
          <w:lang w:val="it-IT" w:eastAsia="en-GB"/>
        </w:rPr>
        <w:t xml:space="preserve"> nei</w:t>
      </w:r>
      <w:r w:rsidRPr="007C154D">
        <w:rPr>
          <w:rFonts w:ascii="Arial" w:eastAsia="Times New Roman" w:hAnsi="Arial" w:cs="Arial"/>
          <w:sz w:val="16"/>
          <w:szCs w:val="16"/>
          <w:lang w:val="it-IT" w:eastAsia="en-GB"/>
        </w:rPr>
        <w:t xml:space="preserve"> </w:t>
      </w:r>
      <w:r>
        <w:rPr>
          <w:rFonts w:ascii="Arial" w:eastAsia="Times New Roman" w:hAnsi="Arial" w:cs="Arial"/>
          <w:sz w:val="16"/>
          <w:szCs w:val="16"/>
          <w:lang w:val="it-IT" w:eastAsia="en-GB"/>
        </w:rPr>
        <w:t xml:space="preserve">modelli </w:t>
      </w:r>
      <w:r w:rsidR="00D912CD">
        <w:rPr>
          <w:rFonts w:ascii="Arial" w:eastAsia="Times New Roman" w:hAnsi="Arial" w:cs="Arial"/>
          <w:sz w:val="16"/>
          <w:szCs w:val="16"/>
          <w:lang w:val="it-IT" w:eastAsia="en-GB"/>
        </w:rPr>
        <w:t>prob</w:t>
      </w:r>
      <w:r>
        <w:rPr>
          <w:rFonts w:ascii="Arial" w:eastAsia="Times New Roman" w:hAnsi="Arial" w:cs="Arial"/>
          <w:sz w:val="16"/>
          <w:szCs w:val="16"/>
          <w:lang w:val="it-IT" w:eastAsia="en-GB"/>
        </w:rPr>
        <w:t xml:space="preserve">it. </w:t>
      </w:r>
      <w:r w:rsidRPr="00D1162C">
        <w:rPr>
          <w:rFonts w:ascii="Arial" w:eastAsia="Times New Roman" w:hAnsi="Arial" w:cs="Arial"/>
          <w:sz w:val="16"/>
          <w:szCs w:val="16"/>
          <w:lang w:val="it-IT" w:eastAsia="en-GB"/>
        </w:rPr>
        <w:t xml:space="preserve">Variabile dipendente: dummy = 1 se il comune </w:t>
      </w:r>
      <w:r>
        <w:rPr>
          <w:rFonts w:ascii="Arial" w:eastAsia="Times New Roman" w:hAnsi="Arial" w:cs="Arial"/>
          <w:sz w:val="16"/>
          <w:szCs w:val="16"/>
          <w:lang w:val="it-IT" w:eastAsia="en-GB"/>
        </w:rPr>
        <w:t xml:space="preserve">è mai stato sciolto per infiltrazione mafiosa; “Criticità finanziaria”: dummy = 1 se nel comune è mai stata deliberata una procedura di dissesto o </w:t>
      </w:r>
      <w:r w:rsidR="00100614">
        <w:rPr>
          <w:rFonts w:ascii="Arial" w:eastAsia="Times New Roman" w:hAnsi="Arial" w:cs="Arial"/>
          <w:sz w:val="16"/>
          <w:szCs w:val="16"/>
          <w:lang w:val="it-IT" w:eastAsia="en-GB"/>
        </w:rPr>
        <w:t xml:space="preserve">se è mai stato approvato un piano di </w:t>
      </w:r>
      <w:r>
        <w:rPr>
          <w:rFonts w:ascii="Arial" w:eastAsia="Times New Roman" w:hAnsi="Arial" w:cs="Arial"/>
          <w:sz w:val="16"/>
          <w:szCs w:val="16"/>
          <w:lang w:val="it-IT" w:eastAsia="en-GB"/>
        </w:rPr>
        <w:t xml:space="preserve">riequilibrio </w:t>
      </w:r>
      <w:r w:rsidR="00100614">
        <w:rPr>
          <w:rFonts w:ascii="Arial" w:eastAsia="Times New Roman" w:hAnsi="Arial" w:cs="Arial"/>
          <w:sz w:val="16"/>
          <w:szCs w:val="16"/>
          <w:lang w:val="it-IT" w:eastAsia="en-GB"/>
        </w:rPr>
        <w:t>pluriennale</w:t>
      </w:r>
      <w:r w:rsidRPr="00D1162C">
        <w:rPr>
          <w:rFonts w:ascii="Arial" w:eastAsia="Times New Roman" w:hAnsi="Arial" w:cs="Arial"/>
          <w:sz w:val="16"/>
          <w:szCs w:val="16"/>
          <w:lang w:val="it-IT" w:eastAsia="en-GB"/>
        </w:rPr>
        <w:t>.</w:t>
      </w:r>
      <w:r w:rsidR="009A1857">
        <w:rPr>
          <w:rFonts w:ascii="Arial" w:eastAsia="Times New Roman" w:hAnsi="Arial" w:cs="Arial"/>
          <w:sz w:val="16"/>
          <w:szCs w:val="16"/>
          <w:lang w:val="it-IT" w:eastAsia="en-GB"/>
        </w:rPr>
        <w:t xml:space="preserve"> Nel modello probit, l’inclusione di effetti fissi provinciali comporta l’esclusione automatica dalla stima di tutte le province</w:t>
      </w:r>
      <w:r w:rsidR="00100614">
        <w:rPr>
          <w:rFonts w:ascii="Arial" w:eastAsia="Times New Roman" w:hAnsi="Arial" w:cs="Arial"/>
          <w:sz w:val="16"/>
          <w:szCs w:val="16"/>
          <w:lang w:val="it-IT" w:eastAsia="en-GB"/>
        </w:rPr>
        <w:t xml:space="preserve"> in cui non si sono mai verificati casi di scioglimento per infiltrazione mafiosa.</w:t>
      </w:r>
    </w:p>
    <w:p w14:paraId="497C4560" w14:textId="3F7E62C5" w:rsidR="00C66585" w:rsidRDefault="00C66585" w:rsidP="00912A1F">
      <w:pPr>
        <w:ind w:left="284" w:right="237"/>
        <w:rPr>
          <w:rFonts w:cs="Times New Roman"/>
          <w:sz w:val="24"/>
          <w:szCs w:val="24"/>
          <w:lang w:val="it-IT"/>
        </w:rPr>
      </w:pPr>
    </w:p>
    <w:p w14:paraId="56C4AD82" w14:textId="42F3288C" w:rsidR="00D16AEB" w:rsidRDefault="00D16AEB" w:rsidP="00912A1F">
      <w:pPr>
        <w:ind w:left="284" w:right="237"/>
        <w:rPr>
          <w:rFonts w:cs="Times New Roman"/>
          <w:sz w:val="24"/>
          <w:szCs w:val="24"/>
          <w:lang w:val="it-IT"/>
        </w:rPr>
      </w:pPr>
      <w:r>
        <w:rPr>
          <w:rFonts w:cs="Times New Roman"/>
          <w:sz w:val="24"/>
          <w:szCs w:val="24"/>
          <w:lang w:val="it-IT"/>
        </w:rPr>
        <w:t xml:space="preserve">Nel commentare </w:t>
      </w:r>
      <w:r w:rsidR="00171EA7">
        <w:rPr>
          <w:rFonts w:cs="Times New Roman"/>
          <w:sz w:val="24"/>
          <w:szCs w:val="24"/>
          <w:lang w:val="it-IT"/>
        </w:rPr>
        <w:t>quest</w:t>
      </w:r>
      <w:r>
        <w:rPr>
          <w:rFonts w:cs="Times New Roman"/>
          <w:sz w:val="24"/>
          <w:szCs w:val="24"/>
          <w:lang w:val="it-IT"/>
        </w:rPr>
        <w:t xml:space="preserve">i risultati econometrici, è necessario precisare che la relazione statistica osservata non va interpretata in maniera causale. Il modello sta segnalando una associazione tra i due episodi – criticità finanziaria e scioglimento per mafia – senza tuttavia indicare il fatto che </w:t>
      </w:r>
      <w:r w:rsidR="008E0E18">
        <w:rPr>
          <w:rFonts w:cs="Times New Roman"/>
          <w:sz w:val="24"/>
          <w:szCs w:val="24"/>
          <w:lang w:val="it-IT"/>
        </w:rPr>
        <w:t>l</w:t>
      </w:r>
      <w:r>
        <w:rPr>
          <w:rFonts w:cs="Times New Roman"/>
          <w:sz w:val="24"/>
          <w:szCs w:val="24"/>
          <w:lang w:val="it-IT"/>
        </w:rPr>
        <w:t xml:space="preserve">’uno determini l’altro. Il risultato </w:t>
      </w:r>
      <w:r w:rsidR="00001876">
        <w:rPr>
          <w:rFonts w:cs="Times New Roman"/>
          <w:sz w:val="24"/>
          <w:szCs w:val="24"/>
          <w:lang w:val="it-IT"/>
        </w:rPr>
        <w:t xml:space="preserve">evidenzia </w:t>
      </w:r>
      <w:r w:rsidR="00171EA7">
        <w:rPr>
          <w:rFonts w:cs="Times New Roman"/>
          <w:sz w:val="24"/>
          <w:szCs w:val="24"/>
          <w:lang w:val="it-IT"/>
        </w:rPr>
        <w:t xml:space="preserve">piuttosto </w:t>
      </w:r>
      <w:r>
        <w:rPr>
          <w:rFonts w:cs="Times New Roman"/>
          <w:sz w:val="24"/>
          <w:szCs w:val="24"/>
          <w:lang w:val="it-IT"/>
        </w:rPr>
        <w:t>una interessante associazione che caratterizza un</w:t>
      </w:r>
      <w:r w:rsidR="00B05683">
        <w:rPr>
          <w:rFonts w:cs="Times New Roman"/>
          <w:sz w:val="24"/>
          <w:szCs w:val="24"/>
          <w:lang w:val="it-IT"/>
        </w:rPr>
        <w:t xml:space="preserve"> gruppo</w:t>
      </w:r>
      <w:r>
        <w:rPr>
          <w:rFonts w:cs="Times New Roman"/>
          <w:sz w:val="24"/>
          <w:szCs w:val="24"/>
          <w:lang w:val="it-IT"/>
        </w:rPr>
        <w:t xml:space="preserve"> di comuni. Nelle tre regioni meridionali, </w:t>
      </w:r>
      <w:r w:rsidR="008E0E18">
        <w:rPr>
          <w:rFonts w:cs="Times New Roman"/>
          <w:sz w:val="24"/>
          <w:szCs w:val="24"/>
          <w:lang w:val="it-IT"/>
        </w:rPr>
        <w:t xml:space="preserve">i </w:t>
      </w:r>
      <w:r>
        <w:rPr>
          <w:rFonts w:cs="Times New Roman"/>
          <w:sz w:val="24"/>
          <w:szCs w:val="24"/>
          <w:lang w:val="it-IT"/>
        </w:rPr>
        <w:t xml:space="preserve">comuni in cui vi sono stati casi di infiltrazione sono più probabilmente anche </w:t>
      </w:r>
      <w:r w:rsidR="008E0E18">
        <w:rPr>
          <w:rFonts w:cs="Times New Roman"/>
          <w:sz w:val="24"/>
          <w:szCs w:val="24"/>
          <w:lang w:val="it-IT"/>
        </w:rPr>
        <w:t>enti</w:t>
      </w:r>
      <w:r>
        <w:rPr>
          <w:rFonts w:cs="Times New Roman"/>
          <w:sz w:val="24"/>
          <w:szCs w:val="24"/>
          <w:lang w:val="it-IT"/>
        </w:rPr>
        <w:t xml:space="preserve"> in cui vi sono stati casi di dissesto. </w:t>
      </w:r>
    </w:p>
    <w:p w14:paraId="75C0C6DD" w14:textId="77777777" w:rsidR="00FC48DF" w:rsidRPr="00FC48DF" w:rsidRDefault="00D16AEB" w:rsidP="00912A1F">
      <w:pPr>
        <w:ind w:left="284" w:right="237"/>
        <w:rPr>
          <w:rFonts w:cs="Times New Roman"/>
          <w:sz w:val="24"/>
          <w:szCs w:val="24"/>
          <w:lang w:val="it-IT"/>
        </w:rPr>
      </w:pPr>
      <w:r>
        <w:rPr>
          <w:rFonts w:cs="Times New Roman"/>
          <w:sz w:val="24"/>
          <w:szCs w:val="24"/>
          <w:lang w:val="it-IT"/>
        </w:rPr>
        <w:t xml:space="preserve">Come si </w:t>
      </w:r>
      <w:r w:rsidR="00171EA7">
        <w:rPr>
          <w:rFonts w:cs="Times New Roman"/>
          <w:sz w:val="24"/>
          <w:szCs w:val="24"/>
          <w:lang w:val="it-IT"/>
        </w:rPr>
        <w:t>interpreta</w:t>
      </w:r>
      <w:r>
        <w:rPr>
          <w:rFonts w:cs="Times New Roman"/>
          <w:sz w:val="24"/>
          <w:szCs w:val="24"/>
          <w:lang w:val="it-IT"/>
        </w:rPr>
        <w:t xml:space="preserve"> quest</w:t>
      </w:r>
      <w:r w:rsidR="008E0E18">
        <w:rPr>
          <w:rFonts w:cs="Times New Roman"/>
          <w:sz w:val="24"/>
          <w:szCs w:val="24"/>
          <w:lang w:val="it-IT"/>
        </w:rPr>
        <w:t>a associazione statistica tra i due fenomeni</w:t>
      </w:r>
      <w:r>
        <w:rPr>
          <w:rFonts w:cs="Times New Roman"/>
          <w:sz w:val="24"/>
          <w:szCs w:val="24"/>
          <w:lang w:val="it-IT"/>
        </w:rPr>
        <w:t xml:space="preserve">? Una </w:t>
      </w:r>
      <w:r w:rsidR="00171EA7">
        <w:rPr>
          <w:rFonts w:cs="Times New Roman"/>
          <w:sz w:val="24"/>
          <w:szCs w:val="24"/>
          <w:lang w:val="it-IT"/>
        </w:rPr>
        <w:t xml:space="preserve">possibile spiegazione </w:t>
      </w:r>
      <w:r>
        <w:rPr>
          <w:rFonts w:cs="Times New Roman"/>
          <w:sz w:val="24"/>
          <w:szCs w:val="24"/>
          <w:lang w:val="it-IT"/>
        </w:rPr>
        <w:t xml:space="preserve">può essere legata alla qualità degli amministratori e, più in generale, delle </w:t>
      </w:r>
      <w:r w:rsidRPr="00FC48DF">
        <w:rPr>
          <w:rFonts w:cs="Times New Roman"/>
          <w:sz w:val="24"/>
          <w:szCs w:val="24"/>
          <w:lang w:val="it-IT"/>
        </w:rPr>
        <w:t>istituzioni pubbliche, in ques</w:t>
      </w:r>
      <w:r w:rsidR="00171EA7" w:rsidRPr="00FC48DF">
        <w:rPr>
          <w:rFonts w:cs="Times New Roman"/>
          <w:sz w:val="24"/>
          <w:szCs w:val="24"/>
          <w:lang w:val="it-IT"/>
        </w:rPr>
        <w:t>t</w:t>
      </w:r>
      <w:r w:rsidRPr="00FC48DF">
        <w:rPr>
          <w:rFonts w:cs="Times New Roman"/>
          <w:sz w:val="24"/>
          <w:szCs w:val="24"/>
          <w:lang w:val="it-IT"/>
        </w:rPr>
        <w:t xml:space="preserve">i </w:t>
      </w:r>
      <w:r w:rsidR="00171EA7" w:rsidRPr="00FC48DF">
        <w:rPr>
          <w:rFonts w:cs="Times New Roman"/>
          <w:sz w:val="24"/>
          <w:szCs w:val="24"/>
          <w:lang w:val="it-IT"/>
        </w:rPr>
        <w:t>territori</w:t>
      </w:r>
      <w:r w:rsidRPr="00FC48DF">
        <w:rPr>
          <w:rFonts w:cs="Times New Roman"/>
          <w:sz w:val="24"/>
          <w:szCs w:val="24"/>
          <w:lang w:val="it-IT"/>
        </w:rPr>
        <w:t xml:space="preserve">. </w:t>
      </w:r>
      <w:r w:rsidR="00A711EF" w:rsidRPr="00FC48DF">
        <w:rPr>
          <w:rFonts w:cs="Times New Roman"/>
          <w:sz w:val="24"/>
          <w:szCs w:val="24"/>
          <w:lang w:val="it-IT"/>
        </w:rPr>
        <w:t>E’ ipotizzabile</w:t>
      </w:r>
      <w:r w:rsidR="006E7BD0" w:rsidRPr="00FC48DF">
        <w:rPr>
          <w:rFonts w:cs="Times New Roman"/>
          <w:sz w:val="24"/>
          <w:szCs w:val="24"/>
          <w:lang w:val="it-IT"/>
        </w:rPr>
        <w:t xml:space="preserve"> è che</w:t>
      </w:r>
      <w:r w:rsidR="00171EA7" w:rsidRPr="00FC48DF">
        <w:rPr>
          <w:rFonts w:cs="Times New Roman"/>
          <w:sz w:val="24"/>
          <w:szCs w:val="24"/>
          <w:lang w:val="it-IT"/>
        </w:rPr>
        <w:t xml:space="preserve"> </w:t>
      </w:r>
      <w:r w:rsidRPr="00FC48DF">
        <w:rPr>
          <w:rFonts w:cs="Times New Roman"/>
          <w:sz w:val="24"/>
          <w:szCs w:val="24"/>
          <w:lang w:val="it-IT"/>
        </w:rPr>
        <w:t>amministratori meno competenti e più corrotti siano</w:t>
      </w:r>
      <w:r w:rsidR="00171EA7" w:rsidRPr="00FC48DF">
        <w:rPr>
          <w:rFonts w:cs="Times New Roman"/>
          <w:sz w:val="24"/>
          <w:szCs w:val="24"/>
          <w:lang w:val="it-IT"/>
        </w:rPr>
        <w:t xml:space="preserve"> più propensi sia a</w:t>
      </w:r>
      <w:r w:rsidR="008E0E18" w:rsidRPr="00FC48DF">
        <w:rPr>
          <w:rFonts w:cs="Times New Roman"/>
          <w:sz w:val="24"/>
          <w:szCs w:val="24"/>
          <w:lang w:val="it-IT"/>
        </w:rPr>
        <w:t>d</w:t>
      </w:r>
      <w:r w:rsidR="00171EA7" w:rsidRPr="00FC48DF">
        <w:rPr>
          <w:rFonts w:cs="Times New Roman"/>
          <w:sz w:val="24"/>
          <w:szCs w:val="24"/>
          <w:lang w:val="it-IT"/>
        </w:rPr>
        <w:t xml:space="preserve"> intrattenere relazioni </w:t>
      </w:r>
      <w:r w:rsidR="008E0E18" w:rsidRPr="00FC48DF">
        <w:rPr>
          <w:rFonts w:cs="Times New Roman"/>
          <w:sz w:val="24"/>
          <w:szCs w:val="24"/>
          <w:lang w:val="it-IT"/>
        </w:rPr>
        <w:t xml:space="preserve">illecite </w:t>
      </w:r>
      <w:r w:rsidR="00171EA7" w:rsidRPr="00FC48DF">
        <w:rPr>
          <w:rFonts w:cs="Times New Roman"/>
          <w:sz w:val="24"/>
          <w:szCs w:val="24"/>
          <w:lang w:val="it-IT"/>
        </w:rPr>
        <w:t xml:space="preserve">con le organizzazioni criminali che ad avere maggiori difficoltà nella gestione della finanza pubblica locale. </w:t>
      </w:r>
      <w:r w:rsidR="008E0E18" w:rsidRPr="00FC48DF">
        <w:rPr>
          <w:rFonts w:cs="Times New Roman"/>
          <w:sz w:val="24"/>
          <w:szCs w:val="24"/>
          <w:lang w:val="it-IT"/>
        </w:rPr>
        <w:t>In quest’ottica, una minore qualità della classe dirigente a livello locale rappresent</w:t>
      </w:r>
      <w:r w:rsidR="006E7BD0" w:rsidRPr="00FC48DF">
        <w:rPr>
          <w:rFonts w:cs="Times New Roman"/>
          <w:sz w:val="24"/>
          <w:szCs w:val="24"/>
          <w:lang w:val="it-IT"/>
        </w:rPr>
        <w:t>erebbe</w:t>
      </w:r>
      <w:r w:rsidR="008E0E18" w:rsidRPr="00FC48DF">
        <w:rPr>
          <w:rFonts w:cs="Times New Roman"/>
          <w:sz w:val="24"/>
          <w:szCs w:val="24"/>
          <w:lang w:val="it-IT"/>
        </w:rPr>
        <w:t xml:space="preserve"> il denominatore comune di questi insiem</w:t>
      </w:r>
      <w:r w:rsidR="006E7BD0" w:rsidRPr="00FC48DF">
        <w:rPr>
          <w:rFonts w:cs="Times New Roman"/>
          <w:sz w:val="24"/>
          <w:szCs w:val="24"/>
          <w:lang w:val="it-IT"/>
        </w:rPr>
        <w:t>i</w:t>
      </w:r>
      <w:r w:rsidR="008E0E18" w:rsidRPr="00FC48DF">
        <w:rPr>
          <w:rFonts w:cs="Times New Roman"/>
          <w:sz w:val="24"/>
          <w:szCs w:val="24"/>
          <w:lang w:val="it-IT"/>
        </w:rPr>
        <w:t xml:space="preserve"> di </w:t>
      </w:r>
      <w:r w:rsidR="006E7BD0" w:rsidRPr="00FC48DF">
        <w:rPr>
          <w:rFonts w:cs="Times New Roman"/>
          <w:sz w:val="24"/>
          <w:szCs w:val="24"/>
          <w:lang w:val="it-IT"/>
        </w:rPr>
        <w:t>enti locali</w:t>
      </w:r>
      <w:r w:rsidR="008E0E18" w:rsidRPr="00FC48DF">
        <w:rPr>
          <w:rFonts w:cs="Times New Roman"/>
          <w:sz w:val="24"/>
          <w:szCs w:val="24"/>
          <w:lang w:val="it-IT"/>
        </w:rPr>
        <w:t xml:space="preserve">, interessati sia da procedure di dissesto che </w:t>
      </w:r>
      <w:r w:rsidR="00DC21E3" w:rsidRPr="00FC48DF">
        <w:rPr>
          <w:rFonts w:cs="Times New Roman"/>
          <w:sz w:val="24"/>
          <w:szCs w:val="24"/>
          <w:lang w:val="it-IT"/>
        </w:rPr>
        <w:t>da casi di infiltrazione mafiosa.</w:t>
      </w:r>
      <w:r w:rsidR="00A711EF" w:rsidRPr="00FC48DF">
        <w:rPr>
          <w:rFonts w:cs="Times New Roman"/>
          <w:sz w:val="24"/>
          <w:szCs w:val="24"/>
          <w:lang w:val="it-IT"/>
        </w:rPr>
        <w:t xml:space="preserve"> </w:t>
      </w:r>
    </w:p>
    <w:p w14:paraId="563FF6C7" w14:textId="2270AE2A" w:rsidR="00DC21E3" w:rsidRPr="00FC48DF" w:rsidRDefault="00A711EF" w:rsidP="00912A1F">
      <w:pPr>
        <w:ind w:left="284" w:right="237"/>
        <w:rPr>
          <w:lang w:val="it-IT"/>
        </w:rPr>
      </w:pPr>
      <w:r w:rsidRPr="00FC48DF">
        <w:rPr>
          <w:rFonts w:cs="Times New Roman"/>
          <w:sz w:val="24"/>
          <w:szCs w:val="24"/>
          <w:lang w:val="it-IT"/>
        </w:rPr>
        <w:t xml:space="preserve">Tale ipotesi </w:t>
      </w:r>
      <w:r w:rsidRPr="00FC48DF">
        <w:rPr>
          <w:sz w:val="24"/>
          <w:szCs w:val="24"/>
          <w:lang w:val="it-IT"/>
        </w:rPr>
        <w:t>è solo una delle possibili interpretazioni del risultato ottenuto</w:t>
      </w:r>
      <w:r w:rsidR="00FC48DF">
        <w:rPr>
          <w:sz w:val="24"/>
          <w:szCs w:val="24"/>
          <w:lang w:val="it-IT"/>
        </w:rPr>
        <w:t>.</w:t>
      </w:r>
      <w:r w:rsidRPr="00FC48DF">
        <w:rPr>
          <w:sz w:val="24"/>
          <w:szCs w:val="24"/>
          <w:lang w:val="it-IT"/>
        </w:rPr>
        <w:t xml:space="preserve"> </w:t>
      </w:r>
      <w:r w:rsidR="00FC48DF">
        <w:rPr>
          <w:sz w:val="24"/>
          <w:szCs w:val="24"/>
          <w:lang w:val="it-IT"/>
        </w:rPr>
        <w:t>U</w:t>
      </w:r>
      <w:r w:rsidRPr="00FC48DF">
        <w:rPr>
          <w:sz w:val="24"/>
          <w:szCs w:val="24"/>
          <w:lang w:val="it-IT"/>
        </w:rPr>
        <w:t>na spiegazione parzialmente complementare potrebbe essere connessa alla fragilità economica dei territori in questione che, combinata alla presenza mafiosa, li renderebbe più vulnerabili sia alle infiltrazioni criminali che al dissesto finanziario.</w:t>
      </w:r>
    </w:p>
    <w:p w14:paraId="6E9FF2CF" w14:textId="75103074" w:rsidR="00C66585" w:rsidRPr="00764A67" w:rsidRDefault="00DC21E3" w:rsidP="00912A1F">
      <w:pPr>
        <w:ind w:left="284" w:right="237"/>
        <w:rPr>
          <w:rFonts w:cs="Times New Roman"/>
          <w:i/>
          <w:iCs/>
          <w:sz w:val="24"/>
          <w:szCs w:val="24"/>
          <w:lang w:val="it-IT"/>
        </w:rPr>
      </w:pPr>
      <w:r w:rsidRPr="00764A67">
        <w:rPr>
          <w:rFonts w:cs="Times New Roman"/>
          <w:i/>
          <w:iCs/>
          <w:sz w:val="24"/>
          <w:szCs w:val="24"/>
          <w:lang w:val="it-IT"/>
        </w:rPr>
        <w:lastRenderedPageBreak/>
        <w:t>3.3</w:t>
      </w:r>
      <w:r w:rsidR="008E0E18" w:rsidRPr="00764A67">
        <w:rPr>
          <w:rFonts w:cs="Times New Roman"/>
          <w:i/>
          <w:iCs/>
          <w:sz w:val="24"/>
          <w:szCs w:val="24"/>
          <w:lang w:val="it-IT"/>
        </w:rPr>
        <w:t xml:space="preserve">  </w:t>
      </w:r>
      <w:r w:rsidR="00171EA7" w:rsidRPr="00764A67">
        <w:rPr>
          <w:rFonts w:cs="Times New Roman"/>
          <w:i/>
          <w:iCs/>
          <w:sz w:val="24"/>
          <w:szCs w:val="24"/>
          <w:lang w:val="it-IT"/>
        </w:rPr>
        <w:t xml:space="preserve">  </w:t>
      </w:r>
      <w:r w:rsidR="00D16AEB" w:rsidRPr="00764A67">
        <w:rPr>
          <w:rFonts w:cs="Times New Roman"/>
          <w:i/>
          <w:iCs/>
          <w:sz w:val="24"/>
          <w:szCs w:val="24"/>
          <w:lang w:val="it-IT"/>
        </w:rPr>
        <w:t xml:space="preserve">  </w:t>
      </w:r>
      <w:r w:rsidR="00960EA9">
        <w:rPr>
          <w:rFonts w:cs="Times New Roman"/>
          <w:i/>
          <w:iCs/>
          <w:sz w:val="24"/>
          <w:szCs w:val="24"/>
          <w:lang w:val="it-IT"/>
        </w:rPr>
        <w:t>Analisi intra-comunale: g</w:t>
      </w:r>
      <w:r w:rsidR="00764A67" w:rsidRPr="00764A67">
        <w:rPr>
          <w:rFonts w:cs="Times New Roman"/>
          <w:i/>
          <w:iCs/>
          <w:sz w:val="24"/>
          <w:szCs w:val="24"/>
          <w:lang w:val="it-IT"/>
        </w:rPr>
        <w:t xml:space="preserve">overni </w:t>
      </w:r>
      <w:r w:rsidR="00960EA9">
        <w:rPr>
          <w:rFonts w:cs="Times New Roman"/>
          <w:i/>
          <w:iCs/>
          <w:sz w:val="24"/>
          <w:szCs w:val="24"/>
          <w:lang w:val="it-IT"/>
        </w:rPr>
        <w:t>locali</w:t>
      </w:r>
      <w:r w:rsidR="00764A67">
        <w:rPr>
          <w:rFonts w:cs="Times New Roman"/>
          <w:i/>
          <w:iCs/>
          <w:sz w:val="24"/>
          <w:szCs w:val="24"/>
          <w:lang w:val="it-IT"/>
        </w:rPr>
        <w:t xml:space="preserve"> </w:t>
      </w:r>
      <w:r w:rsidR="00764A67" w:rsidRPr="00764A67">
        <w:rPr>
          <w:rFonts w:cs="Times New Roman"/>
          <w:i/>
          <w:iCs/>
          <w:sz w:val="24"/>
          <w:szCs w:val="24"/>
          <w:lang w:val="it-IT"/>
        </w:rPr>
        <w:t xml:space="preserve">infiltrati e in criticità finanziaria </w:t>
      </w:r>
    </w:p>
    <w:p w14:paraId="00F4C14E" w14:textId="77777777" w:rsidR="00C66585" w:rsidRDefault="00C66585" w:rsidP="00912A1F">
      <w:pPr>
        <w:ind w:left="284" w:right="237"/>
        <w:rPr>
          <w:rFonts w:cs="Times New Roman"/>
          <w:sz w:val="24"/>
          <w:szCs w:val="24"/>
          <w:lang w:val="it-IT"/>
        </w:rPr>
      </w:pPr>
    </w:p>
    <w:p w14:paraId="037707E4" w14:textId="1B19697F" w:rsidR="00960EA9" w:rsidRDefault="00764A67" w:rsidP="00912A1F">
      <w:pPr>
        <w:ind w:left="284" w:right="237"/>
        <w:rPr>
          <w:rFonts w:cs="Times New Roman"/>
          <w:sz w:val="24"/>
          <w:szCs w:val="24"/>
          <w:lang w:val="it-IT"/>
        </w:rPr>
      </w:pPr>
      <w:r>
        <w:rPr>
          <w:rFonts w:cs="Times New Roman"/>
          <w:sz w:val="24"/>
          <w:szCs w:val="24"/>
          <w:lang w:val="it-IT"/>
        </w:rPr>
        <w:t>Nella precedente sezione abbiamo esaminato la relazione tra infiltrazione mafiosa e criticità finanziarie prendendo in considerazione, come unità d’analisi, i singoli comuni.</w:t>
      </w:r>
      <w:r w:rsidR="00960EA9">
        <w:rPr>
          <w:rFonts w:cs="Times New Roman"/>
          <w:sz w:val="24"/>
          <w:szCs w:val="24"/>
          <w:lang w:val="it-IT"/>
        </w:rPr>
        <w:t xml:space="preserve"> Si trattava</w:t>
      </w:r>
      <w:r>
        <w:rPr>
          <w:rFonts w:cs="Times New Roman"/>
          <w:sz w:val="24"/>
          <w:szCs w:val="24"/>
          <w:lang w:val="it-IT"/>
        </w:rPr>
        <w:t xml:space="preserve"> </w:t>
      </w:r>
      <w:r w:rsidR="00960EA9">
        <w:rPr>
          <w:rFonts w:cs="Times New Roman"/>
          <w:sz w:val="24"/>
          <w:szCs w:val="24"/>
          <w:lang w:val="it-IT"/>
        </w:rPr>
        <w:t>p</w:t>
      </w:r>
      <w:r>
        <w:rPr>
          <w:rFonts w:cs="Times New Roman"/>
          <w:sz w:val="24"/>
          <w:szCs w:val="24"/>
          <w:lang w:val="it-IT"/>
        </w:rPr>
        <w:t>ertanto</w:t>
      </w:r>
      <w:r w:rsidR="00960EA9">
        <w:rPr>
          <w:rFonts w:cs="Times New Roman"/>
          <w:sz w:val="24"/>
          <w:szCs w:val="24"/>
          <w:lang w:val="it-IT"/>
        </w:rPr>
        <w:t xml:space="preserve"> di uno studio inter-comunale</w:t>
      </w:r>
      <w:r>
        <w:rPr>
          <w:rFonts w:cs="Times New Roman"/>
          <w:sz w:val="24"/>
          <w:szCs w:val="24"/>
          <w:lang w:val="it-IT"/>
        </w:rPr>
        <w:t xml:space="preserve">, </w:t>
      </w:r>
      <w:r w:rsidR="00960EA9">
        <w:rPr>
          <w:rFonts w:cs="Times New Roman"/>
          <w:sz w:val="24"/>
          <w:szCs w:val="24"/>
          <w:lang w:val="it-IT"/>
        </w:rPr>
        <w:t xml:space="preserve">in cui </w:t>
      </w:r>
      <w:r>
        <w:rPr>
          <w:rFonts w:cs="Times New Roman"/>
          <w:sz w:val="24"/>
          <w:szCs w:val="24"/>
          <w:lang w:val="it-IT"/>
        </w:rPr>
        <w:t xml:space="preserve">ciascun ente veniva considerato e conteggiato nell’analisi una sola volta, indipendentemente dal numero di casi di scioglimenti e/o casi di criticità finanziaria verificatisi. Tuttavia, in diversi </w:t>
      </w:r>
      <w:r w:rsidR="00C8062B">
        <w:rPr>
          <w:rFonts w:cs="Times New Roman"/>
          <w:sz w:val="24"/>
          <w:szCs w:val="24"/>
          <w:lang w:val="it-IT"/>
        </w:rPr>
        <w:t>occasioni</w:t>
      </w:r>
      <w:r>
        <w:rPr>
          <w:rFonts w:cs="Times New Roman"/>
          <w:sz w:val="24"/>
          <w:szCs w:val="24"/>
          <w:lang w:val="it-IT"/>
        </w:rPr>
        <w:t xml:space="preserve"> lo stesso comune è stato oggetto di più di un caso di scioglimento e/o più di un caso di delibera di dissesto o riequilibrio finanziario.</w:t>
      </w:r>
      <w:r w:rsidR="001D5BAB">
        <w:rPr>
          <w:rFonts w:cs="Times New Roman"/>
          <w:sz w:val="24"/>
          <w:szCs w:val="24"/>
          <w:lang w:val="it-IT"/>
        </w:rPr>
        <w:t xml:space="preserve"> Come illustrato nella sezione 3.1, i comuni in cui si sono verificati sia casi di scioglimento per mafia che casi di criticit</w:t>
      </w:r>
      <w:r w:rsidR="00F812FA">
        <w:rPr>
          <w:rFonts w:cs="Times New Roman"/>
          <w:sz w:val="24"/>
          <w:szCs w:val="24"/>
          <w:lang w:val="it-IT"/>
        </w:rPr>
        <w:t xml:space="preserve">à finanziaria sono 89 in tutta Italia. Di questi, dalla Tabella </w:t>
      </w:r>
      <w:r w:rsidR="00BF73C0">
        <w:rPr>
          <w:rFonts w:cs="Times New Roman"/>
          <w:sz w:val="24"/>
          <w:szCs w:val="24"/>
          <w:lang w:val="it-IT"/>
        </w:rPr>
        <w:t>3</w:t>
      </w:r>
      <w:r w:rsidR="00F812FA">
        <w:rPr>
          <w:rFonts w:cs="Times New Roman"/>
          <w:sz w:val="24"/>
          <w:szCs w:val="24"/>
          <w:lang w:val="it-IT"/>
        </w:rPr>
        <w:t xml:space="preserve"> possiamo notare che 48 hanno avuto un caso di scioglimento e un caso di criticità finanziaria, </w:t>
      </w:r>
      <w:r w:rsidR="00396AAB">
        <w:rPr>
          <w:rFonts w:cs="Times New Roman"/>
          <w:sz w:val="24"/>
          <w:szCs w:val="24"/>
          <w:lang w:val="it-IT"/>
        </w:rPr>
        <w:t xml:space="preserve">ovvero 2 casi in totale, </w:t>
      </w:r>
      <w:r w:rsidR="00F812FA">
        <w:rPr>
          <w:rFonts w:cs="Times New Roman"/>
          <w:sz w:val="24"/>
          <w:szCs w:val="24"/>
          <w:lang w:val="it-IT"/>
        </w:rPr>
        <w:t xml:space="preserve">29 ne hanno avuti 3 (due casi di scioglimento </w:t>
      </w:r>
      <w:r w:rsidR="00960EA9">
        <w:rPr>
          <w:rFonts w:cs="Times New Roman"/>
          <w:sz w:val="24"/>
          <w:szCs w:val="24"/>
          <w:lang w:val="it-IT"/>
        </w:rPr>
        <w:t xml:space="preserve">per mafia </w:t>
      </w:r>
      <w:r w:rsidR="00F812FA">
        <w:rPr>
          <w:rFonts w:cs="Times New Roman"/>
          <w:sz w:val="24"/>
          <w:szCs w:val="24"/>
          <w:lang w:val="it-IT"/>
        </w:rPr>
        <w:t>e un caso di criticità finanziaria</w:t>
      </w:r>
      <w:r w:rsidR="004A7FD2">
        <w:rPr>
          <w:rFonts w:cs="Times New Roman"/>
          <w:sz w:val="24"/>
          <w:szCs w:val="24"/>
          <w:lang w:val="it-IT"/>
        </w:rPr>
        <w:t>,</w:t>
      </w:r>
      <w:r w:rsidR="00F812FA">
        <w:rPr>
          <w:rFonts w:cs="Times New Roman"/>
          <w:sz w:val="24"/>
          <w:szCs w:val="24"/>
          <w:lang w:val="it-IT"/>
        </w:rPr>
        <w:t xml:space="preserve"> oppure due casi di criticità finanziaria e uno scioglimento), 6 comuni hanno avuto 4 casi e altri 6 comuni ne hanno avuti ben 5.</w:t>
      </w:r>
      <w:r w:rsidR="00960EA9">
        <w:rPr>
          <w:rFonts w:cs="Times New Roman"/>
          <w:sz w:val="24"/>
          <w:szCs w:val="24"/>
          <w:lang w:val="it-IT"/>
        </w:rPr>
        <w:t xml:space="preserve"> </w:t>
      </w:r>
      <w:r w:rsidR="004A7FD2">
        <w:rPr>
          <w:rFonts w:cs="Times New Roman"/>
          <w:sz w:val="24"/>
          <w:szCs w:val="24"/>
          <w:lang w:val="it-IT"/>
        </w:rPr>
        <w:t xml:space="preserve">In sostanza, </w:t>
      </w:r>
      <w:r w:rsidR="0077050E">
        <w:rPr>
          <w:rFonts w:cs="Times New Roman"/>
          <w:sz w:val="24"/>
          <w:szCs w:val="24"/>
          <w:lang w:val="it-IT"/>
        </w:rPr>
        <w:t>i</w:t>
      </w:r>
      <w:r w:rsidR="004A7FD2">
        <w:rPr>
          <w:rFonts w:cs="Times New Roman"/>
          <w:sz w:val="24"/>
          <w:szCs w:val="24"/>
          <w:lang w:val="it-IT"/>
        </w:rPr>
        <w:t xml:space="preserve">l 42% di questi comuni con coincidenza di casi </w:t>
      </w:r>
      <w:r w:rsidR="0077050E">
        <w:rPr>
          <w:rFonts w:cs="Times New Roman"/>
          <w:sz w:val="24"/>
          <w:szCs w:val="24"/>
          <w:lang w:val="it-IT"/>
        </w:rPr>
        <w:t>si sono verificati</w:t>
      </w:r>
      <w:r w:rsidR="004A7FD2">
        <w:rPr>
          <w:rFonts w:cs="Times New Roman"/>
          <w:sz w:val="24"/>
          <w:szCs w:val="24"/>
          <w:lang w:val="it-IT"/>
        </w:rPr>
        <w:t xml:space="preserve"> più di un singolo episodio di scioglimento e/o più di un singolo episodio di criticità finanziaria. Tale statistica</w:t>
      </w:r>
      <w:r w:rsidR="00960EA9">
        <w:rPr>
          <w:rFonts w:cs="Times New Roman"/>
          <w:sz w:val="24"/>
          <w:szCs w:val="24"/>
          <w:lang w:val="it-IT"/>
        </w:rPr>
        <w:t xml:space="preserve"> ci suggerisce che </w:t>
      </w:r>
      <w:r w:rsidR="00C8062B">
        <w:rPr>
          <w:rFonts w:cs="Times New Roman"/>
          <w:sz w:val="24"/>
          <w:szCs w:val="24"/>
          <w:lang w:val="it-IT"/>
        </w:rPr>
        <w:t>spesso</w:t>
      </w:r>
      <w:r w:rsidR="00960EA9">
        <w:rPr>
          <w:rFonts w:cs="Times New Roman"/>
          <w:sz w:val="24"/>
          <w:szCs w:val="24"/>
          <w:lang w:val="it-IT"/>
        </w:rPr>
        <w:t xml:space="preserve"> le problematiche legate alla presenza mafiosa e al disequilibrio finanziario sono strutturali e persistenti nel tempo, dal momento che hanno interessato diversi governi negli stessi comuni.</w:t>
      </w:r>
    </w:p>
    <w:p w14:paraId="38F0EBEE" w14:textId="77777777" w:rsidR="00B05683" w:rsidRDefault="00B05683" w:rsidP="00912A1F">
      <w:pPr>
        <w:ind w:left="284" w:right="237"/>
        <w:rPr>
          <w:rFonts w:cs="Times New Roman"/>
          <w:sz w:val="24"/>
          <w:szCs w:val="24"/>
          <w:lang w:val="it-IT"/>
        </w:rPr>
      </w:pPr>
    </w:p>
    <w:p w14:paraId="0291525C" w14:textId="77777777" w:rsidR="00B05683" w:rsidRPr="00A552BB" w:rsidRDefault="00B05683" w:rsidP="00B05683">
      <w:pPr>
        <w:spacing w:after="0" w:line="276" w:lineRule="auto"/>
        <w:ind w:left="284" w:right="237"/>
        <w:jc w:val="center"/>
        <w:rPr>
          <w:rFonts w:cs="Times New Roman"/>
          <w:b/>
          <w:bCs/>
          <w:sz w:val="24"/>
          <w:szCs w:val="24"/>
          <w:lang w:val="it-IT"/>
        </w:rPr>
      </w:pPr>
      <w:r w:rsidRPr="00A552BB">
        <w:rPr>
          <w:rFonts w:cs="Times New Roman"/>
          <w:b/>
          <w:bCs/>
          <w:sz w:val="24"/>
          <w:szCs w:val="24"/>
          <w:lang w:val="it-IT"/>
        </w:rPr>
        <w:t xml:space="preserve">Tabella </w:t>
      </w:r>
      <w:r>
        <w:rPr>
          <w:rFonts w:cs="Times New Roman"/>
          <w:b/>
          <w:bCs/>
          <w:sz w:val="24"/>
          <w:szCs w:val="24"/>
          <w:lang w:val="it-IT"/>
        </w:rPr>
        <w:t>3</w:t>
      </w:r>
    </w:p>
    <w:p w14:paraId="1C11354B" w14:textId="77777777" w:rsidR="00B05683" w:rsidRDefault="00B05683" w:rsidP="00B05683">
      <w:pPr>
        <w:spacing w:after="0" w:line="276" w:lineRule="auto"/>
        <w:ind w:left="284" w:right="237"/>
        <w:jc w:val="center"/>
        <w:rPr>
          <w:rFonts w:cs="Times New Roman"/>
          <w:sz w:val="24"/>
          <w:szCs w:val="24"/>
          <w:lang w:val="it-IT"/>
        </w:rPr>
      </w:pPr>
      <w:r>
        <w:rPr>
          <w:rFonts w:cs="Times New Roman"/>
          <w:sz w:val="24"/>
          <w:szCs w:val="24"/>
          <w:lang w:val="it-IT"/>
        </w:rPr>
        <w:t>Comuni sia sciolti per mafia che con criticità finanziarie – casi totali per comune</w:t>
      </w:r>
    </w:p>
    <w:tbl>
      <w:tblPr>
        <w:tblW w:w="3544" w:type="dxa"/>
        <w:jc w:val="center"/>
        <w:tblBorders>
          <w:top w:val="double" w:sz="4" w:space="0" w:color="auto"/>
          <w:bottom w:val="double" w:sz="4" w:space="0" w:color="auto"/>
        </w:tblBorders>
        <w:tblLook w:val="04A0" w:firstRow="1" w:lastRow="0" w:firstColumn="1" w:lastColumn="0" w:noHBand="0" w:noVBand="1"/>
      </w:tblPr>
      <w:tblGrid>
        <w:gridCol w:w="1701"/>
        <w:gridCol w:w="1843"/>
      </w:tblGrid>
      <w:tr w:rsidR="00B05683" w:rsidRPr="00F812FA" w14:paraId="15DE26BE" w14:textId="77777777" w:rsidTr="00DF365E">
        <w:trPr>
          <w:trHeight w:val="474"/>
          <w:jc w:val="center"/>
        </w:trPr>
        <w:tc>
          <w:tcPr>
            <w:tcW w:w="1701" w:type="dxa"/>
            <w:tcBorders>
              <w:bottom w:val="single" w:sz="4" w:space="0" w:color="auto"/>
            </w:tcBorders>
            <w:shd w:val="clear" w:color="auto" w:fill="auto"/>
            <w:noWrap/>
            <w:vAlign w:val="center"/>
            <w:hideMark/>
          </w:tcPr>
          <w:p w14:paraId="5B36359E" w14:textId="77777777" w:rsidR="00B05683" w:rsidRPr="00F812FA" w:rsidRDefault="00B05683" w:rsidP="00DF365E">
            <w:pPr>
              <w:spacing w:after="0" w:line="240" w:lineRule="auto"/>
              <w:jc w:val="center"/>
              <w:rPr>
                <w:rFonts w:ascii="Arial" w:eastAsia="Times New Roman" w:hAnsi="Arial" w:cs="Arial"/>
                <w:color w:val="000000"/>
                <w:sz w:val="16"/>
                <w:szCs w:val="16"/>
                <w:lang w:val="it-IT" w:eastAsia="en-GB"/>
              </w:rPr>
            </w:pPr>
            <w:r w:rsidRPr="00F812FA">
              <w:rPr>
                <w:rFonts w:ascii="Arial" w:eastAsia="Times New Roman" w:hAnsi="Arial" w:cs="Arial"/>
                <w:color w:val="000000"/>
                <w:sz w:val="16"/>
                <w:szCs w:val="16"/>
                <w:lang w:val="it-IT" w:eastAsia="en-GB"/>
              </w:rPr>
              <w:t>Casi di scioglimento e criticità finanziaria</w:t>
            </w:r>
          </w:p>
        </w:tc>
        <w:tc>
          <w:tcPr>
            <w:tcW w:w="1843" w:type="dxa"/>
            <w:tcBorders>
              <w:bottom w:val="single" w:sz="4" w:space="0" w:color="auto"/>
            </w:tcBorders>
            <w:shd w:val="clear" w:color="auto" w:fill="auto"/>
            <w:noWrap/>
            <w:vAlign w:val="center"/>
            <w:hideMark/>
          </w:tcPr>
          <w:p w14:paraId="49B3E828"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Pr>
                <w:rFonts w:ascii="Arial" w:eastAsia="Times New Roman" w:hAnsi="Arial" w:cs="Arial"/>
                <w:color w:val="000000"/>
                <w:sz w:val="16"/>
                <w:szCs w:val="16"/>
                <w:lang w:eastAsia="en-GB"/>
              </w:rPr>
              <w:t>N</w:t>
            </w:r>
            <w:r w:rsidRPr="00F812FA">
              <w:rPr>
                <w:rFonts w:ascii="Arial" w:eastAsia="Times New Roman" w:hAnsi="Arial" w:cs="Arial"/>
                <w:color w:val="000000"/>
                <w:sz w:val="16"/>
                <w:szCs w:val="16"/>
                <w:lang w:eastAsia="en-GB"/>
              </w:rPr>
              <w:t>umero comuni</w:t>
            </w:r>
          </w:p>
        </w:tc>
      </w:tr>
      <w:tr w:rsidR="00B05683" w:rsidRPr="00F812FA" w14:paraId="0771B6B2" w14:textId="77777777" w:rsidTr="00DF365E">
        <w:trPr>
          <w:trHeight w:val="290"/>
          <w:jc w:val="center"/>
        </w:trPr>
        <w:tc>
          <w:tcPr>
            <w:tcW w:w="1701" w:type="dxa"/>
            <w:tcBorders>
              <w:top w:val="single" w:sz="4" w:space="0" w:color="auto"/>
            </w:tcBorders>
            <w:shd w:val="clear" w:color="auto" w:fill="auto"/>
            <w:noWrap/>
            <w:vAlign w:val="center"/>
            <w:hideMark/>
          </w:tcPr>
          <w:p w14:paraId="06810332"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2</w:t>
            </w:r>
          </w:p>
        </w:tc>
        <w:tc>
          <w:tcPr>
            <w:tcW w:w="1843" w:type="dxa"/>
            <w:tcBorders>
              <w:top w:val="single" w:sz="4" w:space="0" w:color="auto"/>
            </w:tcBorders>
            <w:shd w:val="clear" w:color="auto" w:fill="auto"/>
            <w:noWrap/>
            <w:vAlign w:val="center"/>
            <w:hideMark/>
          </w:tcPr>
          <w:p w14:paraId="1E64432C"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48</w:t>
            </w:r>
          </w:p>
        </w:tc>
      </w:tr>
      <w:tr w:rsidR="00B05683" w:rsidRPr="00F812FA" w14:paraId="2C102EA7" w14:textId="77777777" w:rsidTr="00DF365E">
        <w:trPr>
          <w:trHeight w:val="290"/>
          <w:jc w:val="center"/>
        </w:trPr>
        <w:tc>
          <w:tcPr>
            <w:tcW w:w="1701" w:type="dxa"/>
            <w:shd w:val="clear" w:color="auto" w:fill="auto"/>
            <w:noWrap/>
            <w:vAlign w:val="center"/>
            <w:hideMark/>
          </w:tcPr>
          <w:p w14:paraId="307A779F"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3</w:t>
            </w:r>
          </w:p>
        </w:tc>
        <w:tc>
          <w:tcPr>
            <w:tcW w:w="1843" w:type="dxa"/>
            <w:shd w:val="clear" w:color="auto" w:fill="auto"/>
            <w:noWrap/>
            <w:vAlign w:val="center"/>
            <w:hideMark/>
          </w:tcPr>
          <w:p w14:paraId="654BE800"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29</w:t>
            </w:r>
          </w:p>
        </w:tc>
      </w:tr>
      <w:tr w:rsidR="00B05683" w:rsidRPr="00F812FA" w14:paraId="791C6F78" w14:textId="77777777" w:rsidTr="00DF365E">
        <w:trPr>
          <w:trHeight w:val="290"/>
          <w:jc w:val="center"/>
        </w:trPr>
        <w:tc>
          <w:tcPr>
            <w:tcW w:w="1701" w:type="dxa"/>
            <w:shd w:val="clear" w:color="auto" w:fill="auto"/>
            <w:noWrap/>
            <w:vAlign w:val="center"/>
            <w:hideMark/>
          </w:tcPr>
          <w:p w14:paraId="03DA90AB"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4</w:t>
            </w:r>
          </w:p>
        </w:tc>
        <w:tc>
          <w:tcPr>
            <w:tcW w:w="1843" w:type="dxa"/>
            <w:shd w:val="clear" w:color="auto" w:fill="auto"/>
            <w:noWrap/>
            <w:vAlign w:val="center"/>
            <w:hideMark/>
          </w:tcPr>
          <w:p w14:paraId="72EC94FC"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6</w:t>
            </w:r>
          </w:p>
        </w:tc>
      </w:tr>
      <w:tr w:rsidR="00B05683" w:rsidRPr="00F812FA" w14:paraId="22BDAA6B" w14:textId="77777777" w:rsidTr="00DF365E">
        <w:trPr>
          <w:trHeight w:val="290"/>
          <w:jc w:val="center"/>
        </w:trPr>
        <w:tc>
          <w:tcPr>
            <w:tcW w:w="1701" w:type="dxa"/>
            <w:tcBorders>
              <w:bottom w:val="single" w:sz="4" w:space="0" w:color="auto"/>
            </w:tcBorders>
            <w:shd w:val="clear" w:color="auto" w:fill="auto"/>
            <w:noWrap/>
            <w:vAlign w:val="center"/>
            <w:hideMark/>
          </w:tcPr>
          <w:p w14:paraId="52ED4C66"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5</w:t>
            </w:r>
          </w:p>
        </w:tc>
        <w:tc>
          <w:tcPr>
            <w:tcW w:w="1843" w:type="dxa"/>
            <w:tcBorders>
              <w:bottom w:val="single" w:sz="4" w:space="0" w:color="auto"/>
            </w:tcBorders>
            <w:shd w:val="clear" w:color="auto" w:fill="auto"/>
            <w:noWrap/>
            <w:vAlign w:val="center"/>
            <w:hideMark/>
          </w:tcPr>
          <w:p w14:paraId="7498BDFE"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6</w:t>
            </w:r>
          </w:p>
        </w:tc>
      </w:tr>
      <w:tr w:rsidR="00B05683" w:rsidRPr="00F812FA" w14:paraId="19F90603" w14:textId="77777777" w:rsidTr="00DF365E">
        <w:trPr>
          <w:trHeight w:val="290"/>
          <w:jc w:val="center"/>
        </w:trPr>
        <w:tc>
          <w:tcPr>
            <w:tcW w:w="1701" w:type="dxa"/>
            <w:tcBorders>
              <w:top w:val="single" w:sz="4" w:space="0" w:color="auto"/>
            </w:tcBorders>
            <w:shd w:val="clear" w:color="auto" w:fill="auto"/>
            <w:noWrap/>
            <w:vAlign w:val="center"/>
            <w:hideMark/>
          </w:tcPr>
          <w:p w14:paraId="613F8923"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Totale</w:t>
            </w:r>
          </w:p>
        </w:tc>
        <w:tc>
          <w:tcPr>
            <w:tcW w:w="1843" w:type="dxa"/>
            <w:tcBorders>
              <w:top w:val="single" w:sz="4" w:space="0" w:color="auto"/>
            </w:tcBorders>
            <w:shd w:val="clear" w:color="auto" w:fill="auto"/>
            <w:noWrap/>
            <w:vAlign w:val="center"/>
            <w:hideMark/>
          </w:tcPr>
          <w:p w14:paraId="5D7CDB61" w14:textId="77777777" w:rsidR="00B05683" w:rsidRPr="00F812FA" w:rsidRDefault="00B05683" w:rsidP="00DF365E">
            <w:pPr>
              <w:spacing w:after="0" w:line="240" w:lineRule="auto"/>
              <w:jc w:val="center"/>
              <w:rPr>
                <w:rFonts w:ascii="Arial" w:eastAsia="Times New Roman" w:hAnsi="Arial" w:cs="Arial"/>
                <w:color w:val="000000"/>
                <w:sz w:val="16"/>
                <w:szCs w:val="16"/>
                <w:lang w:eastAsia="en-GB"/>
              </w:rPr>
            </w:pPr>
            <w:r w:rsidRPr="00F812FA">
              <w:rPr>
                <w:rFonts w:ascii="Arial" w:eastAsia="Times New Roman" w:hAnsi="Arial" w:cs="Arial"/>
                <w:color w:val="000000"/>
                <w:sz w:val="16"/>
                <w:szCs w:val="16"/>
                <w:lang w:eastAsia="en-GB"/>
              </w:rPr>
              <w:t>89</w:t>
            </w:r>
          </w:p>
        </w:tc>
      </w:tr>
    </w:tbl>
    <w:p w14:paraId="0168588A" w14:textId="77777777" w:rsidR="00B05683" w:rsidRDefault="00B05683" w:rsidP="00B05683">
      <w:pPr>
        <w:ind w:left="284" w:right="237"/>
        <w:rPr>
          <w:rFonts w:cs="Times New Roman"/>
          <w:sz w:val="24"/>
          <w:szCs w:val="24"/>
          <w:lang w:val="it-IT"/>
        </w:rPr>
      </w:pPr>
    </w:p>
    <w:p w14:paraId="2F098372" w14:textId="79C4D876" w:rsidR="00F812FA" w:rsidRDefault="00572DA2" w:rsidP="00912A1F">
      <w:pPr>
        <w:ind w:left="284" w:right="237"/>
        <w:rPr>
          <w:rFonts w:cs="Times New Roman"/>
          <w:sz w:val="24"/>
          <w:szCs w:val="24"/>
          <w:lang w:val="it-IT"/>
        </w:rPr>
      </w:pPr>
      <w:r>
        <w:rPr>
          <w:rFonts w:cs="Times New Roman"/>
          <w:sz w:val="24"/>
          <w:szCs w:val="24"/>
          <w:lang w:val="it-IT"/>
        </w:rPr>
        <w:t xml:space="preserve">Inoltre, quanto osservato aiuta a spiegare il risultato ottenuto </w:t>
      </w:r>
      <w:r w:rsidR="0077050E">
        <w:rPr>
          <w:rFonts w:cs="Times New Roman"/>
          <w:sz w:val="24"/>
          <w:szCs w:val="24"/>
          <w:lang w:val="it-IT"/>
        </w:rPr>
        <w:t>da</w:t>
      </w:r>
      <w:r>
        <w:rPr>
          <w:rFonts w:cs="Times New Roman"/>
          <w:sz w:val="24"/>
          <w:szCs w:val="24"/>
          <w:lang w:val="it-IT"/>
        </w:rPr>
        <w:t xml:space="preserve"> Di Cataldo e Mastrorocco (2020), i quali non osservano una variazion</w:t>
      </w:r>
      <w:r w:rsidR="00EF40C7">
        <w:rPr>
          <w:rFonts w:cs="Times New Roman"/>
          <w:sz w:val="24"/>
          <w:szCs w:val="24"/>
          <w:lang w:val="it-IT"/>
        </w:rPr>
        <w:t>e</w:t>
      </w:r>
      <w:r>
        <w:rPr>
          <w:rFonts w:cs="Times New Roman"/>
          <w:sz w:val="24"/>
          <w:szCs w:val="24"/>
          <w:lang w:val="it-IT"/>
        </w:rPr>
        <w:t xml:space="preserve"> significativa di investimenti totali durante i periodi di infiltrazione</w:t>
      </w:r>
      <w:r w:rsidR="0077050E">
        <w:rPr>
          <w:rFonts w:cs="Times New Roman"/>
          <w:sz w:val="24"/>
          <w:szCs w:val="24"/>
          <w:lang w:val="it-IT"/>
        </w:rPr>
        <w:t>, rispetto ai governi locali non sciolti per mafia</w:t>
      </w:r>
      <w:r>
        <w:rPr>
          <w:rFonts w:cs="Times New Roman"/>
          <w:sz w:val="24"/>
          <w:szCs w:val="24"/>
          <w:lang w:val="it-IT"/>
        </w:rPr>
        <w:t xml:space="preserve">. Tale risultato è ottenuto focalizzandosi su comuni molto simili tra loro, per evitare che </w:t>
      </w:r>
      <w:r>
        <w:rPr>
          <w:rFonts w:cs="Times New Roman"/>
          <w:sz w:val="24"/>
          <w:szCs w:val="24"/>
          <w:lang w:val="it-IT"/>
        </w:rPr>
        <w:lastRenderedPageBreak/>
        <w:t xml:space="preserve">l’eterogenità nel campione </w:t>
      </w:r>
      <w:r w:rsidR="00B05683">
        <w:rPr>
          <w:rFonts w:cs="Times New Roman"/>
          <w:sz w:val="24"/>
          <w:szCs w:val="24"/>
          <w:lang w:val="it-IT"/>
        </w:rPr>
        <w:t>distorca la</w:t>
      </w:r>
      <w:r>
        <w:rPr>
          <w:rFonts w:cs="Times New Roman"/>
          <w:sz w:val="24"/>
          <w:szCs w:val="24"/>
          <w:lang w:val="it-IT"/>
        </w:rPr>
        <w:t xml:space="preserve"> </w:t>
      </w:r>
      <w:r w:rsidR="00B05683">
        <w:rPr>
          <w:rFonts w:cs="Times New Roman"/>
          <w:sz w:val="24"/>
          <w:szCs w:val="24"/>
          <w:lang w:val="it-IT"/>
        </w:rPr>
        <w:t>validità delle stime</w:t>
      </w:r>
      <w:r>
        <w:rPr>
          <w:rFonts w:cs="Times New Roman"/>
          <w:sz w:val="24"/>
          <w:szCs w:val="24"/>
          <w:lang w:val="it-IT"/>
        </w:rPr>
        <w:t>. Controllando per le caratteristiche strutturali dei comuni nel campione, tra cui la propensione a incorrere in procedure di riequilibrio finanziario e dissesto, gli autori non riscontrano che le infiltrazioni comportino una spesa totale significativamente più alta della media.</w:t>
      </w:r>
      <w:r w:rsidR="00F812FA">
        <w:rPr>
          <w:rFonts w:cs="Times New Roman"/>
          <w:sz w:val="24"/>
          <w:szCs w:val="24"/>
          <w:lang w:val="it-IT"/>
        </w:rPr>
        <w:t xml:space="preserve"> </w:t>
      </w:r>
    </w:p>
    <w:p w14:paraId="6C761CA8" w14:textId="53752FDB" w:rsidR="00EA104A" w:rsidRDefault="00667F68" w:rsidP="00EA104A">
      <w:pPr>
        <w:ind w:left="284" w:right="237"/>
        <w:rPr>
          <w:rFonts w:cs="Times New Roman"/>
          <w:sz w:val="24"/>
          <w:szCs w:val="24"/>
          <w:lang w:val="it-IT"/>
        </w:rPr>
      </w:pPr>
      <w:r>
        <w:rPr>
          <w:rFonts w:cs="Times New Roman"/>
          <w:sz w:val="24"/>
          <w:szCs w:val="24"/>
          <w:lang w:val="it-IT"/>
        </w:rPr>
        <w:t xml:space="preserve">Utilizzando il campione di comuni di Calabria, Campania e Sicilia e il periodo 1991-2013, possiamo inoltre </w:t>
      </w:r>
      <w:r w:rsidR="00C8062B">
        <w:rPr>
          <w:rFonts w:cs="Times New Roman"/>
          <w:sz w:val="24"/>
          <w:szCs w:val="24"/>
          <w:lang w:val="it-IT"/>
        </w:rPr>
        <w:t>calcolare</w:t>
      </w:r>
      <w:r w:rsidR="00814067">
        <w:rPr>
          <w:rFonts w:cs="Times New Roman"/>
          <w:sz w:val="24"/>
          <w:szCs w:val="24"/>
          <w:lang w:val="it-IT"/>
        </w:rPr>
        <w:t xml:space="preserve"> in quante occasioni il governo locale dell’ente interessato dalla procedura di scioglimento corrisponda </w:t>
      </w:r>
      <w:r w:rsidR="009F779E">
        <w:rPr>
          <w:rFonts w:cs="Times New Roman"/>
          <w:sz w:val="24"/>
          <w:szCs w:val="24"/>
          <w:lang w:val="it-IT"/>
        </w:rPr>
        <w:t>con il</w:t>
      </w:r>
      <w:r w:rsidR="00814067">
        <w:rPr>
          <w:rFonts w:cs="Times New Roman"/>
          <w:sz w:val="24"/>
          <w:szCs w:val="24"/>
          <w:lang w:val="it-IT"/>
        </w:rPr>
        <w:t xml:space="preserve"> governo che ha determinato una situazione di criticità finanziaria. In altre parole, </w:t>
      </w:r>
      <w:r>
        <w:rPr>
          <w:rFonts w:cs="Times New Roman"/>
          <w:sz w:val="24"/>
          <w:szCs w:val="24"/>
          <w:lang w:val="it-IT"/>
        </w:rPr>
        <w:t>per il suddetto campione</w:t>
      </w:r>
      <w:r w:rsidR="00814067">
        <w:rPr>
          <w:rFonts w:cs="Times New Roman"/>
          <w:sz w:val="24"/>
          <w:szCs w:val="24"/>
          <w:lang w:val="it-IT"/>
        </w:rPr>
        <w:t xml:space="preserve"> </w:t>
      </w:r>
      <w:r w:rsidR="00130D6D">
        <w:rPr>
          <w:rFonts w:cs="Times New Roman"/>
          <w:sz w:val="24"/>
          <w:szCs w:val="24"/>
          <w:lang w:val="it-IT"/>
        </w:rPr>
        <w:t xml:space="preserve">ci interroghiamo </w:t>
      </w:r>
      <w:r w:rsidR="0025376E">
        <w:rPr>
          <w:rFonts w:cs="Times New Roman"/>
          <w:sz w:val="24"/>
          <w:szCs w:val="24"/>
          <w:lang w:val="it-IT"/>
        </w:rPr>
        <w:t xml:space="preserve">su </w:t>
      </w:r>
      <w:r w:rsidR="00130D6D">
        <w:rPr>
          <w:rFonts w:cs="Times New Roman"/>
          <w:sz w:val="24"/>
          <w:szCs w:val="24"/>
          <w:lang w:val="it-IT"/>
        </w:rPr>
        <w:t>quanti</w:t>
      </w:r>
      <w:r w:rsidR="0025376E">
        <w:rPr>
          <w:rFonts w:cs="Times New Roman"/>
          <w:sz w:val="24"/>
          <w:szCs w:val="24"/>
          <w:lang w:val="it-IT"/>
        </w:rPr>
        <w:t xml:space="preserve"> casi </w:t>
      </w:r>
      <w:r>
        <w:rPr>
          <w:rFonts w:cs="Times New Roman"/>
          <w:sz w:val="24"/>
          <w:szCs w:val="24"/>
          <w:lang w:val="it-IT"/>
        </w:rPr>
        <w:t xml:space="preserve">di dissesto </w:t>
      </w:r>
      <w:r w:rsidR="0025376E">
        <w:rPr>
          <w:rFonts w:cs="Times New Roman"/>
          <w:sz w:val="24"/>
          <w:szCs w:val="24"/>
          <w:lang w:val="it-IT"/>
        </w:rPr>
        <w:t>siano responsabilità del governo comunale</w:t>
      </w:r>
      <w:r>
        <w:rPr>
          <w:rFonts w:cs="Times New Roman"/>
          <w:sz w:val="24"/>
          <w:szCs w:val="24"/>
          <w:lang w:val="it-IT"/>
        </w:rPr>
        <w:t xml:space="preserve"> infiltrato e sciolto</w:t>
      </w:r>
      <w:r w:rsidR="0025376E">
        <w:rPr>
          <w:rFonts w:cs="Times New Roman"/>
          <w:sz w:val="24"/>
          <w:szCs w:val="24"/>
          <w:lang w:val="it-IT"/>
        </w:rPr>
        <w:t xml:space="preserve">. Per farlo, sfruttiamo le informazioni </w:t>
      </w:r>
      <w:r w:rsidR="005A2EC2">
        <w:rPr>
          <w:rFonts w:cs="Times New Roman"/>
          <w:sz w:val="24"/>
          <w:szCs w:val="24"/>
          <w:lang w:val="it-IT"/>
        </w:rPr>
        <w:t>riguardanti la</w:t>
      </w:r>
      <w:r w:rsidR="0025376E">
        <w:rPr>
          <w:rFonts w:cs="Times New Roman"/>
          <w:sz w:val="24"/>
          <w:szCs w:val="24"/>
          <w:lang w:val="it-IT"/>
        </w:rPr>
        <w:t xml:space="preserve"> data di delibera di dissesto o riequilibrio e </w:t>
      </w:r>
      <w:r>
        <w:rPr>
          <w:rFonts w:cs="Times New Roman"/>
          <w:sz w:val="24"/>
          <w:szCs w:val="24"/>
          <w:lang w:val="it-IT"/>
        </w:rPr>
        <w:t xml:space="preserve">la classificazione dei governi infiltrati </w:t>
      </w:r>
      <w:r w:rsidR="00EA104A">
        <w:rPr>
          <w:rFonts w:cs="Times New Roman"/>
          <w:sz w:val="24"/>
          <w:szCs w:val="24"/>
          <w:lang w:val="it-IT"/>
        </w:rPr>
        <w:t xml:space="preserve">e successivamente sciolti prodotta da Di Cataldo e Mastrorocco (2020). Inoltre, se la delibera di dissesto è immediatamente successiva allo scioglimento per mafia, ciò implica che sia stata la commissione straordinaria incaricata della gestione dell’ente, e non il consiglio comunale infiltrato, a certificare lo stato di criticità finanziaria, ma che </w:t>
      </w:r>
      <w:r w:rsidR="00550BFA">
        <w:rPr>
          <w:rFonts w:cs="Times New Roman"/>
          <w:sz w:val="24"/>
          <w:szCs w:val="24"/>
          <w:lang w:val="it-IT"/>
        </w:rPr>
        <w:t xml:space="preserve">verosimilmente </w:t>
      </w:r>
      <w:r w:rsidR="00EA104A">
        <w:rPr>
          <w:rFonts w:cs="Times New Roman"/>
          <w:sz w:val="24"/>
          <w:szCs w:val="24"/>
          <w:lang w:val="it-IT"/>
        </w:rPr>
        <w:t>la responsabilità ricada comunque sul governo infiltrato e sciolto.</w:t>
      </w:r>
    </w:p>
    <w:p w14:paraId="3CB4A817" w14:textId="77777777" w:rsidR="001E6E5A" w:rsidRDefault="00D87935" w:rsidP="001E6E5A">
      <w:pPr>
        <w:ind w:left="284" w:right="237"/>
        <w:rPr>
          <w:rFonts w:cs="Times New Roman"/>
          <w:sz w:val="24"/>
          <w:szCs w:val="24"/>
          <w:lang w:val="it-IT"/>
        </w:rPr>
      </w:pPr>
      <w:r>
        <w:rPr>
          <w:rFonts w:cs="Times New Roman"/>
          <w:sz w:val="24"/>
          <w:szCs w:val="24"/>
          <w:lang w:val="it-IT"/>
        </w:rPr>
        <w:t>Così facendo, rileviamo che</w:t>
      </w:r>
      <w:r w:rsidR="00EA104A">
        <w:rPr>
          <w:rFonts w:cs="Times New Roman"/>
          <w:sz w:val="24"/>
          <w:szCs w:val="24"/>
          <w:lang w:val="it-IT"/>
        </w:rPr>
        <w:t>, nel campione e per il periodo analizzato,</w:t>
      </w:r>
      <w:r>
        <w:rPr>
          <w:rFonts w:cs="Times New Roman"/>
          <w:sz w:val="24"/>
          <w:szCs w:val="24"/>
          <w:lang w:val="it-IT"/>
        </w:rPr>
        <w:t xml:space="preserve"> </w:t>
      </w:r>
      <w:r w:rsidR="00821915">
        <w:rPr>
          <w:rFonts w:cs="Times New Roman"/>
          <w:sz w:val="24"/>
          <w:szCs w:val="24"/>
          <w:lang w:val="it-IT"/>
        </w:rPr>
        <w:t xml:space="preserve">in </w:t>
      </w:r>
      <w:r w:rsidR="00EA104A">
        <w:rPr>
          <w:rFonts w:cs="Times New Roman"/>
          <w:sz w:val="24"/>
          <w:szCs w:val="24"/>
          <w:lang w:val="it-IT"/>
        </w:rPr>
        <w:t>11</w:t>
      </w:r>
      <w:r w:rsidR="00821915">
        <w:rPr>
          <w:rFonts w:cs="Times New Roman"/>
          <w:sz w:val="24"/>
          <w:szCs w:val="24"/>
          <w:lang w:val="it-IT"/>
        </w:rPr>
        <w:t xml:space="preserve"> occasioni l</w:t>
      </w:r>
      <w:r w:rsidR="00EA104A">
        <w:rPr>
          <w:rFonts w:cs="Times New Roman"/>
          <w:sz w:val="24"/>
          <w:szCs w:val="24"/>
          <w:lang w:val="it-IT"/>
        </w:rPr>
        <w:t>o stato di</w:t>
      </w:r>
      <w:r w:rsidR="009A48E5">
        <w:rPr>
          <w:rFonts w:cs="Times New Roman"/>
          <w:sz w:val="24"/>
          <w:szCs w:val="24"/>
          <w:lang w:val="it-IT"/>
        </w:rPr>
        <w:t xml:space="preserve"> criticità finanziaria </w:t>
      </w:r>
      <w:r w:rsidR="00EA104A">
        <w:rPr>
          <w:rFonts w:cs="Times New Roman"/>
          <w:sz w:val="24"/>
          <w:szCs w:val="24"/>
          <w:lang w:val="it-IT"/>
        </w:rPr>
        <w:t>è</w:t>
      </w:r>
      <w:r w:rsidR="009A48E5">
        <w:rPr>
          <w:rFonts w:cs="Times New Roman"/>
          <w:sz w:val="24"/>
          <w:szCs w:val="24"/>
          <w:lang w:val="it-IT"/>
        </w:rPr>
        <w:t xml:space="preserve"> </w:t>
      </w:r>
      <w:r w:rsidR="006255DA">
        <w:rPr>
          <w:rFonts w:cs="Times New Roman"/>
          <w:sz w:val="24"/>
          <w:szCs w:val="24"/>
          <w:lang w:val="it-IT"/>
        </w:rPr>
        <w:t>stat</w:t>
      </w:r>
      <w:r w:rsidR="00EA104A">
        <w:rPr>
          <w:rFonts w:cs="Times New Roman"/>
          <w:sz w:val="24"/>
          <w:szCs w:val="24"/>
          <w:lang w:val="it-IT"/>
        </w:rPr>
        <w:t>o deliberato durante il periodo in cui a gestire l’ente era un consiglio comunale poi sciolto per infiltrazione mafiosa. Inoltre, in altri 11 casi, la delibera di criticità finanziaria è avvenuta durante il periodo di commissione straordinaria incaricata di gestire l’ente in seguito allo scioglimento.</w:t>
      </w:r>
      <w:r w:rsidR="00BF73C0">
        <w:rPr>
          <w:rFonts w:cs="Times New Roman"/>
          <w:sz w:val="24"/>
          <w:szCs w:val="24"/>
          <w:lang w:val="it-IT"/>
        </w:rPr>
        <w:t xml:space="preserve"> </w:t>
      </w:r>
      <w:r w:rsidR="00EA104A">
        <w:rPr>
          <w:rFonts w:cs="Times New Roman"/>
          <w:sz w:val="24"/>
          <w:szCs w:val="24"/>
          <w:lang w:val="it-IT"/>
        </w:rPr>
        <w:t>In totale, quindi, in 22 occasion</w:t>
      </w:r>
      <w:r w:rsidR="00BF73C0">
        <w:rPr>
          <w:rFonts w:cs="Times New Roman"/>
          <w:sz w:val="24"/>
          <w:szCs w:val="24"/>
          <w:lang w:val="it-IT"/>
        </w:rPr>
        <w:t xml:space="preserve">i </w:t>
      </w:r>
      <w:r w:rsidR="00EA104A">
        <w:rPr>
          <w:rFonts w:cs="Times New Roman"/>
          <w:sz w:val="24"/>
          <w:szCs w:val="24"/>
          <w:lang w:val="it-IT"/>
        </w:rPr>
        <w:t xml:space="preserve">si può affermare che il governo responsabile dello stato di criticità finanziaria che ha portato al dissesto </w:t>
      </w:r>
      <w:r w:rsidR="00DD2B1B">
        <w:rPr>
          <w:rFonts w:cs="Times New Roman"/>
          <w:sz w:val="24"/>
          <w:szCs w:val="24"/>
          <w:lang w:val="it-IT"/>
        </w:rPr>
        <w:t xml:space="preserve">o al riequilibrio sia stato lo stesso che è stato sciolto per infiltrazione mafiosa. Per quanto riguarda il campione e periodo in analisi, questi 22 episodi rappresentano il 13% del totale dei casi di criticità finanziaria. Questa rilevazione implica che in </w:t>
      </w:r>
      <w:r w:rsidR="009F779E">
        <w:rPr>
          <w:rFonts w:cs="Times New Roman"/>
          <w:sz w:val="24"/>
          <w:szCs w:val="24"/>
          <w:lang w:val="it-IT"/>
        </w:rPr>
        <w:t>circa l’</w:t>
      </w:r>
      <w:r w:rsidR="00DD2B1B">
        <w:rPr>
          <w:rFonts w:cs="Times New Roman"/>
          <w:sz w:val="24"/>
          <w:szCs w:val="24"/>
          <w:lang w:val="it-IT"/>
        </w:rPr>
        <w:t>8</w:t>
      </w:r>
      <w:r w:rsidR="009F779E">
        <w:rPr>
          <w:rFonts w:cs="Times New Roman"/>
          <w:sz w:val="24"/>
          <w:szCs w:val="24"/>
          <w:lang w:val="it-IT"/>
        </w:rPr>
        <w:t>7</w:t>
      </w:r>
      <w:r w:rsidR="00DD2B1B">
        <w:rPr>
          <w:rFonts w:cs="Times New Roman"/>
          <w:sz w:val="24"/>
          <w:szCs w:val="24"/>
          <w:lang w:val="it-IT"/>
        </w:rPr>
        <w:t xml:space="preserve">% dei casi selezionati, gli episodi di scioglimento per mafia e gli episodi di criticità finanziaria non siano relativi allo stesso governo comunale. Pertanto, un risultato di questo tipo restituisce ancora una volta un quadro di problematiche strutturali esistenti nei comuni in analisi, che li rendono più inclini sia ad avere difficoltà nella gestione del bilancio pubblico che a subire condizionamenti da parte di agenti esterni come le organizzazioni criminali. </w:t>
      </w:r>
    </w:p>
    <w:p w14:paraId="2F1A0E0D" w14:textId="71CDD37F" w:rsidR="001E6E5A" w:rsidRDefault="001E6E5A" w:rsidP="001E6E5A">
      <w:pPr>
        <w:ind w:left="284" w:right="237"/>
        <w:rPr>
          <w:rFonts w:cs="Times New Roman"/>
          <w:sz w:val="24"/>
          <w:szCs w:val="24"/>
          <w:lang w:val="it-IT"/>
        </w:rPr>
      </w:pPr>
      <w:r>
        <w:rPr>
          <w:rFonts w:cs="Times New Roman"/>
          <w:sz w:val="24"/>
          <w:szCs w:val="24"/>
          <w:lang w:val="it-IT"/>
        </w:rPr>
        <w:lastRenderedPageBreak/>
        <w:t>Per c</w:t>
      </w:r>
      <w:r w:rsidR="00396AAB">
        <w:rPr>
          <w:rFonts w:cs="Times New Roman"/>
          <w:sz w:val="24"/>
          <w:szCs w:val="24"/>
          <w:lang w:val="it-IT"/>
        </w:rPr>
        <w:t>ompleta</w:t>
      </w:r>
      <w:r>
        <w:rPr>
          <w:rFonts w:cs="Times New Roman"/>
          <w:sz w:val="24"/>
          <w:szCs w:val="24"/>
          <w:lang w:val="it-IT"/>
        </w:rPr>
        <w:t>re</w:t>
      </w:r>
      <w:r w:rsidR="00396AAB">
        <w:rPr>
          <w:rFonts w:cs="Times New Roman"/>
          <w:sz w:val="24"/>
          <w:szCs w:val="24"/>
          <w:lang w:val="it-IT"/>
        </w:rPr>
        <w:t xml:space="preserve"> </w:t>
      </w:r>
      <w:r w:rsidR="00EF0561">
        <w:rPr>
          <w:rFonts w:cs="Times New Roman"/>
          <w:sz w:val="24"/>
          <w:szCs w:val="24"/>
          <w:lang w:val="it-IT"/>
        </w:rPr>
        <w:t>la nostra analisi</w:t>
      </w:r>
      <w:r>
        <w:rPr>
          <w:rFonts w:cs="Times New Roman"/>
          <w:sz w:val="24"/>
          <w:szCs w:val="24"/>
          <w:lang w:val="it-IT"/>
        </w:rPr>
        <w:t xml:space="preserve">, ci focalizziamo stavolta soltanto sui casi di scioglimento e di criticità finanziaria che non sono responsabilità dello stesso governo locale, per verificare quale dei due episodi tende più spesso a precedere l’altro. </w:t>
      </w:r>
      <w:r w:rsidR="00550BFA">
        <w:rPr>
          <w:rFonts w:cs="Times New Roman"/>
          <w:sz w:val="24"/>
          <w:szCs w:val="24"/>
          <w:lang w:val="it-IT"/>
        </w:rPr>
        <w:t>I</w:t>
      </w:r>
      <w:r w:rsidR="00403E8B">
        <w:rPr>
          <w:rFonts w:cs="Times New Roman"/>
          <w:sz w:val="24"/>
          <w:szCs w:val="24"/>
          <w:lang w:val="it-IT"/>
        </w:rPr>
        <w:t xml:space="preserve">l campione è ancora composto da comuni con almeno uno di entrambi gli episodi. Utilizzando le informazioni sulla data del decreto di scioglimento e sulla data della delibera di </w:t>
      </w:r>
      <w:r w:rsidR="00550BFA">
        <w:rPr>
          <w:rFonts w:cs="Times New Roman"/>
          <w:sz w:val="24"/>
          <w:szCs w:val="24"/>
          <w:lang w:val="it-IT"/>
        </w:rPr>
        <w:t>dissesto</w:t>
      </w:r>
      <w:r w:rsidR="00403E8B">
        <w:rPr>
          <w:rFonts w:cs="Times New Roman"/>
          <w:sz w:val="24"/>
          <w:szCs w:val="24"/>
          <w:lang w:val="it-IT"/>
        </w:rPr>
        <w:t xml:space="preserve">, </w:t>
      </w:r>
      <w:r w:rsidR="007E6E1C">
        <w:rPr>
          <w:rFonts w:cs="Times New Roman"/>
          <w:sz w:val="24"/>
          <w:szCs w:val="24"/>
          <w:lang w:val="it-IT"/>
        </w:rPr>
        <w:t>ed escludendo i casi in cui sappiamo con certezza che il governo sciolto per mafia e con criticità finanziaria concidono, rilev</w:t>
      </w:r>
      <w:r w:rsidR="00403E8B">
        <w:rPr>
          <w:rFonts w:cs="Times New Roman"/>
          <w:sz w:val="24"/>
          <w:szCs w:val="24"/>
          <w:lang w:val="it-IT"/>
        </w:rPr>
        <w:t>iamo che, in media</w:t>
      </w:r>
      <w:r w:rsidR="007E6E1C">
        <w:rPr>
          <w:rFonts w:cs="Times New Roman"/>
          <w:sz w:val="24"/>
          <w:szCs w:val="24"/>
          <w:lang w:val="it-IT"/>
        </w:rPr>
        <w:t xml:space="preserve">, il dissesto precede di circa 6 anni lo scioglimento per infiltrazione mafiosa. La deviazione standard di questo dato è però notevole, pari a </w:t>
      </w:r>
      <w:r w:rsidR="00377C04">
        <w:rPr>
          <w:rFonts w:cs="Times New Roman"/>
          <w:sz w:val="24"/>
          <w:szCs w:val="24"/>
          <w:lang w:val="it-IT"/>
        </w:rPr>
        <w:t xml:space="preserve">oltre </w:t>
      </w:r>
      <w:r w:rsidR="007E6E1C">
        <w:rPr>
          <w:rFonts w:cs="Times New Roman"/>
          <w:sz w:val="24"/>
          <w:szCs w:val="24"/>
          <w:lang w:val="it-IT"/>
        </w:rPr>
        <w:t xml:space="preserve">11, </w:t>
      </w:r>
      <w:r w:rsidR="00B05683">
        <w:rPr>
          <w:rFonts w:cs="Times New Roman"/>
          <w:sz w:val="24"/>
          <w:szCs w:val="24"/>
          <w:lang w:val="it-IT"/>
        </w:rPr>
        <w:t xml:space="preserve">indice </w:t>
      </w:r>
      <w:r w:rsidR="007E6E1C">
        <w:rPr>
          <w:rFonts w:cs="Times New Roman"/>
          <w:sz w:val="24"/>
          <w:szCs w:val="24"/>
          <w:lang w:val="it-IT"/>
        </w:rPr>
        <w:t>del fatto che vi sono situazioni molto differenziate tra comune e comune. Nei casi più estremi, il dissesto precede lo scioglimento di 28 anni, come nel comune di Brancaleone in provincia di Reggio Calabria, mentre all’opposto abbiamo il caso di Villaricca in provincia di Napoli, dove il dissesto è stato deliberato 24 anni dopo lo scioglimento per mafia.</w:t>
      </w:r>
      <w:r w:rsidR="00377C04">
        <w:rPr>
          <w:rFonts w:cs="Times New Roman"/>
          <w:sz w:val="24"/>
          <w:szCs w:val="24"/>
          <w:lang w:val="it-IT"/>
        </w:rPr>
        <w:t xml:space="preserve"> </w:t>
      </w:r>
      <w:r w:rsidR="00271354">
        <w:rPr>
          <w:rFonts w:cs="Times New Roman"/>
          <w:sz w:val="24"/>
          <w:szCs w:val="24"/>
          <w:lang w:val="it-IT"/>
        </w:rPr>
        <w:t>Non osserviamo</w:t>
      </w:r>
      <w:r w:rsidR="00377C04">
        <w:rPr>
          <w:rFonts w:cs="Times New Roman"/>
          <w:sz w:val="24"/>
          <w:szCs w:val="24"/>
          <w:lang w:val="it-IT"/>
        </w:rPr>
        <w:t xml:space="preserve"> quindi un </w:t>
      </w:r>
      <w:r w:rsidR="00377C04">
        <w:rPr>
          <w:rFonts w:cs="Times New Roman"/>
          <w:i/>
          <w:iCs/>
          <w:sz w:val="24"/>
          <w:szCs w:val="24"/>
          <w:lang w:val="it-IT"/>
        </w:rPr>
        <w:t xml:space="preserve">pattern </w:t>
      </w:r>
      <w:r w:rsidR="00377C04">
        <w:rPr>
          <w:rFonts w:cs="Times New Roman"/>
          <w:sz w:val="24"/>
          <w:szCs w:val="24"/>
          <w:lang w:val="it-IT"/>
        </w:rPr>
        <w:t xml:space="preserve">statistico </w:t>
      </w:r>
      <w:r w:rsidR="00271354">
        <w:rPr>
          <w:rFonts w:cs="Times New Roman"/>
          <w:sz w:val="24"/>
          <w:szCs w:val="24"/>
          <w:lang w:val="it-IT"/>
        </w:rPr>
        <w:t>netto s</w:t>
      </w:r>
      <w:r w:rsidR="00377C04">
        <w:rPr>
          <w:rFonts w:cs="Times New Roman"/>
          <w:sz w:val="24"/>
          <w:szCs w:val="24"/>
          <w:lang w:val="it-IT"/>
        </w:rPr>
        <w:t>u questo aspetto, ma ancora una volta possiamo rilevare come i comuni interessati da entrambi i provvedimenti denotino una debolezza strutturale.</w:t>
      </w:r>
    </w:p>
    <w:p w14:paraId="44F0A30C" w14:textId="77777777" w:rsidR="00377C04" w:rsidRDefault="00377C04" w:rsidP="001E6E5A">
      <w:pPr>
        <w:ind w:left="284" w:right="237"/>
        <w:rPr>
          <w:rFonts w:cs="Times New Roman"/>
          <w:sz w:val="24"/>
          <w:szCs w:val="24"/>
          <w:lang w:val="it-IT"/>
        </w:rPr>
      </w:pPr>
    </w:p>
    <w:p w14:paraId="7F71A72F" w14:textId="79BDD250" w:rsidR="002953EA" w:rsidRDefault="002953EA" w:rsidP="00550BFA">
      <w:pPr>
        <w:pStyle w:val="Heading2"/>
        <w:numPr>
          <w:ilvl w:val="0"/>
          <w:numId w:val="1"/>
        </w:numPr>
        <w:ind w:left="709" w:right="237" w:hanging="425"/>
        <w:rPr>
          <w:lang w:val="it-IT"/>
        </w:rPr>
      </w:pPr>
      <w:r>
        <w:rPr>
          <w:lang w:val="it-IT"/>
        </w:rPr>
        <w:t>Conclusioni</w:t>
      </w:r>
    </w:p>
    <w:p w14:paraId="023A43F9" w14:textId="415C32E1" w:rsidR="00550BFA" w:rsidRDefault="00550BFA" w:rsidP="00550BFA">
      <w:pPr>
        <w:ind w:left="284"/>
        <w:rPr>
          <w:lang w:val="it-IT"/>
        </w:rPr>
      </w:pPr>
    </w:p>
    <w:p w14:paraId="0752BEFD" w14:textId="60D53E0A" w:rsidR="00B5078E" w:rsidRPr="00FC48DF" w:rsidRDefault="00684BEF" w:rsidP="00B5078E">
      <w:pPr>
        <w:ind w:left="284"/>
        <w:rPr>
          <w:sz w:val="24"/>
          <w:szCs w:val="24"/>
          <w:lang w:val="it-IT"/>
        </w:rPr>
      </w:pPr>
      <w:r>
        <w:rPr>
          <w:sz w:val="24"/>
          <w:szCs w:val="24"/>
          <w:lang w:val="it-IT"/>
        </w:rPr>
        <w:t xml:space="preserve">In questo capitolo abbiamo </w:t>
      </w:r>
      <w:r w:rsidR="006A2D91">
        <w:rPr>
          <w:sz w:val="24"/>
          <w:szCs w:val="24"/>
          <w:lang w:val="it-IT"/>
        </w:rPr>
        <w:t>esamina</w:t>
      </w:r>
      <w:r>
        <w:rPr>
          <w:sz w:val="24"/>
          <w:szCs w:val="24"/>
          <w:lang w:val="it-IT"/>
        </w:rPr>
        <w:t xml:space="preserve">to la relazione tra gli scioglimenti per infiltrazione mafiosa e i casi di criticità finanziaria. L’analisi ha dimostrato che la coincidenza dei due episodi considerati nello stesso comune è purtroppo un fenomeno relativamente frequente nei comuni del Mezzogiorno e in particolare nelle regioni di Calabria, Campania e Sicilia, dove la probabilità </w:t>
      </w:r>
      <w:r w:rsidR="008A78BC">
        <w:rPr>
          <w:sz w:val="24"/>
          <w:szCs w:val="24"/>
          <w:lang w:val="it-IT"/>
        </w:rPr>
        <w:t xml:space="preserve">che un </w:t>
      </w:r>
      <w:r w:rsidR="008A78BC" w:rsidRPr="00FC48DF">
        <w:rPr>
          <w:sz w:val="24"/>
          <w:szCs w:val="24"/>
          <w:lang w:val="it-IT"/>
        </w:rPr>
        <w:t>comune incorso in una delibera di dissesto finanziario o riequilibrio pluriennale sia anche oggetto</w:t>
      </w:r>
      <w:r w:rsidRPr="00FC48DF">
        <w:rPr>
          <w:sz w:val="24"/>
          <w:szCs w:val="24"/>
          <w:lang w:val="it-IT"/>
        </w:rPr>
        <w:t xml:space="preserve"> di infiltrazione mafiosa </w:t>
      </w:r>
      <w:r w:rsidR="008A78BC" w:rsidRPr="00FC48DF">
        <w:rPr>
          <w:sz w:val="24"/>
          <w:szCs w:val="24"/>
          <w:lang w:val="it-IT"/>
        </w:rPr>
        <w:t>è significativa</w:t>
      </w:r>
      <w:r w:rsidRPr="00FC48DF">
        <w:rPr>
          <w:sz w:val="24"/>
          <w:szCs w:val="24"/>
          <w:lang w:val="it-IT"/>
        </w:rPr>
        <w:t>. Questa relazione statistica</w:t>
      </w:r>
      <w:r w:rsidR="00B05683" w:rsidRPr="00FC48DF">
        <w:rPr>
          <w:sz w:val="24"/>
          <w:szCs w:val="24"/>
          <w:lang w:val="it-IT"/>
        </w:rPr>
        <w:t xml:space="preserve"> </w:t>
      </w:r>
      <w:r w:rsidRPr="00FC48DF">
        <w:rPr>
          <w:sz w:val="24"/>
          <w:szCs w:val="24"/>
          <w:lang w:val="it-IT"/>
        </w:rPr>
        <w:t>non segnala un rapporto causale</w:t>
      </w:r>
      <w:r w:rsidR="006E7BD0" w:rsidRPr="00FC48DF">
        <w:rPr>
          <w:sz w:val="24"/>
          <w:szCs w:val="24"/>
          <w:lang w:val="it-IT"/>
        </w:rPr>
        <w:t>,</w:t>
      </w:r>
      <w:r w:rsidRPr="00FC48DF">
        <w:rPr>
          <w:sz w:val="24"/>
          <w:szCs w:val="24"/>
          <w:lang w:val="it-IT"/>
        </w:rPr>
        <w:t xml:space="preserve"> </w:t>
      </w:r>
      <w:r w:rsidR="006E7BD0" w:rsidRPr="00FC48DF">
        <w:rPr>
          <w:sz w:val="24"/>
          <w:szCs w:val="24"/>
          <w:lang w:val="it-IT"/>
        </w:rPr>
        <w:t>quanto</w:t>
      </w:r>
      <w:r w:rsidRPr="00FC48DF">
        <w:rPr>
          <w:sz w:val="24"/>
          <w:szCs w:val="24"/>
          <w:lang w:val="it-IT"/>
        </w:rPr>
        <w:t xml:space="preserve"> </w:t>
      </w:r>
      <w:r w:rsidR="00B5078E" w:rsidRPr="00FC48DF">
        <w:rPr>
          <w:sz w:val="24"/>
          <w:szCs w:val="24"/>
          <w:lang w:val="it-IT"/>
        </w:rPr>
        <w:t>piuttosto</w:t>
      </w:r>
      <w:r w:rsidRPr="00FC48DF">
        <w:rPr>
          <w:sz w:val="24"/>
          <w:szCs w:val="24"/>
          <w:lang w:val="it-IT"/>
        </w:rPr>
        <w:t xml:space="preserve"> un’associazione tra i due fe</w:t>
      </w:r>
      <w:r w:rsidR="00B5078E" w:rsidRPr="00FC48DF">
        <w:rPr>
          <w:sz w:val="24"/>
          <w:szCs w:val="24"/>
          <w:lang w:val="it-IT"/>
        </w:rPr>
        <w:t>nomeni</w:t>
      </w:r>
      <w:r w:rsidR="00B05683" w:rsidRPr="00FC48DF">
        <w:rPr>
          <w:sz w:val="24"/>
          <w:szCs w:val="24"/>
          <w:lang w:val="it-IT"/>
        </w:rPr>
        <w:t>. In parte, ciò</w:t>
      </w:r>
      <w:r w:rsidR="00B5078E" w:rsidRPr="00FC48DF">
        <w:rPr>
          <w:sz w:val="24"/>
          <w:szCs w:val="24"/>
          <w:lang w:val="it-IT"/>
        </w:rPr>
        <w:t xml:space="preserve"> </w:t>
      </w:r>
      <w:r w:rsidRPr="00FC48DF">
        <w:rPr>
          <w:sz w:val="24"/>
          <w:szCs w:val="24"/>
          <w:lang w:val="it-IT"/>
        </w:rPr>
        <w:t>è dovut</w:t>
      </w:r>
      <w:r w:rsidR="00B05683" w:rsidRPr="00FC48DF">
        <w:rPr>
          <w:sz w:val="24"/>
          <w:szCs w:val="24"/>
          <w:lang w:val="it-IT"/>
        </w:rPr>
        <w:t>o</w:t>
      </w:r>
      <w:r w:rsidRPr="00FC48DF">
        <w:rPr>
          <w:sz w:val="24"/>
          <w:szCs w:val="24"/>
          <w:lang w:val="it-IT"/>
        </w:rPr>
        <w:t xml:space="preserve"> al fatto che in </w:t>
      </w:r>
      <w:r w:rsidR="006A4385" w:rsidRPr="00FC48DF">
        <w:rPr>
          <w:sz w:val="24"/>
          <w:szCs w:val="24"/>
          <w:lang w:val="it-IT"/>
        </w:rPr>
        <w:t>più di un’occasione</w:t>
      </w:r>
      <w:r w:rsidRPr="00FC48DF">
        <w:rPr>
          <w:sz w:val="24"/>
          <w:szCs w:val="24"/>
          <w:lang w:val="it-IT"/>
        </w:rPr>
        <w:t xml:space="preserve"> i govern</w:t>
      </w:r>
      <w:r w:rsidR="00661820" w:rsidRPr="00FC48DF">
        <w:rPr>
          <w:sz w:val="24"/>
          <w:szCs w:val="24"/>
          <w:lang w:val="it-IT"/>
        </w:rPr>
        <w:t>i</w:t>
      </w:r>
      <w:r w:rsidRPr="00FC48DF">
        <w:rPr>
          <w:sz w:val="24"/>
          <w:szCs w:val="24"/>
          <w:lang w:val="it-IT"/>
        </w:rPr>
        <w:t xml:space="preserve"> interessat</w:t>
      </w:r>
      <w:r w:rsidR="00661820" w:rsidRPr="00FC48DF">
        <w:rPr>
          <w:sz w:val="24"/>
          <w:szCs w:val="24"/>
          <w:lang w:val="it-IT"/>
        </w:rPr>
        <w:t>i</w:t>
      </w:r>
      <w:r w:rsidRPr="00FC48DF">
        <w:rPr>
          <w:sz w:val="24"/>
          <w:szCs w:val="24"/>
          <w:lang w:val="it-IT"/>
        </w:rPr>
        <w:t xml:space="preserve"> dalla procedura di scioglimento e di dissesto coincid</w:t>
      </w:r>
      <w:r w:rsidR="006A4385" w:rsidRPr="00FC48DF">
        <w:rPr>
          <w:sz w:val="24"/>
          <w:szCs w:val="24"/>
          <w:lang w:val="it-IT"/>
        </w:rPr>
        <w:t>o</w:t>
      </w:r>
      <w:r w:rsidRPr="00FC48DF">
        <w:rPr>
          <w:sz w:val="24"/>
          <w:szCs w:val="24"/>
          <w:lang w:val="it-IT"/>
        </w:rPr>
        <w:t xml:space="preserve">no, </w:t>
      </w:r>
      <w:r w:rsidR="006A4385" w:rsidRPr="00FC48DF">
        <w:rPr>
          <w:sz w:val="24"/>
          <w:szCs w:val="24"/>
          <w:lang w:val="it-IT"/>
        </w:rPr>
        <w:t xml:space="preserve">poichè il governo infiltrato e poi sciolto ha avuto problemi nella gestione dei conti pubblici. Tuttavia, l’analisi indica che </w:t>
      </w:r>
      <w:r w:rsidRPr="00FC48DF">
        <w:rPr>
          <w:sz w:val="24"/>
          <w:szCs w:val="24"/>
          <w:lang w:val="it-IT"/>
        </w:rPr>
        <w:t>non sempre è così</w:t>
      </w:r>
      <w:r w:rsidR="006A4385" w:rsidRPr="00FC48DF">
        <w:rPr>
          <w:sz w:val="24"/>
          <w:szCs w:val="24"/>
          <w:lang w:val="it-IT"/>
        </w:rPr>
        <w:t>, dal momento che i</w:t>
      </w:r>
      <w:r w:rsidR="00B5078E" w:rsidRPr="00FC48DF">
        <w:rPr>
          <w:sz w:val="24"/>
          <w:szCs w:val="24"/>
          <w:lang w:val="it-IT"/>
        </w:rPr>
        <w:t>n molt</w:t>
      </w:r>
      <w:r w:rsidR="00661820" w:rsidRPr="00FC48DF">
        <w:rPr>
          <w:sz w:val="24"/>
          <w:szCs w:val="24"/>
          <w:lang w:val="it-IT"/>
        </w:rPr>
        <w:t>e</w:t>
      </w:r>
      <w:r w:rsidR="00B5078E" w:rsidRPr="00FC48DF">
        <w:rPr>
          <w:sz w:val="24"/>
          <w:szCs w:val="24"/>
          <w:lang w:val="it-IT"/>
        </w:rPr>
        <w:t xml:space="preserve"> altre situazioni </w:t>
      </w:r>
      <w:r w:rsidR="00661820" w:rsidRPr="00FC48DF">
        <w:rPr>
          <w:sz w:val="24"/>
          <w:szCs w:val="24"/>
          <w:lang w:val="it-IT"/>
        </w:rPr>
        <w:t>il</w:t>
      </w:r>
      <w:r w:rsidR="00B5078E" w:rsidRPr="00FC48DF">
        <w:rPr>
          <w:sz w:val="24"/>
          <w:szCs w:val="24"/>
          <w:lang w:val="it-IT"/>
        </w:rPr>
        <w:t xml:space="preserve"> comune </w:t>
      </w:r>
      <w:r w:rsidR="00661820" w:rsidRPr="00FC48DF">
        <w:rPr>
          <w:sz w:val="24"/>
          <w:szCs w:val="24"/>
          <w:lang w:val="it-IT"/>
        </w:rPr>
        <w:t>interessato</w:t>
      </w:r>
      <w:r w:rsidR="00B5078E" w:rsidRPr="00FC48DF">
        <w:rPr>
          <w:sz w:val="24"/>
          <w:szCs w:val="24"/>
          <w:lang w:val="it-IT"/>
        </w:rPr>
        <w:t xml:space="preserve"> da dissesto viene sciolto per mafia a distanza di anni. </w:t>
      </w:r>
      <w:r w:rsidR="00661820" w:rsidRPr="00FC48DF">
        <w:rPr>
          <w:sz w:val="24"/>
          <w:szCs w:val="24"/>
          <w:lang w:val="it-IT"/>
        </w:rPr>
        <w:t>In alternativa,</w:t>
      </w:r>
      <w:r w:rsidR="00B5078E" w:rsidRPr="00FC48DF">
        <w:rPr>
          <w:sz w:val="24"/>
          <w:szCs w:val="24"/>
          <w:lang w:val="it-IT"/>
        </w:rPr>
        <w:t xml:space="preserve"> è possibile che sia lo scioglimento a precedere la situazione di criticità finanziaria. </w:t>
      </w:r>
    </w:p>
    <w:p w14:paraId="06EF9629" w14:textId="57D653FA" w:rsidR="00B5078E" w:rsidRPr="00FC48DF" w:rsidRDefault="00232994" w:rsidP="00B5078E">
      <w:pPr>
        <w:ind w:left="284"/>
        <w:rPr>
          <w:sz w:val="24"/>
          <w:szCs w:val="24"/>
          <w:lang w:val="it-IT"/>
        </w:rPr>
      </w:pPr>
      <w:r>
        <w:rPr>
          <w:sz w:val="24"/>
          <w:szCs w:val="24"/>
          <w:lang w:val="it-IT"/>
        </w:rPr>
        <w:lastRenderedPageBreak/>
        <w:t>Una possibile spiegazione del</w:t>
      </w:r>
      <w:r w:rsidR="00B5078E">
        <w:rPr>
          <w:sz w:val="24"/>
          <w:szCs w:val="24"/>
          <w:lang w:val="it-IT"/>
        </w:rPr>
        <w:t xml:space="preserve">la relazione statistica </w:t>
      </w:r>
      <w:r>
        <w:rPr>
          <w:sz w:val="24"/>
          <w:szCs w:val="24"/>
          <w:lang w:val="it-IT"/>
        </w:rPr>
        <w:t>tra</w:t>
      </w:r>
      <w:r w:rsidR="00B5078E">
        <w:rPr>
          <w:sz w:val="24"/>
          <w:szCs w:val="24"/>
          <w:lang w:val="it-IT"/>
        </w:rPr>
        <w:t xml:space="preserve"> i due episodi </w:t>
      </w:r>
      <w:r>
        <w:rPr>
          <w:sz w:val="24"/>
          <w:szCs w:val="24"/>
          <w:lang w:val="it-IT"/>
        </w:rPr>
        <w:t xml:space="preserve">ha a che fare </w:t>
      </w:r>
      <w:r w:rsidR="00661820">
        <w:rPr>
          <w:sz w:val="24"/>
          <w:szCs w:val="24"/>
          <w:lang w:val="it-IT"/>
        </w:rPr>
        <w:t>con la</w:t>
      </w:r>
      <w:r w:rsidR="00B5078E">
        <w:rPr>
          <w:sz w:val="24"/>
          <w:szCs w:val="24"/>
          <w:lang w:val="it-IT"/>
        </w:rPr>
        <w:t xml:space="preserve"> scarsa qualità degli amministratori </w:t>
      </w:r>
      <w:r w:rsidR="006A2D91">
        <w:rPr>
          <w:sz w:val="24"/>
          <w:szCs w:val="24"/>
          <w:lang w:val="it-IT"/>
        </w:rPr>
        <w:t>locali</w:t>
      </w:r>
      <w:r w:rsidR="00B5078E">
        <w:rPr>
          <w:sz w:val="24"/>
          <w:szCs w:val="24"/>
          <w:lang w:val="it-IT"/>
        </w:rPr>
        <w:t xml:space="preserve"> che, in aree dove le organizzazioni criminali possiedono un maggiore radicamento territoriale</w:t>
      </w:r>
      <w:r w:rsidR="006A2D91">
        <w:rPr>
          <w:sz w:val="24"/>
          <w:szCs w:val="24"/>
          <w:lang w:val="it-IT"/>
        </w:rPr>
        <w:t>, potrebbero essere maggiormente propensi a favorirne l’infiltrazione. Una minore competenza e trasparenza della classe dirigente locale potrebbe</w:t>
      </w:r>
      <w:r w:rsidR="006A4385">
        <w:rPr>
          <w:sz w:val="24"/>
          <w:szCs w:val="24"/>
          <w:lang w:val="it-IT"/>
        </w:rPr>
        <w:t>ro</w:t>
      </w:r>
      <w:r w:rsidR="006A2D91">
        <w:rPr>
          <w:sz w:val="24"/>
          <w:szCs w:val="24"/>
          <w:lang w:val="it-IT"/>
        </w:rPr>
        <w:t xml:space="preserve"> essere </w:t>
      </w:r>
      <w:r w:rsidR="006A4385">
        <w:rPr>
          <w:sz w:val="24"/>
          <w:szCs w:val="24"/>
          <w:lang w:val="it-IT"/>
        </w:rPr>
        <w:t>a</w:t>
      </w:r>
      <w:r w:rsidR="006A2D91">
        <w:rPr>
          <w:sz w:val="24"/>
          <w:szCs w:val="24"/>
          <w:lang w:val="it-IT"/>
        </w:rPr>
        <w:t>lla base</w:t>
      </w:r>
      <w:r w:rsidR="006A4385">
        <w:rPr>
          <w:sz w:val="24"/>
          <w:szCs w:val="24"/>
          <w:lang w:val="it-IT"/>
        </w:rPr>
        <w:t xml:space="preserve"> </w:t>
      </w:r>
      <w:r w:rsidR="006A2D91">
        <w:rPr>
          <w:sz w:val="24"/>
          <w:szCs w:val="24"/>
          <w:lang w:val="it-IT"/>
        </w:rPr>
        <w:t>della maggiore p</w:t>
      </w:r>
      <w:r w:rsidR="006A4385">
        <w:rPr>
          <w:sz w:val="24"/>
          <w:szCs w:val="24"/>
          <w:lang w:val="it-IT"/>
        </w:rPr>
        <w:t>robabilità</w:t>
      </w:r>
      <w:r w:rsidR="006A2D91">
        <w:rPr>
          <w:sz w:val="24"/>
          <w:szCs w:val="24"/>
          <w:lang w:val="it-IT"/>
        </w:rPr>
        <w:t xml:space="preserve"> </w:t>
      </w:r>
      <w:r w:rsidR="006A4385">
        <w:rPr>
          <w:sz w:val="24"/>
          <w:szCs w:val="24"/>
          <w:lang w:val="it-IT"/>
        </w:rPr>
        <w:t>che questi comuni</w:t>
      </w:r>
      <w:r w:rsidR="006A2D91">
        <w:rPr>
          <w:sz w:val="24"/>
          <w:szCs w:val="24"/>
          <w:lang w:val="it-IT"/>
        </w:rPr>
        <w:t xml:space="preserve"> incorr</w:t>
      </w:r>
      <w:r w:rsidR="006A4385">
        <w:rPr>
          <w:sz w:val="24"/>
          <w:szCs w:val="24"/>
          <w:lang w:val="it-IT"/>
        </w:rPr>
        <w:t>ano</w:t>
      </w:r>
      <w:r w:rsidR="006A2D91">
        <w:rPr>
          <w:sz w:val="24"/>
          <w:szCs w:val="24"/>
          <w:lang w:val="it-IT"/>
        </w:rPr>
        <w:t xml:space="preserve"> </w:t>
      </w:r>
      <w:r w:rsidR="006A4385">
        <w:rPr>
          <w:sz w:val="24"/>
          <w:szCs w:val="24"/>
          <w:lang w:val="it-IT"/>
        </w:rPr>
        <w:t xml:space="preserve">anche </w:t>
      </w:r>
      <w:r w:rsidR="006A2D91">
        <w:rPr>
          <w:sz w:val="24"/>
          <w:szCs w:val="24"/>
          <w:lang w:val="it-IT"/>
        </w:rPr>
        <w:t xml:space="preserve">in episodi di disequilibrio finanziario. </w:t>
      </w:r>
      <w:r w:rsidR="006077D2" w:rsidRPr="00FC48DF">
        <w:rPr>
          <w:sz w:val="24"/>
          <w:szCs w:val="24"/>
          <w:lang w:val="it-IT"/>
        </w:rPr>
        <w:t>Una spiegazione alternativa,</w:t>
      </w:r>
      <w:r w:rsidR="007E2C87" w:rsidRPr="00FC48DF">
        <w:rPr>
          <w:sz w:val="24"/>
          <w:szCs w:val="24"/>
          <w:lang w:val="it-IT"/>
        </w:rPr>
        <w:t xml:space="preserve"> </w:t>
      </w:r>
      <w:r w:rsidR="00F10683" w:rsidRPr="00FC48DF">
        <w:rPr>
          <w:sz w:val="24"/>
          <w:szCs w:val="24"/>
          <w:lang w:val="it-IT"/>
        </w:rPr>
        <w:t>anche se</w:t>
      </w:r>
      <w:r w:rsidR="007E2C87" w:rsidRPr="00FC48DF">
        <w:rPr>
          <w:sz w:val="24"/>
          <w:szCs w:val="24"/>
          <w:lang w:val="it-IT"/>
        </w:rPr>
        <w:t xml:space="preserve"> per certi versi complementare, è che</w:t>
      </w:r>
      <w:r w:rsidR="006077D2" w:rsidRPr="00FC48DF">
        <w:rPr>
          <w:sz w:val="24"/>
          <w:szCs w:val="24"/>
          <w:lang w:val="it-IT"/>
        </w:rPr>
        <w:t xml:space="preserve"> la fragilità economica </w:t>
      </w:r>
      <w:r w:rsidR="007E2C87" w:rsidRPr="00FC48DF">
        <w:rPr>
          <w:sz w:val="24"/>
          <w:szCs w:val="24"/>
          <w:lang w:val="it-IT"/>
        </w:rPr>
        <w:t xml:space="preserve">di questi territori </w:t>
      </w:r>
      <w:r w:rsidR="006077D2" w:rsidRPr="00FC48DF">
        <w:rPr>
          <w:sz w:val="24"/>
          <w:szCs w:val="24"/>
          <w:lang w:val="it-IT"/>
        </w:rPr>
        <w:t>rappresent</w:t>
      </w:r>
      <w:r w:rsidR="007E2C87" w:rsidRPr="00FC48DF">
        <w:rPr>
          <w:sz w:val="24"/>
          <w:szCs w:val="24"/>
          <w:lang w:val="it-IT"/>
        </w:rPr>
        <w:t>i</w:t>
      </w:r>
      <w:r w:rsidR="006077D2" w:rsidRPr="00FC48DF">
        <w:rPr>
          <w:sz w:val="24"/>
          <w:szCs w:val="24"/>
          <w:lang w:val="it-IT"/>
        </w:rPr>
        <w:t xml:space="preserve"> la radice comune dei fenomeni analizzati</w:t>
      </w:r>
      <w:r w:rsidR="007E2C87" w:rsidRPr="00FC48DF">
        <w:rPr>
          <w:sz w:val="24"/>
          <w:szCs w:val="24"/>
          <w:lang w:val="it-IT"/>
        </w:rPr>
        <w:t xml:space="preserve">, che tendono quindi a presentarsi congiuntamente. </w:t>
      </w:r>
    </w:p>
    <w:p w14:paraId="37B3A64E" w14:textId="5C488D74" w:rsidR="00817D94" w:rsidRDefault="006A2D91" w:rsidP="00FF66D8">
      <w:pPr>
        <w:ind w:left="284"/>
        <w:rPr>
          <w:sz w:val="24"/>
          <w:szCs w:val="24"/>
          <w:lang w:val="it-IT"/>
        </w:rPr>
      </w:pPr>
      <w:r>
        <w:rPr>
          <w:sz w:val="24"/>
          <w:szCs w:val="24"/>
          <w:lang w:val="it-IT"/>
        </w:rPr>
        <w:t>Il risultato d</w:t>
      </w:r>
      <w:r w:rsidR="00817D94">
        <w:rPr>
          <w:sz w:val="24"/>
          <w:szCs w:val="24"/>
          <w:lang w:val="it-IT"/>
        </w:rPr>
        <w:t>ell’</w:t>
      </w:r>
      <w:r>
        <w:rPr>
          <w:sz w:val="24"/>
          <w:szCs w:val="24"/>
          <w:lang w:val="it-IT"/>
        </w:rPr>
        <w:t xml:space="preserve">analisi </w:t>
      </w:r>
      <w:r w:rsidR="00817D94">
        <w:rPr>
          <w:sz w:val="24"/>
          <w:szCs w:val="24"/>
          <w:lang w:val="it-IT"/>
        </w:rPr>
        <w:t xml:space="preserve">qui riportata </w:t>
      </w:r>
      <w:r>
        <w:rPr>
          <w:sz w:val="24"/>
          <w:szCs w:val="24"/>
          <w:lang w:val="it-IT"/>
        </w:rPr>
        <w:t xml:space="preserve">ha importanti implicazioni. Data la relazione significativa </w:t>
      </w:r>
      <w:r w:rsidR="00271354">
        <w:rPr>
          <w:sz w:val="24"/>
          <w:szCs w:val="24"/>
          <w:lang w:val="it-IT"/>
        </w:rPr>
        <w:t xml:space="preserve">riscontrata </w:t>
      </w:r>
      <w:r>
        <w:rPr>
          <w:sz w:val="24"/>
          <w:szCs w:val="24"/>
          <w:lang w:val="it-IT"/>
        </w:rPr>
        <w:t xml:space="preserve">tra i casi di </w:t>
      </w:r>
      <w:r w:rsidR="00C03546">
        <w:rPr>
          <w:sz w:val="24"/>
          <w:szCs w:val="24"/>
          <w:lang w:val="it-IT"/>
        </w:rPr>
        <w:t>infiltrazione mafiosa</w:t>
      </w:r>
      <w:r>
        <w:rPr>
          <w:sz w:val="24"/>
          <w:szCs w:val="24"/>
          <w:lang w:val="it-IT"/>
        </w:rPr>
        <w:t xml:space="preserve"> e </w:t>
      </w:r>
      <w:r w:rsidR="00271354">
        <w:rPr>
          <w:sz w:val="24"/>
          <w:szCs w:val="24"/>
          <w:lang w:val="it-IT"/>
        </w:rPr>
        <w:t xml:space="preserve">quelli </w:t>
      </w:r>
      <w:r>
        <w:rPr>
          <w:sz w:val="24"/>
          <w:szCs w:val="24"/>
          <w:lang w:val="it-IT"/>
        </w:rPr>
        <w:t>di criticità finanziaria, il manifestarsi di un</w:t>
      </w:r>
      <w:r w:rsidR="006A4385">
        <w:rPr>
          <w:sz w:val="24"/>
          <w:szCs w:val="24"/>
          <w:lang w:val="it-IT"/>
        </w:rPr>
        <w:t>a</w:t>
      </w:r>
      <w:r>
        <w:rPr>
          <w:sz w:val="24"/>
          <w:szCs w:val="24"/>
          <w:lang w:val="it-IT"/>
        </w:rPr>
        <w:t xml:space="preserve"> di quest</w:t>
      </w:r>
      <w:r w:rsidR="006A4385">
        <w:rPr>
          <w:sz w:val="24"/>
          <w:szCs w:val="24"/>
          <w:lang w:val="it-IT"/>
        </w:rPr>
        <w:t>e</w:t>
      </w:r>
      <w:r>
        <w:rPr>
          <w:sz w:val="24"/>
          <w:szCs w:val="24"/>
          <w:lang w:val="it-IT"/>
        </w:rPr>
        <w:t xml:space="preserve"> due </w:t>
      </w:r>
      <w:r w:rsidR="006A4385">
        <w:rPr>
          <w:sz w:val="24"/>
          <w:szCs w:val="24"/>
          <w:lang w:val="it-IT"/>
        </w:rPr>
        <w:t>problematiche</w:t>
      </w:r>
      <w:r>
        <w:rPr>
          <w:sz w:val="24"/>
          <w:szCs w:val="24"/>
          <w:lang w:val="it-IT"/>
        </w:rPr>
        <w:t xml:space="preserve"> in un </w:t>
      </w:r>
      <w:r w:rsidR="00271354">
        <w:rPr>
          <w:sz w:val="24"/>
          <w:szCs w:val="24"/>
          <w:lang w:val="it-IT"/>
        </w:rPr>
        <w:t>comune</w:t>
      </w:r>
      <w:r>
        <w:rPr>
          <w:sz w:val="24"/>
          <w:szCs w:val="24"/>
          <w:lang w:val="it-IT"/>
        </w:rPr>
        <w:t xml:space="preserve"> può essere interpretat</w:t>
      </w:r>
      <w:r w:rsidR="006A4385">
        <w:rPr>
          <w:sz w:val="24"/>
          <w:szCs w:val="24"/>
          <w:lang w:val="it-IT"/>
        </w:rPr>
        <w:t>a</w:t>
      </w:r>
      <w:r>
        <w:rPr>
          <w:sz w:val="24"/>
          <w:szCs w:val="24"/>
          <w:lang w:val="it-IT"/>
        </w:rPr>
        <w:t xml:space="preserve"> come il segnale di </w:t>
      </w:r>
      <w:r w:rsidRPr="00FC48DF">
        <w:rPr>
          <w:sz w:val="24"/>
          <w:szCs w:val="24"/>
          <w:lang w:val="it-IT"/>
        </w:rPr>
        <w:t xml:space="preserve">una debolezza </w:t>
      </w:r>
      <w:r w:rsidR="007E2C87" w:rsidRPr="00FC48DF">
        <w:rPr>
          <w:sz w:val="24"/>
          <w:szCs w:val="24"/>
          <w:lang w:val="it-IT"/>
        </w:rPr>
        <w:t>strutturale</w:t>
      </w:r>
      <w:r w:rsidR="00271354" w:rsidRPr="00FC48DF">
        <w:rPr>
          <w:sz w:val="24"/>
          <w:szCs w:val="24"/>
          <w:lang w:val="it-IT"/>
        </w:rPr>
        <w:t xml:space="preserve"> che potrebbe portare a</w:t>
      </w:r>
      <w:r w:rsidR="00B6672E" w:rsidRPr="00FC48DF">
        <w:rPr>
          <w:sz w:val="24"/>
          <w:szCs w:val="24"/>
          <w:lang w:val="it-IT"/>
        </w:rPr>
        <w:t>l</w:t>
      </w:r>
      <w:r w:rsidR="00271354" w:rsidRPr="00FC48DF">
        <w:rPr>
          <w:sz w:val="24"/>
          <w:szCs w:val="24"/>
          <w:lang w:val="it-IT"/>
        </w:rPr>
        <w:t>l</w:t>
      </w:r>
      <w:r w:rsidR="00B6672E" w:rsidRPr="00FC48DF">
        <w:rPr>
          <w:sz w:val="24"/>
          <w:szCs w:val="24"/>
          <w:lang w:val="it-IT"/>
        </w:rPr>
        <w:t>’insorgere</w:t>
      </w:r>
      <w:r w:rsidR="00271354" w:rsidRPr="00FC48DF">
        <w:rPr>
          <w:sz w:val="24"/>
          <w:szCs w:val="24"/>
          <w:lang w:val="it-IT"/>
        </w:rPr>
        <w:t xml:space="preserve"> anche dell’altr</w:t>
      </w:r>
      <w:r w:rsidR="006A4385" w:rsidRPr="00FC48DF">
        <w:rPr>
          <w:sz w:val="24"/>
          <w:szCs w:val="24"/>
          <w:lang w:val="it-IT"/>
        </w:rPr>
        <w:t>a</w:t>
      </w:r>
      <w:r w:rsidR="00FC48DF" w:rsidRPr="00FC48DF">
        <w:rPr>
          <w:sz w:val="24"/>
          <w:szCs w:val="24"/>
          <w:lang w:val="it-IT"/>
        </w:rPr>
        <w:t>,</w:t>
      </w:r>
      <w:r w:rsidR="007E2C87" w:rsidRPr="00FC48DF">
        <w:rPr>
          <w:sz w:val="24"/>
          <w:szCs w:val="24"/>
          <w:lang w:val="it-IT"/>
        </w:rPr>
        <w:t xml:space="preserve"> qualora non fosse già in atto</w:t>
      </w:r>
      <w:r w:rsidR="00271354" w:rsidRPr="00FC48DF">
        <w:rPr>
          <w:sz w:val="24"/>
          <w:szCs w:val="24"/>
          <w:lang w:val="it-IT"/>
        </w:rPr>
        <w:t xml:space="preserve">. </w:t>
      </w:r>
      <w:r w:rsidR="00FF66D8" w:rsidRPr="00FC48DF">
        <w:rPr>
          <w:sz w:val="24"/>
          <w:szCs w:val="24"/>
          <w:lang w:val="it-IT"/>
        </w:rPr>
        <w:t xml:space="preserve"> </w:t>
      </w:r>
      <w:r w:rsidR="00271354" w:rsidRPr="00FC48DF">
        <w:rPr>
          <w:sz w:val="24"/>
          <w:szCs w:val="24"/>
          <w:lang w:val="it-IT"/>
        </w:rPr>
        <w:t xml:space="preserve">Pertanto, </w:t>
      </w:r>
      <w:r w:rsidR="00817D94" w:rsidRPr="00FC48DF">
        <w:rPr>
          <w:sz w:val="24"/>
          <w:szCs w:val="24"/>
          <w:lang w:val="it-IT"/>
        </w:rPr>
        <w:t>questo tipo di risultato</w:t>
      </w:r>
      <w:r w:rsidR="00271354" w:rsidRPr="00FC48DF">
        <w:rPr>
          <w:sz w:val="24"/>
          <w:szCs w:val="24"/>
          <w:lang w:val="it-IT"/>
        </w:rPr>
        <w:t xml:space="preserve"> potrebbe </w:t>
      </w:r>
      <w:r w:rsidR="00817D94" w:rsidRPr="00FC48DF">
        <w:rPr>
          <w:sz w:val="24"/>
          <w:szCs w:val="24"/>
          <w:lang w:val="it-IT"/>
        </w:rPr>
        <w:t xml:space="preserve">aiutare le autorità competenti ad identificare più facilmente </w:t>
      </w:r>
      <w:r w:rsidR="00FF66D8" w:rsidRPr="00FC48DF">
        <w:rPr>
          <w:sz w:val="24"/>
          <w:szCs w:val="24"/>
          <w:lang w:val="it-IT"/>
        </w:rPr>
        <w:t xml:space="preserve">gli enti locali vulnerabili </w:t>
      </w:r>
      <w:r w:rsidR="00FA195F" w:rsidRPr="00FC48DF">
        <w:rPr>
          <w:sz w:val="24"/>
          <w:szCs w:val="24"/>
          <w:lang w:val="it-IT"/>
        </w:rPr>
        <w:t xml:space="preserve">a </w:t>
      </w:r>
      <w:r w:rsidR="00FF66D8" w:rsidRPr="00FC48DF">
        <w:rPr>
          <w:sz w:val="24"/>
          <w:szCs w:val="24"/>
          <w:lang w:val="it-IT"/>
        </w:rPr>
        <w:t xml:space="preserve">tali </w:t>
      </w:r>
      <w:r w:rsidR="00FA195F" w:rsidRPr="00FC48DF">
        <w:rPr>
          <w:sz w:val="24"/>
          <w:szCs w:val="24"/>
          <w:lang w:val="it-IT"/>
        </w:rPr>
        <w:t>situazioni critiche,</w:t>
      </w:r>
      <w:r w:rsidR="00FF66D8" w:rsidRPr="00FC48DF">
        <w:rPr>
          <w:sz w:val="24"/>
          <w:szCs w:val="24"/>
          <w:lang w:val="it-IT"/>
        </w:rPr>
        <w:t xml:space="preserve"> monitora</w:t>
      </w:r>
      <w:r w:rsidR="00FA195F" w:rsidRPr="00FC48DF">
        <w:rPr>
          <w:sz w:val="24"/>
          <w:szCs w:val="24"/>
          <w:lang w:val="it-IT"/>
        </w:rPr>
        <w:t>ndo</w:t>
      </w:r>
      <w:r w:rsidR="00FF66D8" w:rsidRPr="00FC48DF">
        <w:rPr>
          <w:sz w:val="24"/>
          <w:szCs w:val="24"/>
          <w:lang w:val="it-IT"/>
        </w:rPr>
        <w:t xml:space="preserve"> con particolare attenzione il possibile </w:t>
      </w:r>
      <w:r w:rsidR="00FA195F" w:rsidRPr="00FC48DF">
        <w:rPr>
          <w:sz w:val="24"/>
          <w:szCs w:val="24"/>
          <w:lang w:val="it-IT"/>
        </w:rPr>
        <w:t>manifestarsi dell’una qualora</w:t>
      </w:r>
      <w:r w:rsidR="00FF66D8" w:rsidRPr="00FC48DF">
        <w:rPr>
          <w:sz w:val="24"/>
          <w:szCs w:val="24"/>
          <w:lang w:val="it-IT"/>
        </w:rPr>
        <w:t xml:space="preserve"> vi s</w:t>
      </w:r>
      <w:r w:rsidR="00FA195F" w:rsidRPr="00FC48DF">
        <w:rPr>
          <w:sz w:val="24"/>
          <w:szCs w:val="24"/>
          <w:lang w:val="it-IT"/>
        </w:rPr>
        <w:t>ia</w:t>
      </w:r>
      <w:r w:rsidR="00FF66D8" w:rsidRPr="00FC48DF">
        <w:rPr>
          <w:sz w:val="24"/>
          <w:szCs w:val="24"/>
          <w:lang w:val="it-IT"/>
        </w:rPr>
        <w:t xml:space="preserve">no stati casi pregressi </w:t>
      </w:r>
      <w:r w:rsidR="00FA195F" w:rsidRPr="00FC48DF">
        <w:rPr>
          <w:sz w:val="24"/>
          <w:szCs w:val="24"/>
          <w:lang w:val="it-IT"/>
        </w:rPr>
        <w:t>dell’altra</w:t>
      </w:r>
      <w:r w:rsidR="00FF66D8" w:rsidRPr="00FC48DF">
        <w:rPr>
          <w:sz w:val="24"/>
          <w:szCs w:val="24"/>
          <w:lang w:val="it-IT"/>
        </w:rPr>
        <w:t xml:space="preserve">. </w:t>
      </w:r>
    </w:p>
    <w:p w14:paraId="7B96E1D9" w14:textId="77777777" w:rsidR="006A2D91" w:rsidRDefault="006A2D91" w:rsidP="00B5078E">
      <w:pPr>
        <w:ind w:left="284"/>
        <w:rPr>
          <w:sz w:val="24"/>
          <w:szCs w:val="24"/>
          <w:lang w:val="it-IT"/>
        </w:rPr>
      </w:pPr>
    </w:p>
    <w:p w14:paraId="3464E7AA" w14:textId="77777777" w:rsidR="00684BEF" w:rsidRDefault="00684BEF" w:rsidP="00684BEF">
      <w:pPr>
        <w:ind w:left="284"/>
        <w:rPr>
          <w:sz w:val="24"/>
          <w:szCs w:val="24"/>
          <w:lang w:val="it-IT"/>
        </w:rPr>
      </w:pPr>
    </w:p>
    <w:p w14:paraId="171EC981" w14:textId="7186F465" w:rsidR="003F15A2" w:rsidRDefault="003F15A2" w:rsidP="00D72742">
      <w:pPr>
        <w:ind w:left="284" w:right="237"/>
        <w:rPr>
          <w:lang w:val="it-IT"/>
        </w:rPr>
      </w:pPr>
    </w:p>
    <w:p w14:paraId="615AC8EA" w14:textId="203ABB67" w:rsidR="003F15A2" w:rsidRDefault="003F15A2" w:rsidP="00D72742">
      <w:pPr>
        <w:ind w:left="284" w:right="237"/>
        <w:rPr>
          <w:lang w:val="it-IT"/>
        </w:rPr>
      </w:pPr>
    </w:p>
    <w:p w14:paraId="16614B5F" w14:textId="77777777" w:rsidR="009F779E" w:rsidRDefault="009F779E">
      <w:pPr>
        <w:spacing w:line="259" w:lineRule="auto"/>
        <w:jc w:val="left"/>
        <w:rPr>
          <w:rFonts w:ascii="Garamond" w:eastAsiaTheme="majorEastAsia" w:hAnsi="Garamond" w:cstheme="majorBidi"/>
          <w:sz w:val="36"/>
          <w:szCs w:val="26"/>
          <w:lang w:val="it-IT"/>
        </w:rPr>
      </w:pPr>
      <w:r>
        <w:rPr>
          <w:lang w:val="it-IT"/>
        </w:rPr>
        <w:br w:type="page"/>
      </w:r>
    </w:p>
    <w:p w14:paraId="08342587" w14:textId="026C78C2" w:rsidR="003F15A2" w:rsidRDefault="003F15A2" w:rsidP="00D72742">
      <w:pPr>
        <w:pStyle w:val="Heading2"/>
        <w:ind w:left="284" w:right="237"/>
        <w:rPr>
          <w:lang w:val="it-IT"/>
        </w:rPr>
      </w:pPr>
      <w:r>
        <w:rPr>
          <w:lang w:val="it-IT"/>
        </w:rPr>
        <w:lastRenderedPageBreak/>
        <w:t>Bibliografia</w:t>
      </w:r>
    </w:p>
    <w:p w14:paraId="655E2B57" w14:textId="5CF5DD3E" w:rsidR="00D72742" w:rsidRDefault="00D72742" w:rsidP="00D72742">
      <w:pPr>
        <w:pStyle w:val="Heading2"/>
        <w:ind w:left="284" w:right="237"/>
        <w:rPr>
          <w:lang w:val="it-IT"/>
        </w:rPr>
      </w:pPr>
    </w:p>
    <w:p w14:paraId="1D573C1A" w14:textId="1574A698" w:rsidR="009F779E" w:rsidRPr="005D31AA" w:rsidRDefault="009F779E" w:rsidP="009F779E">
      <w:pPr>
        <w:ind w:left="284" w:right="259"/>
        <w:rPr>
          <w:rFonts w:ascii="Times" w:eastAsia="Times New Roman" w:hAnsi="Times" w:cs="Times New Roman"/>
          <w:sz w:val="24"/>
          <w:szCs w:val="24"/>
        </w:rPr>
      </w:pPr>
      <w:r w:rsidRPr="009F779E">
        <w:rPr>
          <w:rFonts w:ascii="Times" w:eastAsia="Times New Roman" w:hAnsi="Times" w:cs="Times New Roman"/>
          <w:sz w:val="24"/>
          <w:szCs w:val="24"/>
          <w:lang w:val="it-IT"/>
        </w:rPr>
        <w:t xml:space="preserve">Acconcia, A., Corsetti, G. e Simonelli, S. (2014). </w:t>
      </w:r>
      <w:r w:rsidRPr="009F779E">
        <w:rPr>
          <w:rFonts w:ascii="Times" w:eastAsia="Times New Roman" w:hAnsi="Times" w:cs="Times New Roman"/>
          <w:sz w:val="24"/>
          <w:szCs w:val="24"/>
        </w:rPr>
        <w:t xml:space="preserve">Mafia and Public Spending: Evidence on the Fiscal Multiplier from a Quasi-experiment, </w:t>
      </w:r>
      <w:r w:rsidRPr="009F779E">
        <w:rPr>
          <w:rFonts w:ascii="Times" w:eastAsia="Times New Roman" w:hAnsi="Times" w:cs="Times New Roman"/>
          <w:i/>
          <w:iCs/>
          <w:sz w:val="24"/>
          <w:szCs w:val="24"/>
        </w:rPr>
        <w:t>American Economic Review</w:t>
      </w:r>
      <w:r w:rsidR="00100A3D">
        <w:rPr>
          <w:rFonts w:ascii="Times" w:eastAsia="Times New Roman" w:hAnsi="Times" w:cs="Times New Roman"/>
          <w:sz w:val="24"/>
          <w:szCs w:val="24"/>
        </w:rPr>
        <w:t xml:space="preserve"> </w:t>
      </w:r>
      <w:r w:rsidRPr="005D31AA">
        <w:rPr>
          <w:rFonts w:ascii="Times" w:eastAsia="Times New Roman" w:hAnsi="Times" w:cs="Times New Roman"/>
          <w:sz w:val="24"/>
          <w:szCs w:val="24"/>
        </w:rPr>
        <w:t>vol. 104(7), pag</w:t>
      </w:r>
      <w:r w:rsidR="00EA538B" w:rsidRPr="005D31AA">
        <w:rPr>
          <w:rFonts w:ascii="Times" w:eastAsia="Times New Roman" w:hAnsi="Times" w:cs="Times New Roman"/>
          <w:sz w:val="24"/>
          <w:szCs w:val="24"/>
        </w:rPr>
        <w:t>ine</w:t>
      </w:r>
      <w:r w:rsidRPr="005D31AA">
        <w:rPr>
          <w:rFonts w:ascii="Times" w:eastAsia="Times New Roman" w:hAnsi="Times" w:cs="Times New Roman"/>
          <w:sz w:val="24"/>
          <w:szCs w:val="24"/>
        </w:rPr>
        <w:t xml:space="preserve"> 2185-2209.</w:t>
      </w:r>
    </w:p>
    <w:p w14:paraId="3789FB85" w14:textId="060F440D" w:rsidR="009F779E" w:rsidRPr="005D31AA" w:rsidRDefault="009F779E" w:rsidP="009F779E">
      <w:pPr>
        <w:shd w:val="clear" w:color="auto" w:fill="FFFFFF"/>
        <w:spacing w:before="100" w:beforeAutospacing="1" w:after="100" w:afterAutospacing="1"/>
        <w:ind w:left="284" w:right="259"/>
        <w:outlineLvl w:val="0"/>
        <w:rPr>
          <w:rFonts w:eastAsia="Times New Roman" w:cs="Times New Roman"/>
          <w:sz w:val="24"/>
          <w:szCs w:val="24"/>
          <w:lang w:val="it-IT"/>
        </w:rPr>
      </w:pPr>
      <w:r w:rsidRPr="005D31AA">
        <w:rPr>
          <w:rFonts w:ascii="Times" w:eastAsia="Times New Roman" w:hAnsi="Times" w:cs="Times New Roman"/>
          <w:sz w:val="24"/>
          <w:szCs w:val="24"/>
          <w:lang w:val="it-IT"/>
        </w:rPr>
        <w:t xml:space="preserve">Cantone, R. e Di Feo, G. (2014). I Gattopardi. </w:t>
      </w:r>
      <w:r w:rsidRPr="005D31AA">
        <w:rPr>
          <w:rFonts w:ascii="Times" w:eastAsia="Times New Roman" w:hAnsi="Times" w:cs="Times New Roman"/>
          <w:i/>
          <w:iCs/>
          <w:sz w:val="24"/>
          <w:szCs w:val="24"/>
          <w:lang w:val="it-IT"/>
        </w:rPr>
        <w:t>Mondadori</w:t>
      </w:r>
      <w:r w:rsidRPr="005D31AA">
        <w:rPr>
          <w:rFonts w:eastAsia="Times New Roman" w:cs="Times New Roman"/>
          <w:sz w:val="24"/>
          <w:szCs w:val="24"/>
          <w:lang w:val="it-IT"/>
        </w:rPr>
        <w:t>.</w:t>
      </w:r>
    </w:p>
    <w:p w14:paraId="06E305B3" w14:textId="12AD00E4" w:rsidR="009F779E" w:rsidRPr="009F779E" w:rsidRDefault="009F779E" w:rsidP="009F779E">
      <w:pPr>
        <w:ind w:left="284" w:right="259"/>
        <w:rPr>
          <w:rFonts w:ascii="Times" w:eastAsia="Times New Roman" w:hAnsi="Times" w:cs="Times New Roman"/>
          <w:i/>
          <w:iCs/>
          <w:sz w:val="30"/>
          <w:szCs w:val="32"/>
          <w:lang w:val="it-IT"/>
        </w:rPr>
      </w:pPr>
      <w:r w:rsidRPr="005D31AA">
        <w:rPr>
          <w:sz w:val="24"/>
          <w:szCs w:val="24"/>
          <w:lang w:val="it-IT"/>
        </w:rPr>
        <w:t xml:space="preserve">Commissione </w:t>
      </w:r>
      <w:r w:rsidR="005D31AA" w:rsidRPr="005D31AA">
        <w:rPr>
          <w:sz w:val="24"/>
          <w:szCs w:val="24"/>
          <w:lang w:val="it-IT"/>
        </w:rPr>
        <w:t xml:space="preserve">I </w:t>
      </w:r>
      <w:r w:rsidRPr="005D31AA">
        <w:rPr>
          <w:sz w:val="24"/>
          <w:szCs w:val="24"/>
          <w:lang w:val="it-IT"/>
        </w:rPr>
        <w:t xml:space="preserve">Affari Costituzionali </w:t>
      </w:r>
      <w:r w:rsidR="005D31AA" w:rsidRPr="005D31AA">
        <w:rPr>
          <w:sz w:val="24"/>
          <w:szCs w:val="24"/>
          <w:lang w:val="it-IT"/>
        </w:rPr>
        <w:t>(</w:t>
      </w:r>
      <w:r w:rsidRPr="005D31AA">
        <w:rPr>
          <w:sz w:val="24"/>
          <w:szCs w:val="24"/>
          <w:lang w:val="it-IT"/>
        </w:rPr>
        <w:t>200</w:t>
      </w:r>
      <w:r w:rsidR="005D31AA" w:rsidRPr="005D31AA">
        <w:rPr>
          <w:sz w:val="24"/>
          <w:szCs w:val="24"/>
          <w:lang w:val="it-IT"/>
        </w:rPr>
        <w:t>7). Seduta della Commissione del 30 gennaio 2007, resoconto stenografico.</w:t>
      </w:r>
      <w:r w:rsidR="005D31AA">
        <w:rPr>
          <w:sz w:val="24"/>
          <w:szCs w:val="24"/>
          <w:lang w:val="it-IT"/>
        </w:rPr>
        <w:t xml:space="preserve"> </w:t>
      </w:r>
    </w:p>
    <w:p w14:paraId="2AD2D313" w14:textId="35C392C3" w:rsidR="00100A3D" w:rsidRPr="00100A3D" w:rsidRDefault="009F779E" w:rsidP="00100A3D">
      <w:pPr>
        <w:shd w:val="clear" w:color="auto" w:fill="FFFFFF"/>
        <w:spacing w:before="100" w:beforeAutospacing="1" w:after="100" w:afterAutospacing="1"/>
        <w:ind w:left="284" w:right="259"/>
        <w:outlineLvl w:val="0"/>
        <w:rPr>
          <w:rFonts w:eastAsia="Times New Roman" w:cs="Times New Roman"/>
          <w:sz w:val="24"/>
          <w:szCs w:val="24"/>
          <w:lang w:val="it-IT"/>
        </w:rPr>
      </w:pPr>
      <w:r w:rsidRPr="009F779E">
        <w:rPr>
          <w:rFonts w:eastAsia="Times New Roman" w:cs="Times New Roman"/>
          <w:sz w:val="24"/>
          <w:szCs w:val="24"/>
          <w:lang w:val="it-IT"/>
        </w:rPr>
        <w:t xml:space="preserve">Di Cataldo, M. e Mastrorocco, N. (2020). </w:t>
      </w:r>
      <w:r w:rsidRPr="009F779E">
        <w:rPr>
          <w:rFonts w:eastAsia="Times New Roman" w:cs="Times New Roman"/>
          <w:sz w:val="24"/>
          <w:szCs w:val="24"/>
        </w:rPr>
        <w:t xml:space="preserve">Organised crime, captured politicians, and the allocation of public resources. </w:t>
      </w:r>
      <w:r w:rsidRPr="009F779E">
        <w:rPr>
          <w:rFonts w:eastAsia="Times New Roman" w:cs="Times New Roman"/>
          <w:sz w:val="24"/>
          <w:szCs w:val="24"/>
          <w:lang w:val="it-IT"/>
        </w:rPr>
        <w:t>Dipartimento di Economia Working Paper 0</w:t>
      </w:r>
      <w:r w:rsidR="000A1293">
        <w:rPr>
          <w:rFonts w:eastAsia="Times New Roman" w:cs="Times New Roman"/>
          <w:sz w:val="24"/>
          <w:szCs w:val="24"/>
          <w:lang w:val="it-IT"/>
        </w:rPr>
        <w:t>4</w:t>
      </w:r>
      <w:r w:rsidRPr="009F779E">
        <w:rPr>
          <w:rFonts w:eastAsia="Times New Roman" w:cs="Times New Roman"/>
          <w:sz w:val="24"/>
          <w:szCs w:val="24"/>
          <w:lang w:val="it-IT"/>
        </w:rPr>
        <w:t xml:space="preserve">/2020, </w:t>
      </w:r>
      <w:r w:rsidR="00100A3D" w:rsidRPr="00100A3D">
        <w:rPr>
          <w:rFonts w:eastAsia="Times New Roman" w:cs="Times New Roman"/>
          <w:sz w:val="24"/>
          <w:szCs w:val="24"/>
          <w:lang w:val="it-IT"/>
        </w:rPr>
        <w:t xml:space="preserve">Università </w:t>
      </w:r>
      <w:r w:rsidRPr="00100A3D">
        <w:rPr>
          <w:rFonts w:eastAsia="Times New Roman" w:cs="Times New Roman"/>
          <w:sz w:val="24"/>
          <w:szCs w:val="24"/>
          <w:lang w:val="it-IT"/>
        </w:rPr>
        <w:t>Ca’ Foscari</w:t>
      </w:r>
      <w:r w:rsidR="00100A3D" w:rsidRPr="00100A3D">
        <w:rPr>
          <w:rFonts w:eastAsia="Times New Roman" w:cs="Times New Roman"/>
          <w:sz w:val="24"/>
          <w:szCs w:val="24"/>
          <w:lang w:val="it-IT"/>
        </w:rPr>
        <w:t xml:space="preserve"> di Venezia</w:t>
      </w:r>
      <w:r w:rsidRPr="00100A3D">
        <w:rPr>
          <w:rFonts w:eastAsia="Times New Roman" w:cs="Times New Roman"/>
          <w:sz w:val="24"/>
          <w:szCs w:val="24"/>
          <w:lang w:val="it-IT"/>
        </w:rPr>
        <w:t>.</w:t>
      </w:r>
    </w:p>
    <w:p w14:paraId="586814E1" w14:textId="1C25803D" w:rsidR="00100A3D" w:rsidRPr="00100A3D" w:rsidRDefault="00100A3D" w:rsidP="00100A3D">
      <w:pPr>
        <w:shd w:val="clear" w:color="auto" w:fill="FFFFFF"/>
        <w:spacing w:before="100" w:beforeAutospacing="1" w:after="100" w:afterAutospacing="1"/>
        <w:ind w:left="284" w:right="259"/>
        <w:outlineLvl w:val="0"/>
        <w:rPr>
          <w:sz w:val="24"/>
          <w:szCs w:val="24"/>
          <w:lang w:val="it-IT"/>
        </w:rPr>
      </w:pPr>
      <w:r w:rsidRPr="00100A3D">
        <w:rPr>
          <w:color w:val="000000"/>
          <w:sz w:val="24"/>
          <w:szCs w:val="24"/>
          <w:shd w:val="clear" w:color="auto" w:fill="FFFFFF"/>
          <w:lang w:val="it-IT"/>
        </w:rPr>
        <w:t>M</w:t>
      </w:r>
      <w:r>
        <w:rPr>
          <w:color w:val="000000"/>
          <w:sz w:val="24"/>
          <w:szCs w:val="24"/>
          <w:shd w:val="clear" w:color="auto" w:fill="FFFFFF"/>
          <w:lang w:val="it-IT"/>
        </w:rPr>
        <w:t>ete</w:t>
      </w:r>
      <w:r w:rsidRPr="00100A3D">
        <w:rPr>
          <w:color w:val="000000"/>
          <w:sz w:val="24"/>
          <w:szCs w:val="24"/>
          <w:shd w:val="clear" w:color="auto" w:fill="FFFFFF"/>
          <w:lang w:val="it-IT"/>
        </w:rPr>
        <w:t>,V. (2009)</w:t>
      </w:r>
      <w:r>
        <w:rPr>
          <w:color w:val="000000"/>
          <w:sz w:val="24"/>
          <w:szCs w:val="24"/>
          <w:shd w:val="clear" w:color="auto" w:fill="FFFFFF"/>
          <w:lang w:val="it-IT"/>
        </w:rPr>
        <w:t>.</w:t>
      </w:r>
      <w:r w:rsidRPr="00100A3D">
        <w:rPr>
          <w:color w:val="000000"/>
          <w:sz w:val="24"/>
          <w:szCs w:val="24"/>
          <w:shd w:val="clear" w:color="auto" w:fill="FFFFFF"/>
          <w:lang w:val="it-IT"/>
        </w:rPr>
        <w:t xml:space="preserve"> Fuori dal Co</w:t>
      </w:r>
      <w:r w:rsidRPr="00100A3D">
        <w:rPr>
          <w:sz w:val="24"/>
          <w:szCs w:val="24"/>
          <w:lang w:val="it-IT"/>
        </w:rPr>
        <w:t xml:space="preserve">mune. Lo scioglimento delle amministrazioni locali per infiltrazioni mafiose, </w:t>
      </w:r>
      <w:r w:rsidRPr="00100A3D">
        <w:rPr>
          <w:i/>
          <w:iCs/>
          <w:sz w:val="24"/>
          <w:szCs w:val="24"/>
          <w:lang w:val="it-IT"/>
        </w:rPr>
        <w:t>Bonanno</w:t>
      </w:r>
      <w:r>
        <w:rPr>
          <w:i/>
          <w:iCs/>
          <w:sz w:val="24"/>
          <w:szCs w:val="24"/>
          <w:lang w:val="it-IT"/>
        </w:rPr>
        <w:t>.</w:t>
      </w:r>
    </w:p>
    <w:p w14:paraId="757342A8" w14:textId="5D07A791" w:rsidR="009F779E" w:rsidRDefault="009F779E" w:rsidP="009F779E">
      <w:pPr>
        <w:ind w:left="284" w:right="259"/>
        <w:rPr>
          <w:rFonts w:ascii="Times" w:eastAsia="Times New Roman" w:hAnsi="Times" w:cs="Times New Roman"/>
          <w:i/>
          <w:iCs/>
          <w:sz w:val="24"/>
          <w:szCs w:val="24"/>
          <w:lang w:val="it-IT"/>
        </w:rPr>
      </w:pPr>
      <w:r w:rsidRPr="009F779E">
        <w:rPr>
          <w:rFonts w:ascii="Times" w:eastAsia="Times New Roman" w:hAnsi="Times" w:cs="Times New Roman"/>
          <w:sz w:val="24"/>
          <w:szCs w:val="24"/>
          <w:lang w:val="it-IT"/>
        </w:rPr>
        <w:t>Sciarrone, R. (2011)</w:t>
      </w:r>
      <w:r w:rsidR="00100A3D">
        <w:rPr>
          <w:rFonts w:ascii="Times" w:eastAsia="Times New Roman" w:hAnsi="Times" w:cs="Times New Roman"/>
          <w:sz w:val="24"/>
          <w:szCs w:val="24"/>
          <w:lang w:val="it-IT"/>
        </w:rPr>
        <w:t>.</w:t>
      </w:r>
      <w:r w:rsidRPr="009F779E">
        <w:rPr>
          <w:rFonts w:ascii="Times" w:eastAsia="Times New Roman" w:hAnsi="Times" w:cs="Times New Roman"/>
          <w:sz w:val="24"/>
          <w:szCs w:val="24"/>
          <w:lang w:val="it-IT"/>
        </w:rPr>
        <w:t xml:space="preserve"> Alleanze nell'ombra. Mafie ed economie locali in Sicilia e nel Mezzogiorno,</w:t>
      </w:r>
      <w:r w:rsidRPr="009F779E">
        <w:rPr>
          <w:rFonts w:ascii="Times" w:eastAsia="Times New Roman" w:hAnsi="Times" w:cs="Times New Roman"/>
          <w:i/>
          <w:iCs/>
          <w:sz w:val="24"/>
          <w:szCs w:val="24"/>
          <w:lang w:val="it-IT"/>
        </w:rPr>
        <w:t xml:space="preserve"> Donzelli Editore.</w:t>
      </w:r>
    </w:p>
    <w:p w14:paraId="2BA7EAEA" w14:textId="77777777" w:rsidR="009F779E" w:rsidRDefault="009F779E" w:rsidP="009F779E">
      <w:pPr>
        <w:ind w:left="284" w:right="259"/>
        <w:rPr>
          <w:rFonts w:ascii="Times" w:eastAsia="Times New Roman" w:hAnsi="Times" w:cs="Times New Roman"/>
          <w:i/>
          <w:iCs/>
          <w:sz w:val="24"/>
          <w:szCs w:val="24"/>
          <w:lang w:val="it-IT"/>
        </w:rPr>
      </w:pPr>
    </w:p>
    <w:sectPr w:rsidR="009F779E" w:rsidSect="00112D4B">
      <w:footerReference w:type="default" r:id="rId12"/>
      <w:pgSz w:w="11906" w:h="16838"/>
      <w:pgMar w:top="1440" w:right="1440" w:bottom="1440" w:left="1560"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1FD3EC" w14:textId="77777777" w:rsidR="001830F6" w:rsidRDefault="001830F6" w:rsidP="002953EA">
      <w:pPr>
        <w:spacing w:after="0" w:line="240" w:lineRule="auto"/>
      </w:pPr>
      <w:r>
        <w:separator/>
      </w:r>
    </w:p>
  </w:endnote>
  <w:endnote w:type="continuationSeparator" w:id="0">
    <w:p w14:paraId="79A40EFF" w14:textId="77777777" w:rsidR="001830F6" w:rsidRDefault="001830F6" w:rsidP="002953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2487478"/>
      <w:docPartObj>
        <w:docPartGallery w:val="Page Numbers (Bottom of Page)"/>
        <w:docPartUnique/>
      </w:docPartObj>
    </w:sdtPr>
    <w:sdtEndPr>
      <w:rPr>
        <w:rFonts w:cs="Times New Roman"/>
        <w:noProof/>
      </w:rPr>
    </w:sdtEndPr>
    <w:sdtContent>
      <w:p w14:paraId="41FDB9FC" w14:textId="660289E0" w:rsidR="001E0151" w:rsidRPr="002953EA" w:rsidRDefault="001E0151">
        <w:pPr>
          <w:pStyle w:val="Footer"/>
          <w:jc w:val="center"/>
          <w:rPr>
            <w:rFonts w:cs="Times New Roman"/>
          </w:rPr>
        </w:pPr>
        <w:r w:rsidRPr="002953EA">
          <w:rPr>
            <w:rFonts w:cs="Times New Roman"/>
          </w:rPr>
          <w:fldChar w:fldCharType="begin"/>
        </w:r>
        <w:r w:rsidRPr="002953EA">
          <w:rPr>
            <w:rFonts w:cs="Times New Roman"/>
          </w:rPr>
          <w:instrText xml:space="preserve"> PAGE   \* MERGEFORMAT </w:instrText>
        </w:r>
        <w:r w:rsidRPr="002953EA">
          <w:rPr>
            <w:rFonts w:cs="Times New Roman"/>
          </w:rPr>
          <w:fldChar w:fldCharType="separate"/>
        </w:r>
        <w:r w:rsidR="00112D4B">
          <w:rPr>
            <w:rFonts w:cs="Times New Roman"/>
            <w:noProof/>
          </w:rPr>
          <w:t>0</w:t>
        </w:r>
        <w:r w:rsidRPr="002953EA">
          <w:rPr>
            <w:rFonts w:cs="Times New Roman"/>
            <w:noProof/>
          </w:rPr>
          <w:fldChar w:fldCharType="end"/>
        </w:r>
      </w:p>
    </w:sdtContent>
  </w:sdt>
  <w:p w14:paraId="54D625BB" w14:textId="77777777" w:rsidR="001E0151" w:rsidRDefault="001E01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6B3AC0" w14:textId="77777777" w:rsidR="001830F6" w:rsidRDefault="001830F6" w:rsidP="002953EA">
      <w:pPr>
        <w:spacing w:after="0" w:line="240" w:lineRule="auto"/>
      </w:pPr>
      <w:r>
        <w:separator/>
      </w:r>
    </w:p>
  </w:footnote>
  <w:footnote w:type="continuationSeparator" w:id="0">
    <w:p w14:paraId="2A3ECBD5" w14:textId="77777777" w:rsidR="001830F6" w:rsidRDefault="001830F6" w:rsidP="002953EA">
      <w:pPr>
        <w:spacing w:after="0" w:line="240" w:lineRule="auto"/>
      </w:pPr>
      <w:r>
        <w:continuationSeparator/>
      </w:r>
    </w:p>
  </w:footnote>
  <w:footnote w:id="1">
    <w:p w14:paraId="235FD853" w14:textId="78560ECB" w:rsidR="001E0151" w:rsidRPr="00066F8C" w:rsidRDefault="001E0151" w:rsidP="00066F8C">
      <w:pPr>
        <w:spacing w:line="276" w:lineRule="auto"/>
        <w:ind w:left="284" w:right="237"/>
        <w:rPr>
          <w:rFonts w:cs="Times New Roman"/>
          <w:shd w:val="clear" w:color="auto" w:fill="FFFFFF"/>
          <w:lang w:val="it-IT"/>
        </w:rPr>
      </w:pPr>
      <w:r w:rsidRPr="00066F8C">
        <w:rPr>
          <w:rStyle w:val="FootnoteReference"/>
        </w:rPr>
        <w:footnoteRef/>
      </w:r>
      <w:r w:rsidRPr="00066F8C">
        <w:rPr>
          <w:lang w:val="it-IT"/>
        </w:rPr>
        <w:t xml:space="preserve"> </w:t>
      </w:r>
      <w:r>
        <w:rPr>
          <w:lang w:val="it-IT"/>
        </w:rPr>
        <w:t>Come ampiamente discusso in questo Rapporto, s</w:t>
      </w:r>
      <w:r w:rsidRPr="00066F8C">
        <w:rPr>
          <w:rFonts w:eastAsia="Times New Roman"/>
          <w:lang w:val="it-IT"/>
        </w:rPr>
        <w:t xml:space="preserve">ia la procedura di riequilibrio </w:t>
      </w:r>
      <w:r>
        <w:rPr>
          <w:rFonts w:eastAsia="Times New Roman"/>
          <w:lang w:val="it-IT"/>
        </w:rPr>
        <w:t xml:space="preserve">pluriennale </w:t>
      </w:r>
      <w:r w:rsidRPr="00066F8C">
        <w:rPr>
          <w:rFonts w:eastAsia="Times New Roman"/>
          <w:lang w:val="it-IT"/>
        </w:rPr>
        <w:t xml:space="preserve">che </w:t>
      </w:r>
      <w:r>
        <w:rPr>
          <w:rFonts w:eastAsia="Times New Roman"/>
          <w:lang w:val="it-IT"/>
        </w:rPr>
        <w:t xml:space="preserve">la procedura </w:t>
      </w:r>
      <w:r w:rsidRPr="00066F8C">
        <w:rPr>
          <w:rFonts w:eastAsia="Times New Roman"/>
          <w:lang w:val="it-IT"/>
        </w:rPr>
        <w:t xml:space="preserve">di dissesto indicano che il comune è in forte criticità finanziaria. Nel riequilibrio il comune deve presentare un Piano di rientro nei conti e, se approvato, è </w:t>
      </w:r>
      <w:r>
        <w:rPr>
          <w:rFonts w:eastAsia="Times New Roman"/>
          <w:lang w:val="it-IT"/>
        </w:rPr>
        <w:t xml:space="preserve">tenuto sotto </w:t>
      </w:r>
      <w:r w:rsidRPr="00066F8C">
        <w:rPr>
          <w:rFonts w:eastAsia="Times New Roman"/>
          <w:lang w:val="it-IT"/>
        </w:rPr>
        <w:t>controll</w:t>
      </w:r>
      <w:r>
        <w:rPr>
          <w:rFonts w:eastAsia="Times New Roman"/>
          <w:lang w:val="it-IT"/>
        </w:rPr>
        <w:t>o</w:t>
      </w:r>
      <w:r w:rsidRPr="00066F8C">
        <w:rPr>
          <w:rFonts w:eastAsia="Times New Roman"/>
          <w:lang w:val="it-IT"/>
        </w:rPr>
        <w:t xml:space="preserve"> sulla sua attuazione. Se il Piano è respinto dalla Corte dei Conti, o il comune non riesce a redigerlo, o nel corso dell’attuazione la Corte dei Conti verifica il non conseguimento degli obiettivi, il comune finisce in dissesto. Nel comune dissestato il consiglio gestisce</w:t>
      </w:r>
      <w:r>
        <w:rPr>
          <w:rFonts w:eastAsia="Times New Roman"/>
          <w:lang w:val="it-IT"/>
        </w:rPr>
        <w:t xml:space="preserve"> </w:t>
      </w:r>
      <w:r w:rsidRPr="00066F8C">
        <w:rPr>
          <w:rFonts w:eastAsia="Times New Roman"/>
          <w:lang w:val="it-IT"/>
        </w:rPr>
        <w:t xml:space="preserve">gli anni futuri sotto il controllo del Ministero dell’Interno, e un organo di liquidazione </w:t>
      </w:r>
      <w:r>
        <w:rPr>
          <w:rFonts w:eastAsia="Times New Roman"/>
          <w:lang w:val="it-IT"/>
        </w:rPr>
        <w:t>s</w:t>
      </w:r>
      <w:r w:rsidRPr="00066F8C">
        <w:rPr>
          <w:rFonts w:eastAsia="Times New Roman"/>
          <w:lang w:val="it-IT"/>
        </w:rPr>
        <w:t>i occupa dei debiti del passato.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1E2FFB"/>
    <w:multiLevelType w:val="multilevel"/>
    <w:tmpl w:val="592C6F6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3C5B"/>
    <w:rsid w:val="00001876"/>
    <w:rsid w:val="00001D9D"/>
    <w:rsid w:val="00005CAA"/>
    <w:rsid w:val="00024EDC"/>
    <w:rsid w:val="00036523"/>
    <w:rsid w:val="000449F5"/>
    <w:rsid w:val="00051289"/>
    <w:rsid w:val="00061AC3"/>
    <w:rsid w:val="00066F8C"/>
    <w:rsid w:val="000739C6"/>
    <w:rsid w:val="00077B66"/>
    <w:rsid w:val="000830E9"/>
    <w:rsid w:val="000A1293"/>
    <w:rsid w:val="000B7C0A"/>
    <w:rsid w:val="000F2267"/>
    <w:rsid w:val="00100614"/>
    <w:rsid w:val="00100A3D"/>
    <w:rsid w:val="00112D4B"/>
    <w:rsid w:val="00117279"/>
    <w:rsid w:val="00130D6D"/>
    <w:rsid w:val="001342B4"/>
    <w:rsid w:val="00134ED8"/>
    <w:rsid w:val="00157C6D"/>
    <w:rsid w:val="0017183D"/>
    <w:rsid w:val="00171EA7"/>
    <w:rsid w:val="001830F6"/>
    <w:rsid w:val="001C14FA"/>
    <w:rsid w:val="001D0BFE"/>
    <w:rsid w:val="001D5BAB"/>
    <w:rsid w:val="001E0151"/>
    <w:rsid w:val="001E6E5A"/>
    <w:rsid w:val="00214E17"/>
    <w:rsid w:val="00232994"/>
    <w:rsid w:val="00243544"/>
    <w:rsid w:val="002458D9"/>
    <w:rsid w:val="00247A9B"/>
    <w:rsid w:val="0025376E"/>
    <w:rsid w:val="00264B28"/>
    <w:rsid w:val="00271354"/>
    <w:rsid w:val="00293203"/>
    <w:rsid w:val="002953EA"/>
    <w:rsid w:val="002A29CF"/>
    <w:rsid w:val="002C004B"/>
    <w:rsid w:val="002F4BD4"/>
    <w:rsid w:val="003036A1"/>
    <w:rsid w:val="00333C5B"/>
    <w:rsid w:val="00347F23"/>
    <w:rsid w:val="00365C38"/>
    <w:rsid w:val="00377C04"/>
    <w:rsid w:val="00390CDC"/>
    <w:rsid w:val="00396AAB"/>
    <w:rsid w:val="003A169F"/>
    <w:rsid w:val="003F15A2"/>
    <w:rsid w:val="003F7FD3"/>
    <w:rsid w:val="00403E8B"/>
    <w:rsid w:val="00420B39"/>
    <w:rsid w:val="00482D5C"/>
    <w:rsid w:val="004A7FD2"/>
    <w:rsid w:val="004B58F8"/>
    <w:rsid w:val="004C6ED2"/>
    <w:rsid w:val="004D1C4E"/>
    <w:rsid w:val="00501BDC"/>
    <w:rsid w:val="005038E7"/>
    <w:rsid w:val="005072FD"/>
    <w:rsid w:val="00520141"/>
    <w:rsid w:val="005358C5"/>
    <w:rsid w:val="00550BFA"/>
    <w:rsid w:val="005538E9"/>
    <w:rsid w:val="00572DA2"/>
    <w:rsid w:val="00584523"/>
    <w:rsid w:val="00596756"/>
    <w:rsid w:val="005A2EC2"/>
    <w:rsid w:val="005A45EC"/>
    <w:rsid w:val="005D31AA"/>
    <w:rsid w:val="006077D2"/>
    <w:rsid w:val="00610845"/>
    <w:rsid w:val="006255DA"/>
    <w:rsid w:val="00635078"/>
    <w:rsid w:val="00647090"/>
    <w:rsid w:val="00661820"/>
    <w:rsid w:val="00665ECB"/>
    <w:rsid w:val="00667F68"/>
    <w:rsid w:val="00683FAF"/>
    <w:rsid w:val="00684BEF"/>
    <w:rsid w:val="006A2D91"/>
    <w:rsid w:val="006A42A7"/>
    <w:rsid w:val="006A4385"/>
    <w:rsid w:val="006C26C3"/>
    <w:rsid w:val="006C5BA3"/>
    <w:rsid w:val="006E00B2"/>
    <w:rsid w:val="006E7BD0"/>
    <w:rsid w:val="00734403"/>
    <w:rsid w:val="0075023A"/>
    <w:rsid w:val="00756736"/>
    <w:rsid w:val="00760868"/>
    <w:rsid w:val="00764A67"/>
    <w:rsid w:val="007659DD"/>
    <w:rsid w:val="00767115"/>
    <w:rsid w:val="0077050E"/>
    <w:rsid w:val="00777B9D"/>
    <w:rsid w:val="007818F1"/>
    <w:rsid w:val="00782E3D"/>
    <w:rsid w:val="0079276A"/>
    <w:rsid w:val="007960A6"/>
    <w:rsid w:val="007B3B56"/>
    <w:rsid w:val="007B45BA"/>
    <w:rsid w:val="007C154D"/>
    <w:rsid w:val="007C54B2"/>
    <w:rsid w:val="007C6819"/>
    <w:rsid w:val="007D161A"/>
    <w:rsid w:val="007D5401"/>
    <w:rsid w:val="007E2C87"/>
    <w:rsid w:val="007E6E1C"/>
    <w:rsid w:val="00814067"/>
    <w:rsid w:val="00817D94"/>
    <w:rsid w:val="00821915"/>
    <w:rsid w:val="00830659"/>
    <w:rsid w:val="00841CEE"/>
    <w:rsid w:val="00842960"/>
    <w:rsid w:val="00861E13"/>
    <w:rsid w:val="008A78BC"/>
    <w:rsid w:val="008B21F5"/>
    <w:rsid w:val="008B6CEF"/>
    <w:rsid w:val="008D586C"/>
    <w:rsid w:val="008E0E18"/>
    <w:rsid w:val="009050A5"/>
    <w:rsid w:val="00912A1F"/>
    <w:rsid w:val="00960EA9"/>
    <w:rsid w:val="00963A97"/>
    <w:rsid w:val="00965AD2"/>
    <w:rsid w:val="00995509"/>
    <w:rsid w:val="009A1857"/>
    <w:rsid w:val="009A48E5"/>
    <w:rsid w:val="009B3673"/>
    <w:rsid w:val="009B7D85"/>
    <w:rsid w:val="009C43E7"/>
    <w:rsid w:val="009D32D5"/>
    <w:rsid w:val="009E20DC"/>
    <w:rsid w:val="009E695E"/>
    <w:rsid w:val="009F779E"/>
    <w:rsid w:val="00A00451"/>
    <w:rsid w:val="00A24C18"/>
    <w:rsid w:val="00A552BB"/>
    <w:rsid w:val="00A711EF"/>
    <w:rsid w:val="00A8057D"/>
    <w:rsid w:val="00A94513"/>
    <w:rsid w:val="00AA7580"/>
    <w:rsid w:val="00AB09A6"/>
    <w:rsid w:val="00AC3957"/>
    <w:rsid w:val="00AC4D80"/>
    <w:rsid w:val="00AC6E86"/>
    <w:rsid w:val="00AD36A6"/>
    <w:rsid w:val="00AD59EC"/>
    <w:rsid w:val="00B05683"/>
    <w:rsid w:val="00B16AA0"/>
    <w:rsid w:val="00B27021"/>
    <w:rsid w:val="00B301A8"/>
    <w:rsid w:val="00B43088"/>
    <w:rsid w:val="00B4358D"/>
    <w:rsid w:val="00B5078E"/>
    <w:rsid w:val="00B51283"/>
    <w:rsid w:val="00B657D7"/>
    <w:rsid w:val="00B6672E"/>
    <w:rsid w:val="00B673DE"/>
    <w:rsid w:val="00B67D9A"/>
    <w:rsid w:val="00B70367"/>
    <w:rsid w:val="00B7309B"/>
    <w:rsid w:val="00B76362"/>
    <w:rsid w:val="00B834F3"/>
    <w:rsid w:val="00BB00AB"/>
    <w:rsid w:val="00BC53D4"/>
    <w:rsid w:val="00BF73C0"/>
    <w:rsid w:val="00C01505"/>
    <w:rsid w:val="00C03546"/>
    <w:rsid w:val="00C04392"/>
    <w:rsid w:val="00C1002F"/>
    <w:rsid w:val="00C210B6"/>
    <w:rsid w:val="00C3034C"/>
    <w:rsid w:val="00C37331"/>
    <w:rsid w:val="00C53E26"/>
    <w:rsid w:val="00C569AB"/>
    <w:rsid w:val="00C66585"/>
    <w:rsid w:val="00C713E6"/>
    <w:rsid w:val="00C8062B"/>
    <w:rsid w:val="00C87FF7"/>
    <w:rsid w:val="00CA432A"/>
    <w:rsid w:val="00CB50DB"/>
    <w:rsid w:val="00CC0821"/>
    <w:rsid w:val="00CD2E39"/>
    <w:rsid w:val="00CF7BD3"/>
    <w:rsid w:val="00D02C16"/>
    <w:rsid w:val="00D1162C"/>
    <w:rsid w:val="00D16AEB"/>
    <w:rsid w:val="00D20D2B"/>
    <w:rsid w:val="00D24E10"/>
    <w:rsid w:val="00D34B95"/>
    <w:rsid w:val="00D72742"/>
    <w:rsid w:val="00D81209"/>
    <w:rsid w:val="00D87935"/>
    <w:rsid w:val="00D912CD"/>
    <w:rsid w:val="00D913E3"/>
    <w:rsid w:val="00DA5CD6"/>
    <w:rsid w:val="00DB4B53"/>
    <w:rsid w:val="00DB6019"/>
    <w:rsid w:val="00DC21E3"/>
    <w:rsid w:val="00DD26AC"/>
    <w:rsid w:val="00DD2B1B"/>
    <w:rsid w:val="00DD6E93"/>
    <w:rsid w:val="00E013DA"/>
    <w:rsid w:val="00E02DDD"/>
    <w:rsid w:val="00E12881"/>
    <w:rsid w:val="00E12B43"/>
    <w:rsid w:val="00E14B0F"/>
    <w:rsid w:val="00E549AF"/>
    <w:rsid w:val="00E57F44"/>
    <w:rsid w:val="00E76876"/>
    <w:rsid w:val="00E8290A"/>
    <w:rsid w:val="00E82B96"/>
    <w:rsid w:val="00E92E5D"/>
    <w:rsid w:val="00E96B2D"/>
    <w:rsid w:val="00EA104A"/>
    <w:rsid w:val="00EA1B32"/>
    <w:rsid w:val="00EA538B"/>
    <w:rsid w:val="00EB14BD"/>
    <w:rsid w:val="00EF0561"/>
    <w:rsid w:val="00EF3C5F"/>
    <w:rsid w:val="00EF40C7"/>
    <w:rsid w:val="00F10683"/>
    <w:rsid w:val="00F15141"/>
    <w:rsid w:val="00F26116"/>
    <w:rsid w:val="00F272E8"/>
    <w:rsid w:val="00F812FA"/>
    <w:rsid w:val="00F92D8D"/>
    <w:rsid w:val="00F97D86"/>
    <w:rsid w:val="00FA195F"/>
    <w:rsid w:val="00FB4E97"/>
    <w:rsid w:val="00FC2445"/>
    <w:rsid w:val="00FC48DF"/>
    <w:rsid w:val="00FD2AD0"/>
    <w:rsid w:val="00FD4D40"/>
    <w:rsid w:val="00FF5431"/>
    <w:rsid w:val="00FF66AC"/>
    <w:rsid w:val="00FF66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64035"/>
  <w15:chartTrackingRefBased/>
  <w15:docId w15:val="{61CF097B-A9BE-44E9-9504-D2BAEFF601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1289"/>
    <w:pPr>
      <w:spacing w:line="360" w:lineRule="auto"/>
      <w:jc w:val="both"/>
    </w:pPr>
    <w:rPr>
      <w:rFonts w:ascii="Times New Roman" w:hAnsi="Times New Roman"/>
    </w:rPr>
  </w:style>
  <w:style w:type="paragraph" w:styleId="Heading1">
    <w:name w:val="heading 1"/>
    <w:basedOn w:val="Normal"/>
    <w:next w:val="Normal"/>
    <w:link w:val="Heading1Char"/>
    <w:uiPriority w:val="9"/>
    <w:qFormat/>
    <w:rsid w:val="002953EA"/>
    <w:pPr>
      <w:keepNext/>
      <w:keepLines/>
      <w:spacing w:before="240" w:after="0"/>
      <w:outlineLvl w:val="0"/>
    </w:pPr>
    <w:rPr>
      <w:rFonts w:ascii="Garamond" w:eastAsiaTheme="majorEastAsia" w:hAnsi="Garamond" w:cstheme="majorBidi"/>
      <w:b/>
      <w:sz w:val="36"/>
      <w:szCs w:val="32"/>
    </w:rPr>
  </w:style>
  <w:style w:type="paragraph" w:styleId="Heading2">
    <w:name w:val="heading 2"/>
    <w:basedOn w:val="Normal"/>
    <w:next w:val="Normal"/>
    <w:link w:val="Heading2Char"/>
    <w:uiPriority w:val="9"/>
    <w:unhideWhenUsed/>
    <w:qFormat/>
    <w:rsid w:val="002953EA"/>
    <w:pPr>
      <w:keepNext/>
      <w:keepLines/>
      <w:spacing w:before="40" w:after="0"/>
      <w:outlineLvl w:val="1"/>
    </w:pPr>
    <w:rPr>
      <w:rFonts w:ascii="Garamond" w:eastAsiaTheme="majorEastAsia" w:hAnsi="Garamond" w:cstheme="majorBidi"/>
      <w:sz w:val="3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953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953EA"/>
  </w:style>
  <w:style w:type="paragraph" w:styleId="Footer">
    <w:name w:val="footer"/>
    <w:basedOn w:val="Normal"/>
    <w:link w:val="FooterChar"/>
    <w:uiPriority w:val="99"/>
    <w:unhideWhenUsed/>
    <w:rsid w:val="002953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953EA"/>
  </w:style>
  <w:style w:type="character" w:customStyle="1" w:styleId="Heading1Char">
    <w:name w:val="Heading 1 Char"/>
    <w:basedOn w:val="DefaultParagraphFont"/>
    <w:link w:val="Heading1"/>
    <w:uiPriority w:val="9"/>
    <w:rsid w:val="002953EA"/>
    <w:rPr>
      <w:rFonts w:ascii="Garamond" w:eastAsiaTheme="majorEastAsia" w:hAnsi="Garamond" w:cstheme="majorBidi"/>
      <w:b/>
      <w:sz w:val="36"/>
      <w:szCs w:val="32"/>
    </w:rPr>
  </w:style>
  <w:style w:type="character" w:customStyle="1" w:styleId="Heading2Char">
    <w:name w:val="Heading 2 Char"/>
    <w:basedOn w:val="DefaultParagraphFont"/>
    <w:link w:val="Heading2"/>
    <w:uiPriority w:val="9"/>
    <w:rsid w:val="002953EA"/>
    <w:rPr>
      <w:rFonts w:ascii="Garamond" w:eastAsiaTheme="majorEastAsia" w:hAnsi="Garamond" w:cstheme="majorBidi"/>
      <w:sz w:val="36"/>
      <w:szCs w:val="26"/>
    </w:rPr>
  </w:style>
  <w:style w:type="paragraph" w:styleId="BalloonText">
    <w:name w:val="Balloon Text"/>
    <w:basedOn w:val="Normal"/>
    <w:link w:val="BalloonTextChar"/>
    <w:uiPriority w:val="99"/>
    <w:semiHidden/>
    <w:unhideWhenUsed/>
    <w:rsid w:val="002953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53EA"/>
    <w:rPr>
      <w:rFonts w:ascii="Segoe UI" w:hAnsi="Segoe UI" w:cs="Segoe UI"/>
      <w:sz w:val="18"/>
      <w:szCs w:val="18"/>
    </w:rPr>
  </w:style>
  <w:style w:type="paragraph" w:styleId="ListParagraph">
    <w:name w:val="List Paragraph"/>
    <w:basedOn w:val="Normal"/>
    <w:uiPriority w:val="34"/>
    <w:qFormat/>
    <w:rsid w:val="002953EA"/>
    <w:pPr>
      <w:ind w:left="720"/>
      <w:contextualSpacing/>
    </w:pPr>
  </w:style>
  <w:style w:type="character" w:styleId="CommentReference">
    <w:name w:val="annotation reference"/>
    <w:basedOn w:val="DefaultParagraphFont"/>
    <w:uiPriority w:val="99"/>
    <w:semiHidden/>
    <w:unhideWhenUsed/>
    <w:rsid w:val="00635078"/>
    <w:rPr>
      <w:sz w:val="16"/>
      <w:szCs w:val="16"/>
    </w:rPr>
  </w:style>
  <w:style w:type="paragraph" w:styleId="CommentText">
    <w:name w:val="annotation text"/>
    <w:basedOn w:val="Normal"/>
    <w:link w:val="CommentTextChar"/>
    <w:uiPriority w:val="99"/>
    <w:semiHidden/>
    <w:unhideWhenUsed/>
    <w:rsid w:val="00635078"/>
    <w:pPr>
      <w:spacing w:line="240" w:lineRule="auto"/>
    </w:pPr>
    <w:rPr>
      <w:sz w:val="20"/>
      <w:szCs w:val="20"/>
    </w:rPr>
  </w:style>
  <w:style w:type="character" w:customStyle="1" w:styleId="CommentTextChar">
    <w:name w:val="Comment Text Char"/>
    <w:basedOn w:val="DefaultParagraphFont"/>
    <w:link w:val="CommentText"/>
    <w:uiPriority w:val="99"/>
    <w:semiHidden/>
    <w:rsid w:val="00635078"/>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635078"/>
    <w:rPr>
      <w:b/>
      <w:bCs/>
    </w:rPr>
  </w:style>
  <w:style w:type="character" w:customStyle="1" w:styleId="CommentSubjectChar">
    <w:name w:val="Comment Subject Char"/>
    <w:basedOn w:val="CommentTextChar"/>
    <w:link w:val="CommentSubject"/>
    <w:uiPriority w:val="99"/>
    <w:semiHidden/>
    <w:rsid w:val="00635078"/>
    <w:rPr>
      <w:rFonts w:ascii="Times New Roman" w:hAnsi="Times New Roman"/>
      <w:b/>
      <w:bCs/>
      <w:sz w:val="20"/>
      <w:szCs w:val="20"/>
    </w:rPr>
  </w:style>
  <w:style w:type="paragraph" w:styleId="FootnoteText">
    <w:name w:val="footnote text"/>
    <w:basedOn w:val="Normal"/>
    <w:link w:val="FootnoteTextChar"/>
    <w:uiPriority w:val="99"/>
    <w:semiHidden/>
    <w:unhideWhenUsed/>
    <w:rsid w:val="005538E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538E9"/>
    <w:rPr>
      <w:rFonts w:ascii="Times New Roman" w:hAnsi="Times New Roman"/>
      <w:sz w:val="20"/>
      <w:szCs w:val="20"/>
    </w:rPr>
  </w:style>
  <w:style w:type="character" w:styleId="FootnoteReference">
    <w:name w:val="footnote reference"/>
    <w:basedOn w:val="DefaultParagraphFont"/>
    <w:uiPriority w:val="99"/>
    <w:semiHidden/>
    <w:unhideWhenUsed/>
    <w:rsid w:val="005538E9"/>
    <w:rPr>
      <w:vertAlign w:val="superscript"/>
    </w:rPr>
  </w:style>
  <w:style w:type="character" w:customStyle="1" w:styleId="apple-converted-space">
    <w:name w:val="apple-converted-space"/>
    <w:basedOn w:val="DefaultParagraphFont"/>
    <w:rsid w:val="009F77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604318">
      <w:bodyDiv w:val="1"/>
      <w:marLeft w:val="0"/>
      <w:marRight w:val="0"/>
      <w:marTop w:val="0"/>
      <w:marBottom w:val="0"/>
      <w:divBdr>
        <w:top w:val="none" w:sz="0" w:space="0" w:color="auto"/>
        <w:left w:val="none" w:sz="0" w:space="0" w:color="auto"/>
        <w:bottom w:val="none" w:sz="0" w:space="0" w:color="auto"/>
        <w:right w:val="none" w:sz="0" w:space="0" w:color="auto"/>
      </w:divBdr>
    </w:div>
    <w:div w:id="1581213706">
      <w:bodyDiv w:val="1"/>
      <w:marLeft w:val="0"/>
      <w:marRight w:val="0"/>
      <w:marTop w:val="0"/>
      <w:marBottom w:val="0"/>
      <w:divBdr>
        <w:top w:val="none" w:sz="0" w:space="0" w:color="auto"/>
        <w:left w:val="none" w:sz="0" w:space="0" w:color="auto"/>
        <w:bottom w:val="none" w:sz="0" w:space="0" w:color="auto"/>
        <w:right w:val="none" w:sz="0" w:space="0" w:color="auto"/>
      </w:divBdr>
    </w:div>
    <w:div w:id="1653102289">
      <w:bodyDiv w:val="1"/>
      <w:marLeft w:val="0"/>
      <w:marRight w:val="0"/>
      <w:marTop w:val="0"/>
      <w:marBottom w:val="0"/>
      <w:divBdr>
        <w:top w:val="none" w:sz="0" w:space="0" w:color="auto"/>
        <w:left w:val="none" w:sz="0" w:space="0" w:color="auto"/>
        <w:bottom w:val="none" w:sz="0" w:space="0" w:color="auto"/>
        <w:right w:val="none" w:sz="0" w:space="0" w:color="auto"/>
      </w:divBdr>
    </w:div>
    <w:div w:id="1957515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08260A-D986-49CA-8052-E21ACDE3E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5134</Words>
  <Characters>29264</Characters>
  <Application>Microsoft Office Word</Application>
  <DocSecurity>0</DocSecurity>
  <Lines>243</Lines>
  <Paragraphs>68</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34330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Di-Cataldo,M</dc:creator>
  <cp:keywords/>
  <dc:description/>
  <cp:lastModifiedBy>Marco Di Cataldo</cp:lastModifiedBy>
  <cp:revision>2</cp:revision>
  <dcterms:created xsi:type="dcterms:W3CDTF">2023-01-10T11:53:00Z</dcterms:created>
  <dcterms:modified xsi:type="dcterms:W3CDTF">2023-01-10T11:53:00Z</dcterms:modified>
</cp:coreProperties>
</file>