
<file path=[Content_Types].xml><?xml version="1.0" encoding="utf-8"?>
<Types xmlns="http://schemas.openxmlformats.org/package/2006/content-types">
  <Default Extension="xml" ContentType="application/xml"/>
  <Default Extension="tiff" ContentType="image/tiff"/>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78B970" w14:textId="77777777" w:rsidR="00773B86" w:rsidRPr="004A0323" w:rsidRDefault="00773B86" w:rsidP="00513F10">
      <w:pPr>
        <w:spacing w:line="480" w:lineRule="auto"/>
        <w:jc w:val="center"/>
        <w:rPr>
          <w:b/>
          <w:bCs/>
          <w:sz w:val="28"/>
          <w:lang w:val="en-US"/>
        </w:rPr>
      </w:pPr>
      <w:bookmarkStart w:id="0" w:name="_GoBack"/>
    </w:p>
    <w:p w14:paraId="4A6EFC04" w14:textId="77777777" w:rsidR="00773B86" w:rsidRPr="004A0323" w:rsidRDefault="00773B86" w:rsidP="00513F10">
      <w:pPr>
        <w:jc w:val="center"/>
        <w:rPr>
          <w:b/>
          <w:bCs/>
          <w:sz w:val="28"/>
          <w:lang w:val="en-US"/>
        </w:rPr>
      </w:pPr>
    </w:p>
    <w:p w14:paraId="34AC6E95" w14:textId="111749CE" w:rsidR="007210E1" w:rsidRPr="004A0323" w:rsidRDefault="00D14B2E" w:rsidP="009A3DAB">
      <w:pPr>
        <w:jc w:val="center"/>
        <w:rPr>
          <w:b/>
          <w:bCs/>
          <w:sz w:val="28"/>
          <w:lang w:val="en-US"/>
        </w:rPr>
      </w:pPr>
      <w:r w:rsidRPr="004A0323">
        <w:rPr>
          <w:b/>
          <w:bCs/>
          <w:sz w:val="28"/>
          <w:lang w:val="en-US"/>
        </w:rPr>
        <w:t xml:space="preserve">Numbers </w:t>
      </w:r>
      <w:r w:rsidR="006C7B83" w:rsidRPr="004A0323">
        <w:rPr>
          <w:b/>
          <w:bCs/>
          <w:sz w:val="28"/>
          <w:lang w:val="en-US"/>
        </w:rPr>
        <w:t>in</w:t>
      </w:r>
      <w:r w:rsidRPr="004A0323">
        <w:rPr>
          <w:b/>
          <w:bCs/>
          <w:sz w:val="28"/>
          <w:lang w:val="en-US"/>
        </w:rPr>
        <w:t xml:space="preserve"> </w:t>
      </w:r>
      <w:r w:rsidR="00704405" w:rsidRPr="004A0323">
        <w:rPr>
          <w:b/>
          <w:bCs/>
          <w:sz w:val="28"/>
          <w:lang w:val="en-US"/>
        </w:rPr>
        <w:t>Regulatory Intermediation</w:t>
      </w:r>
      <w:r w:rsidR="00463CA2" w:rsidRPr="004A0323">
        <w:rPr>
          <w:b/>
          <w:bCs/>
          <w:sz w:val="28"/>
          <w:lang w:val="en-US"/>
        </w:rPr>
        <w:t xml:space="preserve">; </w:t>
      </w:r>
      <w:r w:rsidR="00704405" w:rsidRPr="004A0323">
        <w:rPr>
          <w:b/>
          <w:bCs/>
          <w:sz w:val="28"/>
          <w:lang w:val="en-US"/>
        </w:rPr>
        <w:t>Exploring t</w:t>
      </w:r>
      <w:r w:rsidR="005F2AE1" w:rsidRPr="004A0323">
        <w:rPr>
          <w:b/>
          <w:bCs/>
          <w:sz w:val="28"/>
          <w:lang w:val="en-US"/>
        </w:rPr>
        <w:t xml:space="preserve">he role of </w:t>
      </w:r>
      <w:r w:rsidR="00A77422" w:rsidRPr="004A0323">
        <w:rPr>
          <w:b/>
          <w:bCs/>
          <w:sz w:val="28"/>
          <w:lang w:val="en-US"/>
        </w:rPr>
        <w:t>performance measurement</w:t>
      </w:r>
      <w:r w:rsidR="005F2AE1" w:rsidRPr="004A0323">
        <w:rPr>
          <w:b/>
          <w:bCs/>
          <w:sz w:val="28"/>
          <w:lang w:val="en-US"/>
        </w:rPr>
        <w:t xml:space="preserve"> </w:t>
      </w:r>
      <w:r w:rsidR="00704405" w:rsidRPr="004A0323">
        <w:rPr>
          <w:b/>
          <w:bCs/>
          <w:sz w:val="28"/>
          <w:lang w:val="en-US"/>
        </w:rPr>
        <w:t>between legitimacy and compliance</w:t>
      </w:r>
    </w:p>
    <w:p w14:paraId="0B6D9121" w14:textId="77777777" w:rsidR="005F2AE1" w:rsidRPr="004A0323" w:rsidRDefault="005F2AE1" w:rsidP="00513F10">
      <w:pPr>
        <w:spacing w:line="480" w:lineRule="auto"/>
        <w:rPr>
          <w:b/>
          <w:lang w:val="en-US"/>
        </w:rPr>
      </w:pPr>
    </w:p>
    <w:p w14:paraId="5FEB25F6" w14:textId="77777777" w:rsidR="006D5A79" w:rsidRPr="004A0323" w:rsidRDefault="006D5A79" w:rsidP="00513F10">
      <w:pPr>
        <w:spacing w:line="480" w:lineRule="auto"/>
        <w:rPr>
          <w:b/>
          <w:lang w:val="en-US"/>
        </w:rPr>
      </w:pPr>
    </w:p>
    <w:p w14:paraId="5B1C395D" w14:textId="77777777" w:rsidR="006D5A79" w:rsidRPr="004A0323" w:rsidRDefault="006D5A79" w:rsidP="00513F10">
      <w:pPr>
        <w:spacing w:line="480" w:lineRule="auto"/>
        <w:rPr>
          <w:b/>
          <w:lang w:val="en-US"/>
        </w:rPr>
      </w:pPr>
    </w:p>
    <w:p w14:paraId="64D18D4F" w14:textId="77777777" w:rsidR="006D5A79" w:rsidRPr="004A0323" w:rsidRDefault="006D5A79" w:rsidP="00513F10">
      <w:pPr>
        <w:spacing w:line="480" w:lineRule="auto"/>
        <w:rPr>
          <w:b/>
          <w:lang w:val="en-US"/>
        </w:rPr>
      </w:pPr>
    </w:p>
    <w:p w14:paraId="3AC451B2" w14:textId="587C3260" w:rsidR="003D30CC" w:rsidRPr="004A0323" w:rsidRDefault="003D30CC" w:rsidP="00513F10">
      <w:pPr>
        <w:spacing w:line="480" w:lineRule="auto"/>
        <w:rPr>
          <w:b/>
          <w:lang w:val="en-US"/>
        </w:rPr>
      </w:pPr>
      <w:r w:rsidRPr="004A0323">
        <w:rPr>
          <w:b/>
          <w:lang w:val="en-US"/>
        </w:rPr>
        <w:t>Abstract</w:t>
      </w:r>
    </w:p>
    <w:p w14:paraId="5664594E" w14:textId="77777777" w:rsidR="002D3172" w:rsidRPr="004A0323" w:rsidRDefault="002D3172" w:rsidP="002D3172">
      <w:pPr>
        <w:jc w:val="both"/>
        <w:rPr>
          <w:bCs/>
          <w:lang w:val="en-US"/>
        </w:rPr>
      </w:pPr>
      <w:r w:rsidRPr="004A0323">
        <w:rPr>
          <w:bCs/>
          <w:lang w:val="en-US"/>
        </w:rPr>
        <w:t>Much regulatory intermediation (RI) has come to entail forms of calculation and performance measurement. In this paper, we analyze the role of performance measurement in regulatory intermediation in a transnational multi-stakeholder setting where intermediation lacks an official mandate. We do this through a study of the Access to Medicine Index, which ranks pharmaceutical companies in terms of their access to medicine policies and practices in developing countries. We conceptualize multi-stakeholder intermediaries as “second order rule-makers” reconciling diverse and often competing implicit and explicit rules across the governance field. We then detail various intermediation roles of performance measurement between attaining input &amp; output legitimacy and enticing compliance among targets. Our case demonstrates how the selective formalization of measurement processes, and the related ability to move back and forth from the role of intermediary to that of “ad hoc rule-maker”, are important conditions for achieving and maintaining legitimacy. Furthermore, it shows that in multi-stakeholder intermediaries that rely on performance measurement, compliance by targets depends on the uptake of performance information by powerful constituencies. This illustrates how addressing legitimacy concerns and enticing compliance through performance measurement should be examined as co-emerging processes.</w:t>
      </w:r>
    </w:p>
    <w:p w14:paraId="66DD6DFE" w14:textId="77777777" w:rsidR="003D30CC" w:rsidRPr="004A0323" w:rsidRDefault="003D30CC" w:rsidP="00513F10">
      <w:pPr>
        <w:spacing w:line="480" w:lineRule="auto"/>
        <w:rPr>
          <w:b/>
          <w:lang w:val="en-US"/>
        </w:rPr>
      </w:pPr>
    </w:p>
    <w:p w14:paraId="5967B1FF" w14:textId="77777777" w:rsidR="00D10E12" w:rsidRPr="004A0323" w:rsidRDefault="00D10E12" w:rsidP="00513F10">
      <w:pPr>
        <w:rPr>
          <w:lang w:val="en-US"/>
        </w:rPr>
      </w:pPr>
    </w:p>
    <w:p w14:paraId="75B8FF81" w14:textId="71636D74" w:rsidR="00692F11" w:rsidRPr="004A0323" w:rsidRDefault="00597A3E" w:rsidP="00513F10">
      <w:pPr>
        <w:pBdr>
          <w:top w:val="none" w:sz="0" w:space="0" w:color="auto"/>
          <w:left w:val="none" w:sz="0" w:space="0" w:color="auto"/>
          <w:bottom w:val="none" w:sz="0" w:space="0" w:color="auto"/>
          <w:right w:val="none" w:sz="0" w:space="0" w:color="auto"/>
          <w:between w:val="none" w:sz="0" w:space="0" w:color="auto"/>
          <w:bar w:val="none" w:sz="0" w:color="auto"/>
        </w:pBdr>
        <w:rPr>
          <w:rFonts w:eastAsia="Arial Unicode MS"/>
          <w:b/>
          <w:bdr w:val="nil"/>
          <w:lang w:val="en-US"/>
        </w:rPr>
      </w:pPr>
      <w:r w:rsidRPr="004A0323">
        <w:rPr>
          <w:b/>
          <w:lang w:val="en-US"/>
        </w:rPr>
        <w:t xml:space="preserve">Keywords: </w:t>
      </w:r>
      <w:r w:rsidRPr="004A0323">
        <w:rPr>
          <w:bCs/>
          <w:lang w:val="en-US"/>
        </w:rPr>
        <w:t xml:space="preserve">regulatory intermediation, </w:t>
      </w:r>
      <w:r w:rsidR="004119D4" w:rsidRPr="004A0323">
        <w:rPr>
          <w:bCs/>
          <w:lang w:val="en-US"/>
        </w:rPr>
        <w:t xml:space="preserve">performance </w:t>
      </w:r>
      <w:r w:rsidR="00025A1C" w:rsidRPr="004A0323">
        <w:rPr>
          <w:bCs/>
          <w:lang w:val="en-US"/>
        </w:rPr>
        <w:t>measurement</w:t>
      </w:r>
      <w:r w:rsidRPr="004A0323">
        <w:rPr>
          <w:bCs/>
          <w:lang w:val="en-US"/>
        </w:rPr>
        <w:t>, legitimacy, compliance, access to medicine</w:t>
      </w:r>
      <w:r w:rsidR="00692F11" w:rsidRPr="004A0323">
        <w:rPr>
          <w:b/>
          <w:lang w:val="en-US"/>
        </w:rPr>
        <w:br w:type="page"/>
      </w:r>
    </w:p>
    <w:p w14:paraId="158F0F7F" w14:textId="2A7F6E58" w:rsidR="00211B65" w:rsidRPr="004A0323" w:rsidRDefault="00211B65" w:rsidP="00513F10">
      <w:pPr>
        <w:pStyle w:val="Body"/>
        <w:numPr>
          <w:ilvl w:val="0"/>
          <w:numId w:val="1"/>
        </w:numPr>
        <w:rPr>
          <w:rFonts w:asciiTheme="majorBidi" w:hAnsiTheme="majorBidi" w:cstheme="majorBidi"/>
          <w:b/>
          <w:color w:val="000000" w:themeColor="text1"/>
          <w:szCs w:val="24"/>
        </w:rPr>
      </w:pPr>
      <w:r w:rsidRPr="004A0323">
        <w:rPr>
          <w:rFonts w:asciiTheme="majorBidi" w:hAnsiTheme="majorBidi" w:cstheme="majorBidi"/>
          <w:b/>
          <w:color w:val="000000" w:themeColor="text1"/>
          <w:szCs w:val="24"/>
        </w:rPr>
        <w:lastRenderedPageBreak/>
        <w:t>Introduction</w:t>
      </w:r>
    </w:p>
    <w:p w14:paraId="1592C851" w14:textId="2DF2DFAD" w:rsidR="000225CB" w:rsidRPr="004A0323" w:rsidRDefault="000225CB" w:rsidP="00513F10">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The shift from state led regulation to regulation by transnational communities comprising states, intergovernmental organizations (</w:t>
      </w:r>
      <w:r w:rsidR="00042BF5" w:rsidRPr="004A0323">
        <w:rPr>
          <w:rFonts w:asciiTheme="majorBidi" w:hAnsiTheme="majorBidi" w:cstheme="majorBidi"/>
          <w:color w:val="000000" w:themeColor="text1"/>
          <w:szCs w:val="24"/>
        </w:rPr>
        <w:t>IGOs) and private organizations</w:t>
      </w:r>
      <w:r w:rsidRPr="004A0323">
        <w:rPr>
          <w:rFonts w:asciiTheme="majorBidi" w:hAnsiTheme="majorBidi" w:cstheme="majorBidi"/>
          <w:color w:val="000000" w:themeColor="text1"/>
          <w:szCs w:val="24"/>
        </w:rPr>
        <w:t xml:space="preserve"> (Djelic &amp; Quack 2010) has seen the rise of a fast expanding </w:t>
      </w:r>
      <w:r w:rsidR="00DE46FE" w:rsidRPr="004A0323">
        <w:rPr>
          <w:rFonts w:asciiTheme="majorBidi" w:hAnsiTheme="majorBidi" w:cstheme="majorBidi"/>
          <w:color w:val="000000" w:themeColor="text1"/>
          <w:szCs w:val="24"/>
        </w:rPr>
        <w:t xml:space="preserve">set of </w:t>
      </w:r>
      <w:r w:rsidR="006C59FD" w:rsidRPr="004A0323">
        <w:rPr>
          <w:rFonts w:asciiTheme="majorBidi" w:hAnsiTheme="majorBidi" w:cstheme="majorBidi"/>
          <w:color w:val="000000" w:themeColor="text1"/>
          <w:szCs w:val="24"/>
        </w:rPr>
        <w:t xml:space="preserve">roles and </w:t>
      </w:r>
      <w:r w:rsidR="00DE46FE" w:rsidRPr="004A0323">
        <w:rPr>
          <w:rFonts w:asciiTheme="majorBidi" w:hAnsiTheme="majorBidi" w:cstheme="majorBidi"/>
          <w:color w:val="000000" w:themeColor="text1"/>
          <w:szCs w:val="24"/>
        </w:rPr>
        <w:t>activities in global governance termed as</w:t>
      </w:r>
      <w:r w:rsidRPr="004A0323">
        <w:rPr>
          <w:rFonts w:asciiTheme="majorBidi" w:hAnsiTheme="majorBidi" w:cstheme="majorBidi"/>
          <w:color w:val="000000" w:themeColor="text1"/>
          <w:szCs w:val="24"/>
        </w:rPr>
        <w:t xml:space="preserve"> regulatory </w:t>
      </w:r>
      <w:r w:rsidR="00DE46FE" w:rsidRPr="004A0323">
        <w:rPr>
          <w:rFonts w:asciiTheme="majorBidi" w:hAnsiTheme="majorBidi" w:cstheme="majorBidi"/>
          <w:color w:val="000000" w:themeColor="text1"/>
          <w:szCs w:val="24"/>
        </w:rPr>
        <w:t xml:space="preserve">intermediation </w:t>
      </w:r>
      <w:r w:rsidRPr="004A0323">
        <w:rPr>
          <w:rFonts w:asciiTheme="majorBidi" w:hAnsiTheme="majorBidi" w:cstheme="majorBidi"/>
          <w:color w:val="000000" w:themeColor="text1"/>
          <w:szCs w:val="24"/>
        </w:rPr>
        <w:t>(Abbott</w:t>
      </w:r>
      <w:r w:rsidRPr="004A0323">
        <w:rPr>
          <w:rFonts w:asciiTheme="majorBidi" w:hAnsiTheme="majorBidi" w:cstheme="majorBidi"/>
          <w:i/>
          <w:color w:val="000000" w:themeColor="text1"/>
          <w:szCs w:val="24"/>
        </w:rPr>
        <w:t xml:space="preserve"> et al.</w:t>
      </w:r>
      <w:r w:rsidRPr="004A0323">
        <w:rPr>
          <w:rFonts w:asciiTheme="majorBidi" w:hAnsiTheme="majorBidi" w:cstheme="majorBidi"/>
          <w:color w:val="000000" w:themeColor="text1"/>
          <w:szCs w:val="24"/>
        </w:rPr>
        <w:t xml:space="preserve"> 2017b)</w:t>
      </w:r>
      <w:r w:rsidR="006C7B83" w:rsidRPr="004A0323">
        <w:rPr>
          <w:rFonts w:asciiTheme="majorBidi" w:hAnsiTheme="majorBidi" w:cstheme="majorBidi"/>
          <w:color w:val="000000" w:themeColor="text1"/>
          <w:szCs w:val="24"/>
        </w:rPr>
        <w:t>. For</w:t>
      </w:r>
      <w:r w:rsidRPr="004A0323">
        <w:rPr>
          <w:rFonts w:asciiTheme="majorBidi" w:hAnsiTheme="majorBidi" w:cstheme="majorBidi"/>
          <w:color w:val="000000" w:themeColor="text1"/>
          <w:szCs w:val="24"/>
        </w:rPr>
        <w:t xml:space="preserve"> a vast number of regulatory issues an ecosystem of intermediaries extend the reach and capabilities of regulators (Abbott </w:t>
      </w:r>
      <w:r w:rsidRPr="004A0323">
        <w:rPr>
          <w:rFonts w:asciiTheme="majorBidi" w:hAnsiTheme="majorBidi" w:cstheme="majorBidi"/>
          <w:i/>
          <w:color w:val="000000" w:themeColor="text1"/>
          <w:szCs w:val="24"/>
        </w:rPr>
        <w:t xml:space="preserve">et al. </w:t>
      </w:r>
      <w:r w:rsidRPr="004A0323">
        <w:rPr>
          <w:rFonts w:asciiTheme="majorBidi" w:hAnsiTheme="majorBidi" w:cstheme="majorBidi"/>
          <w:color w:val="000000" w:themeColor="text1"/>
          <w:szCs w:val="24"/>
        </w:rPr>
        <w:t>2017b). These intermediaries can</w:t>
      </w:r>
      <w:r w:rsidR="00DD292A" w:rsidRPr="004A0323">
        <w:rPr>
          <w:rFonts w:asciiTheme="majorBidi" w:hAnsiTheme="majorBidi" w:cstheme="majorBidi"/>
          <w:color w:val="000000" w:themeColor="text1"/>
          <w:szCs w:val="24"/>
        </w:rPr>
        <w:t xml:space="preserve"> enable</w:t>
      </w:r>
      <w:r w:rsidR="00E9425E" w:rsidRPr="004A0323">
        <w:rPr>
          <w:rFonts w:asciiTheme="majorBidi" w:hAnsiTheme="majorBidi" w:cstheme="majorBidi"/>
          <w:color w:val="000000" w:themeColor="text1"/>
          <w:szCs w:val="24"/>
        </w:rPr>
        <w:t>, facilitate</w:t>
      </w:r>
      <w:r w:rsidR="00DD292A" w:rsidRPr="004A0323">
        <w:rPr>
          <w:rFonts w:asciiTheme="majorBidi" w:hAnsiTheme="majorBidi" w:cstheme="majorBidi"/>
          <w:color w:val="000000" w:themeColor="text1"/>
          <w:szCs w:val="24"/>
        </w:rPr>
        <w:t xml:space="preserve"> and shape</w:t>
      </w:r>
      <w:r w:rsidRPr="004A0323">
        <w:rPr>
          <w:rFonts w:asciiTheme="majorBidi" w:hAnsiTheme="majorBidi" w:cstheme="majorBidi"/>
          <w:color w:val="000000" w:themeColor="text1"/>
          <w:szCs w:val="24"/>
        </w:rPr>
        <w:t xml:space="preserve"> regulation by contributing to different underlying processes such as agenda-setting, negotiation, translation, adaptation and diffusion of rules, implementation, audit, monitoring and enforcement. </w:t>
      </w:r>
      <w:r w:rsidR="00EE415C" w:rsidRPr="004A0323">
        <w:rPr>
          <w:rFonts w:asciiTheme="majorBidi" w:hAnsiTheme="majorBidi" w:cstheme="majorBidi"/>
          <w:color w:val="000000" w:themeColor="text1"/>
          <w:szCs w:val="24"/>
        </w:rPr>
        <w:t xml:space="preserve">Regulatory intermediaries </w:t>
      </w:r>
      <w:r w:rsidRPr="004A0323">
        <w:rPr>
          <w:rFonts w:asciiTheme="majorBidi" w:hAnsiTheme="majorBidi" w:cstheme="majorBidi"/>
          <w:color w:val="000000" w:themeColor="text1"/>
          <w:szCs w:val="24"/>
        </w:rPr>
        <w:t>often support the creation of the conditions for the “tran</w:t>
      </w:r>
      <w:r w:rsidR="00665755" w:rsidRPr="004A0323">
        <w:rPr>
          <w:rFonts w:asciiTheme="majorBidi" w:hAnsiTheme="majorBidi" w:cstheme="majorBidi"/>
          <w:color w:val="000000" w:themeColor="text1"/>
          <w:szCs w:val="24"/>
        </w:rPr>
        <w:t>sparency” invited by regulators</w:t>
      </w:r>
      <w:r w:rsidRPr="004A0323">
        <w:rPr>
          <w:rFonts w:asciiTheme="majorBidi" w:hAnsiTheme="majorBidi" w:cstheme="majorBidi"/>
          <w:color w:val="000000" w:themeColor="text1"/>
          <w:szCs w:val="24"/>
        </w:rPr>
        <w:t xml:space="preserve"> (Abbott &amp; Snidal 2009; Garsten &amp; De Montoya 2008) and, importantly, devise diverse types of “soft” pressure for compliance with the rules (Abbott </w:t>
      </w:r>
      <w:r w:rsidRPr="004A0323">
        <w:rPr>
          <w:rFonts w:asciiTheme="majorBidi" w:hAnsiTheme="majorBidi" w:cstheme="majorBidi"/>
          <w:i/>
          <w:color w:val="000000" w:themeColor="text1"/>
          <w:szCs w:val="24"/>
        </w:rPr>
        <w:t xml:space="preserve">et al. </w:t>
      </w:r>
      <w:r w:rsidRPr="004A0323">
        <w:rPr>
          <w:rFonts w:asciiTheme="majorBidi" w:hAnsiTheme="majorBidi" w:cstheme="majorBidi"/>
          <w:color w:val="000000" w:themeColor="text1"/>
          <w:szCs w:val="24"/>
        </w:rPr>
        <w:t>2014).</w:t>
      </w:r>
    </w:p>
    <w:p w14:paraId="4A6355AB" w14:textId="597BB9BA" w:rsidR="00211B65" w:rsidRPr="004A0323" w:rsidRDefault="000225CB" w:rsidP="00513F10">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Intermediaries often compete for relevance in order to carve out a space for themselves in the transnational community they aim to associate with</w:t>
      </w:r>
      <w:r w:rsidR="006C59FD" w:rsidRPr="004A0323">
        <w:rPr>
          <w:rFonts w:asciiTheme="majorBidi" w:hAnsiTheme="majorBidi" w:cstheme="majorBidi"/>
          <w:color w:val="000000" w:themeColor="text1"/>
          <w:szCs w:val="24"/>
        </w:rPr>
        <w:t>,</w:t>
      </w:r>
      <w:r w:rsidRPr="004A0323">
        <w:rPr>
          <w:rFonts w:asciiTheme="majorBidi" w:hAnsiTheme="majorBidi" w:cstheme="majorBidi"/>
          <w:color w:val="000000" w:themeColor="text1"/>
          <w:szCs w:val="24"/>
        </w:rPr>
        <w:t xml:space="preserve"> and to sustain their positioning therein (Buthe 2010). Their legitimacy is </w:t>
      </w:r>
      <w:r w:rsidR="00303426" w:rsidRPr="004A0323">
        <w:rPr>
          <w:rFonts w:asciiTheme="majorBidi" w:hAnsiTheme="majorBidi" w:cstheme="majorBidi"/>
          <w:color w:val="000000" w:themeColor="text1"/>
          <w:szCs w:val="24"/>
        </w:rPr>
        <w:t xml:space="preserve">usually </w:t>
      </w:r>
      <w:r w:rsidR="006C59FD" w:rsidRPr="004A0323">
        <w:rPr>
          <w:rFonts w:asciiTheme="majorBidi" w:hAnsiTheme="majorBidi" w:cstheme="majorBidi"/>
          <w:color w:val="000000" w:themeColor="text1"/>
          <w:szCs w:val="24"/>
        </w:rPr>
        <w:t>seen to depend on</w:t>
      </w:r>
      <w:r w:rsidR="000B5FDB" w:rsidRPr="004A0323">
        <w:rPr>
          <w:rFonts w:asciiTheme="majorBidi" w:hAnsiTheme="majorBidi" w:cstheme="majorBidi"/>
          <w:color w:val="000000" w:themeColor="text1"/>
          <w:szCs w:val="24"/>
        </w:rPr>
        <w:t xml:space="preserve"> pluralism and</w:t>
      </w:r>
      <w:r w:rsidRPr="004A0323">
        <w:rPr>
          <w:rFonts w:asciiTheme="majorBidi" w:hAnsiTheme="majorBidi" w:cstheme="majorBidi"/>
          <w:color w:val="000000" w:themeColor="text1"/>
          <w:szCs w:val="24"/>
        </w:rPr>
        <w:t xml:space="preserve"> inclusiveness (input legitimacy), procedural fairness, transparency and impartiality (throughput</w:t>
      </w:r>
      <w:r w:rsidR="003D7285" w:rsidRPr="004A0323">
        <w:rPr>
          <w:rFonts w:asciiTheme="majorBidi" w:hAnsiTheme="majorBidi" w:cstheme="majorBidi"/>
          <w:color w:val="000000" w:themeColor="text1"/>
          <w:szCs w:val="24"/>
        </w:rPr>
        <w:t xml:space="preserve"> or procedural</w:t>
      </w:r>
      <w:r w:rsidRPr="004A0323">
        <w:rPr>
          <w:rFonts w:asciiTheme="majorBidi" w:hAnsiTheme="majorBidi" w:cstheme="majorBidi"/>
          <w:color w:val="000000" w:themeColor="text1"/>
          <w:szCs w:val="24"/>
        </w:rPr>
        <w:t xml:space="preserve"> legitimacy)</w:t>
      </w:r>
      <w:r w:rsidR="00303426" w:rsidRPr="004A0323">
        <w:rPr>
          <w:rFonts w:asciiTheme="majorBidi" w:hAnsiTheme="majorBidi" w:cstheme="majorBidi"/>
          <w:color w:val="000000" w:themeColor="text1"/>
          <w:szCs w:val="24"/>
        </w:rPr>
        <w:t xml:space="preserve">, and with the effectiveness and diffusion of the rules they seek to promote (output legitimacy) </w:t>
      </w:r>
      <w:r w:rsidRPr="004A0323">
        <w:rPr>
          <w:rFonts w:asciiTheme="majorBidi" w:hAnsiTheme="majorBidi" w:cstheme="majorBidi"/>
          <w:color w:val="000000" w:themeColor="text1"/>
          <w:szCs w:val="24"/>
        </w:rPr>
        <w:t>(</w:t>
      </w:r>
      <w:r w:rsidR="003D7285" w:rsidRPr="004A0323">
        <w:rPr>
          <w:rFonts w:asciiTheme="majorBidi" w:hAnsiTheme="majorBidi" w:cstheme="majorBidi"/>
          <w:color w:val="000000" w:themeColor="text1"/>
          <w:szCs w:val="24"/>
        </w:rPr>
        <w:t xml:space="preserve">Mayntz 2010; </w:t>
      </w:r>
      <w:r w:rsidR="00224AED" w:rsidRPr="004A0323">
        <w:rPr>
          <w:rFonts w:asciiTheme="majorBidi" w:hAnsiTheme="majorBidi" w:cstheme="majorBidi"/>
          <w:color w:val="000000" w:themeColor="text1"/>
          <w:szCs w:val="24"/>
        </w:rPr>
        <w:t xml:space="preserve">Mena &amp; Palazzo 2012; </w:t>
      </w:r>
      <w:r w:rsidRPr="004A0323">
        <w:rPr>
          <w:rFonts w:asciiTheme="majorBidi" w:hAnsiTheme="majorBidi" w:cstheme="majorBidi"/>
          <w:color w:val="000000" w:themeColor="text1"/>
          <w:szCs w:val="24"/>
        </w:rPr>
        <w:t xml:space="preserve">Quack </w:t>
      </w:r>
      <w:r w:rsidR="003D7285" w:rsidRPr="004A0323">
        <w:rPr>
          <w:rFonts w:asciiTheme="majorBidi" w:hAnsiTheme="majorBidi" w:cstheme="majorBidi"/>
          <w:color w:val="000000" w:themeColor="text1"/>
          <w:szCs w:val="24"/>
        </w:rPr>
        <w:t>2010; Tamm Hallström &amp; Boström 2010</w:t>
      </w:r>
      <w:r w:rsidRPr="004A0323">
        <w:rPr>
          <w:rFonts w:asciiTheme="majorBidi" w:hAnsiTheme="majorBidi" w:cstheme="majorBidi"/>
          <w:color w:val="000000" w:themeColor="text1"/>
          <w:szCs w:val="24"/>
        </w:rPr>
        <w:t xml:space="preserve">). </w:t>
      </w:r>
    </w:p>
    <w:p w14:paraId="38A564FA" w14:textId="30D08E55" w:rsidR="00211B65" w:rsidRPr="004A0323" w:rsidRDefault="00211B65" w:rsidP="00513F10">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Given the absence of “hard” sanctioning power</w:t>
      </w:r>
      <w:r w:rsidR="000B5FDB" w:rsidRPr="004A0323">
        <w:rPr>
          <w:rFonts w:asciiTheme="majorBidi" w:hAnsiTheme="majorBidi" w:cstheme="majorBidi"/>
          <w:color w:val="000000" w:themeColor="text1"/>
          <w:szCs w:val="24"/>
        </w:rPr>
        <w:t>s</w:t>
      </w:r>
      <w:r w:rsidRPr="004A0323">
        <w:rPr>
          <w:rFonts w:asciiTheme="majorBidi" w:hAnsiTheme="majorBidi" w:cstheme="majorBidi"/>
          <w:color w:val="000000" w:themeColor="text1"/>
          <w:szCs w:val="24"/>
        </w:rPr>
        <w:t xml:space="preserve"> which characterizes </w:t>
      </w:r>
      <w:r w:rsidR="00AD1D9B" w:rsidRPr="004A0323">
        <w:rPr>
          <w:rFonts w:asciiTheme="majorBidi" w:hAnsiTheme="majorBidi" w:cstheme="majorBidi"/>
          <w:color w:val="000000" w:themeColor="text1"/>
          <w:szCs w:val="24"/>
        </w:rPr>
        <w:t>non-state</w:t>
      </w:r>
      <w:r w:rsidRPr="004A0323">
        <w:rPr>
          <w:rFonts w:asciiTheme="majorBidi" w:hAnsiTheme="majorBidi" w:cstheme="majorBidi"/>
          <w:color w:val="000000" w:themeColor="text1"/>
          <w:szCs w:val="24"/>
        </w:rPr>
        <w:t xml:space="preserve"> regulatory </w:t>
      </w:r>
      <w:r w:rsidR="00AD1D9B" w:rsidRPr="004A0323">
        <w:rPr>
          <w:rFonts w:asciiTheme="majorBidi" w:hAnsiTheme="majorBidi" w:cstheme="majorBidi"/>
          <w:color w:val="000000" w:themeColor="text1"/>
          <w:szCs w:val="24"/>
        </w:rPr>
        <w:t xml:space="preserve">processes </w:t>
      </w:r>
      <w:r w:rsidR="00DD292A" w:rsidRPr="004A0323">
        <w:rPr>
          <w:rFonts w:asciiTheme="majorBidi" w:hAnsiTheme="majorBidi" w:cstheme="majorBidi"/>
          <w:color w:val="000000" w:themeColor="text1"/>
          <w:szCs w:val="24"/>
        </w:rPr>
        <w:t>in</w:t>
      </w:r>
      <w:r w:rsidRPr="004A0323">
        <w:rPr>
          <w:rFonts w:asciiTheme="majorBidi" w:hAnsiTheme="majorBidi" w:cstheme="majorBidi"/>
          <w:color w:val="000000" w:themeColor="text1"/>
          <w:szCs w:val="24"/>
        </w:rPr>
        <w:t xml:space="preserve"> transnational governance, </w:t>
      </w:r>
      <w:r w:rsidR="00A30B4F" w:rsidRPr="004A0323">
        <w:rPr>
          <w:rFonts w:asciiTheme="majorBidi" w:hAnsiTheme="majorBidi" w:cstheme="majorBidi"/>
          <w:color w:val="000000" w:themeColor="text1"/>
          <w:szCs w:val="24"/>
        </w:rPr>
        <w:t xml:space="preserve">the </w:t>
      </w:r>
      <w:r w:rsidRPr="004A0323">
        <w:rPr>
          <w:rFonts w:asciiTheme="majorBidi" w:hAnsiTheme="majorBidi" w:cstheme="majorBidi"/>
          <w:color w:val="000000" w:themeColor="text1"/>
          <w:szCs w:val="24"/>
        </w:rPr>
        <w:t>rules</w:t>
      </w:r>
      <w:r w:rsidR="00A30B4F" w:rsidRPr="004A0323">
        <w:rPr>
          <w:rFonts w:asciiTheme="majorBidi" w:hAnsiTheme="majorBidi" w:cstheme="majorBidi"/>
          <w:color w:val="000000" w:themeColor="text1"/>
          <w:szCs w:val="24"/>
        </w:rPr>
        <w:t xml:space="preserve"> which</w:t>
      </w:r>
      <w:r w:rsidRPr="004A0323">
        <w:rPr>
          <w:rFonts w:asciiTheme="majorBidi" w:hAnsiTheme="majorBidi" w:cstheme="majorBidi"/>
          <w:color w:val="000000" w:themeColor="text1"/>
          <w:szCs w:val="24"/>
        </w:rPr>
        <w:t xml:space="preserve"> intermediaries are involved in </w:t>
      </w:r>
      <w:r w:rsidR="00FA364E" w:rsidRPr="004A0323">
        <w:rPr>
          <w:rFonts w:asciiTheme="majorBidi" w:hAnsiTheme="majorBidi" w:cstheme="majorBidi"/>
          <w:color w:val="000000" w:themeColor="text1"/>
          <w:szCs w:val="24"/>
        </w:rPr>
        <w:t>promoting</w:t>
      </w:r>
      <w:r w:rsidRPr="004A0323">
        <w:rPr>
          <w:rFonts w:asciiTheme="majorBidi" w:hAnsiTheme="majorBidi" w:cstheme="majorBidi"/>
          <w:color w:val="000000" w:themeColor="text1"/>
          <w:szCs w:val="24"/>
        </w:rPr>
        <w:t xml:space="preserve"> frequently take the form of voluntary standards and best practices. The adoption of such standards and best practices by targets is usually achieved by means of reputational and competitive pressures, which intermediaries </w:t>
      </w:r>
      <w:r w:rsidR="00DB639B" w:rsidRPr="004A0323">
        <w:rPr>
          <w:rFonts w:asciiTheme="majorBidi" w:hAnsiTheme="majorBidi" w:cstheme="majorBidi"/>
          <w:color w:val="000000" w:themeColor="text1"/>
          <w:szCs w:val="24"/>
        </w:rPr>
        <w:t xml:space="preserve">help </w:t>
      </w:r>
      <w:r w:rsidRPr="004A0323">
        <w:rPr>
          <w:rFonts w:asciiTheme="majorBidi" w:hAnsiTheme="majorBidi" w:cstheme="majorBidi"/>
          <w:color w:val="000000" w:themeColor="text1"/>
          <w:szCs w:val="24"/>
        </w:rPr>
        <w:t>exercise directly or indirectly</w:t>
      </w:r>
      <w:r w:rsidR="00C1711D" w:rsidRPr="004A0323">
        <w:rPr>
          <w:rFonts w:asciiTheme="majorBidi" w:hAnsiTheme="majorBidi" w:cstheme="majorBidi"/>
          <w:color w:val="000000" w:themeColor="text1"/>
          <w:szCs w:val="24"/>
        </w:rPr>
        <w:t xml:space="preserve">, </w:t>
      </w:r>
      <w:r w:rsidRPr="004A0323">
        <w:rPr>
          <w:rFonts w:asciiTheme="majorBidi" w:hAnsiTheme="majorBidi" w:cstheme="majorBidi"/>
          <w:color w:val="000000" w:themeColor="text1"/>
          <w:szCs w:val="24"/>
        </w:rPr>
        <w:t xml:space="preserve">by enabling </w:t>
      </w:r>
      <w:r w:rsidR="00692863" w:rsidRPr="004A0323">
        <w:rPr>
          <w:rFonts w:asciiTheme="majorBidi" w:hAnsiTheme="majorBidi" w:cstheme="majorBidi"/>
          <w:color w:val="000000" w:themeColor="text1"/>
          <w:szCs w:val="24"/>
        </w:rPr>
        <w:lastRenderedPageBreak/>
        <w:t xml:space="preserve">others </w:t>
      </w:r>
      <w:r w:rsidRPr="004A0323">
        <w:rPr>
          <w:rFonts w:asciiTheme="majorBidi" w:hAnsiTheme="majorBidi" w:cstheme="majorBidi"/>
          <w:color w:val="000000" w:themeColor="text1"/>
          <w:szCs w:val="24"/>
        </w:rPr>
        <w:t>such</w:t>
      </w:r>
      <w:r w:rsidR="00692863" w:rsidRPr="004A0323">
        <w:rPr>
          <w:rFonts w:asciiTheme="majorBidi" w:hAnsiTheme="majorBidi" w:cstheme="majorBidi"/>
          <w:color w:val="000000" w:themeColor="text1"/>
          <w:szCs w:val="24"/>
        </w:rPr>
        <w:t xml:space="preserve"> as civil society organizations</w:t>
      </w:r>
      <w:r w:rsidRPr="004A0323">
        <w:rPr>
          <w:rFonts w:asciiTheme="majorBidi" w:hAnsiTheme="majorBidi" w:cstheme="majorBidi"/>
          <w:color w:val="000000" w:themeColor="text1"/>
          <w:szCs w:val="24"/>
        </w:rPr>
        <w:t xml:space="preserve"> to mobilize those market-based compliance mechanisms</w:t>
      </w:r>
      <w:r w:rsidR="00C1711D" w:rsidRPr="004A0323">
        <w:rPr>
          <w:rFonts w:asciiTheme="majorBidi" w:hAnsiTheme="majorBidi" w:cstheme="majorBidi"/>
          <w:color w:val="000000" w:themeColor="text1"/>
          <w:szCs w:val="24"/>
        </w:rPr>
        <w:t xml:space="preserve"> (Bartley 2007; Overdevest 2010)</w:t>
      </w:r>
      <w:r w:rsidRPr="004A0323">
        <w:rPr>
          <w:rFonts w:asciiTheme="majorBidi" w:hAnsiTheme="majorBidi" w:cstheme="majorBidi"/>
          <w:color w:val="000000" w:themeColor="text1"/>
          <w:szCs w:val="24"/>
        </w:rPr>
        <w:t xml:space="preserve">. </w:t>
      </w:r>
    </w:p>
    <w:p w14:paraId="0C042650" w14:textId="75906519" w:rsidR="00B726BF" w:rsidRPr="004A0323" w:rsidRDefault="004A762E" w:rsidP="00513F10">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These pressures </w:t>
      </w:r>
      <w:r w:rsidR="00485C6D" w:rsidRPr="004A0323">
        <w:rPr>
          <w:rFonts w:asciiTheme="majorBidi" w:hAnsiTheme="majorBidi" w:cstheme="majorBidi"/>
          <w:color w:val="000000" w:themeColor="text1"/>
          <w:szCs w:val="24"/>
        </w:rPr>
        <w:t xml:space="preserve">for compliance </w:t>
      </w:r>
      <w:r w:rsidR="00B726BF" w:rsidRPr="004A0323">
        <w:rPr>
          <w:rFonts w:asciiTheme="majorBidi" w:hAnsiTheme="majorBidi" w:cstheme="majorBidi"/>
          <w:color w:val="000000" w:themeColor="text1"/>
          <w:szCs w:val="24"/>
        </w:rPr>
        <w:t xml:space="preserve">are </w:t>
      </w:r>
      <w:r w:rsidRPr="004A0323">
        <w:rPr>
          <w:rFonts w:asciiTheme="majorBidi" w:hAnsiTheme="majorBidi" w:cstheme="majorBidi"/>
          <w:color w:val="000000" w:themeColor="text1"/>
          <w:szCs w:val="24"/>
        </w:rPr>
        <w:t>exercised</w:t>
      </w:r>
      <w:r w:rsidR="00B726BF" w:rsidRPr="004A0323">
        <w:rPr>
          <w:rFonts w:asciiTheme="majorBidi" w:hAnsiTheme="majorBidi" w:cstheme="majorBidi"/>
          <w:color w:val="000000" w:themeColor="text1"/>
          <w:szCs w:val="24"/>
        </w:rPr>
        <w:t xml:space="preserve"> through </w:t>
      </w:r>
      <w:r w:rsidR="00D81981" w:rsidRPr="004A0323">
        <w:rPr>
          <w:rFonts w:asciiTheme="majorBidi" w:hAnsiTheme="majorBidi" w:cstheme="majorBidi"/>
          <w:color w:val="000000" w:themeColor="text1"/>
          <w:szCs w:val="24"/>
        </w:rPr>
        <w:t xml:space="preserve">an increasing </w:t>
      </w:r>
      <w:r w:rsidR="00B726BF" w:rsidRPr="004A0323">
        <w:rPr>
          <w:rFonts w:asciiTheme="majorBidi" w:hAnsiTheme="majorBidi" w:cstheme="majorBidi"/>
          <w:color w:val="000000" w:themeColor="text1"/>
          <w:szCs w:val="24"/>
        </w:rPr>
        <w:t xml:space="preserve">array of expert practices such as </w:t>
      </w:r>
      <w:r w:rsidR="00D13CA7" w:rsidRPr="004A0323">
        <w:rPr>
          <w:rFonts w:asciiTheme="majorBidi" w:hAnsiTheme="majorBidi" w:cstheme="majorBidi"/>
          <w:color w:val="000000" w:themeColor="text1"/>
          <w:szCs w:val="24"/>
        </w:rPr>
        <w:t xml:space="preserve">accounting, </w:t>
      </w:r>
      <w:r w:rsidR="00B726BF" w:rsidRPr="004A0323">
        <w:rPr>
          <w:rFonts w:asciiTheme="majorBidi" w:hAnsiTheme="majorBidi" w:cstheme="majorBidi"/>
          <w:color w:val="000000" w:themeColor="text1"/>
          <w:szCs w:val="24"/>
        </w:rPr>
        <w:t xml:space="preserve">audit, certification, performance measurement, to name just a few. </w:t>
      </w:r>
      <w:r w:rsidR="001759E8" w:rsidRPr="004A0323">
        <w:rPr>
          <w:rFonts w:asciiTheme="majorBidi" w:hAnsiTheme="majorBidi" w:cstheme="majorBidi"/>
          <w:color w:val="000000" w:themeColor="text1"/>
          <w:szCs w:val="24"/>
        </w:rPr>
        <w:t xml:space="preserve">Such </w:t>
      </w:r>
      <w:r w:rsidR="00B726BF" w:rsidRPr="004A0323">
        <w:rPr>
          <w:rFonts w:asciiTheme="majorBidi" w:hAnsiTheme="majorBidi" w:cstheme="majorBidi"/>
          <w:color w:val="000000" w:themeColor="text1"/>
          <w:szCs w:val="24"/>
        </w:rPr>
        <w:t xml:space="preserve">practices, some of which are the hallmark of professions such as accountancy while others remain weakly professionalized, are at the core of much regulatory intermediation. Related tools like performance indicators, </w:t>
      </w:r>
      <w:r w:rsidR="00D13CA7" w:rsidRPr="004A0323">
        <w:rPr>
          <w:rFonts w:asciiTheme="majorBidi" w:hAnsiTheme="majorBidi" w:cstheme="majorBidi"/>
          <w:color w:val="000000" w:themeColor="text1"/>
          <w:szCs w:val="24"/>
        </w:rPr>
        <w:t xml:space="preserve">ratings, rankings, </w:t>
      </w:r>
      <w:r w:rsidR="00B726BF" w:rsidRPr="004A0323">
        <w:rPr>
          <w:rFonts w:asciiTheme="majorBidi" w:hAnsiTheme="majorBidi" w:cstheme="majorBidi"/>
          <w:color w:val="000000" w:themeColor="text1"/>
          <w:szCs w:val="24"/>
        </w:rPr>
        <w:t>indices, league tables, scorecards, social labels and the like</w:t>
      </w:r>
      <w:r w:rsidR="00485C6D" w:rsidRPr="004A0323">
        <w:rPr>
          <w:rFonts w:asciiTheme="majorBidi" w:hAnsiTheme="majorBidi" w:cstheme="majorBidi"/>
          <w:color w:val="000000" w:themeColor="text1"/>
          <w:szCs w:val="24"/>
        </w:rPr>
        <w:t xml:space="preserve"> (Espeland 2015; Merry </w:t>
      </w:r>
      <w:r w:rsidR="00485C6D" w:rsidRPr="004A0323">
        <w:rPr>
          <w:rFonts w:asciiTheme="majorBidi" w:hAnsiTheme="majorBidi" w:cstheme="majorBidi"/>
          <w:i/>
          <w:color w:val="000000" w:themeColor="text1"/>
          <w:szCs w:val="24"/>
        </w:rPr>
        <w:t xml:space="preserve">et al. </w:t>
      </w:r>
      <w:r w:rsidR="00485C6D" w:rsidRPr="004A0323">
        <w:rPr>
          <w:rFonts w:asciiTheme="majorBidi" w:hAnsiTheme="majorBidi" w:cstheme="majorBidi"/>
          <w:color w:val="000000" w:themeColor="text1"/>
          <w:szCs w:val="24"/>
        </w:rPr>
        <w:t xml:space="preserve">2012; Rottenburg </w:t>
      </w:r>
      <w:r w:rsidR="00485C6D" w:rsidRPr="004A0323">
        <w:rPr>
          <w:rFonts w:asciiTheme="majorBidi" w:hAnsiTheme="majorBidi" w:cstheme="majorBidi"/>
          <w:i/>
          <w:color w:val="000000" w:themeColor="text1"/>
          <w:szCs w:val="24"/>
        </w:rPr>
        <w:t>et al.</w:t>
      </w:r>
      <w:r w:rsidR="00485C6D" w:rsidRPr="004A0323" w:rsidDel="004A762E">
        <w:rPr>
          <w:rFonts w:asciiTheme="majorBidi" w:hAnsiTheme="majorBidi" w:cstheme="majorBidi"/>
          <w:i/>
          <w:color w:val="000000" w:themeColor="text1"/>
          <w:szCs w:val="24"/>
        </w:rPr>
        <w:t xml:space="preserve"> </w:t>
      </w:r>
      <w:r w:rsidR="00485C6D" w:rsidRPr="004A0323">
        <w:rPr>
          <w:rFonts w:asciiTheme="majorBidi" w:hAnsiTheme="majorBidi" w:cstheme="majorBidi"/>
          <w:color w:val="000000" w:themeColor="text1"/>
          <w:szCs w:val="24"/>
        </w:rPr>
        <w:t xml:space="preserve"> 2015)</w:t>
      </w:r>
      <w:r w:rsidR="00B726BF" w:rsidRPr="004A0323">
        <w:rPr>
          <w:rFonts w:asciiTheme="majorBidi" w:hAnsiTheme="majorBidi" w:cstheme="majorBidi"/>
          <w:color w:val="000000" w:themeColor="text1"/>
          <w:szCs w:val="24"/>
        </w:rPr>
        <w:t xml:space="preserve">, are used by many </w:t>
      </w:r>
      <w:r w:rsidR="00A8164A" w:rsidRPr="004A0323">
        <w:rPr>
          <w:rFonts w:asciiTheme="majorBidi" w:hAnsiTheme="majorBidi" w:cstheme="majorBidi"/>
          <w:color w:val="000000" w:themeColor="text1"/>
          <w:szCs w:val="24"/>
        </w:rPr>
        <w:t xml:space="preserve">intermediaries </w:t>
      </w:r>
      <w:r w:rsidR="00B726BF" w:rsidRPr="004A0323">
        <w:rPr>
          <w:rFonts w:asciiTheme="majorBidi" w:hAnsiTheme="majorBidi" w:cstheme="majorBidi"/>
          <w:color w:val="000000" w:themeColor="text1"/>
          <w:szCs w:val="24"/>
        </w:rPr>
        <w:t xml:space="preserve">to evaluate and monitor regulatory targets and to incite them to move towards compliance. </w:t>
      </w:r>
    </w:p>
    <w:p w14:paraId="117635B6" w14:textId="6F577351" w:rsidR="00EE3361" w:rsidRPr="004A0323" w:rsidRDefault="00B726BF" w:rsidP="002E2921">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Performance measurement, in particular, has become a central feature of contemporary </w:t>
      </w:r>
      <w:r w:rsidR="003D5AA3" w:rsidRPr="004A0323">
        <w:rPr>
          <w:rFonts w:asciiTheme="majorBidi" w:hAnsiTheme="majorBidi" w:cstheme="majorBidi"/>
          <w:color w:val="000000" w:themeColor="text1"/>
          <w:szCs w:val="24"/>
        </w:rPr>
        <w:t xml:space="preserve">regulatory </w:t>
      </w:r>
      <w:r w:rsidRPr="004A0323">
        <w:rPr>
          <w:rFonts w:asciiTheme="majorBidi" w:hAnsiTheme="majorBidi" w:cstheme="majorBidi"/>
          <w:color w:val="000000" w:themeColor="text1"/>
          <w:szCs w:val="24"/>
        </w:rPr>
        <w:t xml:space="preserve">governance </w:t>
      </w:r>
      <w:r w:rsidR="00D34754" w:rsidRPr="004A0323">
        <w:rPr>
          <w:rFonts w:asciiTheme="majorBidi" w:hAnsiTheme="majorBidi" w:cstheme="majorBidi"/>
          <w:color w:val="000000" w:themeColor="text1"/>
          <w:szCs w:val="24"/>
        </w:rPr>
        <w:t>(Mal</w:t>
      </w:r>
      <w:r w:rsidR="00956F58" w:rsidRPr="004A0323">
        <w:rPr>
          <w:rFonts w:asciiTheme="majorBidi" w:hAnsiTheme="majorBidi" w:cstheme="majorBidi"/>
          <w:color w:val="000000" w:themeColor="text1"/>
          <w:szCs w:val="24"/>
        </w:rPr>
        <w:t>i</w:t>
      </w:r>
      <w:r w:rsidR="00D34754" w:rsidRPr="004A0323">
        <w:rPr>
          <w:rFonts w:asciiTheme="majorBidi" w:hAnsiTheme="majorBidi" w:cstheme="majorBidi"/>
          <w:color w:val="000000" w:themeColor="text1"/>
          <w:szCs w:val="24"/>
        </w:rPr>
        <w:t xml:space="preserve">to </w:t>
      </w:r>
      <w:r w:rsidR="00D34754" w:rsidRPr="004A0323">
        <w:rPr>
          <w:rFonts w:asciiTheme="majorBidi" w:hAnsiTheme="majorBidi" w:cstheme="majorBidi"/>
          <w:i/>
          <w:color w:val="000000" w:themeColor="text1"/>
          <w:szCs w:val="24"/>
        </w:rPr>
        <w:t>et al.</w:t>
      </w:r>
      <w:r w:rsidR="00D34754" w:rsidRPr="004A0323">
        <w:rPr>
          <w:rFonts w:asciiTheme="majorBidi" w:hAnsiTheme="majorBidi" w:cstheme="majorBidi"/>
          <w:color w:val="000000" w:themeColor="text1"/>
          <w:szCs w:val="24"/>
        </w:rPr>
        <w:t xml:space="preserve"> 2018) </w:t>
      </w:r>
      <w:r w:rsidRPr="004A0323">
        <w:rPr>
          <w:rFonts w:asciiTheme="majorBidi" w:hAnsiTheme="majorBidi" w:cstheme="majorBidi"/>
          <w:color w:val="000000" w:themeColor="text1"/>
          <w:szCs w:val="24"/>
        </w:rPr>
        <w:t>and an increasingly widespread way of “knowing”</w:t>
      </w:r>
      <w:r w:rsidR="00A30B4F" w:rsidRPr="004A0323">
        <w:rPr>
          <w:rFonts w:asciiTheme="majorBidi" w:hAnsiTheme="majorBidi" w:cstheme="majorBidi"/>
          <w:color w:val="000000" w:themeColor="text1"/>
          <w:szCs w:val="24"/>
        </w:rPr>
        <w:t xml:space="preserve"> </w:t>
      </w:r>
      <w:r w:rsidR="009B32F2" w:rsidRPr="004A0323">
        <w:rPr>
          <w:rFonts w:asciiTheme="majorBidi" w:hAnsiTheme="majorBidi" w:cstheme="majorBidi"/>
          <w:color w:val="000000" w:themeColor="text1"/>
          <w:szCs w:val="24"/>
        </w:rPr>
        <w:t xml:space="preserve">and </w:t>
      </w:r>
      <w:r w:rsidR="00ED7E85" w:rsidRPr="004A0323">
        <w:rPr>
          <w:rFonts w:asciiTheme="majorBidi" w:hAnsiTheme="majorBidi" w:cstheme="majorBidi"/>
          <w:color w:val="000000" w:themeColor="text1"/>
          <w:szCs w:val="24"/>
        </w:rPr>
        <w:t xml:space="preserve">“judging” </w:t>
      </w:r>
      <w:r w:rsidRPr="004A0323">
        <w:rPr>
          <w:rFonts w:asciiTheme="majorBidi" w:hAnsiTheme="majorBidi" w:cstheme="majorBidi"/>
          <w:color w:val="000000" w:themeColor="text1"/>
          <w:szCs w:val="24"/>
        </w:rPr>
        <w:t>regulatory targets</w:t>
      </w:r>
      <w:r w:rsidR="0024375E" w:rsidRPr="004A0323">
        <w:rPr>
          <w:rFonts w:asciiTheme="majorBidi" w:hAnsiTheme="majorBidi" w:cstheme="majorBidi"/>
          <w:color w:val="000000" w:themeColor="text1"/>
          <w:szCs w:val="24"/>
        </w:rPr>
        <w:t xml:space="preserve">, both for the purposes of </w:t>
      </w:r>
      <w:r w:rsidR="004A762E" w:rsidRPr="004A0323">
        <w:rPr>
          <w:rFonts w:asciiTheme="majorBidi" w:hAnsiTheme="majorBidi" w:cstheme="majorBidi"/>
          <w:color w:val="000000" w:themeColor="text1"/>
          <w:szCs w:val="24"/>
        </w:rPr>
        <w:t xml:space="preserve">what counts in this context as </w:t>
      </w:r>
      <w:r w:rsidR="0024375E" w:rsidRPr="004A0323">
        <w:rPr>
          <w:rFonts w:asciiTheme="majorBidi" w:hAnsiTheme="majorBidi" w:cstheme="majorBidi"/>
          <w:color w:val="000000" w:themeColor="text1"/>
          <w:szCs w:val="24"/>
        </w:rPr>
        <w:t>rule-making (e.g.</w:t>
      </w:r>
      <w:r w:rsidR="006362B3" w:rsidRPr="004A0323">
        <w:rPr>
          <w:rFonts w:asciiTheme="majorBidi" w:hAnsiTheme="majorBidi" w:cstheme="majorBidi"/>
          <w:color w:val="000000" w:themeColor="text1"/>
          <w:szCs w:val="24"/>
        </w:rPr>
        <w:t xml:space="preserve"> defining</w:t>
      </w:r>
      <w:r w:rsidR="0024375E" w:rsidRPr="004A0323">
        <w:rPr>
          <w:rFonts w:asciiTheme="majorBidi" w:hAnsiTheme="majorBidi" w:cstheme="majorBidi"/>
          <w:color w:val="000000" w:themeColor="text1"/>
          <w:szCs w:val="24"/>
        </w:rPr>
        <w:t xml:space="preserve"> </w:t>
      </w:r>
      <w:r w:rsidR="000E4E68" w:rsidRPr="004A0323">
        <w:rPr>
          <w:rFonts w:asciiTheme="majorBidi" w:hAnsiTheme="majorBidi" w:cstheme="majorBidi"/>
          <w:color w:val="000000" w:themeColor="text1"/>
          <w:szCs w:val="24"/>
        </w:rPr>
        <w:t xml:space="preserve">standards and </w:t>
      </w:r>
      <w:r w:rsidR="0024375E" w:rsidRPr="004A0323">
        <w:rPr>
          <w:rFonts w:asciiTheme="majorBidi" w:hAnsiTheme="majorBidi" w:cstheme="majorBidi"/>
          <w:color w:val="000000" w:themeColor="text1"/>
          <w:szCs w:val="24"/>
        </w:rPr>
        <w:t xml:space="preserve">best practices by </w:t>
      </w:r>
      <w:r w:rsidR="000E4E68" w:rsidRPr="004A0323">
        <w:rPr>
          <w:rFonts w:asciiTheme="majorBidi" w:hAnsiTheme="majorBidi" w:cstheme="majorBidi"/>
          <w:color w:val="000000" w:themeColor="text1"/>
          <w:szCs w:val="24"/>
        </w:rPr>
        <w:t xml:space="preserve">means of </w:t>
      </w:r>
      <w:r w:rsidR="0024375E" w:rsidRPr="004A0323">
        <w:rPr>
          <w:rFonts w:asciiTheme="majorBidi" w:hAnsiTheme="majorBidi" w:cstheme="majorBidi"/>
          <w:color w:val="000000" w:themeColor="text1"/>
          <w:szCs w:val="24"/>
        </w:rPr>
        <w:t>key performance indicators) and for the purposes of</w:t>
      </w:r>
      <w:r w:rsidR="000E4E68" w:rsidRPr="004A0323">
        <w:rPr>
          <w:rFonts w:asciiTheme="majorBidi" w:hAnsiTheme="majorBidi" w:cstheme="majorBidi"/>
          <w:color w:val="000000" w:themeColor="text1"/>
          <w:szCs w:val="24"/>
        </w:rPr>
        <w:t xml:space="preserve"> monitoring compliance (</w:t>
      </w:r>
      <w:r w:rsidR="006362B3" w:rsidRPr="004A0323">
        <w:rPr>
          <w:rFonts w:asciiTheme="majorBidi" w:hAnsiTheme="majorBidi" w:cstheme="majorBidi"/>
          <w:color w:val="000000" w:themeColor="text1"/>
          <w:szCs w:val="24"/>
        </w:rPr>
        <w:t>measuring the</w:t>
      </w:r>
      <w:r w:rsidR="000E4E68" w:rsidRPr="004A0323">
        <w:rPr>
          <w:rFonts w:asciiTheme="majorBidi" w:hAnsiTheme="majorBidi" w:cstheme="majorBidi"/>
          <w:color w:val="000000" w:themeColor="text1"/>
          <w:szCs w:val="24"/>
        </w:rPr>
        <w:t xml:space="preserve"> performance achieved for each indicator)</w:t>
      </w:r>
      <w:r w:rsidRPr="004A0323">
        <w:rPr>
          <w:rFonts w:asciiTheme="majorBidi" w:hAnsiTheme="majorBidi" w:cstheme="majorBidi"/>
          <w:color w:val="000000" w:themeColor="text1"/>
          <w:szCs w:val="24"/>
        </w:rPr>
        <w:t xml:space="preserve">. </w:t>
      </w:r>
      <w:r w:rsidR="00BD1B59" w:rsidRPr="004A0323">
        <w:rPr>
          <w:rFonts w:asciiTheme="majorBidi" w:hAnsiTheme="majorBidi" w:cstheme="majorBidi"/>
          <w:color w:val="000000" w:themeColor="text1"/>
          <w:szCs w:val="24"/>
        </w:rPr>
        <w:t>Performance measurement and t</w:t>
      </w:r>
      <w:r w:rsidRPr="004A0323">
        <w:rPr>
          <w:rFonts w:asciiTheme="majorBidi" w:hAnsiTheme="majorBidi" w:cstheme="majorBidi"/>
          <w:color w:val="000000" w:themeColor="text1"/>
          <w:szCs w:val="24"/>
        </w:rPr>
        <w:t>he production and use of indicators is not just a feature of nation states and their agencies, but underlies the entire expanding galaxy of regulatory governance</w:t>
      </w:r>
      <w:r w:rsidR="000B5FDB" w:rsidRPr="004A0323">
        <w:rPr>
          <w:rFonts w:asciiTheme="majorBidi" w:hAnsiTheme="majorBidi" w:cstheme="majorBidi"/>
          <w:color w:val="000000" w:themeColor="text1"/>
          <w:szCs w:val="24"/>
        </w:rPr>
        <w:t>,</w:t>
      </w:r>
      <w:r w:rsidRPr="004A0323">
        <w:rPr>
          <w:rFonts w:asciiTheme="majorBidi" w:hAnsiTheme="majorBidi" w:cstheme="majorBidi"/>
          <w:color w:val="000000" w:themeColor="text1"/>
          <w:szCs w:val="24"/>
        </w:rPr>
        <w:t xml:space="preserve"> both nationally and transnationally. International governmental organizations (IGOs) such as World Bank or United Nations, non-governmental organizations (NGOs) and advocacy groups, monitoring bodies involved in the assessment and enforcement of standards, global business and investor groups, expert communities more broadly, </w:t>
      </w:r>
      <w:r w:rsidR="000A1B32" w:rsidRPr="004A0323">
        <w:rPr>
          <w:rFonts w:asciiTheme="majorBidi" w:hAnsiTheme="majorBidi" w:cstheme="majorBidi"/>
          <w:color w:val="000000" w:themeColor="text1"/>
          <w:szCs w:val="24"/>
        </w:rPr>
        <w:t>have</w:t>
      </w:r>
      <w:r w:rsidRPr="004A0323">
        <w:rPr>
          <w:rFonts w:asciiTheme="majorBidi" w:hAnsiTheme="majorBidi" w:cstheme="majorBidi"/>
          <w:color w:val="000000" w:themeColor="text1"/>
          <w:szCs w:val="24"/>
        </w:rPr>
        <w:t xml:space="preserve"> all</w:t>
      </w:r>
      <w:r w:rsidR="000A1B32" w:rsidRPr="004A0323">
        <w:rPr>
          <w:rFonts w:asciiTheme="majorBidi" w:hAnsiTheme="majorBidi" w:cstheme="majorBidi"/>
          <w:color w:val="000000" w:themeColor="text1"/>
          <w:szCs w:val="24"/>
        </w:rPr>
        <w:t xml:space="preserve"> become</w:t>
      </w:r>
      <w:r w:rsidRPr="004A0323">
        <w:rPr>
          <w:rFonts w:asciiTheme="majorBidi" w:hAnsiTheme="majorBidi" w:cstheme="majorBidi"/>
          <w:color w:val="000000" w:themeColor="text1"/>
          <w:szCs w:val="24"/>
        </w:rPr>
        <w:t xml:space="preserve"> heavy users and producers of indicators</w:t>
      </w:r>
      <w:r w:rsidR="005A667D" w:rsidRPr="004A0323">
        <w:rPr>
          <w:rFonts w:asciiTheme="majorBidi" w:hAnsiTheme="majorBidi" w:cstheme="majorBidi"/>
          <w:color w:val="000000" w:themeColor="text1"/>
          <w:szCs w:val="24"/>
        </w:rPr>
        <w:t xml:space="preserve"> </w:t>
      </w:r>
      <w:r w:rsidR="00AC13AB" w:rsidRPr="004A0323">
        <w:rPr>
          <w:rFonts w:asciiTheme="majorBidi" w:hAnsiTheme="majorBidi" w:cstheme="majorBidi"/>
          <w:color w:val="000000" w:themeColor="text1"/>
          <w:szCs w:val="24"/>
        </w:rPr>
        <w:t>(</w:t>
      </w:r>
      <w:r w:rsidR="00B0300D" w:rsidRPr="004A0323">
        <w:rPr>
          <w:rFonts w:asciiTheme="majorBidi" w:hAnsiTheme="majorBidi" w:cstheme="majorBidi"/>
          <w:color w:val="000000" w:themeColor="text1"/>
          <w:szCs w:val="24"/>
        </w:rPr>
        <w:t xml:space="preserve">Davis </w:t>
      </w:r>
      <w:r w:rsidR="00B0300D" w:rsidRPr="004A0323">
        <w:rPr>
          <w:rFonts w:asciiTheme="majorBidi" w:hAnsiTheme="majorBidi" w:cstheme="majorBidi"/>
          <w:i/>
          <w:color w:val="000000" w:themeColor="text1"/>
          <w:szCs w:val="24"/>
        </w:rPr>
        <w:t>et al.</w:t>
      </w:r>
      <w:r w:rsidR="00B0300D" w:rsidRPr="004A0323">
        <w:rPr>
          <w:rFonts w:asciiTheme="majorBidi" w:hAnsiTheme="majorBidi" w:cstheme="majorBidi"/>
          <w:color w:val="000000" w:themeColor="text1"/>
          <w:szCs w:val="24"/>
        </w:rPr>
        <w:t xml:space="preserve"> 2012; Ma</w:t>
      </w:r>
      <w:r w:rsidR="00223454" w:rsidRPr="004A0323">
        <w:rPr>
          <w:rFonts w:asciiTheme="majorBidi" w:hAnsiTheme="majorBidi" w:cstheme="majorBidi"/>
          <w:color w:val="000000" w:themeColor="text1"/>
          <w:szCs w:val="24"/>
        </w:rPr>
        <w:t>li</w:t>
      </w:r>
      <w:r w:rsidR="00B0300D" w:rsidRPr="004A0323">
        <w:rPr>
          <w:rFonts w:asciiTheme="majorBidi" w:hAnsiTheme="majorBidi" w:cstheme="majorBidi"/>
          <w:color w:val="000000" w:themeColor="text1"/>
          <w:szCs w:val="24"/>
        </w:rPr>
        <w:t xml:space="preserve">to </w:t>
      </w:r>
      <w:r w:rsidR="00B0300D" w:rsidRPr="004A0323">
        <w:rPr>
          <w:rFonts w:asciiTheme="majorBidi" w:hAnsiTheme="majorBidi" w:cstheme="majorBidi"/>
          <w:i/>
          <w:color w:val="000000" w:themeColor="text1"/>
          <w:szCs w:val="24"/>
        </w:rPr>
        <w:t>et al.</w:t>
      </w:r>
      <w:r w:rsidR="00B0300D" w:rsidRPr="004A0323">
        <w:rPr>
          <w:rFonts w:asciiTheme="majorBidi" w:hAnsiTheme="majorBidi" w:cstheme="majorBidi"/>
          <w:color w:val="000000" w:themeColor="text1"/>
          <w:szCs w:val="24"/>
        </w:rPr>
        <w:t xml:space="preserve"> 2018; </w:t>
      </w:r>
      <w:r w:rsidR="00AC13AB" w:rsidRPr="004A0323">
        <w:rPr>
          <w:rFonts w:asciiTheme="majorBidi" w:hAnsiTheme="majorBidi" w:cstheme="majorBidi"/>
          <w:color w:val="000000" w:themeColor="text1"/>
          <w:szCs w:val="24"/>
        </w:rPr>
        <w:t xml:space="preserve">Rottenburg </w:t>
      </w:r>
      <w:r w:rsidR="00AC13AB" w:rsidRPr="004A0323">
        <w:rPr>
          <w:rFonts w:asciiTheme="majorBidi" w:hAnsiTheme="majorBidi" w:cstheme="majorBidi"/>
          <w:i/>
          <w:color w:val="000000" w:themeColor="text1"/>
          <w:szCs w:val="24"/>
        </w:rPr>
        <w:t>et al</w:t>
      </w:r>
      <w:r w:rsidR="00AC13AB" w:rsidRPr="004A0323">
        <w:rPr>
          <w:rFonts w:asciiTheme="majorBidi" w:hAnsiTheme="majorBidi" w:cstheme="majorBidi"/>
          <w:color w:val="000000" w:themeColor="text1"/>
          <w:szCs w:val="24"/>
        </w:rPr>
        <w:t>. 2015)</w:t>
      </w:r>
      <w:r w:rsidRPr="004A0323">
        <w:rPr>
          <w:rFonts w:asciiTheme="majorBidi" w:hAnsiTheme="majorBidi" w:cstheme="majorBidi"/>
          <w:color w:val="000000" w:themeColor="text1"/>
          <w:szCs w:val="24"/>
        </w:rPr>
        <w:t>.</w:t>
      </w:r>
      <w:r w:rsidR="001963F8" w:rsidRPr="004A0323">
        <w:rPr>
          <w:rFonts w:asciiTheme="majorBidi" w:hAnsiTheme="majorBidi" w:cstheme="majorBidi"/>
          <w:color w:val="000000" w:themeColor="text1"/>
          <w:szCs w:val="24"/>
        </w:rPr>
        <w:t xml:space="preserve"> </w:t>
      </w:r>
      <w:r w:rsidRPr="004A0323">
        <w:rPr>
          <w:rFonts w:asciiTheme="majorBidi" w:hAnsiTheme="majorBidi" w:cstheme="majorBidi"/>
          <w:color w:val="000000" w:themeColor="text1"/>
          <w:szCs w:val="24"/>
        </w:rPr>
        <w:t>In the case of transnational multi-stakeholder private governance initiatives</w:t>
      </w:r>
      <w:r w:rsidR="009537DE" w:rsidRPr="004A0323">
        <w:rPr>
          <w:rFonts w:asciiTheme="majorBidi" w:hAnsiTheme="majorBidi" w:cstheme="majorBidi"/>
          <w:color w:val="000000" w:themeColor="text1"/>
          <w:szCs w:val="24"/>
        </w:rPr>
        <w:t xml:space="preserve"> such as the one studied here</w:t>
      </w:r>
      <w:r w:rsidRPr="004A0323">
        <w:rPr>
          <w:rFonts w:asciiTheme="majorBidi" w:hAnsiTheme="majorBidi" w:cstheme="majorBidi"/>
          <w:color w:val="000000" w:themeColor="text1"/>
          <w:szCs w:val="24"/>
        </w:rPr>
        <w:t xml:space="preserve">, </w:t>
      </w:r>
      <w:r w:rsidR="00B20E94" w:rsidRPr="004A0323">
        <w:rPr>
          <w:rFonts w:asciiTheme="majorBidi" w:hAnsiTheme="majorBidi" w:cstheme="majorBidi"/>
          <w:color w:val="000000" w:themeColor="text1"/>
          <w:szCs w:val="24"/>
        </w:rPr>
        <w:t xml:space="preserve">compliance </w:t>
      </w:r>
      <w:r w:rsidRPr="004A0323">
        <w:rPr>
          <w:rFonts w:asciiTheme="majorBidi" w:hAnsiTheme="majorBidi" w:cstheme="majorBidi"/>
          <w:color w:val="000000" w:themeColor="text1"/>
          <w:szCs w:val="24"/>
        </w:rPr>
        <w:t xml:space="preserve">(via the transparency </w:t>
      </w:r>
      <w:r w:rsidR="001759E8" w:rsidRPr="004A0323">
        <w:rPr>
          <w:rFonts w:asciiTheme="majorBidi" w:hAnsiTheme="majorBidi" w:cstheme="majorBidi"/>
          <w:color w:val="000000" w:themeColor="text1"/>
          <w:szCs w:val="24"/>
        </w:rPr>
        <w:t xml:space="preserve">ostensibly </w:t>
      </w:r>
      <w:r w:rsidRPr="004A0323">
        <w:rPr>
          <w:rFonts w:asciiTheme="majorBidi" w:hAnsiTheme="majorBidi" w:cstheme="majorBidi"/>
          <w:color w:val="000000" w:themeColor="text1"/>
          <w:szCs w:val="24"/>
        </w:rPr>
        <w:t xml:space="preserve">achieved through performance measurement) and monitoring (via various types of assurance and audit </w:t>
      </w:r>
      <w:r w:rsidRPr="004A0323">
        <w:rPr>
          <w:rFonts w:asciiTheme="majorBidi" w:hAnsiTheme="majorBidi" w:cstheme="majorBidi"/>
          <w:color w:val="000000" w:themeColor="text1"/>
          <w:szCs w:val="24"/>
        </w:rPr>
        <w:lastRenderedPageBreak/>
        <w:t xml:space="preserve">practices </w:t>
      </w:r>
      <w:r w:rsidR="00A30B4F" w:rsidRPr="004A0323">
        <w:rPr>
          <w:rFonts w:asciiTheme="majorBidi" w:hAnsiTheme="majorBidi" w:cstheme="majorBidi"/>
          <w:color w:val="000000" w:themeColor="text1"/>
          <w:szCs w:val="24"/>
        </w:rPr>
        <w:t>resting on</w:t>
      </w:r>
      <w:r w:rsidRPr="004A0323">
        <w:rPr>
          <w:rFonts w:asciiTheme="majorBidi" w:hAnsiTheme="majorBidi" w:cstheme="majorBidi"/>
          <w:color w:val="000000" w:themeColor="text1"/>
          <w:szCs w:val="24"/>
        </w:rPr>
        <w:t xml:space="preserve"> the measurement of performance outcomes</w:t>
      </w:r>
      <w:r w:rsidR="000A1B32" w:rsidRPr="004A0323">
        <w:rPr>
          <w:rFonts w:asciiTheme="majorBidi" w:hAnsiTheme="majorBidi" w:cstheme="majorBidi"/>
          <w:color w:val="000000" w:themeColor="text1"/>
          <w:szCs w:val="24"/>
        </w:rPr>
        <w:t xml:space="preserve">) </w:t>
      </w:r>
      <w:r w:rsidR="000B5FDB" w:rsidRPr="004A0323">
        <w:rPr>
          <w:rFonts w:asciiTheme="majorBidi" w:hAnsiTheme="majorBidi" w:cstheme="majorBidi"/>
          <w:color w:val="000000" w:themeColor="text1"/>
          <w:szCs w:val="24"/>
        </w:rPr>
        <w:t>are</w:t>
      </w:r>
      <w:r w:rsidRPr="004A0323">
        <w:rPr>
          <w:rFonts w:asciiTheme="majorBidi" w:hAnsiTheme="majorBidi" w:cstheme="majorBidi"/>
          <w:color w:val="000000" w:themeColor="text1"/>
          <w:szCs w:val="24"/>
        </w:rPr>
        <w:t xml:space="preserve"> </w:t>
      </w:r>
      <w:r w:rsidR="000B5FDB" w:rsidRPr="004A0323">
        <w:rPr>
          <w:rFonts w:asciiTheme="majorBidi" w:hAnsiTheme="majorBidi" w:cstheme="majorBidi"/>
          <w:color w:val="000000" w:themeColor="text1"/>
          <w:szCs w:val="24"/>
        </w:rPr>
        <w:t>often</w:t>
      </w:r>
      <w:r w:rsidRPr="004A0323">
        <w:rPr>
          <w:rFonts w:asciiTheme="majorBidi" w:hAnsiTheme="majorBidi" w:cstheme="majorBidi"/>
          <w:color w:val="000000" w:themeColor="text1"/>
          <w:szCs w:val="24"/>
        </w:rPr>
        <w:t xml:space="preserve"> achieved via intermediaries, typically NGOs, </w:t>
      </w:r>
      <w:r w:rsidR="00F6159E" w:rsidRPr="004A0323">
        <w:rPr>
          <w:rFonts w:asciiTheme="majorBidi" w:hAnsiTheme="majorBidi" w:cstheme="majorBidi"/>
          <w:color w:val="000000" w:themeColor="text1"/>
          <w:szCs w:val="24"/>
        </w:rPr>
        <w:t>assurance</w:t>
      </w:r>
      <w:r w:rsidR="002244A4" w:rsidRPr="004A0323">
        <w:rPr>
          <w:rFonts w:asciiTheme="majorBidi" w:hAnsiTheme="majorBidi" w:cstheme="majorBidi"/>
          <w:color w:val="000000" w:themeColor="text1"/>
          <w:szCs w:val="24"/>
        </w:rPr>
        <w:t xml:space="preserve"> and </w:t>
      </w:r>
      <w:r w:rsidRPr="004A0323">
        <w:rPr>
          <w:rFonts w:asciiTheme="majorBidi" w:hAnsiTheme="majorBidi" w:cstheme="majorBidi"/>
          <w:color w:val="000000" w:themeColor="text1"/>
          <w:szCs w:val="24"/>
        </w:rPr>
        <w:t>consulting firms, or expert groups (</w:t>
      </w:r>
      <w:r w:rsidR="00CA2177" w:rsidRPr="004A0323">
        <w:rPr>
          <w:rFonts w:asciiTheme="majorBidi" w:hAnsiTheme="majorBidi" w:cstheme="majorBidi"/>
          <w:color w:val="000000" w:themeColor="text1"/>
          <w:szCs w:val="24"/>
        </w:rPr>
        <w:t>Fra</w:t>
      </w:r>
      <w:r w:rsidR="00AA0E17" w:rsidRPr="004A0323">
        <w:rPr>
          <w:rFonts w:asciiTheme="majorBidi" w:hAnsiTheme="majorBidi" w:cstheme="majorBidi"/>
          <w:color w:val="000000" w:themeColor="text1"/>
          <w:szCs w:val="24"/>
        </w:rPr>
        <w:t>n</w:t>
      </w:r>
      <w:r w:rsidR="00CA2177" w:rsidRPr="004A0323">
        <w:rPr>
          <w:rFonts w:asciiTheme="majorBidi" w:hAnsiTheme="majorBidi" w:cstheme="majorBidi"/>
          <w:color w:val="000000" w:themeColor="text1"/>
          <w:szCs w:val="24"/>
        </w:rPr>
        <w:t xml:space="preserve">sen &amp; LeBaron this issue; </w:t>
      </w:r>
      <w:r w:rsidRPr="004A0323">
        <w:rPr>
          <w:rFonts w:asciiTheme="majorBidi" w:hAnsiTheme="majorBidi" w:cstheme="majorBidi"/>
          <w:color w:val="000000" w:themeColor="text1"/>
          <w:szCs w:val="24"/>
        </w:rPr>
        <w:t>Mena</w:t>
      </w:r>
      <w:r w:rsidR="003B390E" w:rsidRPr="004A0323">
        <w:rPr>
          <w:rFonts w:asciiTheme="majorBidi" w:hAnsiTheme="majorBidi" w:cstheme="majorBidi"/>
          <w:color w:val="000000" w:themeColor="text1"/>
          <w:szCs w:val="24"/>
        </w:rPr>
        <w:t xml:space="preserve"> </w:t>
      </w:r>
      <w:r w:rsidR="003B390E" w:rsidRPr="004A0323">
        <w:rPr>
          <w:rFonts w:asciiTheme="majorBidi" w:hAnsiTheme="majorBidi" w:cstheme="majorBidi"/>
          <w:i/>
          <w:color w:val="000000" w:themeColor="text1"/>
          <w:szCs w:val="24"/>
        </w:rPr>
        <w:t>et al.</w:t>
      </w:r>
      <w:r w:rsidR="003B390E" w:rsidRPr="004A0323">
        <w:rPr>
          <w:rFonts w:asciiTheme="majorBidi" w:hAnsiTheme="majorBidi" w:cstheme="majorBidi"/>
          <w:color w:val="000000" w:themeColor="text1"/>
          <w:szCs w:val="24"/>
        </w:rPr>
        <w:t xml:space="preserve"> </w:t>
      </w:r>
      <w:r w:rsidR="00A8164A" w:rsidRPr="004A0323">
        <w:rPr>
          <w:rFonts w:asciiTheme="majorBidi" w:hAnsiTheme="majorBidi" w:cstheme="majorBidi"/>
          <w:color w:val="000000" w:themeColor="text1"/>
          <w:szCs w:val="24"/>
        </w:rPr>
        <w:t>this issue</w:t>
      </w:r>
      <w:r w:rsidRPr="004A0323">
        <w:rPr>
          <w:rFonts w:asciiTheme="majorBidi" w:hAnsiTheme="majorBidi" w:cstheme="majorBidi"/>
          <w:color w:val="000000" w:themeColor="text1"/>
          <w:szCs w:val="24"/>
        </w:rPr>
        <w:t xml:space="preserve">). </w:t>
      </w:r>
    </w:p>
    <w:p w14:paraId="1291AA6D" w14:textId="15E4D1A1" w:rsidR="00E11918" w:rsidRPr="004A0323" w:rsidRDefault="00B728AD" w:rsidP="00513F10">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When mobilized as part of transnational multi-stakeholder initiatives, especially if stakeholders are divided, performance measurement and quantification can easily become vehicles of conflict as well as mechanisms through which closure to controversies </w:t>
      </w:r>
      <w:r w:rsidR="00811361" w:rsidRPr="004A0323">
        <w:rPr>
          <w:rFonts w:asciiTheme="majorBidi" w:hAnsiTheme="majorBidi" w:cstheme="majorBidi"/>
          <w:color w:val="000000" w:themeColor="text1"/>
          <w:szCs w:val="24"/>
        </w:rPr>
        <w:t>is</w:t>
      </w:r>
      <w:r w:rsidRPr="004A0323">
        <w:rPr>
          <w:rFonts w:asciiTheme="majorBidi" w:hAnsiTheme="majorBidi" w:cstheme="majorBidi"/>
          <w:color w:val="000000" w:themeColor="text1"/>
          <w:szCs w:val="24"/>
        </w:rPr>
        <w:t xml:space="preserve"> achieved in the name of the objectivity </w:t>
      </w:r>
      <w:r w:rsidR="00E42CCB" w:rsidRPr="004A0323">
        <w:rPr>
          <w:rFonts w:asciiTheme="majorBidi" w:hAnsiTheme="majorBidi" w:cstheme="majorBidi"/>
          <w:color w:val="000000" w:themeColor="text1"/>
          <w:szCs w:val="24"/>
        </w:rPr>
        <w:t xml:space="preserve">and rigor </w:t>
      </w:r>
      <w:r w:rsidR="000F04ED" w:rsidRPr="004A0323">
        <w:rPr>
          <w:rFonts w:asciiTheme="majorBidi" w:hAnsiTheme="majorBidi" w:cstheme="majorBidi"/>
          <w:color w:val="000000" w:themeColor="text1"/>
          <w:szCs w:val="24"/>
        </w:rPr>
        <w:t>typically</w:t>
      </w:r>
      <w:r w:rsidRPr="004A0323">
        <w:rPr>
          <w:rFonts w:asciiTheme="majorBidi" w:hAnsiTheme="majorBidi" w:cstheme="majorBidi"/>
          <w:color w:val="000000" w:themeColor="text1"/>
          <w:szCs w:val="24"/>
        </w:rPr>
        <w:t xml:space="preserve"> ascribed to numbers</w:t>
      </w:r>
      <w:r w:rsidR="004D2B81" w:rsidRPr="004A0323">
        <w:rPr>
          <w:rFonts w:asciiTheme="majorBidi" w:hAnsiTheme="majorBidi" w:cstheme="majorBidi"/>
          <w:color w:val="000000" w:themeColor="text1"/>
          <w:szCs w:val="24"/>
        </w:rPr>
        <w:t xml:space="preserve"> (Porter 199</w:t>
      </w:r>
      <w:r w:rsidR="00F35DE6" w:rsidRPr="004A0323">
        <w:rPr>
          <w:rFonts w:asciiTheme="majorBidi" w:hAnsiTheme="majorBidi" w:cstheme="majorBidi"/>
          <w:color w:val="000000" w:themeColor="text1"/>
          <w:szCs w:val="24"/>
        </w:rPr>
        <w:t>6</w:t>
      </w:r>
      <w:r w:rsidR="004D2B81" w:rsidRPr="004A0323">
        <w:rPr>
          <w:rFonts w:asciiTheme="majorBidi" w:hAnsiTheme="majorBidi" w:cstheme="majorBidi"/>
          <w:color w:val="000000" w:themeColor="text1"/>
          <w:szCs w:val="24"/>
        </w:rPr>
        <w:t>)</w:t>
      </w:r>
      <w:r w:rsidRPr="004A0323">
        <w:rPr>
          <w:rFonts w:asciiTheme="majorBidi" w:hAnsiTheme="majorBidi" w:cstheme="majorBidi"/>
          <w:color w:val="000000" w:themeColor="text1"/>
          <w:szCs w:val="24"/>
        </w:rPr>
        <w:t>.</w:t>
      </w:r>
      <w:r w:rsidR="00811361" w:rsidRPr="004A0323">
        <w:rPr>
          <w:rFonts w:asciiTheme="majorBidi" w:hAnsiTheme="majorBidi" w:cstheme="majorBidi"/>
          <w:color w:val="000000" w:themeColor="text1"/>
          <w:szCs w:val="24"/>
        </w:rPr>
        <w:t xml:space="preserve"> </w:t>
      </w:r>
      <w:r w:rsidR="003D5AA3" w:rsidRPr="004A0323">
        <w:rPr>
          <w:rFonts w:asciiTheme="majorBidi" w:hAnsiTheme="majorBidi" w:cstheme="majorBidi"/>
          <w:color w:val="000000" w:themeColor="text1"/>
          <w:szCs w:val="24"/>
        </w:rPr>
        <w:t xml:space="preserve">Performance metrics </w:t>
      </w:r>
      <w:r w:rsidR="000F04ED" w:rsidRPr="004A0323">
        <w:rPr>
          <w:rFonts w:asciiTheme="majorBidi" w:hAnsiTheme="majorBidi" w:cstheme="majorBidi"/>
          <w:color w:val="000000" w:themeColor="text1"/>
          <w:szCs w:val="24"/>
        </w:rPr>
        <w:t xml:space="preserve">can be powerful ways of creating the </w:t>
      </w:r>
      <w:r w:rsidR="003D5AA3" w:rsidRPr="004A0323">
        <w:rPr>
          <w:rFonts w:asciiTheme="majorBidi" w:hAnsiTheme="majorBidi" w:cstheme="majorBidi"/>
          <w:color w:val="000000" w:themeColor="text1"/>
          <w:szCs w:val="24"/>
        </w:rPr>
        <w:t xml:space="preserve">relative </w:t>
      </w:r>
      <w:r w:rsidR="000F04ED" w:rsidRPr="004A0323">
        <w:rPr>
          <w:rFonts w:asciiTheme="majorBidi" w:hAnsiTheme="majorBidi" w:cstheme="majorBidi"/>
          <w:color w:val="000000" w:themeColor="text1"/>
          <w:szCs w:val="24"/>
        </w:rPr>
        <w:t xml:space="preserve">consensus </w:t>
      </w:r>
      <w:r w:rsidR="003D5AA3" w:rsidRPr="004A0323">
        <w:rPr>
          <w:rFonts w:asciiTheme="majorBidi" w:hAnsiTheme="majorBidi" w:cstheme="majorBidi"/>
          <w:color w:val="000000" w:themeColor="text1"/>
          <w:szCs w:val="24"/>
        </w:rPr>
        <w:t xml:space="preserve">or “reasonable disagreement” (Mena &amp; Palazzo 2012) </w:t>
      </w:r>
      <w:r w:rsidR="000F04ED" w:rsidRPr="004A0323">
        <w:rPr>
          <w:rFonts w:asciiTheme="majorBidi" w:hAnsiTheme="majorBidi" w:cstheme="majorBidi"/>
          <w:color w:val="000000" w:themeColor="text1"/>
          <w:szCs w:val="24"/>
        </w:rPr>
        <w:t>that multi-stakeholder initiatives depend upon</w:t>
      </w:r>
      <w:r w:rsidR="00E11918" w:rsidRPr="004A0323">
        <w:rPr>
          <w:rFonts w:asciiTheme="majorBidi" w:hAnsiTheme="majorBidi" w:cstheme="majorBidi"/>
          <w:color w:val="000000" w:themeColor="text1"/>
          <w:szCs w:val="24"/>
        </w:rPr>
        <w:t>, yet the</w:t>
      </w:r>
      <w:r w:rsidR="00811361" w:rsidRPr="004A0323">
        <w:rPr>
          <w:rFonts w:asciiTheme="majorBidi" w:hAnsiTheme="majorBidi" w:cstheme="majorBidi"/>
          <w:color w:val="000000" w:themeColor="text1"/>
          <w:szCs w:val="24"/>
        </w:rPr>
        <w:t xml:space="preserve"> relationship between </w:t>
      </w:r>
      <w:r w:rsidR="003D5AA3" w:rsidRPr="004A0323">
        <w:rPr>
          <w:rFonts w:asciiTheme="majorBidi" w:hAnsiTheme="majorBidi" w:cstheme="majorBidi"/>
          <w:color w:val="000000" w:themeColor="text1"/>
          <w:szCs w:val="24"/>
        </w:rPr>
        <w:t xml:space="preserve">the use of metrics </w:t>
      </w:r>
      <w:r w:rsidR="00811361" w:rsidRPr="004A0323">
        <w:rPr>
          <w:rFonts w:asciiTheme="majorBidi" w:hAnsiTheme="majorBidi" w:cstheme="majorBidi"/>
          <w:color w:val="000000" w:themeColor="text1"/>
          <w:szCs w:val="24"/>
        </w:rPr>
        <w:t>and the</w:t>
      </w:r>
      <w:r w:rsidR="00014509" w:rsidRPr="004A0323">
        <w:rPr>
          <w:rFonts w:asciiTheme="majorBidi" w:hAnsiTheme="majorBidi" w:cstheme="majorBidi"/>
          <w:color w:val="000000" w:themeColor="text1"/>
          <w:szCs w:val="24"/>
        </w:rPr>
        <w:t xml:space="preserve"> </w:t>
      </w:r>
      <w:r w:rsidR="00811361" w:rsidRPr="004A0323">
        <w:rPr>
          <w:rFonts w:asciiTheme="majorBidi" w:hAnsiTheme="majorBidi" w:cstheme="majorBidi"/>
          <w:color w:val="000000" w:themeColor="text1"/>
          <w:szCs w:val="24"/>
        </w:rPr>
        <w:t xml:space="preserve">legitimacy of </w:t>
      </w:r>
      <w:r w:rsidR="00FA364E" w:rsidRPr="004A0323">
        <w:rPr>
          <w:rFonts w:asciiTheme="majorBidi" w:hAnsiTheme="majorBidi" w:cstheme="majorBidi"/>
          <w:color w:val="000000" w:themeColor="text1"/>
          <w:szCs w:val="24"/>
        </w:rPr>
        <w:t>the regulatory processes they underpin</w:t>
      </w:r>
      <w:r w:rsidR="003D5AA3" w:rsidRPr="004A0323">
        <w:rPr>
          <w:rFonts w:asciiTheme="majorBidi" w:hAnsiTheme="majorBidi" w:cstheme="majorBidi"/>
          <w:color w:val="000000" w:themeColor="text1"/>
          <w:szCs w:val="24"/>
        </w:rPr>
        <w:t>, and its implications for compliance,</w:t>
      </w:r>
      <w:r w:rsidR="00E42CCB" w:rsidRPr="004A0323">
        <w:rPr>
          <w:rFonts w:asciiTheme="majorBidi" w:hAnsiTheme="majorBidi" w:cstheme="majorBidi"/>
          <w:color w:val="000000" w:themeColor="text1"/>
          <w:szCs w:val="24"/>
        </w:rPr>
        <w:t xml:space="preserve"> remain </w:t>
      </w:r>
      <w:r w:rsidR="00811361" w:rsidRPr="004A0323">
        <w:rPr>
          <w:rFonts w:asciiTheme="majorBidi" w:hAnsiTheme="majorBidi" w:cstheme="majorBidi"/>
          <w:color w:val="000000" w:themeColor="text1"/>
          <w:szCs w:val="24"/>
        </w:rPr>
        <w:t>far from settled.</w:t>
      </w:r>
      <w:r w:rsidR="000F04ED" w:rsidRPr="004A0323">
        <w:rPr>
          <w:rFonts w:asciiTheme="majorBidi" w:hAnsiTheme="majorBidi" w:cstheme="majorBidi"/>
          <w:color w:val="000000" w:themeColor="text1"/>
          <w:szCs w:val="24"/>
        </w:rPr>
        <w:t xml:space="preserve"> </w:t>
      </w:r>
    </w:p>
    <w:p w14:paraId="12B1AAAE" w14:textId="5C1B4E50" w:rsidR="00E447DF" w:rsidRPr="004A0323" w:rsidRDefault="009537DE" w:rsidP="00513F10">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In this paper</w:t>
      </w:r>
      <w:r w:rsidR="00523E2E" w:rsidRPr="004A0323">
        <w:rPr>
          <w:rFonts w:asciiTheme="majorBidi" w:hAnsiTheme="majorBidi" w:cstheme="majorBidi"/>
          <w:color w:val="000000" w:themeColor="text1"/>
          <w:szCs w:val="24"/>
        </w:rPr>
        <w:t>,</w:t>
      </w:r>
      <w:r w:rsidRPr="004A0323">
        <w:rPr>
          <w:rFonts w:asciiTheme="majorBidi" w:hAnsiTheme="majorBidi" w:cstheme="majorBidi"/>
          <w:color w:val="000000" w:themeColor="text1"/>
          <w:szCs w:val="24"/>
        </w:rPr>
        <w:t xml:space="preserve"> we tackle such issues through the examination of a transnational multi-stakeholder initiative based on performance measurement: a ranking </w:t>
      </w:r>
      <w:r w:rsidR="001F4191" w:rsidRPr="004A0323">
        <w:rPr>
          <w:rFonts w:asciiTheme="majorBidi" w:hAnsiTheme="majorBidi" w:cstheme="majorBidi"/>
          <w:color w:val="000000" w:themeColor="text1"/>
          <w:szCs w:val="24"/>
        </w:rPr>
        <w:t>within</w:t>
      </w:r>
      <w:r w:rsidRPr="004A0323">
        <w:rPr>
          <w:rFonts w:asciiTheme="majorBidi" w:hAnsiTheme="majorBidi" w:cstheme="majorBidi"/>
          <w:color w:val="000000" w:themeColor="text1"/>
          <w:szCs w:val="24"/>
        </w:rPr>
        <w:t xml:space="preserve"> the pharmaceutical industry known </w:t>
      </w:r>
      <w:r w:rsidR="002F0848" w:rsidRPr="004A0323">
        <w:rPr>
          <w:rFonts w:asciiTheme="majorBidi" w:hAnsiTheme="majorBidi" w:cstheme="majorBidi"/>
          <w:color w:val="000000" w:themeColor="text1"/>
          <w:szCs w:val="24"/>
        </w:rPr>
        <w:t xml:space="preserve">as the Access to Medicine Index. This ranking, through </w:t>
      </w:r>
      <w:commentRangeStart w:id="1"/>
      <w:r w:rsidR="005514D2" w:rsidRPr="004A0323">
        <w:rPr>
          <w:rFonts w:asciiTheme="majorBidi" w:hAnsiTheme="majorBidi" w:cstheme="majorBidi"/>
          <w:color w:val="000000" w:themeColor="text1"/>
          <w:szCs w:val="24"/>
        </w:rPr>
        <w:t>69</w:t>
      </w:r>
      <w:commentRangeEnd w:id="1"/>
      <w:r w:rsidR="000A63EE" w:rsidRPr="004A0323">
        <w:rPr>
          <w:rStyle w:val="CommentReference"/>
          <w:rFonts w:asciiTheme="majorBidi" w:eastAsiaTheme="minorHAnsi" w:hAnsiTheme="majorBidi" w:cstheme="majorBidi"/>
          <w:color w:val="000000" w:themeColor="text1"/>
          <w:bdr w:val="none" w:sz="0" w:space="0" w:color="auto"/>
          <w:lang w:val="en-GB"/>
        </w:rPr>
        <w:commentReference w:id="1"/>
      </w:r>
      <w:r w:rsidR="00D23F4E" w:rsidRPr="004A0323">
        <w:rPr>
          <w:rFonts w:asciiTheme="majorBidi" w:hAnsiTheme="majorBidi" w:cstheme="majorBidi"/>
          <w:color w:val="000000" w:themeColor="text1"/>
          <w:szCs w:val="24"/>
        </w:rPr>
        <w:t xml:space="preserve"> </w:t>
      </w:r>
      <w:r w:rsidR="002F0848" w:rsidRPr="004A0323">
        <w:rPr>
          <w:rFonts w:asciiTheme="majorBidi" w:hAnsiTheme="majorBidi" w:cstheme="majorBidi"/>
          <w:color w:val="000000" w:themeColor="text1"/>
          <w:szCs w:val="24"/>
        </w:rPr>
        <w:t>performance indicators,</w:t>
      </w:r>
      <w:r w:rsidRPr="004A0323">
        <w:rPr>
          <w:rFonts w:asciiTheme="majorBidi" w:hAnsiTheme="majorBidi" w:cstheme="majorBidi"/>
          <w:color w:val="000000" w:themeColor="text1"/>
          <w:szCs w:val="24"/>
        </w:rPr>
        <w:t xml:space="preserve"> measures the extent to which </w:t>
      </w:r>
      <w:commentRangeStart w:id="2"/>
      <w:r w:rsidRPr="004A0323">
        <w:rPr>
          <w:rFonts w:asciiTheme="majorBidi" w:hAnsiTheme="majorBidi" w:cstheme="majorBidi"/>
          <w:color w:val="000000" w:themeColor="text1"/>
          <w:szCs w:val="24"/>
        </w:rPr>
        <w:t>twenty</w:t>
      </w:r>
      <w:r w:rsidR="00B223AB" w:rsidRPr="004A0323">
        <w:rPr>
          <w:rFonts w:asciiTheme="majorBidi" w:hAnsiTheme="majorBidi" w:cstheme="majorBidi"/>
          <w:color w:val="000000" w:themeColor="text1"/>
          <w:szCs w:val="24"/>
        </w:rPr>
        <w:t xml:space="preserve"> of the</w:t>
      </w:r>
      <w:r w:rsidRPr="004A0323">
        <w:rPr>
          <w:rFonts w:asciiTheme="majorBidi" w:hAnsiTheme="majorBidi" w:cstheme="majorBidi"/>
          <w:color w:val="000000" w:themeColor="text1"/>
          <w:szCs w:val="24"/>
        </w:rPr>
        <w:t xml:space="preserve"> </w:t>
      </w:r>
      <w:commentRangeEnd w:id="2"/>
      <w:r w:rsidR="00353CC6" w:rsidRPr="004A0323">
        <w:rPr>
          <w:rStyle w:val="CommentReference"/>
          <w:rFonts w:asciiTheme="majorBidi" w:eastAsiaTheme="minorHAnsi" w:hAnsiTheme="majorBidi" w:cstheme="majorBidi"/>
          <w:color w:val="000000" w:themeColor="text1"/>
          <w:bdr w:val="none" w:sz="0" w:space="0" w:color="auto"/>
          <w:lang w:val="en-GB"/>
        </w:rPr>
        <w:commentReference w:id="2"/>
      </w:r>
      <w:r w:rsidRPr="004A0323">
        <w:rPr>
          <w:rFonts w:asciiTheme="majorBidi" w:hAnsiTheme="majorBidi" w:cstheme="majorBidi"/>
          <w:color w:val="000000" w:themeColor="text1"/>
          <w:szCs w:val="24"/>
        </w:rPr>
        <w:t>largest pharmaceutical companies in the world make their medicines accessible to p</w:t>
      </w:r>
      <w:r w:rsidR="002F0848" w:rsidRPr="004A0323">
        <w:rPr>
          <w:rFonts w:asciiTheme="majorBidi" w:hAnsiTheme="majorBidi" w:cstheme="majorBidi"/>
          <w:color w:val="000000" w:themeColor="text1"/>
          <w:szCs w:val="24"/>
        </w:rPr>
        <w:t xml:space="preserve">atients in developing countries. </w:t>
      </w:r>
    </w:p>
    <w:p w14:paraId="54F4B0F0" w14:textId="1E982D34" w:rsidR="00CE7B9A" w:rsidRPr="004A0323" w:rsidRDefault="006367AE">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We</w:t>
      </w:r>
      <w:r w:rsidR="002F0848" w:rsidRPr="004A0323">
        <w:rPr>
          <w:rFonts w:asciiTheme="majorBidi" w:hAnsiTheme="majorBidi" w:cstheme="majorBidi"/>
          <w:color w:val="000000" w:themeColor="text1"/>
          <w:szCs w:val="24"/>
        </w:rPr>
        <w:t xml:space="preserve"> </w:t>
      </w:r>
      <w:r w:rsidR="001F4191" w:rsidRPr="004A0323">
        <w:rPr>
          <w:rFonts w:asciiTheme="majorBidi" w:hAnsiTheme="majorBidi" w:cstheme="majorBidi"/>
          <w:color w:val="000000" w:themeColor="text1"/>
          <w:szCs w:val="24"/>
        </w:rPr>
        <w:t>trace</w:t>
      </w:r>
      <w:r w:rsidR="002F0848" w:rsidRPr="004A0323">
        <w:rPr>
          <w:rFonts w:asciiTheme="majorBidi" w:hAnsiTheme="majorBidi" w:cstheme="majorBidi"/>
          <w:color w:val="000000" w:themeColor="text1"/>
          <w:szCs w:val="24"/>
        </w:rPr>
        <w:t xml:space="preserve"> the work of the analysts who score companies for the purposes of this ranking, acting as intermediaries for the particular form of </w:t>
      </w:r>
      <w:r w:rsidR="00B223AB" w:rsidRPr="004A0323">
        <w:rPr>
          <w:rFonts w:asciiTheme="majorBidi" w:hAnsiTheme="majorBidi" w:cstheme="majorBidi"/>
          <w:color w:val="000000" w:themeColor="text1"/>
          <w:szCs w:val="24"/>
        </w:rPr>
        <w:t>civil</w:t>
      </w:r>
      <w:commentRangeStart w:id="3"/>
      <w:r w:rsidR="002F0848" w:rsidRPr="004A0323">
        <w:rPr>
          <w:rFonts w:asciiTheme="majorBidi" w:hAnsiTheme="majorBidi" w:cstheme="majorBidi"/>
          <w:color w:val="000000" w:themeColor="text1"/>
          <w:szCs w:val="24"/>
        </w:rPr>
        <w:t xml:space="preserve"> regulation</w:t>
      </w:r>
      <w:commentRangeEnd w:id="3"/>
      <w:r w:rsidR="00353CC6" w:rsidRPr="004A0323">
        <w:rPr>
          <w:rStyle w:val="CommentReference"/>
          <w:rFonts w:asciiTheme="majorBidi" w:eastAsiaTheme="minorHAnsi" w:hAnsiTheme="majorBidi" w:cstheme="majorBidi"/>
          <w:color w:val="000000" w:themeColor="text1"/>
          <w:bdr w:val="none" w:sz="0" w:space="0" w:color="auto"/>
          <w:lang w:val="en-GB"/>
        </w:rPr>
        <w:commentReference w:id="3"/>
      </w:r>
      <w:r w:rsidR="002E1CBE" w:rsidRPr="004A0323">
        <w:rPr>
          <w:rFonts w:asciiTheme="majorBidi" w:hAnsiTheme="majorBidi" w:cstheme="majorBidi"/>
          <w:color w:val="000000" w:themeColor="text1"/>
          <w:szCs w:val="24"/>
        </w:rPr>
        <w:t xml:space="preserve"> (Vogel 2008</w:t>
      </w:r>
      <w:r w:rsidR="00B223AB" w:rsidRPr="004A0323">
        <w:rPr>
          <w:rFonts w:asciiTheme="majorBidi" w:hAnsiTheme="majorBidi" w:cstheme="majorBidi"/>
          <w:color w:val="000000" w:themeColor="text1"/>
          <w:szCs w:val="24"/>
        </w:rPr>
        <w:t>)</w:t>
      </w:r>
      <w:r w:rsidR="002F0848" w:rsidRPr="004A0323">
        <w:rPr>
          <w:rFonts w:asciiTheme="majorBidi" w:hAnsiTheme="majorBidi" w:cstheme="majorBidi"/>
          <w:color w:val="000000" w:themeColor="text1"/>
          <w:szCs w:val="24"/>
        </w:rPr>
        <w:t xml:space="preserve"> represented by this initiative</w:t>
      </w:r>
      <w:r w:rsidR="00B0300D" w:rsidRPr="004A0323">
        <w:rPr>
          <w:rFonts w:asciiTheme="majorBidi" w:hAnsiTheme="majorBidi" w:cstheme="majorBidi"/>
          <w:color w:val="000000" w:themeColor="text1"/>
          <w:szCs w:val="24"/>
        </w:rPr>
        <w:t>.</w:t>
      </w:r>
      <w:r w:rsidR="00596D82" w:rsidRPr="004A0323">
        <w:rPr>
          <w:rFonts w:asciiTheme="majorBidi" w:hAnsiTheme="majorBidi" w:cstheme="majorBidi"/>
          <w:color w:val="000000" w:themeColor="text1"/>
          <w:szCs w:val="24"/>
        </w:rPr>
        <w:t xml:space="preserve"> We </w:t>
      </w:r>
      <w:r w:rsidR="001267C8" w:rsidRPr="004A0323">
        <w:rPr>
          <w:rFonts w:asciiTheme="majorBidi" w:hAnsiTheme="majorBidi" w:cstheme="majorBidi"/>
          <w:color w:val="000000" w:themeColor="text1"/>
          <w:szCs w:val="24"/>
        </w:rPr>
        <w:t>discuss</w:t>
      </w:r>
      <w:r w:rsidR="00596D82" w:rsidRPr="004A0323">
        <w:rPr>
          <w:rFonts w:asciiTheme="majorBidi" w:hAnsiTheme="majorBidi" w:cstheme="majorBidi"/>
          <w:color w:val="000000" w:themeColor="text1"/>
          <w:szCs w:val="24"/>
        </w:rPr>
        <w:t xml:space="preserve"> </w:t>
      </w:r>
      <w:r w:rsidR="001267C8" w:rsidRPr="004A0323">
        <w:rPr>
          <w:rFonts w:asciiTheme="majorBidi" w:hAnsiTheme="majorBidi" w:cstheme="majorBidi"/>
          <w:color w:val="000000" w:themeColor="text1"/>
          <w:szCs w:val="24"/>
        </w:rPr>
        <w:t>the</w:t>
      </w:r>
      <w:r w:rsidR="00596D82" w:rsidRPr="004A0323">
        <w:rPr>
          <w:rFonts w:asciiTheme="majorBidi" w:hAnsiTheme="majorBidi" w:cstheme="majorBidi"/>
          <w:color w:val="000000" w:themeColor="text1"/>
          <w:szCs w:val="24"/>
        </w:rPr>
        <w:t xml:space="preserve"> </w:t>
      </w:r>
      <w:r w:rsidR="002C4938" w:rsidRPr="004A0323">
        <w:rPr>
          <w:rFonts w:asciiTheme="majorBidi" w:hAnsiTheme="majorBidi" w:cstheme="majorBidi"/>
          <w:color w:val="000000" w:themeColor="text1"/>
          <w:szCs w:val="24"/>
        </w:rPr>
        <w:t xml:space="preserve">formulation </w:t>
      </w:r>
      <w:r w:rsidR="001267C8" w:rsidRPr="004A0323">
        <w:rPr>
          <w:rFonts w:asciiTheme="majorBidi" w:hAnsiTheme="majorBidi" w:cstheme="majorBidi"/>
          <w:color w:val="000000" w:themeColor="text1"/>
          <w:szCs w:val="24"/>
        </w:rPr>
        <w:t>of</w:t>
      </w:r>
      <w:r w:rsidR="00596D82" w:rsidRPr="004A0323">
        <w:rPr>
          <w:rFonts w:asciiTheme="majorBidi" w:hAnsiTheme="majorBidi" w:cstheme="majorBidi"/>
          <w:color w:val="000000" w:themeColor="text1"/>
          <w:szCs w:val="24"/>
        </w:rPr>
        <w:t xml:space="preserve"> indicator</w:t>
      </w:r>
      <w:r w:rsidR="004220BC" w:rsidRPr="004A0323">
        <w:rPr>
          <w:rFonts w:asciiTheme="majorBidi" w:hAnsiTheme="majorBidi" w:cstheme="majorBidi"/>
          <w:color w:val="000000" w:themeColor="text1"/>
          <w:szCs w:val="24"/>
        </w:rPr>
        <w:t>s</w:t>
      </w:r>
      <w:r w:rsidR="002402DE" w:rsidRPr="004A0323">
        <w:rPr>
          <w:rFonts w:asciiTheme="majorBidi" w:hAnsiTheme="majorBidi" w:cstheme="majorBidi"/>
          <w:color w:val="000000" w:themeColor="text1"/>
          <w:szCs w:val="24"/>
        </w:rPr>
        <w:t xml:space="preserve"> and </w:t>
      </w:r>
      <w:r w:rsidR="006D48CB" w:rsidRPr="004A0323">
        <w:rPr>
          <w:rFonts w:asciiTheme="majorBidi" w:hAnsiTheme="majorBidi" w:cstheme="majorBidi"/>
          <w:color w:val="000000" w:themeColor="text1"/>
          <w:szCs w:val="24"/>
        </w:rPr>
        <w:t>ranking methodology</w:t>
      </w:r>
      <w:r w:rsidR="002C4938" w:rsidRPr="004A0323">
        <w:rPr>
          <w:rFonts w:asciiTheme="majorBidi" w:hAnsiTheme="majorBidi" w:cstheme="majorBidi"/>
          <w:color w:val="000000" w:themeColor="text1"/>
          <w:szCs w:val="24"/>
        </w:rPr>
        <w:t xml:space="preserve"> </w:t>
      </w:r>
      <w:r w:rsidR="00596D82" w:rsidRPr="004A0323">
        <w:rPr>
          <w:rFonts w:asciiTheme="majorBidi" w:hAnsiTheme="majorBidi" w:cstheme="majorBidi"/>
          <w:color w:val="000000" w:themeColor="text1"/>
          <w:szCs w:val="24"/>
        </w:rPr>
        <w:t xml:space="preserve">based on consensus-building among stakeholders </w:t>
      </w:r>
      <w:r w:rsidR="001267C8" w:rsidRPr="004A0323">
        <w:rPr>
          <w:rFonts w:asciiTheme="majorBidi" w:hAnsiTheme="majorBidi" w:cstheme="majorBidi"/>
          <w:color w:val="000000" w:themeColor="text1"/>
          <w:szCs w:val="24"/>
        </w:rPr>
        <w:t>a</w:t>
      </w:r>
      <w:r w:rsidR="00596D82" w:rsidRPr="004A0323">
        <w:rPr>
          <w:rFonts w:asciiTheme="majorBidi" w:hAnsiTheme="majorBidi" w:cstheme="majorBidi"/>
          <w:color w:val="000000" w:themeColor="text1"/>
          <w:szCs w:val="24"/>
        </w:rPr>
        <w:t xml:space="preserve">s a form of “second order rule-making” that attempts to reconcile various </w:t>
      </w:r>
      <w:r w:rsidR="00A627B0" w:rsidRPr="004A0323">
        <w:rPr>
          <w:rFonts w:asciiTheme="majorBidi" w:hAnsiTheme="majorBidi" w:cstheme="majorBidi"/>
          <w:color w:val="000000" w:themeColor="text1"/>
          <w:szCs w:val="24"/>
        </w:rPr>
        <w:t xml:space="preserve">existing </w:t>
      </w:r>
      <w:r w:rsidR="00596D82" w:rsidRPr="004A0323">
        <w:rPr>
          <w:rFonts w:asciiTheme="majorBidi" w:hAnsiTheme="majorBidi" w:cstheme="majorBidi"/>
          <w:color w:val="000000" w:themeColor="text1"/>
          <w:szCs w:val="24"/>
        </w:rPr>
        <w:t>fragmented implicit and explicit</w:t>
      </w:r>
      <w:r w:rsidR="004479A5" w:rsidRPr="004A0323">
        <w:rPr>
          <w:rFonts w:asciiTheme="majorBidi" w:hAnsiTheme="majorBidi" w:cstheme="majorBidi"/>
          <w:color w:val="000000" w:themeColor="text1"/>
          <w:szCs w:val="24"/>
        </w:rPr>
        <w:t xml:space="preserve"> rules</w:t>
      </w:r>
      <w:r w:rsidR="00596D82" w:rsidRPr="004A0323">
        <w:rPr>
          <w:rFonts w:asciiTheme="majorBidi" w:hAnsiTheme="majorBidi" w:cstheme="majorBidi"/>
          <w:color w:val="000000" w:themeColor="text1"/>
          <w:szCs w:val="24"/>
        </w:rPr>
        <w:t xml:space="preserve">. </w:t>
      </w:r>
      <w:r w:rsidR="00F6159E" w:rsidRPr="004A0323">
        <w:rPr>
          <w:rFonts w:asciiTheme="majorBidi" w:hAnsiTheme="majorBidi" w:cstheme="majorBidi"/>
          <w:color w:val="000000" w:themeColor="text1"/>
          <w:szCs w:val="24"/>
        </w:rPr>
        <w:t>As we detail below, in</w:t>
      </w:r>
      <w:r w:rsidR="00A627B0" w:rsidRPr="004A0323">
        <w:rPr>
          <w:rFonts w:asciiTheme="majorBidi" w:hAnsiTheme="majorBidi" w:cstheme="majorBidi"/>
          <w:color w:val="000000" w:themeColor="text1"/>
          <w:szCs w:val="24"/>
        </w:rPr>
        <w:t xml:space="preserve"> th</w:t>
      </w:r>
      <w:r w:rsidR="00235760" w:rsidRPr="004A0323">
        <w:rPr>
          <w:rFonts w:asciiTheme="majorBidi" w:hAnsiTheme="majorBidi" w:cstheme="majorBidi"/>
          <w:color w:val="000000" w:themeColor="text1"/>
          <w:szCs w:val="24"/>
        </w:rPr>
        <w:t>is</w:t>
      </w:r>
      <w:r w:rsidR="00A627B0" w:rsidRPr="004A0323">
        <w:rPr>
          <w:rFonts w:asciiTheme="majorBidi" w:hAnsiTheme="majorBidi" w:cstheme="majorBidi"/>
          <w:color w:val="000000" w:themeColor="text1"/>
          <w:szCs w:val="24"/>
        </w:rPr>
        <w:t xml:space="preserve"> process of second order rule-making, </w:t>
      </w:r>
      <w:r w:rsidR="00596D82" w:rsidRPr="004A0323">
        <w:rPr>
          <w:rFonts w:asciiTheme="majorBidi" w:hAnsiTheme="majorBidi" w:cstheme="majorBidi"/>
          <w:color w:val="000000" w:themeColor="text1"/>
          <w:szCs w:val="24"/>
        </w:rPr>
        <w:t>contentious issue</w:t>
      </w:r>
      <w:r w:rsidR="005367D8" w:rsidRPr="004A0323">
        <w:rPr>
          <w:rFonts w:asciiTheme="majorBidi" w:hAnsiTheme="majorBidi" w:cstheme="majorBidi"/>
          <w:color w:val="000000" w:themeColor="text1"/>
          <w:szCs w:val="24"/>
        </w:rPr>
        <w:t xml:space="preserve">s for </w:t>
      </w:r>
      <w:r w:rsidR="00596D82" w:rsidRPr="004A0323">
        <w:rPr>
          <w:rFonts w:asciiTheme="majorBidi" w:hAnsiTheme="majorBidi" w:cstheme="majorBidi"/>
          <w:color w:val="000000" w:themeColor="text1"/>
          <w:szCs w:val="24"/>
        </w:rPr>
        <w:t xml:space="preserve">which consensus is not </w:t>
      </w:r>
      <w:r w:rsidR="001267C8" w:rsidRPr="004A0323">
        <w:rPr>
          <w:rFonts w:asciiTheme="majorBidi" w:hAnsiTheme="majorBidi" w:cstheme="majorBidi"/>
          <w:color w:val="000000" w:themeColor="text1"/>
          <w:szCs w:val="24"/>
        </w:rPr>
        <w:t>achieved</w:t>
      </w:r>
      <w:r w:rsidR="00596D82" w:rsidRPr="004A0323">
        <w:rPr>
          <w:rFonts w:asciiTheme="majorBidi" w:hAnsiTheme="majorBidi" w:cstheme="majorBidi"/>
          <w:color w:val="000000" w:themeColor="text1"/>
          <w:szCs w:val="24"/>
        </w:rPr>
        <w:t xml:space="preserve"> are transposed</w:t>
      </w:r>
      <w:r w:rsidR="00B0300D" w:rsidRPr="004A0323">
        <w:rPr>
          <w:rFonts w:asciiTheme="majorBidi" w:hAnsiTheme="majorBidi" w:cstheme="majorBidi"/>
          <w:color w:val="000000" w:themeColor="text1"/>
          <w:szCs w:val="24"/>
        </w:rPr>
        <w:t xml:space="preserve"> from the formal</w:t>
      </w:r>
      <w:r w:rsidR="00596D82" w:rsidRPr="004A0323">
        <w:rPr>
          <w:rFonts w:asciiTheme="majorBidi" w:hAnsiTheme="majorBidi" w:cstheme="majorBidi"/>
          <w:color w:val="000000" w:themeColor="text1"/>
          <w:szCs w:val="24"/>
        </w:rPr>
        <w:t xml:space="preserve"> </w:t>
      </w:r>
      <w:r w:rsidR="00B0300D" w:rsidRPr="004A0323">
        <w:rPr>
          <w:rFonts w:asciiTheme="majorBidi" w:hAnsiTheme="majorBidi" w:cstheme="majorBidi"/>
          <w:color w:val="000000" w:themeColor="text1"/>
          <w:szCs w:val="24"/>
        </w:rPr>
        <w:t xml:space="preserve">process of stakeholder consultation </w:t>
      </w:r>
      <w:r w:rsidR="00596D82" w:rsidRPr="004A0323">
        <w:rPr>
          <w:rFonts w:asciiTheme="majorBidi" w:hAnsiTheme="majorBidi" w:cstheme="majorBidi"/>
          <w:color w:val="000000" w:themeColor="text1"/>
          <w:szCs w:val="24"/>
        </w:rPr>
        <w:t xml:space="preserve">to the </w:t>
      </w:r>
      <w:r w:rsidR="00773B86" w:rsidRPr="004A0323">
        <w:rPr>
          <w:rFonts w:asciiTheme="majorBidi" w:hAnsiTheme="majorBidi" w:cstheme="majorBidi"/>
          <w:color w:val="000000" w:themeColor="text1"/>
          <w:szCs w:val="24"/>
        </w:rPr>
        <w:t>“</w:t>
      </w:r>
      <w:r w:rsidR="00596D82" w:rsidRPr="004A0323">
        <w:rPr>
          <w:rFonts w:asciiTheme="majorBidi" w:hAnsiTheme="majorBidi" w:cstheme="majorBidi"/>
          <w:color w:val="000000" w:themeColor="text1"/>
          <w:szCs w:val="24"/>
        </w:rPr>
        <w:t>unformalized</w:t>
      </w:r>
      <w:r w:rsidR="00773B86" w:rsidRPr="004A0323">
        <w:rPr>
          <w:rFonts w:asciiTheme="majorBidi" w:hAnsiTheme="majorBidi" w:cstheme="majorBidi"/>
          <w:color w:val="000000" w:themeColor="text1"/>
          <w:szCs w:val="24"/>
        </w:rPr>
        <w:t>”</w:t>
      </w:r>
      <w:r w:rsidR="005367D8" w:rsidRPr="004A0323">
        <w:rPr>
          <w:rFonts w:asciiTheme="majorBidi" w:hAnsiTheme="majorBidi" w:cstheme="majorBidi"/>
          <w:color w:val="000000" w:themeColor="text1"/>
          <w:szCs w:val="24"/>
        </w:rPr>
        <w:t xml:space="preserve"> </w:t>
      </w:r>
      <w:r w:rsidR="00EA27A4" w:rsidRPr="004A0323">
        <w:rPr>
          <w:rFonts w:asciiTheme="majorBidi" w:hAnsiTheme="majorBidi" w:cstheme="majorBidi"/>
          <w:color w:val="000000" w:themeColor="text1"/>
          <w:szCs w:val="24"/>
        </w:rPr>
        <w:t xml:space="preserve">(Mena </w:t>
      </w:r>
      <w:r w:rsidR="00EA27A4" w:rsidRPr="004A0323">
        <w:rPr>
          <w:rFonts w:asciiTheme="majorBidi" w:hAnsiTheme="majorBidi" w:cstheme="majorBidi"/>
          <w:i/>
          <w:color w:val="000000" w:themeColor="text1"/>
          <w:szCs w:val="24"/>
        </w:rPr>
        <w:t>et al.</w:t>
      </w:r>
      <w:r w:rsidR="00EA27A4" w:rsidRPr="004A0323">
        <w:rPr>
          <w:rFonts w:asciiTheme="majorBidi" w:hAnsiTheme="majorBidi" w:cstheme="majorBidi"/>
          <w:color w:val="000000" w:themeColor="text1"/>
          <w:szCs w:val="24"/>
        </w:rPr>
        <w:t xml:space="preserve"> this issue) </w:t>
      </w:r>
      <w:r w:rsidR="005367D8" w:rsidRPr="004A0323">
        <w:rPr>
          <w:rFonts w:asciiTheme="majorBidi" w:hAnsiTheme="majorBidi" w:cstheme="majorBidi"/>
          <w:color w:val="000000" w:themeColor="text1"/>
          <w:szCs w:val="24"/>
        </w:rPr>
        <w:t>backstage</w:t>
      </w:r>
      <w:r w:rsidR="00596D82" w:rsidRPr="004A0323">
        <w:rPr>
          <w:rFonts w:asciiTheme="majorBidi" w:hAnsiTheme="majorBidi" w:cstheme="majorBidi"/>
          <w:color w:val="000000" w:themeColor="text1"/>
          <w:szCs w:val="24"/>
        </w:rPr>
        <w:t xml:space="preserve"> of </w:t>
      </w:r>
      <w:r w:rsidR="002E2921" w:rsidRPr="004A0323">
        <w:rPr>
          <w:rFonts w:asciiTheme="majorBidi" w:hAnsiTheme="majorBidi" w:cstheme="majorBidi"/>
          <w:color w:val="000000" w:themeColor="text1"/>
          <w:szCs w:val="24"/>
        </w:rPr>
        <w:t xml:space="preserve">company </w:t>
      </w:r>
      <w:r w:rsidR="00596D82" w:rsidRPr="004A0323">
        <w:rPr>
          <w:rFonts w:asciiTheme="majorBidi" w:hAnsiTheme="majorBidi" w:cstheme="majorBidi"/>
          <w:color w:val="000000" w:themeColor="text1"/>
          <w:szCs w:val="24"/>
        </w:rPr>
        <w:t>analysis</w:t>
      </w:r>
      <w:r w:rsidR="00F95F77" w:rsidRPr="004A0323">
        <w:rPr>
          <w:rFonts w:asciiTheme="majorBidi" w:hAnsiTheme="majorBidi" w:cstheme="majorBidi"/>
          <w:color w:val="000000" w:themeColor="text1"/>
          <w:szCs w:val="24"/>
        </w:rPr>
        <w:t xml:space="preserve"> and performance measurement</w:t>
      </w:r>
      <w:r w:rsidR="00596D82" w:rsidRPr="004A0323">
        <w:rPr>
          <w:rFonts w:asciiTheme="majorBidi" w:hAnsiTheme="majorBidi" w:cstheme="majorBidi"/>
          <w:color w:val="000000" w:themeColor="text1"/>
          <w:szCs w:val="24"/>
        </w:rPr>
        <w:t>.</w:t>
      </w:r>
      <w:r w:rsidR="00F95F77" w:rsidRPr="004A0323">
        <w:rPr>
          <w:rFonts w:asciiTheme="majorBidi" w:hAnsiTheme="majorBidi" w:cstheme="majorBidi"/>
          <w:color w:val="000000" w:themeColor="text1"/>
          <w:szCs w:val="24"/>
        </w:rPr>
        <w:t xml:space="preserve"> In </w:t>
      </w:r>
      <w:r w:rsidR="00235760" w:rsidRPr="004A0323">
        <w:rPr>
          <w:rFonts w:asciiTheme="majorBidi" w:hAnsiTheme="majorBidi" w:cstheme="majorBidi"/>
          <w:color w:val="000000" w:themeColor="text1"/>
          <w:szCs w:val="24"/>
        </w:rPr>
        <w:t>this transposition</w:t>
      </w:r>
      <w:r w:rsidR="00F95F77" w:rsidRPr="004A0323">
        <w:rPr>
          <w:rFonts w:asciiTheme="majorBidi" w:hAnsiTheme="majorBidi" w:cstheme="majorBidi"/>
          <w:color w:val="000000" w:themeColor="text1"/>
          <w:szCs w:val="24"/>
        </w:rPr>
        <w:t xml:space="preserve">, </w:t>
      </w:r>
      <w:r w:rsidR="002E2921" w:rsidRPr="004A0323">
        <w:rPr>
          <w:rFonts w:asciiTheme="majorBidi" w:hAnsiTheme="majorBidi" w:cstheme="majorBidi"/>
          <w:color w:val="000000" w:themeColor="text1"/>
          <w:szCs w:val="24"/>
        </w:rPr>
        <w:t xml:space="preserve">performance measurement and </w:t>
      </w:r>
      <w:r w:rsidR="00235760" w:rsidRPr="004A0323">
        <w:rPr>
          <w:rFonts w:asciiTheme="majorBidi" w:hAnsiTheme="majorBidi" w:cstheme="majorBidi"/>
          <w:color w:val="000000" w:themeColor="text1"/>
          <w:szCs w:val="24"/>
        </w:rPr>
        <w:t>scoring practices</w:t>
      </w:r>
      <w:r w:rsidR="00F95F77" w:rsidRPr="004A0323">
        <w:rPr>
          <w:rFonts w:asciiTheme="majorBidi" w:hAnsiTheme="majorBidi" w:cstheme="majorBidi"/>
          <w:color w:val="000000" w:themeColor="text1"/>
          <w:szCs w:val="24"/>
        </w:rPr>
        <w:t xml:space="preserve"> which are </w:t>
      </w:r>
      <w:r w:rsidR="002E2921" w:rsidRPr="004A0323">
        <w:rPr>
          <w:rFonts w:asciiTheme="majorBidi" w:hAnsiTheme="majorBidi" w:cstheme="majorBidi"/>
          <w:color w:val="000000" w:themeColor="text1"/>
          <w:szCs w:val="24"/>
        </w:rPr>
        <w:t>attractive</w:t>
      </w:r>
      <w:r w:rsidR="004A08D2" w:rsidRPr="004A0323">
        <w:rPr>
          <w:rFonts w:asciiTheme="majorBidi" w:hAnsiTheme="majorBidi" w:cstheme="majorBidi"/>
          <w:color w:val="000000" w:themeColor="text1"/>
          <w:szCs w:val="24"/>
        </w:rPr>
        <w:t xml:space="preserve"> </w:t>
      </w:r>
      <w:r w:rsidR="002E2921" w:rsidRPr="004A0323">
        <w:rPr>
          <w:rFonts w:asciiTheme="majorBidi" w:hAnsiTheme="majorBidi" w:cstheme="majorBidi"/>
          <w:color w:val="000000" w:themeColor="text1"/>
          <w:szCs w:val="24"/>
        </w:rPr>
        <w:t xml:space="preserve">because </w:t>
      </w:r>
      <w:r w:rsidR="00C7379E" w:rsidRPr="004A0323">
        <w:rPr>
          <w:rFonts w:asciiTheme="majorBidi" w:hAnsiTheme="majorBidi" w:cstheme="majorBidi"/>
          <w:color w:val="000000" w:themeColor="text1"/>
          <w:szCs w:val="24"/>
        </w:rPr>
        <w:lastRenderedPageBreak/>
        <w:t xml:space="preserve">they are </w:t>
      </w:r>
      <w:r w:rsidR="002E2921" w:rsidRPr="004A0323">
        <w:rPr>
          <w:rFonts w:asciiTheme="majorBidi" w:hAnsiTheme="majorBidi" w:cstheme="majorBidi"/>
          <w:color w:val="000000" w:themeColor="text1"/>
          <w:szCs w:val="24"/>
        </w:rPr>
        <w:t>seen</w:t>
      </w:r>
      <w:r w:rsidR="00F95F77" w:rsidRPr="004A0323">
        <w:rPr>
          <w:rFonts w:asciiTheme="majorBidi" w:hAnsiTheme="majorBidi" w:cstheme="majorBidi"/>
          <w:color w:val="000000" w:themeColor="text1"/>
          <w:szCs w:val="24"/>
        </w:rPr>
        <w:t xml:space="preserve"> as </w:t>
      </w:r>
      <w:r w:rsidR="00C7379E" w:rsidRPr="004A0323">
        <w:rPr>
          <w:rFonts w:asciiTheme="majorBidi" w:hAnsiTheme="majorBidi" w:cstheme="majorBidi"/>
          <w:color w:val="000000" w:themeColor="text1"/>
          <w:szCs w:val="24"/>
        </w:rPr>
        <w:t>technical, “cold”</w:t>
      </w:r>
      <w:r w:rsidR="00F95F77" w:rsidRPr="004A0323">
        <w:rPr>
          <w:rFonts w:asciiTheme="majorBidi" w:hAnsiTheme="majorBidi" w:cstheme="majorBidi"/>
          <w:color w:val="000000" w:themeColor="text1"/>
          <w:szCs w:val="24"/>
        </w:rPr>
        <w:t xml:space="preserve"> and </w:t>
      </w:r>
      <w:r w:rsidR="002E2921" w:rsidRPr="004A0323">
        <w:rPr>
          <w:rFonts w:asciiTheme="majorBidi" w:hAnsiTheme="majorBidi" w:cstheme="majorBidi"/>
          <w:color w:val="000000" w:themeColor="text1"/>
          <w:szCs w:val="24"/>
        </w:rPr>
        <w:t>insulated from</w:t>
      </w:r>
      <w:r w:rsidR="00F95F77" w:rsidRPr="004A0323">
        <w:rPr>
          <w:rFonts w:asciiTheme="majorBidi" w:hAnsiTheme="majorBidi" w:cstheme="majorBidi"/>
          <w:color w:val="000000" w:themeColor="text1"/>
          <w:szCs w:val="24"/>
        </w:rPr>
        <w:t xml:space="preserve"> </w:t>
      </w:r>
      <w:r w:rsidR="002E2921" w:rsidRPr="004A0323">
        <w:rPr>
          <w:rFonts w:asciiTheme="majorBidi" w:hAnsiTheme="majorBidi" w:cstheme="majorBidi"/>
          <w:color w:val="000000" w:themeColor="text1"/>
          <w:szCs w:val="24"/>
        </w:rPr>
        <w:t xml:space="preserve">stakeholder </w:t>
      </w:r>
      <w:r w:rsidR="00F95F77" w:rsidRPr="004A0323">
        <w:rPr>
          <w:rFonts w:asciiTheme="majorBidi" w:hAnsiTheme="majorBidi" w:cstheme="majorBidi"/>
          <w:color w:val="000000" w:themeColor="text1"/>
          <w:szCs w:val="24"/>
        </w:rPr>
        <w:t>politics</w:t>
      </w:r>
      <w:r w:rsidR="004A08D2" w:rsidRPr="004A0323">
        <w:rPr>
          <w:rFonts w:asciiTheme="majorBidi" w:hAnsiTheme="majorBidi" w:cstheme="majorBidi"/>
          <w:color w:val="000000" w:themeColor="text1"/>
          <w:szCs w:val="24"/>
        </w:rPr>
        <w:t xml:space="preserve"> provide this </w:t>
      </w:r>
      <w:r w:rsidR="005A01A0" w:rsidRPr="004A0323">
        <w:rPr>
          <w:rFonts w:asciiTheme="majorBidi" w:hAnsiTheme="majorBidi" w:cstheme="majorBidi"/>
          <w:color w:val="000000" w:themeColor="text1"/>
          <w:szCs w:val="24"/>
        </w:rPr>
        <w:t xml:space="preserve">multi-stakeholder </w:t>
      </w:r>
      <w:r w:rsidR="004A08D2" w:rsidRPr="004A0323">
        <w:rPr>
          <w:rFonts w:asciiTheme="majorBidi" w:hAnsiTheme="majorBidi" w:cstheme="majorBidi"/>
          <w:color w:val="000000" w:themeColor="text1"/>
          <w:szCs w:val="24"/>
        </w:rPr>
        <w:t>initiative with much needed legitimacy</w:t>
      </w:r>
      <w:r w:rsidR="00C7379E" w:rsidRPr="004A0323">
        <w:rPr>
          <w:rFonts w:asciiTheme="majorBidi" w:hAnsiTheme="majorBidi" w:cstheme="majorBidi"/>
          <w:color w:val="000000" w:themeColor="text1"/>
          <w:szCs w:val="24"/>
        </w:rPr>
        <w:t>. However, performance measurement</w:t>
      </w:r>
      <w:r w:rsidR="00F95F77" w:rsidRPr="004A0323">
        <w:rPr>
          <w:rFonts w:asciiTheme="majorBidi" w:hAnsiTheme="majorBidi" w:cstheme="majorBidi"/>
          <w:color w:val="000000" w:themeColor="text1"/>
          <w:szCs w:val="24"/>
        </w:rPr>
        <w:t xml:space="preserve"> become</w:t>
      </w:r>
      <w:r w:rsidR="00C7379E" w:rsidRPr="004A0323">
        <w:rPr>
          <w:rFonts w:asciiTheme="majorBidi" w:hAnsiTheme="majorBidi" w:cstheme="majorBidi"/>
          <w:color w:val="000000" w:themeColor="text1"/>
          <w:szCs w:val="24"/>
        </w:rPr>
        <w:t>s</w:t>
      </w:r>
      <w:r w:rsidR="00F95F77" w:rsidRPr="004A0323">
        <w:rPr>
          <w:rFonts w:asciiTheme="majorBidi" w:hAnsiTheme="majorBidi" w:cstheme="majorBidi"/>
          <w:color w:val="000000" w:themeColor="text1"/>
          <w:szCs w:val="24"/>
        </w:rPr>
        <w:t xml:space="preserve"> </w:t>
      </w:r>
      <w:r w:rsidR="00C7379E" w:rsidRPr="004A0323">
        <w:rPr>
          <w:rFonts w:asciiTheme="majorBidi" w:hAnsiTheme="majorBidi" w:cstheme="majorBidi"/>
          <w:color w:val="000000" w:themeColor="text1"/>
          <w:szCs w:val="24"/>
        </w:rPr>
        <w:t xml:space="preserve">in turn </w:t>
      </w:r>
      <w:r w:rsidR="00F95F77" w:rsidRPr="004A0323">
        <w:rPr>
          <w:rFonts w:asciiTheme="majorBidi" w:hAnsiTheme="majorBidi" w:cstheme="majorBidi"/>
          <w:color w:val="000000" w:themeColor="text1"/>
          <w:szCs w:val="24"/>
        </w:rPr>
        <w:t xml:space="preserve">“heated up” by absorbing </w:t>
      </w:r>
      <w:r w:rsidR="004A08D2" w:rsidRPr="004A0323">
        <w:rPr>
          <w:rFonts w:asciiTheme="majorBidi" w:hAnsiTheme="majorBidi" w:cstheme="majorBidi"/>
          <w:color w:val="000000" w:themeColor="text1"/>
          <w:szCs w:val="24"/>
        </w:rPr>
        <w:t xml:space="preserve">some </w:t>
      </w:r>
      <w:r w:rsidR="00F95F77" w:rsidRPr="004A0323">
        <w:rPr>
          <w:rFonts w:asciiTheme="majorBidi" w:hAnsiTheme="majorBidi" w:cstheme="majorBidi"/>
          <w:color w:val="000000" w:themeColor="text1"/>
          <w:szCs w:val="24"/>
        </w:rPr>
        <w:t>residual unresolved</w:t>
      </w:r>
      <w:r w:rsidR="00235760" w:rsidRPr="004A0323">
        <w:rPr>
          <w:rFonts w:asciiTheme="majorBidi" w:hAnsiTheme="majorBidi" w:cstheme="majorBidi"/>
          <w:color w:val="000000" w:themeColor="text1"/>
          <w:szCs w:val="24"/>
        </w:rPr>
        <w:t xml:space="preserve"> </w:t>
      </w:r>
      <w:r w:rsidR="004A08D2" w:rsidRPr="004A0323">
        <w:rPr>
          <w:rFonts w:asciiTheme="majorBidi" w:hAnsiTheme="majorBidi" w:cstheme="majorBidi"/>
          <w:color w:val="000000" w:themeColor="text1"/>
          <w:szCs w:val="24"/>
        </w:rPr>
        <w:t>conflict in the stakeholder base</w:t>
      </w:r>
      <w:r w:rsidR="00235760" w:rsidRPr="004A0323">
        <w:rPr>
          <w:rFonts w:asciiTheme="majorBidi" w:hAnsiTheme="majorBidi" w:cstheme="majorBidi"/>
          <w:color w:val="000000" w:themeColor="text1"/>
          <w:szCs w:val="24"/>
        </w:rPr>
        <w:t>.</w:t>
      </w:r>
    </w:p>
    <w:p w14:paraId="0FD52A2F" w14:textId="2AD5F64D" w:rsidR="00850CBC" w:rsidRPr="004A0323" w:rsidRDefault="00596D82" w:rsidP="000E077D">
      <w:pPr>
        <w:pStyle w:val="Body"/>
        <w:ind w:firstLine="567"/>
        <w:rPr>
          <w:color w:val="000000" w:themeColor="text1"/>
        </w:rPr>
      </w:pPr>
      <w:r w:rsidRPr="004A0323">
        <w:rPr>
          <w:rFonts w:asciiTheme="majorBidi" w:hAnsiTheme="majorBidi" w:cstheme="majorBidi"/>
          <w:color w:val="000000" w:themeColor="text1"/>
          <w:szCs w:val="24"/>
        </w:rPr>
        <w:t>In this way, analysts</w:t>
      </w:r>
      <w:r w:rsidR="001267C8" w:rsidRPr="004A0323">
        <w:rPr>
          <w:rFonts w:asciiTheme="majorBidi" w:hAnsiTheme="majorBidi" w:cstheme="majorBidi"/>
          <w:color w:val="000000" w:themeColor="text1"/>
          <w:szCs w:val="24"/>
        </w:rPr>
        <w:t xml:space="preserve"> who act as intermediaries when</w:t>
      </w:r>
      <w:r w:rsidRPr="004A0323">
        <w:rPr>
          <w:rFonts w:asciiTheme="majorBidi" w:hAnsiTheme="majorBidi" w:cstheme="majorBidi"/>
          <w:color w:val="000000" w:themeColor="text1"/>
          <w:szCs w:val="24"/>
        </w:rPr>
        <w:t xml:space="preserve"> monitoring </w:t>
      </w:r>
      <w:r w:rsidR="001267C8" w:rsidRPr="004A0323">
        <w:rPr>
          <w:rFonts w:asciiTheme="majorBidi" w:hAnsiTheme="majorBidi" w:cstheme="majorBidi"/>
          <w:color w:val="000000" w:themeColor="text1"/>
          <w:szCs w:val="24"/>
        </w:rPr>
        <w:t>company performance</w:t>
      </w:r>
      <w:r w:rsidR="002C4938" w:rsidRPr="004A0323">
        <w:rPr>
          <w:rFonts w:asciiTheme="majorBidi" w:hAnsiTheme="majorBidi" w:cstheme="majorBidi"/>
          <w:color w:val="000000" w:themeColor="text1"/>
          <w:szCs w:val="24"/>
        </w:rPr>
        <w:t xml:space="preserve"> occasionally </w:t>
      </w:r>
      <w:r w:rsidR="00FA364E" w:rsidRPr="004A0323">
        <w:rPr>
          <w:rFonts w:asciiTheme="majorBidi" w:hAnsiTheme="majorBidi" w:cstheme="majorBidi"/>
          <w:color w:val="000000" w:themeColor="text1"/>
          <w:szCs w:val="24"/>
        </w:rPr>
        <w:t xml:space="preserve">play the role of </w:t>
      </w:r>
      <w:r w:rsidR="002C4938" w:rsidRPr="004A0323">
        <w:rPr>
          <w:rFonts w:asciiTheme="majorBidi" w:hAnsiTheme="majorBidi" w:cstheme="majorBidi"/>
          <w:color w:val="000000" w:themeColor="text1"/>
          <w:szCs w:val="24"/>
        </w:rPr>
        <w:t>ad-</w:t>
      </w:r>
      <w:r w:rsidR="00FA364E" w:rsidRPr="004A0323">
        <w:rPr>
          <w:rFonts w:asciiTheme="majorBidi" w:hAnsiTheme="majorBidi" w:cstheme="majorBidi"/>
          <w:color w:val="000000" w:themeColor="text1"/>
          <w:szCs w:val="24"/>
        </w:rPr>
        <w:t>hoc rule-makers</w:t>
      </w:r>
      <w:r w:rsidR="002C4938" w:rsidRPr="004A0323">
        <w:rPr>
          <w:rFonts w:asciiTheme="majorBidi" w:hAnsiTheme="majorBidi" w:cstheme="majorBidi"/>
          <w:color w:val="000000" w:themeColor="text1"/>
          <w:szCs w:val="24"/>
        </w:rPr>
        <w:t xml:space="preserve"> when interpreting and reformulating scoring guidelines </w:t>
      </w:r>
      <w:r w:rsidR="00531E0B" w:rsidRPr="004A0323">
        <w:rPr>
          <w:rFonts w:asciiTheme="majorBidi" w:hAnsiTheme="majorBidi" w:cstheme="majorBidi"/>
          <w:color w:val="000000" w:themeColor="text1"/>
          <w:szCs w:val="24"/>
        </w:rPr>
        <w:t xml:space="preserve">and measuring </w:t>
      </w:r>
      <w:r w:rsidR="002C4938" w:rsidRPr="004A0323">
        <w:rPr>
          <w:rFonts w:asciiTheme="majorBidi" w:hAnsiTheme="majorBidi" w:cstheme="majorBidi"/>
          <w:color w:val="000000" w:themeColor="text1"/>
          <w:szCs w:val="24"/>
        </w:rPr>
        <w:t>company performance</w:t>
      </w:r>
      <w:r w:rsidR="00FA364E" w:rsidRPr="004A0323">
        <w:rPr>
          <w:rFonts w:asciiTheme="majorBidi" w:hAnsiTheme="majorBidi" w:cstheme="majorBidi"/>
          <w:color w:val="000000" w:themeColor="text1"/>
          <w:szCs w:val="24"/>
        </w:rPr>
        <w:t xml:space="preserve">. </w:t>
      </w:r>
      <w:r w:rsidR="00CE7B9A" w:rsidRPr="004A0323">
        <w:rPr>
          <w:rFonts w:asciiTheme="majorBidi" w:hAnsiTheme="majorBidi" w:cstheme="majorBidi"/>
          <w:color w:val="000000" w:themeColor="text1"/>
          <w:szCs w:val="24"/>
        </w:rPr>
        <w:t xml:space="preserve">We thus identify </w:t>
      </w:r>
      <w:r w:rsidR="00FA364E" w:rsidRPr="004A0323">
        <w:rPr>
          <w:rFonts w:asciiTheme="majorBidi" w:hAnsiTheme="majorBidi" w:cstheme="majorBidi"/>
          <w:color w:val="000000" w:themeColor="text1"/>
          <w:szCs w:val="24"/>
        </w:rPr>
        <w:t xml:space="preserve">a </w:t>
      </w:r>
      <w:r w:rsidR="00CE7B9A" w:rsidRPr="004A0323">
        <w:rPr>
          <w:rFonts w:asciiTheme="majorBidi" w:hAnsiTheme="majorBidi" w:cstheme="majorBidi"/>
          <w:color w:val="000000" w:themeColor="text1"/>
          <w:szCs w:val="24"/>
        </w:rPr>
        <w:t>source of role hybridization for intermediaries (</w:t>
      </w:r>
      <w:r w:rsidR="00CE7B9A" w:rsidRPr="004A0323">
        <w:rPr>
          <w:color w:val="000000" w:themeColor="text1"/>
        </w:rPr>
        <w:t xml:space="preserve">Havinga &amp; Verbruggen 2017), which in our case is not so much a function of the specific relationships entertained in complex governance </w:t>
      </w:r>
      <w:r w:rsidR="006F671B" w:rsidRPr="004A0323">
        <w:rPr>
          <w:color w:val="000000" w:themeColor="text1"/>
        </w:rPr>
        <w:t>architectures</w:t>
      </w:r>
      <w:r w:rsidR="00CE7B9A" w:rsidRPr="004A0323">
        <w:rPr>
          <w:color w:val="000000" w:themeColor="text1"/>
        </w:rPr>
        <w:t xml:space="preserve"> (where a certain intermediary may be a </w:t>
      </w:r>
      <w:r w:rsidR="00FA364E" w:rsidRPr="004A0323">
        <w:rPr>
          <w:color w:val="000000" w:themeColor="text1"/>
        </w:rPr>
        <w:t>regulator</w:t>
      </w:r>
      <w:r w:rsidR="00CE7B9A" w:rsidRPr="004A0323">
        <w:rPr>
          <w:color w:val="000000" w:themeColor="text1"/>
        </w:rPr>
        <w:t xml:space="preserve"> vis-a`-vis certain actors and a target vis-a`-vis others), but descends from the need to manage conflict in contentious </w:t>
      </w:r>
      <w:r w:rsidR="006F671B" w:rsidRPr="004A0323">
        <w:rPr>
          <w:color w:val="000000" w:themeColor="text1"/>
        </w:rPr>
        <w:t>multi-stakeholder initiatives</w:t>
      </w:r>
      <w:r w:rsidR="000E077D" w:rsidRPr="004A0323">
        <w:rPr>
          <w:color w:val="000000" w:themeColor="text1"/>
        </w:rPr>
        <w:t>.</w:t>
      </w:r>
    </w:p>
    <w:p w14:paraId="5311A15B" w14:textId="0A3946F8" w:rsidR="0083305A" w:rsidRPr="004A0323" w:rsidRDefault="00D833F2">
      <w:pPr>
        <w:pStyle w:val="Body"/>
        <w:ind w:firstLine="567"/>
        <w:rPr>
          <w:color w:val="000000" w:themeColor="text1"/>
        </w:rPr>
      </w:pPr>
      <w:r w:rsidRPr="004A0323">
        <w:rPr>
          <w:color w:val="000000" w:themeColor="text1"/>
        </w:rPr>
        <w:t>Furthermore, our case</w:t>
      </w:r>
      <w:r w:rsidR="00F95F77" w:rsidRPr="004A0323">
        <w:rPr>
          <w:color w:val="000000" w:themeColor="text1"/>
        </w:rPr>
        <w:t xml:space="preserve"> </w:t>
      </w:r>
      <w:r w:rsidRPr="004A0323">
        <w:rPr>
          <w:color w:val="000000" w:themeColor="text1"/>
        </w:rPr>
        <w:t xml:space="preserve">shows </w:t>
      </w:r>
      <w:r w:rsidR="005A01A0" w:rsidRPr="004A0323">
        <w:rPr>
          <w:color w:val="000000" w:themeColor="text1"/>
        </w:rPr>
        <w:t xml:space="preserve">that multi-stakeholder intermediation based on </w:t>
      </w:r>
      <w:r w:rsidR="001D2A99" w:rsidRPr="004A0323">
        <w:rPr>
          <w:color w:val="000000" w:themeColor="text1"/>
        </w:rPr>
        <w:t xml:space="preserve">the periodic release of </w:t>
      </w:r>
      <w:r w:rsidR="005A01A0" w:rsidRPr="004A0323">
        <w:rPr>
          <w:color w:val="000000" w:themeColor="text1"/>
        </w:rPr>
        <w:t xml:space="preserve">performance </w:t>
      </w:r>
      <w:r w:rsidR="001D2A99" w:rsidRPr="004A0323">
        <w:rPr>
          <w:color w:val="000000" w:themeColor="text1"/>
        </w:rPr>
        <w:t>information</w:t>
      </w:r>
      <w:r w:rsidR="006D48CB" w:rsidRPr="004A0323">
        <w:rPr>
          <w:color w:val="000000" w:themeColor="text1"/>
        </w:rPr>
        <w:t xml:space="preserve"> about targets</w:t>
      </w:r>
      <w:r w:rsidR="005A01A0" w:rsidRPr="004A0323">
        <w:rPr>
          <w:color w:val="000000" w:themeColor="text1"/>
        </w:rPr>
        <w:t xml:space="preserve"> </w:t>
      </w:r>
      <w:r w:rsidRPr="004A0323">
        <w:rPr>
          <w:color w:val="000000" w:themeColor="text1"/>
        </w:rPr>
        <w:t>depend</w:t>
      </w:r>
      <w:r w:rsidR="005A01A0" w:rsidRPr="004A0323">
        <w:rPr>
          <w:color w:val="000000" w:themeColor="text1"/>
        </w:rPr>
        <w:t>s</w:t>
      </w:r>
      <w:r w:rsidR="00F95F77" w:rsidRPr="004A0323">
        <w:rPr>
          <w:color w:val="000000" w:themeColor="text1"/>
        </w:rPr>
        <w:t xml:space="preserve"> on the </w:t>
      </w:r>
      <w:r w:rsidR="005A01A0" w:rsidRPr="004A0323">
        <w:rPr>
          <w:color w:val="000000" w:themeColor="text1"/>
        </w:rPr>
        <w:t>up</w:t>
      </w:r>
      <w:r w:rsidR="00F95F77" w:rsidRPr="004A0323">
        <w:rPr>
          <w:color w:val="000000" w:themeColor="text1"/>
        </w:rPr>
        <w:t xml:space="preserve">take </w:t>
      </w:r>
      <w:r w:rsidR="001B0CA9" w:rsidRPr="004A0323">
        <w:rPr>
          <w:color w:val="000000" w:themeColor="text1"/>
        </w:rPr>
        <w:t xml:space="preserve">and consumption </w:t>
      </w:r>
      <w:r w:rsidRPr="004A0323">
        <w:rPr>
          <w:color w:val="000000" w:themeColor="text1"/>
        </w:rPr>
        <w:t xml:space="preserve">of </w:t>
      </w:r>
      <w:r w:rsidR="001D2A99" w:rsidRPr="004A0323">
        <w:rPr>
          <w:color w:val="000000" w:themeColor="text1"/>
        </w:rPr>
        <w:t>such</w:t>
      </w:r>
      <w:r w:rsidR="001B0CA9" w:rsidRPr="004A0323">
        <w:rPr>
          <w:color w:val="000000" w:themeColor="text1"/>
        </w:rPr>
        <w:t xml:space="preserve"> </w:t>
      </w:r>
      <w:r w:rsidR="008F19E1" w:rsidRPr="004A0323">
        <w:rPr>
          <w:color w:val="000000" w:themeColor="text1"/>
        </w:rPr>
        <w:t>information</w:t>
      </w:r>
      <w:r w:rsidRPr="004A0323">
        <w:rPr>
          <w:color w:val="000000" w:themeColor="text1"/>
        </w:rPr>
        <w:t xml:space="preserve"> </w:t>
      </w:r>
      <w:r w:rsidR="00F95F77" w:rsidRPr="004A0323">
        <w:rPr>
          <w:color w:val="000000" w:themeColor="text1"/>
        </w:rPr>
        <w:t>by po</w:t>
      </w:r>
      <w:r w:rsidR="001B0CA9" w:rsidRPr="004A0323">
        <w:rPr>
          <w:color w:val="000000" w:themeColor="text1"/>
        </w:rPr>
        <w:t>werful constituencies</w:t>
      </w:r>
      <w:r w:rsidR="00CA5277" w:rsidRPr="004A0323">
        <w:rPr>
          <w:color w:val="000000" w:themeColor="text1"/>
        </w:rPr>
        <w:t xml:space="preserve"> (influential N</w:t>
      </w:r>
      <w:r w:rsidR="00C7379E" w:rsidRPr="004A0323">
        <w:rPr>
          <w:color w:val="000000" w:themeColor="text1"/>
        </w:rPr>
        <w:t>on-Governmental Organizations (NGOs)</w:t>
      </w:r>
      <w:r w:rsidR="00CA5277" w:rsidRPr="004A0323">
        <w:rPr>
          <w:color w:val="000000" w:themeColor="text1"/>
        </w:rPr>
        <w:t xml:space="preserve">, companies themselves, </w:t>
      </w:r>
      <w:r w:rsidR="00C7379E" w:rsidRPr="004A0323">
        <w:rPr>
          <w:color w:val="000000" w:themeColor="text1"/>
        </w:rPr>
        <w:t>Intergovernmental Organizations (</w:t>
      </w:r>
      <w:r w:rsidR="00ED760A" w:rsidRPr="004A0323">
        <w:rPr>
          <w:color w:val="000000" w:themeColor="text1"/>
        </w:rPr>
        <w:t>IGOs</w:t>
      </w:r>
      <w:r w:rsidR="00C7379E" w:rsidRPr="004A0323">
        <w:rPr>
          <w:color w:val="000000" w:themeColor="text1"/>
        </w:rPr>
        <w:t>)</w:t>
      </w:r>
      <w:r w:rsidR="00CA5277" w:rsidRPr="004A0323">
        <w:rPr>
          <w:color w:val="000000" w:themeColor="text1"/>
        </w:rPr>
        <w:t xml:space="preserve"> such as the W</w:t>
      </w:r>
      <w:r w:rsidR="00C7379E" w:rsidRPr="004A0323">
        <w:rPr>
          <w:color w:val="000000" w:themeColor="text1"/>
        </w:rPr>
        <w:t xml:space="preserve">orld </w:t>
      </w:r>
      <w:r w:rsidR="00CA5277" w:rsidRPr="004A0323">
        <w:rPr>
          <w:color w:val="000000" w:themeColor="text1"/>
        </w:rPr>
        <w:t>H</w:t>
      </w:r>
      <w:r w:rsidR="00C7379E" w:rsidRPr="004A0323">
        <w:rPr>
          <w:color w:val="000000" w:themeColor="text1"/>
        </w:rPr>
        <w:t xml:space="preserve">ealth </w:t>
      </w:r>
      <w:r w:rsidR="00CA5277" w:rsidRPr="004A0323">
        <w:rPr>
          <w:color w:val="000000" w:themeColor="text1"/>
        </w:rPr>
        <w:t>O</w:t>
      </w:r>
      <w:r w:rsidR="00C7379E" w:rsidRPr="004A0323">
        <w:rPr>
          <w:color w:val="000000" w:themeColor="text1"/>
        </w:rPr>
        <w:t>rganization (WHO)</w:t>
      </w:r>
      <w:r w:rsidR="003432B9" w:rsidRPr="004A0323">
        <w:rPr>
          <w:color w:val="000000" w:themeColor="text1"/>
        </w:rPr>
        <w:t>, and especially actual and prospective investors</w:t>
      </w:r>
      <w:r w:rsidR="00CA5277" w:rsidRPr="004A0323">
        <w:rPr>
          <w:color w:val="000000" w:themeColor="text1"/>
        </w:rPr>
        <w:t>)</w:t>
      </w:r>
      <w:r w:rsidR="005A01A0" w:rsidRPr="004A0323">
        <w:rPr>
          <w:color w:val="000000" w:themeColor="text1"/>
        </w:rPr>
        <w:t>,</w:t>
      </w:r>
      <w:r w:rsidR="001B0CA9" w:rsidRPr="004A0323">
        <w:rPr>
          <w:color w:val="000000" w:themeColor="text1"/>
        </w:rPr>
        <w:t xml:space="preserve"> so that </w:t>
      </w:r>
      <w:r w:rsidRPr="004A0323">
        <w:rPr>
          <w:color w:val="000000" w:themeColor="text1"/>
        </w:rPr>
        <w:t xml:space="preserve">those </w:t>
      </w:r>
      <w:r w:rsidR="001D2A99" w:rsidRPr="004A0323">
        <w:rPr>
          <w:color w:val="000000" w:themeColor="text1"/>
        </w:rPr>
        <w:t xml:space="preserve">performance </w:t>
      </w:r>
      <w:r w:rsidRPr="004A0323">
        <w:rPr>
          <w:color w:val="000000" w:themeColor="text1"/>
        </w:rPr>
        <w:t>measures</w:t>
      </w:r>
      <w:r w:rsidR="00F95F77" w:rsidRPr="004A0323">
        <w:rPr>
          <w:color w:val="000000" w:themeColor="text1"/>
        </w:rPr>
        <w:t xml:space="preserve"> </w:t>
      </w:r>
      <w:r w:rsidRPr="004A0323">
        <w:rPr>
          <w:color w:val="000000" w:themeColor="text1"/>
        </w:rPr>
        <w:t xml:space="preserve">can attain regulatory power and </w:t>
      </w:r>
      <w:r w:rsidR="00F95F77" w:rsidRPr="004A0323">
        <w:rPr>
          <w:color w:val="000000" w:themeColor="text1"/>
        </w:rPr>
        <w:t>m</w:t>
      </w:r>
      <w:r w:rsidRPr="004A0323">
        <w:rPr>
          <w:color w:val="000000" w:themeColor="text1"/>
        </w:rPr>
        <w:t>otivate compliance among</w:t>
      </w:r>
      <w:r w:rsidR="00F95F77" w:rsidRPr="004A0323">
        <w:rPr>
          <w:color w:val="000000" w:themeColor="text1"/>
        </w:rPr>
        <w:t xml:space="preserve"> targets. </w:t>
      </w:r>
      <w:r w:rsidR="005A01A0" w:rsidRPr="004A0323">
        <w:rPr>
          <w:color w:val="000000" w:themeColor="text1"/>
        </w:rPr>
        <w:t>R</w:t>
      </w:r>
      <w:r w:rsidR="000E077D" w:rsidRPr="004A0323">
        <w:rPr>
          <w:color w:val="000000" w:themeColor="text1"/>
        </w:rPr>
        <w:t>eliance on</w:t>
      </w:r>
      <w:r w:rsidR="001B0CA9" w:rsidRPr="004A0323">
        <w:rPr>
          <w:color w:val="000000" w:themeColor="text1"/>
        </w:rPr>
        <w:t xml:space="preserve"> performance mea</w:t>
      </w:r>
      <w:r w:rsidRPr="004A0323">
        <w:rPr>
          <w:color w:val="000000" w:themeColor="text1"/>
        </w:rPr>
        <w:t xml:space="preserve">sures </w:t>
      </w:r>
      <w:r w:rsidR="005A01A0" w:rsidRPr="004A0323">
        <w:rPr>
          <w:color w:val="000000" w:themeColor="text1"/>
        </w:rPr>
        <w:t xml:space="preserve">thus </w:t>
      </w:r>
      <w:r w:rsidR="00ED760A" w:rsidRPr="004A0323">
        <w:rPr>
          <w:color w:val="000000" w:themeColor="text1"/>
        </w:rPr>
        <w:t>tends</w:t>
      </w:r>
      <w:r w:rsidR="005A01A0" w:rsidRPr="004A0323">
        <w:rPr>
          <w:color w:val="000000" w:themeColor="text1"/>
        </w:rPr>
        <w:t xml:space="preserve"> to </w:t>
      </w:r>
      <w:r w:rsidR="001B0CA9" w:rsidRPr="004A0323">
        <w:rPr>
          <w:color w:val="000000" w:themeColor="text1"/>
        </w:rPr>
        <w:t xml:space="preserve">make </w:t>
      </w:r>
      <w:r w:rsidR="00F95F77" w:rsidRPr="004A0323">
        <w:rPr>
          <w:color w:val="000000" w:themeColor="text1"/>
        </w:rPr>
        <w:t xml:space="preserve">legitimacy </w:t>
      </w:r>
      <w:r w:rsidR="00ED760A" w:rsidRPr="004A0323">
        <w:rPr>
          <w:color w:val="000000" w:themeColor="text1"/>
        </w:rPr>
        <w:t>(in terms of wide participation of those constituencies in producing and consuming performance information</w:t>
      </w:r>
      <w:r w:rsidR="00BA2DEF" w:rsidRPr="004A0323">
        <w:rPr>
          <w:color w:val="000000" w:themeColor="text1"/>
        </w:rPr>
        <w:t xml:space="preserve"> about targets</w:t>
      </w:r>
      <w:r w:rsidR="00ED760A" w:rsidRPr="004A0323">
        <w:rPr>
          <w:color w:val="000000" w:themeColor="text1"/>
        </w:rPr>
        <w:t xml:space="preserve">) </w:t>
      </w:r>
      <w:r w:rsidR="001B0CA9" w:rsidRPr="004A0323">
        <w:rPr>
          <w:color w:val="000000" w:themeColor="text1"/>
        </w:rPr>
        <w:t>a continuing concern</w:t>
      </w:r>
      <w:r w:rsidRPr="004A0323">
        <w:rPr>
          <w:color w:val="000000" w:themeColor="text1"/>
        </w:rPr>
        <w:t xml:space="preserve"> for </w:t>
      </w:r>
      <w:r w:rsidR="005A01A0" w:rsidRPr="004A0323">
        <w:rPr>
          <w:color w:val="000000" w:themeColor="text1"/>
        </w:rPr>
        <w:t>multi-stakeholder</w:t>
      </w:r>
      <w:r w:rsidRPr="004A0323">
        <w:rPr>
          <w:color w:val="000000" w:themeColor="text1"/>
        </w:rPr>
        <w:t xml:space="preserve"> </w:t>
      </w:r>
      <w:r w:rsidR="005A01A0" w:rsidRPr="004A0323">
        <w:rPr>
          <w:color w:val="000000" w:themeColor="text1"/>
        </w:rPr>
        <w:t>intermediaries</w:t>
      </w:r>
      <w:r w:rsidR="001B0CA9" w:rsidRPr="004A0323">
        <w:rPr>
          <w:color w:val="000000" w:themeColor="text1"/>
        </w:rPr>
        <w:t xml:space="preserve"> </w:t>
      </w:r>
      <w:r w:rsidR="00F95F77" w:rsidRPr="004A0323">
        <w:rPr>
          <w:color w:val="000000" w:themeColor="text1"/>
        </w:rPr>
        <w:t xml:space="preserve">even after </w:t>
      </w:r>
      <w:r w:rsidR="005A01A0" w:rsidRPr="004A0323">
        <w:rPr>
          <w:color w:val="000000" w:themeColor="text1"/>
        </w:rPr>
        <w:t>they become</w:t>
      </w:r>
      <w:r w:rsidR="00CA5277" w:rsidRPr="004A0323">
        <w:rPr>
          <w:color w:val="000000" w:themeColor="text1"/>
        </w:rPr>
        <w:t xml:space="preserve"> </w:t>
      </w:r>
      <w:r w:rsidR="00C7379E" w:rsidRPr="004A0323">
        <w:rPr>
          <w:color w:val="000000" w:themeColor="text1"/>
        </w:rPr>
        <w:t>well-</w:t>
      </w:r>
      <w:r w:rsidR="00F95F77" w:rsidRPr="004A0323">
        <w:rPr>
          <w:color w:val="000000" w:themeColor="text1"/>
        </w:rPr>
        <w:t xml:space="preserve">establised </w:t>
      </w:r>
      <w:r w:rsidR="0083305A" w:rsidRPr="004A0323">
        <w:rPr>
          <w:color w:val="000000" w:themeColor="text1"/>
        </w:rPr>
        <w:t>in the</w:t>
      </w:r>
      <w:r w:rsidR="001B0CA9" w:rsidRPr="004A0323">
        <w:rPr>
          <w:color w:val="000000" w:themeColor="text1"/>
        </w:rPr>
        <w:t xml:space="preserve"> regulatory</w:t>
      </w:r>
      <w:r w:rsidR="0083305A" w:rsidRPr="004A0323">
        <w:rPr>
          <w:color w:val="000000" w:themeColor="text1"/>
        </w:rPr>
        <w:t xml:space="preserve"> field</w:t>
      </w:r>
      <w:r w:rsidR="00BA2DEF" w:rsidRPr="004A0323">
        <w:rPr>
          <w:color w:val="000000" w:themeColor="text1"/>
        </w:rPr>
        <w:t xml:space="preserve">. This ongoing importance of legitimacy as a precondition for compliance </w:t>
      </w:r>
      <w:r w:rsidR="00AB1411" w:rsidRPr="004A0323">
        <w:rPr>
          <w:color w:val="000000" w:themeColor="text1"/>
        </w:rPr>
        <w:t xml:space="preserve">seems to differentiate </w:t>
      </w:r>
      <w:r w:rsidR="001D2A99" w:rsidRPr="004A0323">
        <w:rPr>
          <w:color w:val="000000" w:themeColor="text1"/>
        </w:rPr>
        <w:t xml:space="preserve">multi-stakeholder </w:t>
      </w:r>
      <w:r w:rsidR="00AB1411" w:rsidRPr="004A0323">
        <w:rPr>
          <w:color w:val="000000" w:themeColor="text1"/>
        </w:rPr>
        <w:t>intermediation based on performance measurement</w:t>
      </w:r>
      <w:r w:rsidR="00ED760A" w:rsidRPr="004A0323">
        <w:rPr>
          <w:color w:val="000000" w:themeColor="text1"/>
        </w:rPr>
        <w:t xml:space="preserve"> from</w:t>
      </w:r>
      <w:r w:rsidR="00CA5277" w:rsidRPr="004A0323">
        <w:rPr>
          <w:color w:val="000000" w:themeColor="text1"/>
        </w:rPr>
        <w:t xml:space="preserve"> other instances of transnational regulation (Botzem &amp; Dobusch 2012; Mayntz 2010). </w:t>
      </w:r>
    </w:p>
    <w:p w14:paraId="47D9AE2F" w14:textId="381E6286" w:rsidR="00A8697C" w:rsidRPr="004A0323" w:rsidRDefault="006A1F7D" w:rsidP="00F07D2A">
      <w:pPr>
        <w:pStyle w:val="Body"/>
        <w:spacing w:after="120"/>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lastRenderedPageBreak/>
        <w:t>T</w:t>
      </w:r>
      <w:r w:rsidR="00CA5277" w:rsidRPr="004A0323">
        <w:rPr>
          <w:rFonts w:asciiTheme="majorBidi" w:hAnsiTheme="majorBidi" w:cstheme="majorBidi"/>
          <w:color w:val="000000" w:themeColor="text1"/>
          <w:szCs w:val="24"/>
        </w:rPr>
        <w:t>he rest of t</w:t>
      </w:r>
      <w:r w:rsidRPr="004A0323">
        <w:rPr>
          <w:rFonts w:asciiTheme="majorBidi" w:hAnsiTheme="majorBidi" w:cstheme="majorBidi"/>
          <w:color w:val="000000" w:themeColor="text1"/>
          <w:szCs w:val="24"/>
        </w:rPr>
        <w:t xml:space="preserve">his paper is organized as follows. In the next section, we position this study in the context of this special issue and </w:t>
      </w:r>
      <w:r w:rsidR="00A007EB" w:rsidRPr="004A0323">
        <w:rPr>
          <w:rFonts w:asciiTheme="majorBidi" w:hAnsiTheme="majorBidi" w:cstheme="majorBidi"/>
          <w:color w:val="000000" w:themeColor="text1"/>
          <w:szCs w:val="24"/>
        </w:rPr>
        <w:t>review</w:t>
      </w:r>
      <w:r w:rsidRPr="004A0323">
        <w:rPr>
          <w:rFonts w:asciiTheme="majorBidi" w:hAnsiTheme="majorBidi" w:cstheme="majorBidi"/>
          <w:color w:val="000000" w:themeColor="text1"/>
          <w:szCs w:val="24"/>
        </w:rPr>
        <w:t xml:space="preserve"> current debates on the relationship between different types of legitimacy and between legitimacy and compliance. We </w:t>
      </w:r>
      <w:r w:rsidR="009C4264" w:rsidRPr="004A0323">
        <w:rPr>
          <w:rFonts w:asciiTheme="majorBidi" w:hAnsiTheme="majorBidi" w:cstheme="majorBidi"/>
          <w:color w:val="000000" w:themeColor="text1"/>
          <w:szCs w:val="24"/>
        </w:rPr>
        <w:t xml:space="preserve">then </w:t>
      </w:r>
      <w:r w:rsidRPr="004A0323">
        <w:rPr>
          <w:rFonts w:asciiTheme="majorBidi" w:hAnsiTheme="majorBidi" w:cstheme="majorBidi"/>
          <w:color w:val="000000" w:themeColor="text1"/>
          <w:szCs w:val="24"/>
        </w:rPr>
        <w:t xml:space="preserve">discuss the relevance of performance measurement for regulatory intermediation, especially in the context of private multi-stakeholder initiatives. </w:t>
      </w:r>
      <w:r w:rsidR="00A007EB" w:rsidRPr="004A0323">
        <w:rPr>
          <w:rFonts w:asciiTheme="majorBidi" w:hAnsiTheme="majorBidi" w:cstheme="majorBidi"/>
          <w:color w:val="000000" w:themeColor="text1"/>
          <w:szCs w:val="24"/>
        </w:rPr>
        <w:t>The following section illustrates</w:t>
      </w:r>
      <w:r w:rsidRPr="004A0323">
        <w:rPr>
          <w:rFonts w:asciiTheme="majorBidi" w:hAnsiTheme="majorBidi" w:cstheme="majorBidi"/>
          <w:color w:val="000000" w:themeColor="text1"/>
          <w:szCs w:val="24"/>
        </w:rPr>
        <w:t xml:space="preserve"> our empirical site and data sources. </w:t>
      </w:r>
      <w:r w:rsidR="00A007EB" w:rsidRPr="004A0323">
        <w:rPr>
          <w:rFonts w:asciiTheme="majorBidi" w:hAnsiTheme="majorBidi" w:cstheme="majorBidi"/>
          <w:color w:val="000000" w:themeColor="text1"/>
          <w:szCs w:val="24"/>
        </w:rPr>
        <w:t>In the subsequent empirical analysis</w:t>
      </w:r>
      <w:r w:rsidRPr="004A0323">
        <w:rPr>
          <w:rFonts w:asciiTheme="majorBidi" w:hAnsiTheme="majorBidi" w:cstheme="majorBidi"/>
          <w:color w:val="000000" w:themeColor="text1"/>
          <w:szCs w:val="24"/>
        </w:rPr>
        <w:t xml:space="preserve">, we focus on the </w:t>
      </w:r>
      <w:r w:rsidR="00A007EB" w:rsidRPr="004A0323">
        <w:rPr>
          <w:rFonts w:asciiTheme="majorBidi" w:hAnsiTheme="majorBidi" w:cstheme="majorBidi"/>
          <w:color w:val="000000" w:themeColor="text1"/>
          <w:szCs w:val="24"/>
        </w:rPr>
        <w:t>performance measurement done by company analysts</w:t>
      </w:r>
      <w:r w:rsidRPr="004A0323">
        <w:rPr>
          <w:rFonts w:asciiTheme="majorBidi" w:hAnsiTheme="majorBidi" w:cstheme="majorBidi"/>
          <w:color w:val="000000" w:themeColor="text1"/>
          <w:szCs w:val="24"/>
        </w:rPr>
        <w:t xml:space="preserve"> </w:t>
      </w:r>
      <w:r w:rsidR="00A007EB" w:rsidRPr="004A0323">
        <w:rPr>
          <w:rFonts w:asciiTheme="majorBidi" w:hAnsiTheme="majorBidi" w:cstheme="majorBidi"/>
          <w:color w:val="000000" w:themeColor="text1"/>
          <w:szCs w:val="24"/>
        </w:rPr>
        <w:t>in</w:t>
      </w:r>
      <w:r w:rsidRPr="004A0323">
        <w:rPr>
          <w:rFonts w:asciiTheme="majorBidi" w:hAnsiTheme="majorBidi" w:cstheme="majorBidi"/>
          <w:color w:val="000000" w:themeColor="text1"/>
          <w:szCs w:val="24"/>
        </w:rPr>
        <w:t xml:space="preserve"> their diverse intermediation roles as they produce the Access to Medicine Index. </w:t>
      </w:r>
      <w:r w:rsidR="00B305E9" w:rsidRPr="004A0323">
        <w:rPr>
          <w:rFonts w:asciiTheme="majorBidi" w:hAnsiTheme="majorBidi" w:cstheme="majorBidi"/>
          <w:color w:val="000000" w:themeColor="text1"/>
          <w:szCs w:val="24"/>
        </w:rPr>
        <w:t>In the final section</w:t>
      </w:r>
      <w:r w:rsidR="0099409E" w:rsidRPr="004A0323">
        <w:rPr>
          <w:rFonts w:asciiTheme="majorBidi" w:hAnsiTheme="majorBidi" w:cstheme="majorBidi"/>
          <w:color w:val="000000" w:themeColor="text1"/>
          <w:szCs w:val="24"/>
        </w:rPr>
        <w:t>,</w:t>
      </w:r>
      <w:r w:rsidR="00B305E9" w:rsidRPr="004A0323">
        <w:rPr>
          <w:rFonts w:asciiTheme="majorBidi" w:hAnsiTheme="majorBidi" w:cstheme="majorBidi"/>
          <w:color w:val="000000" w:themeColor="text1"/>
          <w:szCs w:val="24"/>
        </w:rPr>
        <w:t xml:space="preserve"> we</w:t>
      </w:r>
      <w:r w:rsidRPr="004A0323">
        <w:rPr>
          <w:rFonts w:asciiTheme="majorBidi" w:hAnsiTheme="majorBidi" w:cstheme="majorBidi"/>
          <w:color w:val="000000" w:themeColor="text1"/>
          <w:szCs w:val="24"/>
        </w:rPr>
        <w:t xml:space="preserve"> di</w:t>
      </w:r>
      <w:r w:rsidR="00A007EB" w:rsidRPr="004A0323">
        <w:rPr>
          <w:rFonts w:asciiTheme="majorBidi" w:hAnsiTheme="majorBidi" w:cstheme="majorBidi"/>
          <w:color w:val="000000" w:themeColor="text1"/>
          <w:szCs w:val="24"/>
        </w:rPr>
        <w:t xml:space="preserve">scuss performance measurement as </w:t>
      </w:r>
      <w:r w:rsidR="00B305E9" w:rsidRPr="004A0323">
        <w:rPr>
          <w:rFonts w:asciiTheme="majorBidi" w:hAnsiTheme="majorBidi" w:cstheme="majorBidi"/>
          <w:color w:val="000000" w:themeColor="text1"/>
          <w:szCs w:val="24"/>
        </w:rPr>
        <w:t xml:space="preserve">a </w:t>
      </w:r>
      <w:r w:rsidR="00A007EB" w:rsidRPr="004A0323">
        <w:rPr>
          <w:rFonts w:asciiTheme="majorBidi" w:hAnsiTheme="majorBidi" w:cstheme="majorBidi"/>
          <w:color w:val="000000" w:themeColor="text1"/>
          <w:szCs w:val="24"/>
        </w:rPr>
        <w:t xml:space="preserve">form of regulatory intermediation where </w:t>
      </w:r>
      <w:r w:rsidR="00845085" w:rsidRPr="004A0323">
        <w:rPr>
          <w:rFonts w:asciiTheme="majorBidi" w:hAnsiTheme="majorBidi" w:cstheme="majorBidi"/>
          <w:color w:val="000000" w:themeColor="text1"/>
          <w:szCs w:val="24"/>
        </w:rPr>
        <w:t xml:space="preserve">measurement processes </w:t>
      </w:r>
      <w:r w:rsidR="00A007EB" w:rsidRPr="004A0323">
        <w:rPr>
          <w:rFonts w:asciiTheme="majorBidi" w:hAnsiTheme="majorBidi" w:cstheme="majorBidi"/>
          <w:color w:val="000000" w:themeColor="text1"/>
          <w:szCs w:val="24"/>
        </w:rPr>
        <w:t xml:space="preserve">mediate the tension between the formal and informal side of intermediation, between input and output legitimacy, and between the needs of legitimacy and those of enticing compliance. </w:t>
      </w:r>
    </w:p>
    <w:p w14:paraId="5C0F1C93" w14:textId="77777777" w:rsidR="008B383F" w:rsidRPr="004A0323" w:rsidRDefault="008B383F" w:rsidP="00513F10">
      <w:pPr>
        <w:pStyle w:val="Body"/>
        <w:numPr>
          <w:ilvl w:val="0"/>
          <w:numId w:val="1"/>
        </w:numPr>
        <w:rPr>
          <w:rFonts w:asciiTheme="majorBidi" w:hAnsiTheme="majorBidi" w:cstheme="majorBidi"/>
          <w:b/>
          <w:color w:val="000000" w:themeColor="text1"/>
          <w:szCs w:val="24"/>
        </w:rPr>
      </w:pPr>
      <w:r w:rsidRPr="004A0323">
        <w:rPr>
          <w:rFonts w:asciiTheme="majorBidi" w:hAnsiTheme="majorBidi" w:cstheme="majorBidi"/>
          <w:b/>
          <w:color w:val="000000" w:themeColor="text1"/>
          <w:szCs w:val="24"/>
        </w:rPr>
        <w:t>Literature review</w:t>
      </w:r>
    </w:p>
    <w:p w14:paraId="1298EE09" w14:textId="15BC7D21" w:rsidR="008B383F" w:rsidRPr="004A0323" w:rsidRDefault="008B383F" w:rsidP="00513F10">
      <w:pPr>
        <w:pStyle w:val="Body"/>
        <w:ind w:left="567"/>
        <w:rPr>
          <w:rFonts w:asciiTheme="majorBidi" w:hAnsiTheme="majorBidi" w:cstheme="majorBidi"/>
          <w:i/>
          <w:color w:val="000000" w:themeColor="text1"/>
          <w:szCs w:val="24"/>
        </w:rPr>
      </w:pPr>
      <w:r w:rsidRPr="004A0323">
        <w:rPr>
          <w:rFonts w:asciiTheme="majorBidi" w:hAnsiTheme="majorBidi" w:cstheme="majorBidi"/>
          <w:i/>
          <w:color w:val="000000" w:themeColor="text1"/>
          <w:szCs w:val="24"/>
        </w:rPr>
        <w:t>2.3</w:t>
      </w:r>
      <w:r w:rsidR="00596AEF" w:rsidRPr="004A0323">
        <w:rPr>
          <w:rFonts w:asciiTheme="majorBidi" w:hAnsiTheme="majorBidi" w:cstheme="majorBidi"/>
          <w:i/>
          <w:color w:val="000000" w:themeColor="text1"/>
          <w:szCs w:val="24"/>
        </w:rPr>
        <w:t xml:space="preserve"> Regulatory intermediation, l</w:t>
      </w:r>
      <w:r w:rsidRPr="004A0323">
        <w:rPr>
          <w:rFonts w:asciiTheme="majorBidi" w:hAnsiTheme="majorBidi" w:cstheme="majorBidi"/>
          <w:i/>
          <w:color w:val="000000" w:themeColor="text1"/>
          <w:szCs w:val="24"/>
        </w:rPr>
        <w:t>egitimacy and compliance</w:t>
      </w:r>
    </w:p>
    <w:p w14:paraId="60A9D227" w14:textId="0E28AB00" w:rsidR="00B36ED2" w:rsidRPr="004A0323" w:rsidRDefault="005842AF" w:rsidP="00513F10">
      <w:pPr>
        <w:pStyle w:val="p1"/>
        <w:spacing w:line="480" w:lineRule="auto"/>
        <w:ind w:firstLine="567"/>
        <w:jc w:val="both"/>
        <w:rPr>
          <w:sz w:val="24"/>
          <w:szCs w:val="24"/>
          <w:lang w:val="en-US"/>
        </w:rPr>
      </w:pPr>
      <w:r w:rsidRPr="004A0323">
        <w:rPr>
          <w:sz w:val="24"/>
          <w:szCs w:val="24"/>
          <w:lang w:val="en-US"/>
        </w:rPr>
        <w:t>The s</w:t>
      </w:r>
      <w:r w:rsidR="00BC0BD2" w:rsidRPr="004A0323">
        <w:rPr>
          <w:sz w:val="24"/>
          <w:szCs w:val="24"/>
          <w:lang w:val="en-US"/>
        </w:rPr>
        <w:t>cholarship</w:t>
      </w:r>
      <w:r w:rsidR="00596AEF" w:rsidRPr="004A0323">
        <w:rPr>
          <w:sz w:val="24"/>
          <w:szCs w:val="24"/>
          <w:lang w:val="en-US"/>
        </w:rPr>
        <w:t xml:space="preserve"> on </w:t>
      </w:r>
      <w:r w:rsidR="00B36ED2" w:rsidRPr="004A0323">
        <w:rPr>
          <w:sz w:val="24"/>
          <w:szCs w:val="24"/>
          <w:lang w:val="en-US"/>
        </w:rPr>
        <w:t xml:space="preserve">regulatory intermediaries </w:t>
      </w:r>
      <w:r w:rsidR="00596AEF" w:rsidRPr="004A0323">
        <w:rPr>
          <w:sz w:val="24"/>
          <w:szCs w:val="24"/>
          <w:lang w:val="en-US"/>
        </w:rPr>
        <w:t xml:space="preserve">has explored </w:t>
      </w:r>
      <w:r w:rsidR="005A492E" w:rsidRPr="004A0323">
        <w:rPr>
          <w:sz w:val="24"/>
          <w:szCs w:val="24"/>
          <w:lang w:val="en-US"/>
        </w:rPr>
        <w:t xml:space="preserve">a </w:t>
      </w:r>
      <w:r w:rsidR="00596AEF" w:rsidRPr="004A0323">
        <w:rPr>
          <w:sz w:val="24"/>
          <w:szCs w:val="24"/>
          <w:lang w:val="en-US"/>
        </w:rPr>
        <w:t xml:space="preserve">diverse </w:t>
      </w:r>
      <w:r w:rsidR="005A492E" w:rsidRPr="004A0323">
        <w:rPr>
          <w:sz w:val="24"/>
          <w:szCs w:val="24"/>
          <w:lang w:val="en-US"/>
        </w:rPr>
        <w:t xml:space="preserve">set of </w:t>
      </w:r>
      <w:r w:rsidR="00596AEF" w:rsidRPr="004A0323">
        <w:rPr>
          <w:sz w:val="24"/>
          <w:szCs w:val="24"/>
          <w:lang w:val="en-US"/>
        </w:rPr>
        <w:t>intermediary roles in regulatory fields</w:t>
      </w:r>
      <w:r w:rsidR="003A1C68" w:rsidRPr="004A0323">
        <w:rPr>
          <w:sz w:val="24"/>
          <w:szCs w:val="24"/>
          <w:lang w:val="en-US"/>
        </w:rPr>
        <w:t>,</w:t>
      </w:r>
      <w:r w:rsidR="00596AEF" w:rsidRPr="004A0323">
        <w:rPr>
          <w:sz w:val="24"/>
          <w:szCs w:val="24"/>
          <w:lang w:val="en-US"/>
        </w:rPr>
        <w:t xml:space="preserve"> ranging from translation and adaptation of rules to coordination, and assistance with auditing and compliance (Abbott </w:t>
      </w:r>
      <w:r w:rsidR="00596AEF" w:rsidRPr="004A0323">
        <w:rPr>
          <w:i/>
          <w:sz w:val="24"/>
          <w:szCs w:val="24"/>
          <w:lang w:val="en-US"/>
        </w:rPr>
        <w:t>et al.</w:t>
      </w:r>
      <w:r w:rsidR="00596AEF" w:rsidRPr="004A0323">
        <w:rPr>
          <w:sz w:val="24"/>
          <w:szCs w:val="24"/>
          <w:lang w:val="en-US"/>
        </w:rPr>
        <w:t xml:space="preserve"> 2017). Recent contributions </w:t>
      </w:r>
      <w:r w:rsidR="005A492E" w:rsidRPr="004A0323">
        <w:rPr>
          <w:sz w:val="24"/>
          <w:szCs w:val="24"/>
          <w:lang w:val="en-US"/>
        </w:rPr>
        <w:t xml:space="preserve">to </w:t>
      </w:r>
      <w:r w:rsidR="00596AEF" w:rsidRPr="004A0323">
        <w:rPr>
          <w:sz w:val="24"/>
          <w:szCs w:val="24"/>
          <w:lang w:val="en-US"/>
        </w:rPr>
        <w:t xml:space="preserve">this literature have shown how regulatory roles are fluid and “chameleonic”, and that in different times and spaces the same organization can adopt </w:t>
      </w:r>
      <w:r w:rsidR="005A492E" w:rsidRPr="004A0323">
        <w:rPr>
          <w:sz w:val="24"/>
          <w:szCs w:val="24"/>
          <w:lang w:val="en-US"/>
        </w:rPr>
        <w:t>different</w:t>
      </w:r>
      <w:r w:rsidR="00596AEF" w:rsidRPr="004A0323">
        <w:rPr>
          <w:sz w:val="24"/>
          <w:szCs w:val="24"/>
          <w:lang w:val="en-US"/>
        </w:rPr>
        <w:t xml:space="preserve"> roles (Havinga &amp; Verbruggen 2017). Targets at times take on regulatory roles (</w:t>
      </w:r>
      <w:r w:rsidR="00EA27A4" w:rsidRPr="004A0323">
        <w:rPr>
          <w:sz w:val="24"/>
          <w:szCs w:val="24"/>
          <w:lang w:val="en-US"/>
        </w:rPr>
        <w:t>e.g.</w:t>
      </w:r>
      <w:r w:rsidR="00596AEF" w:rsidRPr="004A0323">
        <w:rPr>
          <w:sz w:val="24"/>
          <w:szCs w:val="24"/>
          <w:lang w:val="en-US"/>
        </w:rPr>
        <w:t xml:space="preserve"> corporations involved in governance schemes</w:t>
      </w:r>
      <w:r w:rsidR="00665F15" w:rsidRPr="004A0323">
        <w:rPr>
          <w:sz w:val="24"/>
          <w:szCs w:val="24"/>
          <w:lang w:val="en-US"/>
        </w:rPr>
        <w:t>, in the spirit of the UN Global Compact</w:t>
      </w:r>
      <w:r w:rsidR="00596AEF" w:rsidRPr="004A0323">
        <w:rPr>
          <w:sz w:val="24"/>
          <w:szCs w:val="24"/>
          <w:lang w:val="en-US"/>
        </w:rPr>
        <w:t xml:space="preserve">) and intermediaries succeed in driving rule-making agendas (Havinga &amp; Verbruggen 2017; Van der Heijden 2017). </w:t>
      </w:r>
      <w:r w:rsidR="005A492E" w:rsidRPr="004A0323">
        <w:rPr>
          <w:sz w:val="24"/>
          <w:szCs w:val="24"/>
          <w:lang w:val="en-US"/>
        </w:rPr>
        <w:t xml:space="preserve">Regulators, intermediaries and targets also engage in </w:t>
      </w:r>
      <w:r w:rsidR="00596AEF" w:rsidRPr="004A0323">
        <w:rPr>
          <w:sz w:val="24"/>
          <w:szCs w:val="24"/>
          <w:lang w:val="en-US"/>
        </w:rPr>
        <w:t xml:space="preserve">different processes </w:t>
      </w:r>
      <w:r w:rsidR="005A492E" w:rsidRPr="004A0323">
        <w:rPr>
          <w:sz w:val="24"/>
          <w:szCs w:val="24"/>
          <w:lang w:val="en-US"/>
        </w:rPr>
        <w:t xml:space="preserve">of </w:t>
      </w:r>
      <w:r w:rsidR="00596AEF" w:rsidRPr="004A0323">
        <w:rPr>
          <w:sz w:val="24"/>
          <w:szCs w:val="24"/>
          <w:lang w:val="en-US"/>
        </w:rPr>
        <w:t>knowledge exchange and feedback</w:t>
      </w:r>
      <w:r w:rsidR="005A492E" w:rsidRPr="004A0323">
        <w:rPr>
          <w:sz w:val="24"/>
          <w:szCs w:val="24"/>
          <w:lang w:val="en-US"/>
        </w:rPr>
        <w:t>, with various</w:t>
      </w:r>
      <w:r w:rsidR="00596AEF" w:rsidRPr="004A0323">
        <w:rPr>
          <w:sz w:val="24"/>
          <w:szCs w:val="24"/>
          <w:lang w:val="en-US"/>
        </w:rPr>
        <w:t xml:space="preserve"> implications of such feedback for regulation (Auld &amp; Renckens 2017).</w:t>
      </w:r>
    </w:p>
    <w:p w14:paraId="146F5299" w14:textId="07920726" w:rsidR="00FD100F" w:rsidRPr="004A0323" w:rsidRDefault="00396A49" w:rsidP="00513F10">
      <w:pPr>
        <w:pStyle w:val="p1"/>
        <w:spacing w:line="480" w:lineRule="auto"/>
        <w:ind w:firstLine="567"/>
        <w:jc w:val="both"/>
        <w:rPr>
          <w:szCs w:val="24"/>
          <w:lang w:val="en-US"/>
        </w:rPr>
      </w:pPr>
      <w:r w:rsidRPr="004A0323">
        <w:rPr>
          <w:sz w:val="24"/>
          <w:szCs w:val="24"/>
          <w:lang w:val="en-US"/>
        </w:rPr>
        <w:t xml:space="preserve">Given the </w:t>
      </w:r>
      <w:r w:rsidR="00757825" w:rsidRPr="004A0323">
        <w:rPr>
          <w:sz w:val="24"/>
          <w:szCs w:val="24"/>
          <w:lang w:val="en-US"/>
        </w:rPr>
        <w:t xml:space="preserve">lack of an official mandate that characterizes </w:t>
      </w:r>
      <w:r w:rsidR="00CD2880" w:rsidRPr="004A0323">
        <w:rPr>
          <w:sz w:val="24"/>
          <w:szCs w:val="24"/>
          <w:lang w:val="en-US"/>
        </w:rPr>
        <w:t>most</w:t>
      </w:r>
      <w:r w:rsidR="00757825" w:rsidRPr="004A0323">
        <w:rPr>
          <w:sz w:val="24"/>
          <w:szCs w:val="24"/>
          <w:lang w:val="en-US"/>
        </w:rPr>
        <w:t xml:space="preserve"> regulation in transnational governance, the </w:t>
      </w:r>
      <w:r w:rsidR="00CD2880" w:rsidRPr="004A0323">
        <w:rPr>
          <w:sz w:val="24"/>
          <w:szCs w:val="24"/>
          <w:lang w:val="en-US"/>
        </w:rPr>
        <w:t>“</w:t>
      </w:r>
      <w:r w:rsidR="00757825" w:rsidRPr="004A0323">
        <w:rPr>
          <w:sz w:val="24"/>
          <w:szCs w:val="24"/>
          <w:lang w:val="en-US"/>
        </w:rPr>
        <w:t>legitimacy deficit</w:t>
      </w:r>
      <w:r w:rsidR="00CD2880" w:rsidRPr="004A0323">
        <w:rPr>
          <w:sz w:val="24"/>
          <w:szCs w:val="24"/>
          <w:lang w:val="en-US"/>
        </w:rPr>
        <w:t>”</w:t>
      </w:r>
      <w:r w:rsidR="00757825" w:rsidRPr="004A0323">
        <w:rPr>
          <w:sz w:val="24"/>
          <w:szCs w:val="24"/>
          <w:lang w:val="en-US"/>
        </w:rPr>
        <w:t xml:space="preserve"> usually ascribed to transnational regulators (Menon &amp; </w:t>
      </w:r>
      <w:r w:rsidR="00757825" w:rsidRPr="004A0323">
        <w:rPr>
          <w:sz w:val="24"/>
          <w:szCs w:val="24"/>
          <w:lang w:val="en-US"/>
        </w:rPr>
        <w:lastRenderedPageBreak/>
        <w:t xml:space="preserve">Weatherill 2008; Scharpf 1999) may also be </w:t>
      </w:r>
      <w:r w:rsidR="00CD2880" w:rsidRPr="004A0323">
        <w:rPr>
          <w:sz w:val="24"/>
          <w:szCs w:val="24"/>
          <w:lang w:val="en-US"/>
        </w:rPr>
        <w:t>attributed to intermediaries. The relationship</w:t>
      </w:r>
      <w:r w:rsidR="00596AEF" w:rsidRPr="004A0323">
        <w:rPr>
          <w:sz w:val="24"/>
          <w:szCs w:val="24"/>
          <w:lang w:val="en-US"/>
        </w:rPr>
        <w:t xml:space="preserve"> between the legitimacy of the </w:t>
      </w:r>
      <w:r w:rsidR="00FD100F" w:rsidRPr="004A0323">
        <w:rPr>
          <w:sz w:val="24"/>
          <w:szCs w:val="24"/>
          <w:lang w:val="en-US"/>
        </w:rPr>
        <w:t>“</w:t>
      </w:r>
      <w:r w:rsidR="00596AEF" w:rsidRPr="004A0323">
        <w:rPr>
          <w:sz w:val="24"/>
          <w:szCs w:val="24"/>
          <w:lang w:val="en-US"/>
        </w:rPr>
        <w:t>inputs</w:t>
      </w:r>
      <w:r w:rsidR="00FD100F" w:rsidRPr="004A0323">
        <w:rPr>
          <w:sz w:val="24"/>
          <w:szCs w:val="24"/>
          <w:lang w:val="en-US"/>
        </w:rPr>
        <w:t>”</w:t>
      </w:r>
      <w:r w:rsidR="00596AEF" w:rsidRPr="004A0323">
        <w:rPr>
          <w:sz w:val="24"/>
          <w:szCs w:val="24"/>
          <w:lang w:val="en-US"/>
        </w:rPr>
        <w:t xml:space="preserve"> </w:t>
      </w:r>
      <w:r w:rsidR="00231C29" w:rsidRPr="004A0323">
        <w:rPr>
          <w:sz w:val="24"/>
          <w:szCs w:val="24"/>
          <w:lang w:val="en-US"/>
        </w:rPr>
        <w:t>of</w:t>
      </w:r>
      <w:r w:rsidR="00596AEF" w:rsidRPr="004A0323">
        <w:rPr>
          <w:sz w:val="24"/>
          <w:szCs w:val="24"/>
          <w:lang w:val="en-US"/>
        </w:rPr>
        <w:t xml:space="preserve"> regulatory work and how its effects and “output</w:t>
      </w:r>
      <w:r w:rsidR="001D2A99" w:rsidRPr="004A0323">
        <w:rPr>
          <w:sz w:val="24"/>
          <w:szCs w:val="24"/>
          <w:lang w:val="en-US"/>
        </w:rPr>
        <w:t>s</w:t>
      </w:r>
      <w:r w:rsidR="00596AEF" w:rsidRPr="004A0323">
        <w:rPr>
          <w:sz w:val="24"/>
          <w:szCs w:val="24"/>
          <w:lang w:val="en-US"/>
        </w:rPr>
        <w:t>” are perceived</w:t>
      </w:r>
      <w:r w:rsidR="00CD2880" w:rsidRPr="004A0323">
        <w:rPr>
          <w:sz w:val="24"/>
          <w:szCs w:val="24"/>
          <w:lang w:val="en-US"/>
        </w:rPr>
        <w:t xml:space="preserve">, in particular, has recently received substantial attention (Mayntz 2010; </w:t>
      </w:r>
      <w:r w:rsidR="00435FFC" w:rsidRPr="004A0323">
        <w:rPr>
          <w:sz w:val="24"/>
          <w:szCs w:val="24"/>
          <w:lang w:val="en-US"/>
        </w:rPr>
        <w:t>Mena &amp; Palazzo</w:t>
      </w:r>
      <w:r w:rsidR="00845085" w:rsidRPr="004A0323">
        <w:rPr>
          <w:sz w:val="24"/>
          <w:szCs w:val="24"/>
          <w:lang w:val="en-US"/>
        </w:rPr>
        <w:t xml:space="preserve"> 2012</w:t>
      </w:r>
      <w:r w:rsidR="00435FFC" w:rsidRPr="004A0323">
        <w:rPr>
          <w:sz w:val="24"/>
          <w:szCs w:val="24"/>
          <w:lang w:val="en-US"/>
        </w:rPr>
        <w:t xml:space="preserve">; </w:t>
      </w:r>
      <w:r w:rsidR="00CD2880" w:rsidRPr="004A0323">
        <w:rPr>
          <w:sz w:val="24"/>
          <w:szCs w:val="24"/>
          <w:lang w:val="en-US"/>
        </w:rPr>
        <w:t xml:space="preserve">Quack 2010; </w:t>
      </w:r>
      <w:r w:rsidR="00FD100F" w:rsidRPr="004A0323">
        <w:rPr>
          <w:sz w:val="24"/>
          <w:szCs w:val="24"/>
          <w:lang w:val="en-US"/>
        </w:rPr>
        <w:t xml:space="preserve">Scharpf 1999; </w:t>
      </w:r>
      <w:r w:rsidR="00CD2880" w:rsidRPr="004A0323">
        <w:rPr>
          <w:sz w:val="24"/>
          <w:szCs w:val="24"/>
          <w:lang w:val="en-US"/>
        </w:rPr>
        <w:t>Tamm Hallström &amp; Boström 2010)</w:t>
      </w:r>
      <w:r w:rsidR="00596AEF" w:rsidRPr="004A0323">
        <w:rPr>
          <w:sz w:val="24"/>
          <w:szCs w:val="24"/>
          <w:lang w:val="en-US"/>
        </w:rPr>
        <w:t xml:space="preserve">. Input legitimacy in global governance relies primarily on democratic rituals </w:t>
      </w:r>
      <w:r w:rsidR="00CD2880" w:rsidRPr="004A0323">
        <w:rPr>
          <w:sz w:val="24"/>
          <w:szCs w:val="24"/>
          <w:lang w:val="en-US"/>
        </w:rPr>
        <w:t xml:space="preserve">of </w:t>
      </w:r>
      <w:r w:rsidR="00596AEF" w:rsidRPr="004A0323">
        <w:rPr>
          <w:sz w:val="24"/>
          <w:szCs w:val="24"/>
          <w:lang w:val="en-US"/>
        </w:rPr>
        <w:t xml:space="preserve">participation of concerned constituencies in the </w:t>
      </w:r>
      <w:r w:rsidR="00CD2880" w:rsidRPr="004A0323">
        <w:rPr>
          <w:sz w:val="24"/>
          <w:szCs w:val="24"/>
          <w:lang w:val="en-US"/>
        </w:rPr>
        <w:t>regulat</w:t>
      </w:r>
      <w:r w:rsidR="00845085" w:rsidRPr="004A0323">
        <w:rPr>
          <w:sz w:val="24"/>
          <w:szCs w:val="24"/>
          <w:lang w:val="en-US"/>
        </w:rPr>
        <w:t>ory</w:t>
      </w:r>
      <w:r w:rsidR="00CD2880" w:rsidRPr="004A0323">
        <w:rPr>
          <w:sz w:val="24"/>
          <w:szCs w:val="24"/>
          <w:lang w:val="en-US"/>
        </w:rPr>
        <w:t xml:space="preserve"> </w:t>
      </w:r>
      <w:r w:rsidR="00596AEF" w:rsidRPr="004A0323">
        <w:rPr>
          <w:sz w:val="24"/>
          <w:szCs w:val="24"/>
          <w:lang w:val="en-US"/>
        </w:rPr>
        <w:t xml:space="preserve">process </w:t>
      </w:r>
      <w:r w:rsidR="00123D4B" w:rsidRPr="004A0323">
        <w:rPr>
          <w:sz w:val="24"/>
          <w:szCs w:val="24"/>
          <w:lang w:val="en-US"/>
        </w:rPr>
        <w:t>(Mayntz 2010)</w:t>
      </w:r>
      <w:r w:rsidR="00596AEF" w:rsidRPr="004A0323">
        <w:rPr>
          <w:sz w:val="24"/>
          <w:szCs w:val="24"/>
          <w:lang w:val="en-US"/>
        </w:rPr>
        <w:t xml:space="preserve">. </w:t>
      </w:r>
      <w:r w:rsidR="00FD100F" w:rsidRPr="004A0323">
        <w:rPr>
          <w:sz w:val="24"/>
          <w:szCs w:val="24"/>
          <w:lang w:val="en-US"/>
        </w:rPr>
        <w:t>E</w:t>
      </w:r>
      <w:r w:rsidR="00596AEF" w:rsidRPr="004A0323">
        <w:rPr>
          <w:sz w:val="24"/>
          <w:szCs w:val="24"/>
          <w:lang w:val="en-US"/>
        </w:rPr>
        <w:t xml:space="preserve">xpertise </w:t>
      </w:r>
      <w:r w:rsidR="00231C29" w:rsidRPr="004A0323">
        <w:rPr>
          <w:sz w:val="24"/>
          <w:szCs w:val="24"/>
          <w:lang w:val="en-US"/>
        </w:rPr>
        <w:t xml:space="preserve">is </w:t>
      </w:r>
      <w:r w:rsidR="00FD100F" w:rsidRPr="004A0323">
        <w:rPr>
          <w:sz w:val="24"/>
          <w:szCs w:val="24"/>
          <w:lang w:val="en-US"/>
        </w:rPr>
        <w:t>frequently</w:t>
      </w:r>
      <w:r w:rsidR="00231C29" w:rsidRPr="004A0323">
        <w:rPr>
          <w:sz w:val="24"/>
          <w:szCs w:val="24"/>
          <w:lang w:val="en-US"/>
        </w:rPr>
        <w:t xml:space="preserve"> </w:t>
      </w:r>
      <w:r w:rsidR="00B36ED2" w:rsidRPr="004A0323">
        <w:rPr>
          <w:sz w:val="24"/>
          <w:szCs w:val="24"/>
          <w:lang w:val="en-US"/>
        </w:rPr>
        <w:t xml:space="preserve">mentioned </w:t>
      </w:r>
      <w:r w:rsidR="00231C29" w:rsidRPr="004A0323">
        <w:rPr>
          <w:sz w:val="24"/>
          <w:szCs w:val="24"/>
          <w:lang w:val="en-US"/>
        </w:rPr>
        <w:t>as</w:t>
      </w:r>
      <w:r w:rsidR="00596AEF" w:rsidRPr="004A0323">
        <w:rPr>
          <w:sz w:val="24"/>
          <w:szCs w:val="24"/>
          <w:lang w:val="en-US"/>
        </w:rPr>
        <w:t xml:space="preserve"> another source of input legitimacy (Mena &amp; Palazzo 2012; Quack </w:t>
      </w:r>
      <w:r w:rsidR="00FD100F" w:rsidRPr="004A0323">
        <w:rPr>
          <w:sz w:val="24"/>
          <w:szCs w:val="24"/>
          <w:lang w:val="en-US"/>
        </w:rPr>
        <w:t>2010</w:t>
      </w:r>
      <w:r w:rsidR="00596AEF" w:rsidRPr="004A0323">
        <w:rPr>
          <w:sz w:val="24"/>
          <w:szCs w:val="24"/>
          <w:lang w:val="en-US"/>
        </w:rPr>
        <w:t xml:space="preserve">). </w:t>
      </w:r>
      <w:r w:rsidR="00FD100F" w:rsidRPr="004A0323">
        <w:rPr>
          <w:sz w:val="24"/>
          <w:szCs w:val="24"/>
          <w:lang w:val="en-US"/>
        </w:rPr>
        <w:t>Output legitimacy, on the other hand, is related to the perceived effectiveness of regulation (Mayntz 2010</w:t>
      </w:r>
      <w:r w:rsidR="00D26360" w:rsidRPr="004A0323">
        <w:rPr>
          <w:sz w:val="24"/>
          <w:szCs w:val="24"/>
          <w:lang w:val="en-US"/>
        </w:rPr>
        <w:t>; Mena &amp; Palazzo 2012; Scharpf 1999</w:t>
      </w:r>
      <w:r w:rsidR="00FD100F" w:rsidRPr="004A0323">
        <w:rPr>
          <w:sz w:val="24"/>
          <w:szCs w:val="24"/>
          <w:lang w:val="en-US"/>
        </w:rPr>
        <w:t>)</w:t>
      </w:r>
      <w:r w:rsidR="00B36ED2" w:rsidRPr="004A0323">
        <w:rPr>
          <w:sz w:val="24"/>
          <w:szCs w:val="24"/>
          <w:lang w:val="en-US"/>
        </w:rPr>
        <w:t>, a precondition for the diffusion and adoption of rules (Botzem &amp; Dobusch 2012)</w:t>
      </w:r>
      <w:r w:rsidR="00FD100F" w:rsidRPr="004A0323">
        <w:rPr>
          <w:sz w:val="24"/>
          <w:szCs w:val="24"/>
          <w:lang w:val="en-US"/>
        </w:rPr>
        <w:t xml:space="preserve">. Throughput or process legitimacy </w:t>
      </w:r>
      <w:r w:rsidR="00E9668C" w:rsidRPr="004A0323">
        <w:rPr>
          <w:sz w:val="24"/>
          <w:szCs w:val="24"/>
          <w:lang w:val="en-US"/>
        </w:rPr>
        <w:t xml:space="preserve">is seen to </w:t>
      </w:r>
      <w:r w:rsidR="00FD100F" w:rsidRPr="004A0323">
        <w:rPr>
          <w:sz w:val="24"/>
          <w:szCs w:val="24"/>
          <w:lang w:val="en-US"/>
        </w:rPr>
        <w:t xml:space="preserve">rest instead on the fairness, impartiality and transparency of the regulatory process. Input and throughput legitimacy are often collapsed </w:t>
      </w:r>
      <w:r w:rsidR="00E9668C" w:rsidRPr="004A0323">
        <w:rPr>
          <w:sz w:val="24"/>
          <w:szCs w:val="24"/>
          <w:lang w:val="en-US"/>
        </w:rPr>
        <w:t>(</w:t>
      </w:r>
      <w:r w:rsidR="00FD100F" w:rsidRPr="004A0323">
        <w:rPr>
          <w:sz w:val="24"/>
          <w:szCs w:val="24"/>
          <w:lang w:val="en-US"/>
        </w:rPr>
        <w:t>Botzem &amp; Dobusch 2012; Mayntz 2010</w:t>
      </w:r>
      <w:r w:rsidR="00E9668C" w:rsidRPr="004A0323">
        <w:rPr>
          <w:sz w:val="24"/>
          <w:szCs w:val="24"/>
          <w:lang w:val="en-US"/>
        </w:rPr>
        <w:t>; Mena &amp; Palazzo 2012).</w:t>
      </w:r>
      <w:r w:rsidR="00FD100F" w:rsidRPr="004A0323">
        <w:rPr>
          <w:sz w:val="24"/>
          <w:szCs w:val="24"/>
          <w:lang w:val="en-US"/>
        </w:rPr>
        <w:t xml:space="preserve"> </w:t>
      </w:r>
      <w:r w:rsidR="00E9668C" w:rsidRPr="004A0323">
        <w:rPr>
          <w:sz w:val="24"/>
          <w:szCs w:val="24"/>
          <w:lang w:val="en-US"/>
        </w:rPr>
        <w:t>Scharpf refers to them</w:t>
      </w:r>
      <w:r w:rsidR="00FD100F" w:rsidRPr="004A0323">
        <w:rPr>
          <w:sz w:val="24"/>
          <w:szCs w:val="24"/>
          <w:lang w:val="en-US"/>
        </w:rPr>
        <w:t xml:space="preserve"> as “formal legitimacy”</w:t>
      </w:r>
      <w:r w:rsidR="00906B4E" w:rsidRPr="004A0323">
        <w:rPr>
          <w:sz w:val="24"/>
          <w:szCs w:val="24"/>
          <w:lang w:val="en-US"/>
        </w:rPr>
        <w:t>,</w:t>
      </w:r>
      <w:r w:rsidR="00FD100F" w:rsidRPr="004A0323">
        <w:rPr>
          <w:sz w:val="24"/>
          <w:szCs w:val="24"/>
          <w:lang w:val="en-US"/>
        </w:rPr>
        <w:t xml:space="preserve"> </w:t>
      </w:r>
      <w:r w:rsidR="00E9668C" w:rsidRPr="004A0323">
        <w:rPr>
          <w:sz w:val="24"/>
          <w:szCs w:val="24"/>
          <w:lang w:val="en-US"/>
        </w:rPr>
        <w:t>whereas</w:t>
      </w:r>
      <w:r w:rsidR="00FD100F" w:rsidRPr="004A0323">
        <w:rPr>
          <w:sz w:val="24"/>
          <w:szCs w:val="24"/>
          <w:lang w:val="en-US"/>
        </w:rPr>
        <w:t xml:space="preserve"> </w:t>
      </w:r>
      <w:r w:rsidR="00906B4E" w:rsidRPr="004A0323">
        <w:rPr>
          <w:sz w:val="24"/>
          <w:szCs w:val="24"/>
          <w:lang w:val="en-US"/>
        </w:rPr>
        <w:t xml:space="preserve">he describes </w:t>
      </w:r>
      <w:r w:rsidR="00FD100F" w:rsidRPr="004A0323">
        <w:rPr>
          <w:sz w:val="24"/>
          <w:szCs w:val="24"/>
          <w:lang w:val="en-US"/>
        </w:rPr>
        <w:t>output legitimacy as “substantive legitimacy”</w:t>
      </w:r>
      <w:r w:rsidR="00E9668C" w:rsidRPr="004A0323">
        <w:rPr>
          <w:sz w:val="24"/>
          <w:szCs w:val="24"/>
          <w:lang w:val="en-US"/>
        </w:rPr>
        <w:t xml:space="preserve"> (1999</w:t>
      </w:r>
      <w:r w:rsidR="00FD100F" w:rsidRPr="004A0323">
        <w:rPr>
          <w:sz w:val="24"/>
          <w:szCs w:val="24"/>
          <w:lang w:val="en-US"/>
        </w:rPr>
        <w:t>)</w:t>
      </w:r>
      <w:r w:rsidR="00E9668C" w:rsidRPr="004A0323">
        <w:rPr>
          <w:sz w:val="24"/>
          <w:szCs w:val="24"/>
          <w:lang w:val="en-US"/>
        </w:rPr>
        <w:t>. These two types of legitimacy</w:t>
      </w:r>
      <w:r w:rsidR="00FD100F" w:rsidRPr="004A0323">
        <w:rPr>
          <w:sz w:val="24"/>
          <w:szCs w:val="24"/>
          <w:lang w:val="en-US"/>
        </w:rPr>
        <w:t xml:space="preserve"> are seen as related (Mayntz 2010) and have been shown to be variously interdependent in cycles of rule formation and diffusion (Botzem &amp; Dobusch 2012).</w:t>
      </w:r>
    </w:p>
    <w:p w14:paraId="419ECB9E" w14:textId="5F866ABA" w:rsidR="00D80909" w:rsidRPr="004A0323" w:rsidRDefault="00596AEF" w:rsidP="00513F10">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Botzem and Dobusch</w:t>
      </w:r>
      <w:r w:rsidR="00A8697C" w:rsidRPr="004A0323">
        <w:rPr>
          <w:rFonts w:asciiTheme="majorBidi" w:hAnsiTheme="majorBidi" w:cstheme="majorBidi"/>
          <w:color w:val="000000" w:themeColor="text1"/>
          <w:szCs w:val="24"/>
        </w:rPr>
        <w:t xml:space="preserve"> </w:t>
      </w:r>
      <w:r w:rsidR="00C5272A" w:rsidRPr="004A0323">
        <w:rPr>
          <w:rFonts w:asciiTheme="majorBidi" w:hAnsiTheme="majorBidi" w:cstheme="majorBidi"/>
          <w:color w:val="000000" w:themeColor="text1"/>
          <w:szCs w:val="24"/>
        </w:rPr>
        <w:t>examine</w:t>
      </w:r>
      <w:r w:rsidRPr="004A0323">
        <w:rPr>
          <w:rFonts w:asciiTheme="majorBidi" w:hAnsiTheme="majorBidi" w:cstheme="majorBidi"/>
          <w:color w:val="000000" w:themeColor="text1"/>
          <w:szCs w:val="24"/>
        </w:rPr>
        <w:t xml:space="preserve"> the circular relation between input and output legitimacy. The</w:t>
      </w:r>
      <w:r w:rsidR="00C5272A" w:rsidRPr="004A0323">
        <w:rPr>
          <w:rFonts w:asciiTheme="majorBidi" w:hAnsiTheme="majorBidi" w:cstheme="majorBidi"/>
          <w:color w:val="000000" w:themeColor="text1"/>
          <w:szCs w:val="24"/>
        </w:rPr>
        <w:t>ir study of</w:t>
      </w:r>
      <w:r w:rsidRPr="004A0323">
        <w:rPr>
          <w:rFonts w:asciiTheme="majorBidi" w:hAnsiTheme="majorBidi" w:cstheme="majorBidi"/>
          <w:color w:val="000000" w:themeColor="text1"/>
          <w:szCs w:val="24"/>
        </w:rPr>
        <w:t xml:space="preserve"> </w:t>
      </w:r>
      <w:r w:rsidR="00C5272A" w:rsidRPr="004A0323">
        <w:rPr>
          <w:rFonts w:asciiTheme="majorBidi" w:hAnsiTheme="majorBidi" w:cstheme="majorBidi"/>
          <w:color w:val="000000" w:themeColor="text1"/>
          <w:szCs w:val="24"/>
        </w:rPr>
        <w:t>the</w:t>
      </w:r>
      <w:r w:rsidRPr="004A0323">
        <w:rPr>
          <w:rFonts w:asciiTheme="majorBidi" w:hAnsiTheme="majorBidi" w:cstheme="majorBidi"/>
          <w:color w:val="000000" w:themeColor="text1"/>
          <w:szCs w:val="24"/>
        </w:rPr>
        <w:t xml:space="preserve"> International Accounting Standards Board</w:t>
      </w:r>
      <w:r w:rsidR="00C5272A" w:rsidRPr="004A0323">
        <w:rPr>
          <w:rFonts w:asciiTheme="majorBidi" w:hAnsiTheme="majorBidi" w:cstheme="majorBidi"/>
          <w:color w:val="000000" w:themeColor="text1"/>
          <w:szCs w:val="24"/>
        </w:rPr>
        <w:t xml:space="preserve"> (IASB) illustrates how at an early stage of the standardization process, when standards were not </w:t>
      </w:r>
      <w:r w:rsidR="00FA4804" w:rsidRPr="004A0323">
        <w:rPr>
          <w:rFonts w:asciiTheme="majorBidi" w:hAnsiTheme="majorBidi" w:cstheme="majorBidi"/>
          <w:color w:val="000000" w:themeColor="text1"/>
          <w:szCs w:val="24"/>
        </w:rPr>
        <w:t>yet</w:t>
      </w:r>
      <w:r w:rsidR="00C5272A" w:rsidRPr="004A0323">
        <w:rPr>
          <w:rFonts w:asciiTheme="majorBidi" w:hAnsiTheme="majorBidi" w:cstheme="majorBidi"/>
          <w:color w:val="000000" w:themeColor="text1"/>
          <w:szCs w:val="24"/>
        </w:rPr>
        <w:t xml:space="preserve"> </w:t>
      </w:r>
      <w:r w:rsidR="00B36ED2" w:rsidRPr="004A0323">
        <w:rPr>
          <w:rFonts w:asciiTheme="majorBidi" w:hAnsiTheme="majorBidi" w:cstheme="majorBidi"/>
          <w:color w:val="000000" w:themeColor="text1"/>
          <w:szCs w:val="24"/>
        </w:rPr>
        <w:t xml:space="preserve">fully </w:t>
      </w:r>
      <w:r w:rsidR="00C5272A" w:rsidRPr="004A0323">
        <w:rPr>
          <w:rFonts w:asciiTheme="majorBidi" w:hAnsiTheme="majorBidi" w:cstheme="majorBidi"/>
          <w:color w:val="000000" w:themeColor="text1"/>
          <w:szCs w:val="24"/>
        </w:rPr>
        <w:t xml:space="preserve">formed and </w:t>
      </w:r>
      <w:r w:rsidR="00FA4804" w:rsidRPr="004A0323">
        <w:rPr>
          <w:rFonts w:asciiTheme="majorBidi" w:hAnsiTheme="majorBidi" w:cstheme="majorBidi"/>
          <w:color w:val="000000" w:themeColor="text1"/>
          <w:szCs w:val="24"/>
        </w:rPr>
        <w:t>the standardization process was still</w:t>
      </w:r>
      <w:r w:rsidR="00C5272A" w:rsidRPr="004A0323">
        <w:rPr>
          <w:rFonts w:asciiTheme="majorBidi" w:hAnsiTheme="majorBidi" w:cstheme="majorBidi"/>
          <w:color w:val="000000" w:themeColor="text1"/>
          <w:szCs w:val="24"/>
        </w:rPr>
        <w:t xml:space="preserve"> controversial,</w:t>
      </w:r>
      <w:r w:rsidRPr="004A0323">
        <w:rPr>
          <w:rFonts w:asciiTheme="majorBidi" w:hAnsiTheme="majorBidi" w:cstheme="majorBidi"/>
          <w:color w:val="000000" w:themeColor="text1"/>
          <w:szCs w:val="24"/>
        </w:rPr>
        <w:t xml:space="preserve"> </w:t>
      </w:r>
      <w:r w:rsidR="00C5272A" w:rsidRPr="004A0323">
        <w:rPr>
          <w:rFonts w:asciiTheme="majorBidi" w:hAnsiTheme="majorBidi" w:cstheme="majorBidi"/>
          <w:color w:val="000000" w:themeColor="text1"/>
          <w:szCs w:val="24"/>
        </w:rPr>
        <w:t>great emphasis was placed</w:t>
      </w:r>
      <w:r w:rsidRPr="004A0323">
        <w:rPr>
          <w:rFonts w:asciiTheme="majorBidi" w:hAnsiTheme="majorBidi" w:cstheme="majorBidi"/>
          <w:color w:val="000000" w:themeColor="text1"/>
          <w:szCs w:val="24"/>
        </w:rPr>
        <w:t xml:space="preserve"> on input legitimacy </w:t>
      </w:r>
      <w:r w:rsidR="009343B2" w:rsidRPr="004A0323">
        <w:rPr>
          <w:rFonts w:asciiTheme="majorBidi" w:hAnsiTheme="majorBidi" w:cstheme="majorBidi"/>
          <w:color w:val="000000" w:themeColor="text1"/>
          <w:szCs w:val="24"/>
        </w:rPr>
        <w:t>through</w:t>
      </w:r>
      <w:r w:rsidRPr="004A0323">
        <w:rPr>
          <w:rFonts w:asciiTheme="majorBidi" w:hAnsiTheme="majorBidi" w:cstheme="majorBidi"/>
          <w:color w:val="000000" w:themeColor="text1"/>
          <w:szCs w:val="24"/>
        </w:rPr>
        <w:t xml:space="preserve"> stakeholder participation. </w:t>
      </w:r>
      <w:r w:rsidR="00FA4804" w:rsidRPr="004A0323">
        <w:rPr>
          <w:rFonts w:asciiTheme="majorBidi" w:hAnsiTheme="majorBidi" w:cstheme="majorBidi"/>
          <w:color w:val="000000" w:themeColor="text1"/>
          <w:szCs w:val="24"/>
        </w:rPr>
        <w:t>This wide participation also meant that the standards being drafted were a collection of somewhat heterogeneous elements</w:t>
      </w:r>
      <w:r w:rsidR="0030326F" w:rsidRPr="004A0323">
        <w:rPr>
          <w:rFonts w:asciiTheme="majorBidi" w:hAnsiTheme="majorBidi" w:cstheme="majorBidi"/>
          <w:color w:val="000000" w:themeColor="text1"/>
          <w:szCs w:val="24"/>
        </w:rPr>
        <w:t xml:space="preserve">, </w:t>
      </w:r>
      <w:r w:rsidR="00D87DAB" w:rsidRPr="004A0323">
        <w:rPr>
          <w:rFonts w:asciiTheme="majorBidi" w:hAnsiTheme="majorBidi" w:cstheme="majorBidi"/>
          <w:color w:val="000000" w:themeColor="text1"/>
          <w:szCs w:val="24"/>
        </w:rPr>
        <w:t>which limited</w:t>
      </w:r>
      <w:r w:rsidR="0030326F" w:rsidRPr="004A0323">
        <w:rPr>
          <w:rFonts w:asciiTheme="majorBidi" w:hAnsiTheme="majorBidi" w:cstheme="majorBidi"/>
          <w:color w:val="000000" w:themeColor="text1"/>
          <w:szCs w:val="24"/>
        </w:rPr>
        <w:t xml:space="preserve"> </w:t>
      </w:r>
      <w:r w:rsidR="00B36ED2" w:rsidRPr="004A0323">
        <w:rPr>
          <w:rFonts w:asciiTheme="majorBidi" w:hAnsiTheme="majorBidi" w:cstheme="majorBidi"/>
          <w:color w:val="000000" w:themeColor="text1"/>
          <w:szCs w:val="24"/>
        </w:rPr>
        <w:t xml:space="preserve">their perceived usefulness and thus </w:t>
      </w:r>
      <w:r w:rsidR="0030326F" w:rsidRPr="004A0323">
        <w:rPr>
          <w:rFonts w:asciiTheme="majorBidi" w:hAnsiTheme="majorBidi" w:cstheme="majorBidi"/>
          <w:color w:val="000000" w:themeColor="text1"/>
          <w:szCs w:val="24"/>
        </w:rPr>
        <w:t>output legitimacy</w:t>
      </w:r>
      <w:r w:rsidR="00FA4804" w:rsidRPr="004A0323">
        <w:rPr>
          <w:rFonts w:asciiTheme="majorBidi" w:hAnsiTheme="majorBidi" w:cstheme="majorBidi"/>
          <w:color w:val="000000" w:themeColor="text1"/>
          <w:szCs w:val="24"/>
        </w:rPr>
        <w:t xml:space="preserve">. </w:t>
      </w:r>
      <w:r w:rsidR="0030326F" w:rsidRPr="004A0323">
        <w:rPr>
          <w:rFonts w:asciiTheme="majorBidi" w:hAnsiTheme="majorBidi" w:cstheme="majorBidi"/>
          <w:color w:val="000000" w:themeColor="text1"/>
          <w:szCs w:val="24"/>
        </w:rPr>
        <w:t>Over time, t</w:t>
      </w:r>
      <w:r w:rsidR="00FA4804" w:rsidRPr="004A0323">
        <w:rPr>
          <w:rFonts w:asciiTheme="majorBidi" w:hAnsiTheme="majorBidi" w:cstheme="majorBidi"/>
          <w:color w:val="000000" w:themeColor="text1"/>
          <w:szCs w:val="24"/>
        </w:rPr>
        <w:t xml:space="preserve">he </w:t>
      </w:r>
      <w:r w:rsidR="0030326F" w:rsidRPr="004A0323">
        <w:rPr>
          <w:rFonts w:asciiTheme="majorBidi" w:hAnsiTheme="majorBidi" w:cstheme="majorBidi"/>
          <w:color w:val="000000" w:themeColor="text1"/>
          <w:szCs w:val="24"/>
        </w:rPr>
        <w:t>vagueness</w:t>
      </w:r>
      <w:r w:rsidR="00B36ED2" w:rsidRPr="004A0323">
        <w:rPr>
          <w:rFonts w:asciiTheme="majorBidi" w:hAnsiTheme="majorBidi" w:cstheme="majorBidi"/>
          <w:color w:val="000000" w:themeColor="text1"/>
          <w:szCs w:val="24"/>
        </w:rPr>
        <w:t xml:space="preserve"> and incomplete formalization</w:t>
      </w:r>
      <w:r w:rsidR="0030326F" w:rsidRPr="004A0323">
        <w:rPr>
          <w:rFonts w:asciiTheme="majorBidi" w:hAnsiTheme="majorBidi" w:cstheme="majorBidi"/>
          <w:color w:val="000000" w:themeColor="text1"/>
          <w:szCs w:val="24"/>
        </w:rPr>
        <w:t xml:space="preserve"> of the </w:t>
      </w:r>
      <w:r w:rsidR="00B36ED2" w:rsidRPr="004A0323">
        <w:rPr>
          <w:rFonts w:asciiTheme="majorBidi" w:hAnsiTheme="majorBidi" w:cstheme="majorBidi"/>
          <w:color w:val="000000" w:themeColor="text1"/>
          <w:szCs w:val="24"/>
        </w:rPr>
        <w:t xml:space="preserve">standards </w:t>
      </w:r>
      <w:r w:rsidR="0030326F" w:rsidRPr="004A0323">
        <w:rPr>
          <w:rFonts w:asciiTheme="majorBidi" w:hAnsiTheme="majorBidi" w:cstheme="majorBidi"/>
          <w:color w:val="000000" w:themeColor="text1"/>
          <w:szCs w:val="24"/>
        </w:rPr>
        <w:t>allowed for gradual adjustments and modifications</w:t>
      </w:r>
      <w:r w:rsidR="00B36ED2" w:rsidRPr="004A0323">
        <w:rPr>
          <w:rFonts w:asciiTheme="majorBidi" w:hAnsiTheme="majorBidi" w:cstheme="majorBidi"/>
          <w:color w:val="000000" w:themeColor="text1"/>
          <w:szCs w:val="24"/>
        </w:rPr>
        <w:t>. These</w:t>
      </w:r>
      <w:r w:rsidR="0030326F" w:rsidRPr="004A0323">
        <w:rPr>
          <w:rFonts w:asciiTheme="majorBidi" w:hAnsiTheme="majorBidi" w:cstheme="majorBidi"/>
          <w:color w:val="000000" w:themeColor="text1"/>
          <w:szCs w:val="24"/>
        </w:rPr>
        <w:t xml:space="preserve">, coupled with the </w:t>
      </w:r>
      <w:r w:rsidR="00FA4804" w:rsidRPr="004A0323">
        <w:rPr>
          <w:rFonts w:asciiTheme="majorBidi" w:hAnsiTheme="majorBidi" w:cstheme="majorBidi"/>
          <w:color w:val="000000" w:themeColor="text1"/>
          <w:szCs w:val="24"/>
        </w:rPr>
        <w:t xml:space="preserve">ability of the IASB to </w:t>
      </w:r>
      <w:r w:rsidR="00CC0E1C" w:rsidRPr="004A0323">
        <w:rPr>
          <w:rFonts w:asciiTheme="majorBidi" w:hAnsiTheme="majorBidi" w:cstheme="majorBidi"/>
          <w:color w:val="000000" w:themeColor="text1"/>
          <w:szCs w:val="24"/>
        </w:rPr>
        <w:t xml:space="preserve">reduce participation and become an “expert-oriented standard setter” </w:t>
      </w:r>
      <w:r w:rsidR="00CC0E1C" w:rsidRPr="004A0323">
        <w:rPr>
          <w:rFonts w:asciiTheme="majorBidi" w:hAnsiTheme="majorBidi" w:cstheme="majorBidi"/>
          <w:color w:val="000000" w:themeColor="text1"/>
          <w:szCs w:val="24"/>
        </w:rPr>
        <w:lastRenderedPageBreak/>
        <w:t>(</w:t>
      </w:r>
      <w:r w:rsidR="003432B9" w:rsidRPr="004A0323">
        <w:rPr>
          <w:rFonts w:asciiTheme="majorBidi" w:hAnsiTheme="majorBidi" w:cstheme="majorBidi"/>
          <w:color w:val="000000" w:themeColor="text1"/>
          <w:szCs w:val="24"/>
        </w:rPr>
        <w:t xml:space="preserve">2012: </w:t>
      </w:r>
      <w:r w:rsidR="00CC0E1C" w:rsidRPr="004A0323">
        <w:rPr>
          <w:rFonts w:asciiTheme="majorBidi" w:hAnsiTheme="majorBidi" w:cstheme="majorBidi"/>
          <w:color w:val="000000" w:themeColor="text1"/>
          <w:szCs w:val="24"/>
        </w:rPr>
        <w:t xml:space="preserve">751) and with the support it received </w:t>
      </w:r>
      <w:r w:rsidR="00F06822" w:rsidRPr="004A0323">
        <w:rPr>
          <w:rFonts w:asciiTheme="majorBidi" w:hAnsiTheme="majorBidi" w:cstheme="majorBidi"/>
          <w:color w:val="000000" w:themeColor="text1"/>
          <w:szCs w:val="24"/>
        </w:rPr>
        <w:t>from</w:t>
      </w:r>
      <w:r w:rsidR="006728FE" w:rsidRPr="004A0323">
        <w:rPr>
          <w:rFonts w:asciiTheme="majorBidi" w:hAnsiTheme="majorBidi" w:cstheme="majorBidi"/>
          <w:color w:val="000000" w:themeColor="text1"/>
          <w:szCs w:val="24"/>
        </w:rPr>
        <w:t xml:space="preserve"> </w:t>
      </w:r>
      <w:r w:rsidR="00CC0E1C" w:rsidRPr="004A0323">
        <w:rPr>
          <w:rFonts w:asciiTheme="majorBidi" w:hAnsiTheme="majorBidi" w:cstheme="majorBidi"/>
          <w:color w:val="000000" w:themeColor="text1"/>
          <w:szCs w:val="24"/>
        </w:rPr>
        <w:t xml:space="preserve">a range of </w:t>
      </w:r>
      <w:r w:rsidR="00B36ED2" w:rsidRPr="004A0323">
        <w:rPr>
          <w:rFonts w:asciiTheme="majorBidi" w:hAnsiTheme="majorBidi" w:cstheme="majorBidi"/>
          <w:color w:val="000000" w:themeColor="text1"/>
          <w:szCs w:val="24"/>
        </w:rPr>
        <w:t xml:space="preserve">influential </w:t>
      </w:r>
      <w:r w:rsidR="00CC0E1C" w:rsidRPr="004A0323">
        <w:rPr>
          <w:rFonts w:asciiTheme="majorBidi" w:hAnsiTheme="majorBidi" w:cstheme="majorBidi"/>
          <w:color w:val="000000" w:themeColor="text1"/>
          <w:szCs w:val="24"/>
        </w:rPr>
        <w:t>third parties, progressively led to greater output legitimacy, which the authors describe especially in terms of adoption and diffusion of the standards.</w:t>
      </w:r>
    </w:p>
    <w:p w14:paraId="1ECF562D" w14:textId="08EB9836" w:rsidR="00C5272A" w:rsidRPr="004A0323" w:rsidRDefault="00CC0E1C" w:rsidP="00513F10">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Botzem and Dobusch c</w:t>
      </w:r>
      <w:r w:rsidR="00D80909" w:rsidRPr="004A0323">
        <w:rPr>
          <w:rFonts w:asciiTheme="majorBidi" w:hAnsiTheme="majorBidi" w:cstheme="majorBidi"/>
          <w:color w:val="000000" w:themeColor="text1"/>
          <w:szCs w:val="24"/>
        </w:rPr>
        <w:t>onclude that input legitimacy at</w:t>
      </w:r>
      <w:r w:rsidRPr="004A0323">
        <w:rPr>
          <w:rFonts w:asciiTheme="majorBidi" w:hAnsiTheme="majorBidi" w:cstheme="majorBidi"/>
          <w:color w:val="000000" w:themeColor="text1"/>
          <w:szCs w:val="24"/>
        </w:rPr>
        <w:t xml:space="preserve"> early stages can foster later diffusion and thus output legitimacy of the standards, but that over time output legitimacy tends to partly replace input legitimacy.</w:t>
      </w:r>
      <w:r w:rsidR="00596AEF" w:rsidRPr="004A0323">
        <w:rPr>
          <w:rFonts w:asciiTheme="majorBidi" w:hAnsiTheme="majorBidi" w:cstheme="majorBidi"/>
          <w:color w:val="000000" w:themeColor="text1"/>
          <w:szCs w:val="24"/>
        </w:rPr>
        <w:t xml:space="preserve"> </w:t>
      </w:r>
      <w:r w:rsidRPr="004A0323">
        <w:rPr>
          <w:rFonts w:asciiTheme="majorBidi" w:hAnsiTheme="majorBidi" w:cstheme="majorBidi"/>
          <w:color w:val="000000" w:themeColor="text1"/>
          <w:szCs w:val="24"/>
        </w:rPr>
        <w:t xml:space="preserve">In their analysis, input legitimacy may clash with output legitimacy (the initial heterogeneity of standards due to pluralism </w:t>
      </w:r>
      <w:r w:rsidR="00D87DAB" w:rsidRPr="004A0323">
        <w:rPr>
          <w:rFonts w:asciiTheme="majorBidi" w:hAnsiTheme="majorBidi" w:cstheme="majorBidi"/>
          <w:color w:val="000000" w:themeColor="text1"/>
          <w:szCs w:val="24"/>
        </w:rPr>
        <w:t>made</w:t>
      </w:r>
      <w:r w:rsidRPr="004A0323">
        <w:rPr>
          <w:rFonts w:asciiTheme="majorBidi" w:hAnsiTheme="majorBidi" w:cstheme="majorBidi"/>
          <w:color w:val="000000" w:themeColor="text1"/>
          <w:szCs w:val="24"/>
        </w:rPr>
        <w:t xml:space="preserve"> them perceived as less useful), but </w:t>
      </w:r>
      <w:r w:rsidR="00D80909" w:rsidRPr="004A0323">
        <w:rPr>
          <w:rFonts w:asciiTheme="majorBidi" w:hAnsiTheme="majorBidi" w:cstheme="majorBidi"/>
          <w:color w:val="000000" w:themeColor="text1"/>
          <w:szCs w:val="24"/>
        </w:rPr>
        <w:t>can also increase</w:t>
      </w:r>
      <w:r w:rsidRPr="004A0323">
        <w:rPr>
          <w:rFonts w:asciiTheme="majorBidi" w:hAnsiTheme="majorBidi" w:cstheme="majorBidi"/>
          <w:color w:val="000000" w:themeColor="text1"/>
          <w:szCs w:val="24"/>
        </w:rPr>
        <w:t xml:space="preserve"> the chances of later </w:t>
      </w:r>
      <w:r w:rsidR="00D80909" w:rsidRPr="004A0323">
        <w:rPr>
          <w:rFonts w:asciiTheme="majorBidi" w:hAnsiTheme="majorBidi" w:cstheme="majorBidi"/>
          <w:color w:val="000000" w:themeColor="text1"/>
          <w:szCs w:val="24"/>
        </w:rPr>
        <w:t>diffusion</w:t>
      </w:r>
      <w:r w:rsidRPr="004A0323">
        <w:rPr>
          <w:rFonts w:asciiTheme="majorBidi" w:hAnsiTheme="majorBidi" w:cstheme="majorBidi"/>
          <w:color w:val="000000" w:themeColor="text1"/>
          <w:szCs w:val="24"/>
        </w:rPr>
        <w:t xml:space="preserve"> (by involving a large number of stakeholders </w:t>
      </w:r>
      <w:r w:rsidR="00D87DAB" w:rsidRPr="004A0323">
        <w:rPr>
          <w:rFonts w:asciiTheme="majorBidi" w:hAnsiTheme="majorBidi" w:cstheme="majorBidi"/>
          <w:color w:val="000000" w:themeColor="text1"/>
          <w:szCs w:val="24"/>
        </w:rPr>
        <w:t xml:space="preserve">and </w:t>
      </w:r>
      <w:r w:rsidR="00845085" w:rsidRPr="004A0323">
        <w:rPr>
          <w:rFonts w:asciiTheme="majorBidi" w:hAnsiTheme="majorBidi" w:cstheme="majorBidi"/>
          <w:color w:val="000000" w:themeColor="text1"/>
          <w:szCs w:val="24"/>
        </w:rPr>
        <w:t xml:space="preserve">thus </w:t>
      </w:r>
      <w:r w:rsidR="00D87DAB" w:rsidRPr="004A0323">
        <w:rPr>
          <w:rFonts w:asciiTheme="majorBidi" w:hAnsiTheme="majorBidi" w:cstheme="majorBidi"/>
          <w:color w:val="000000" w:themeColor="text1"/>
          <w:szCs w:val="24"/>
        </w:rPr>
        <w:t xml:space="preserve">potential adopters </w:t>
      </w:r>
      <w:r w:rsidRPr="004A0323">
        <w:rPr>
          <w:rFonts w:asciiTheme="majorBidi" w:hAnsiTheme="majorBidi" w:cstheme="majorBidi"/>
          <w:color w:val="000000" w:themeColor="text1"/>
          <w:szCs w:val="24"/>
        </w:rPr>
        <w:t>in early stages).</w:t>
      </w:r>
      <w:r w:rsidR="00D80909" w:rsidRPr="004A0323">
        <w:rPr>
          <w:rFonts w:asciiTheme="majorBidi" w:hAnsiTheme="majorBidi" w:cstheme="majorBidi"/>
          <w:color w:val="000000" w:themeColor="text1"/>
          <w:szCs w:val="24"/>
        </w:rPr>
        <w:t xml:space="preserve"> Input legitimacy concerns may also lead to rules (standards) becoming progressively more abstract</w:t>
      </w:r>
      <w:r w:rsidR="00D87DAB" w:rsidRPr="004A0323">
        <w:rPr>
          <w:rFonts w:asciiTheme="majorBidi" w:hAnsiTheme="majorBidi" w:cstheme="majorBidi"/>
          <w:color w:val="000000" w:themeColor="text1"/>
          <w:szCs w:val="24"/>
        </w:rPr>
        <w:t xml:space="preserve"> </w:t>
      </w:r>
      <w:r w:rsidR="00D80909" w:rsidRPr="004A0323">
        <w:rPr>
          <w:rFonts w:asciiTheme="majorBidi" w:hAnsiTheme="majorBidi" w:cstheme="majorBidi"/>
          <w:color w:val="000000" w:themeColor="text1"/>
          <w:szCs w:val="24"/>
        </w:rPr>
        <w:t>and open to multiple interpretations</w:t>
      </w:r>
      <w:r w:rsidR="00D87DAB" w:rsidRPr="004A0323">
        <w:rPr>
          <w:rFonts w:asciiTheme="majorBidi" w:hAnsiTheme="majorBidi" w:cstheme="majorBidi"/>
          <w:color w:val="000000" w:themeColor="text1"/>
          <w:szCs w:val="24"/>
        </w:rPr>
        <w:t>. This limited formalization can be</w:t>
      </w:r>
      <w:r w:rsidR="00D80909" w:rsidRPr="004A0323">
        <w:rPr>
          <w:rFonts w:asciiTheme="majorBidi" w:hAnsiTheme="majorBidi" w:cstheme="majorBidi"/>
          <w:color w:val="000000" w:themeColor="text1"/>
          <w:szCs w:val="24"/>
        </w:rPr>
        <w:t xml:space="preserve"> a condition for their wider acceptance and thus output legitimacy</w:t>
      </w:r>
      <w:r w:rsidR="00D87DAB" w:rsidRPr="004A0323">
        <w:rPr>
          <w:rFonts w:asciiTheme="majorBidi" w:hAnsiTheme="majorBidi" w:cstheme="majorBidi"/>
          <w:color w:val="000000" w:themeColor="text1"/>
          <w:szCs w:val="24"/>
        </w:rPr>
        <w:t xml:space="preserve"> (see also Mena </w:t>
      </w:r>
      <w:r w:rsidR="00D87DAB" w:rsidRPr="004A0323">
        <w:rPr>
          <w:rFonts w:asciiTheme="majorBidi" w:hAnsiTheme="majorBidi" w:cstheme="majorBidi"/>
          <w:i/>
          <w:color w:val="000000" w:themeColor="text1"/>
          <w:szCs w:val="24"/>
        </w:rPr>
        <w:t>et al.</w:t>
      </w:r>
      <w:r w:rsidR="00D87DAB" w:rsidRPr="004A0323">
        <w:rPr>
          <w:rFonts w:asciiTheme="majorBidi" w:hAnsiTheme="majorBidi" w:cstheme="majorBidi"/>
          <w:color w:val="000000" w:themeColor="text1"/>
          <w:szCs w:val="24"/>
        </w:rPr>
        <w:t xml:space="preserve"> this issue)</w:t>
      </w:r>
      <w:r w:rsidR="00D80909" w:rsidRPr="004A0323">
        <w:rPr>
          <w:rFonts w:asciiTheme="majorBidi" w:hAnsiTheme="majorBidi" w:cstheme="majorBidi"/>
          <w:color w:val="000000" w:themeColor="text1"/>
          <w:szCs w:val="24"/>
        </w:rPr>
        <w:t xml:space="preserve">. </w:t>
      </w:r>
    </w:p>
    <w:p w14:paraId="2D6A54B1" w14:textId="418BA14B" w:rsidR="00E00B19" w:rsidRPr="004A0323" w:rsidRDefault="00596AEF" w:rsidP="00513F10">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Referring to Weber’s work on legitimacy, Mayntz (2010) further elaborates on the relation</w:t>
      </w:r>
      <w:r w:rsidR="000A614C" w:rsidRPr="004A0323">
        <w:rPr>
          <w:rFonts w:asciiTheme="majorBidi" w:hAnsiTheme="majorBidi" w:cstheme="majorBidi"/>
          <w:color w:val="000000" w:themeColor="text1"/>
          <w:szCs w:val="24"/>
        </w:rPr>
        <w:t>ship</w:t>
      </w:r>
      <w:r w:rsidRPr="004A0323">
        <w:rPr>
          <w:rFonts w:asciiTheme="majorBidi" w:hAnsiTheme="majorBidi" w:cstheme="majorBidi"/>
          <w:color w:val="000000" w:themeColor="text1"/>
          <w:szCs w:val="24"/>
        </w:rPr>
        <w:t xml:space="preserve"> between input </w:t>
      </w:r>
      <w:r w:rsidR="00AE6F73" w:rsidRPr="004A0323">
        <w:rPr>
          <w:rFonts w:asciiTheme="majorBidi" w:hAnsiTheme="majorBidi" w:cstheme="majorBidi"/>
          <w:color w:val="000000" w:themeColor="text1"/>
          <w:szCs w:val="24"/>
        </w:rPr>
        <w:t>and</w:t>
      </w:r>
      <w:r w:rsidRPr="004A0323">
        <w:rPr>
          <w:rFonts w:asciiTheme="majorBidi" w:hAnsiTheme="majorBidi" w:cstheme="majorBidi"/>
          <w:color w:val="000000" w:themeColor="text1"/>
          <w:szCs w:val="24"/>
        </w:rPr>
        <w:t xml:space="preserve"> output legitimacy on the one hand and effectiveness of the regulatory regime and compliance </w:t>
      </w:r>
      <w:r w:rsidR="00845085" w:rsidRPr="004A0323">
        <w:rPr>
          <w:rFonts w:asciiTheme="majorBidi" w:hAnsiTheme="majorBidi" w:cstheme="majorBidi"/>
          <w:color w:val="000000" w:themeColor="text1"/>
          <w:szCs w:val="24"/>
        </w:rPr>
        <w:t xml:space="preserve">by </w:t>
      </w:r>
      <w:r w:rsidRPr="004A0323">
        <w:rPr>
          <w:rFonts w:asciiTheme="majorBidi" w:hAnsiTheme="majorBidi" w:cstheme="majorBidi"/>
          <w:color w:val="000000" w:themeColor="text1"/>
          <w:szCs w:val="24"/>
        </w:rPr>
        <w:t xml:space="preserve">targets on the other. </w:t>
      </w:r>
      <w:r w:rsidR="00D80909" w:rsidRPr="004A0323">
        <w:rPr>
          <w:rFonts w:asciiTheme="majorBidi" w:hAnsiTheme="majorBidi" w:cstheme="majorBidi"/>
          <w:color w:val="000000" w:themeColor="text1"/>
          <w:szCs w:val="24"/>
        </w:rPr>
        <w:t xml:space="preserve">Referring mainly to the example of </w:t>
      </w:r>
      <w:r w:rsidR="000A614C" w:rsidRPr="004A0323">
        <w:rPr>
          <w:rFonts w:asciiTheme="majorBidi" w:hAnsiTheme="majorBidi" w:cstheme="majorBidi"/>
          <w:color w:val="000000" w:themeColor="text1"/>
          <w:szCs w:val="24"/>
        </w:rPr>
        <w:t xml:space="preserve">the </w:t>
      </w:r>
      <w:r w:rsidR="00D80909" w:rsidRPr="004A0323">
        <w:rPr>
          <w:rFonts w:asciiTheme="majorBidi" w:hAnsiTheme="majorBidi" w:cstheme="majorBidi"/>
          <w:color w:val="000000" w:themeColor="text1"/>
          <w:szCs w:val="24"/>
        </w:rPr>
        <w:t xml:space="preserve">national </w:t>
      </w:r>
      <w:r w:rsidR="000A614C" w:rsidRPr="004A0323">
        <w:rPr>
          <w:rFonts w:asciiTheme="majorBidi" w:hAnsiTheme="majorBidi" w:cstheme="majorBidi"/>
          <w:color w:val="000000" w:themeColor="text1"/>
          <w:szCs w:val="24"/>
        </w:rPr>
        <w:t>adoption</w:t>
      </w:r>
      <w:r w:rsidR="00D80909" w:rsidRPr="004A0323">
        <w:rPr>
          <w:rFonts w:asciiTheme="majorBidi" w:hAnsiTheme="majorBidi" w:cstheme="majorBidi"/>
          <w:color w:val="000000" w:themeColor="text1"/>
          <w:szCs w:val="24"/>
        </w:rPr>
        <w:t xml:space="preserve"> of </w:t>
      </w:r>
      <w:r w:rsidR="00E00B19" w:rsidRPr="004A0323">
        <w:rPr>
          <w:rFonts w:asciiTheme="majorBidi" w:hAnsiTheme="majorBidi" w:cstheme="majorBidi"/>
          <w:color w:val="000000" w:themeColor="text1"/>
          <w:szCs w:val="24"/>
        </w:rPr>
        <w:t>EU, GATT or WTO</w:t>
      </w:r>
      <w:r w:rsidR="00D80909" w:rsidRPr="004A0323">
        <w:rPr>
          <w:rFonts w:asciiTheme="majorBidi" w:hAnsiTheme="majorBidi" w:cstheme="majorBidi"/>
          <w:color w:val="000000" w:themeColor="text1"/>
          <w:szCs w:val="24"/>
        </w:rPr>
        <w:t xml:space="preserve"> policies, s</w:t>
      </w:r>
      <w:r w:rsidRPr="004A0323">
        <w:rPr>
          <w:rFonts w:asciiTheme="majorBidi" w:hAnsiTheme="majorBidi" w:cstheme="majorBidi"/>
          <w:color w:val="000000" w:themeColor="text1"/>
          <w:szCs w:val="24"/>
        </w:rPr>
        <w:t xml:space="preserve">he argues that legitimacy </w:t>
      </w:r>
      <w:r w:rsidR="00CC0E1C" w:rsidRPr="004A0323">
        <w:rPr>
          <w:rFonts w:asciiTheme="majorBidi" w:hAnsiTheme="majorBidi" w:cstheme="majorBidi"/>
          <w:color w:val="000000" w:themeColor="text1"/>
          <w:szCs w:val="24"/>
        </w:rPr>
        <w:t>may</w:t>
      </w:r>
      <w:r w:rsidRPr="004A0323">
        <w:rPr>
          <w:rFonts w:asciiTheme="majorBidi" w:hAnsiTheme="majorBidi" w:cstheme="majorBidi"/>
          <w:color w:val="000000" w:themeColor="text1"/>
          <w:szCs w:val="24"/>
        </w:rPr>
        <w:t xml:space="preserve"> not </w:t>
      </w:r>
      <w:r w:rsidR="00CC0E1C" w:rsidRPr="004A0323">
        <w:rPr>
          <w:rFonts w:asciiTheme="majorBidi" w:hAnsiTheme="majorBidi" w:cstheme="majorBidi"/>
          <w:color w:val="000000" w:themeColor="text1"/>
          <w:szCs w:val="24"/>
        </w:rPr>
        <w:t xml:space="preserve">be </w:t>
      </w:r>
      <w:r w:rsidRPr="004A0323">
        <w:rPr>
          <w:rFonts w:asciiTheme="majorBidi" w:hAnsiTheme="majorBidi" w:cstheme="majorBidi"/>
          <w:color w:val="000000" w:themeColor="text1"/>
          <w:szCs w:val="24"/>
        </w:rPr>
        <w:t>essential for achieving compliance</w:t>
      </w:r>
      <w:r w:rsidR="00002E23" w:rsidRPr="004A0323">
        <w:rPr>
          <w:rFonts w:asciiTheme="majorBidi" w:hAnsiTheme="majorBidi" w:cstheme="majorBidi"/>
          <w:color w:val="000000" w:themeColor="text1"/>
          <w:szCs w:val="24"/>
        </w:rPr>
        <w:t>. Mayntz</w:t>
      </w:r>
      <w:r w:rsidR="00CC0E1C" w:rsidRPr="004A0323">
        <w:rPr>
          <w:rFonts w:asciiTheme="majorBidi" w:hAnsiTheme="majorBidi" w:cstheme="majorBidi"/>
          <w:color w:val="000000" w:themeColor="text1"/>
          <w:szCs w:val="24"/>
        </w:rPr>
        <w:t xml:space="preserve"> </w:t>
      </w:r>
      <w:r w:rsidR="001E617F" w:rsidRPr="004A0323">
        <w:rPr>
          <w:rFonts w:asciiTheme="majorBidi" w:hAnsiTheme="majorBidi" w:cstheme="majorBidi"/>
          <w:color w:val="000000" w:themeColor="text1"/>
          <w:szCs w:val="24"/>
        </w:rPr>
        <w:t xml:space="preserve">observes </w:t>
      </w:r>
      <w:r w:rsidRPr="004A0323">
        <w:rPr>
          <w:rFonts w:asciiTheme="majorBidi" w:hAnsiTheme="majorBidi" w:cstheme="majorBidi"/>
          <w:color w:val="000000" w:themeColor="text1"/>
          <w:szCs w:val="24"/>
        </w:rPr>
        <w:t xml:space="preserve">that compliance </w:t>
      </w:r>
      <w:r w:rsidR="00D80909" w:rsidRPr="004A0323">
        <w:rPr>
          <w:rFonts w:asciiTheme="majorBidi" w:hAnsiTheme="majorBidi" w:cstheme="majorBidi"/>
          <w:color w:val="000000" w:themeColor="text1"/>
          <w:szCs w:val="24"/>
        </w:rPr>
        <w:t xml:space="preserve">frequently </w:t>
      </w:r>
      <w:r w:rsidRPr="004A0323">
        <w:rPr>
          <w:rFonts w:asciiTheme="majorBidi" w:hAnsiTheme="majorBidi" w:cstheme="majorBidi"/>
          <w:color w:val="000000" w:themeColor="text1"/>
          <w:szCs w:val="24"/>
        </w:rPr>
        <w:t>depends on</w:t>
      </w:r>
      <w:r w:rsidR="00CC0E1C" w:rsidRPr="004A0323">
        <w:rPr>
          <w:rFonts w:asciiTheme="majorBidi" w:hAnsiTheme="majorBidi" w:cstheme="majorBidi"/>
          <w:color w:val="000000" w:themeColor="text1"/>
          <w:szCs w:val="24"/>
        </w:rPr>
        <w:t xml:space="preserve"> </w:t>
      </w:r>
      <w:r w:rsidR="00E00B19" w:rsidRPr="004A0323">
        <w:rPr>
          <w:rFonts w:asciiTheme="majorBidi" w:hAnsiTheme="majorBidi" w:cstheme="majorBidi"/>
          <w:color w:val="000000" w:themeColor="text1"/>
          <w:szCs w:val="24"/>
        </w:rPr>
        <w:t xml:space="preserve">factors </w:t>
      </w:r>
      <w:r w:rsidR="001E617F" w:rsidRPr="004A0323">
        <w:rPr>
          <w:rFonts w:asciiTheme="majorBidi" w:hAnsiTheme="majorBidi" w:cstheme="majorBidi"/>
          <w:color w:val="000000" w:themeColor="text1"/>
          <w:szCs w:val="24"/>
        </w:rPr>
        <w:t xml:space="preserve">other than legitimacy, </w:t>
      </w:r>
      <w:r w:rsidR="00E00B19" w:rsidRPr="004A0323">
        <w:rPr>
          <w:rFonts w:asciiTheme="majorBidi" w:hAnsiTheme="majorBidi" w:cstheme="majorBidi"/>
          <w:color w:val="000000" w:themeColor="text1"/>
          <w:szCs w:val="24"/>
        </w:rPr>
        <w:t>such</w:t>
      </w:r>
      <w:r w:rsidR="00A1191B" w:rsidRPr="004A0323">
        <w:rPr>
          <w:rFonts w:asciiTheme="majorBidi" w:hAnsiTheme="majorBidi" w:cstheme="majorBidi"/>
          <w:color w:val="000000" w:themeColor="text1"/>
          <w:szCs w:val="24"/>
        </w:rPr>
        <w:t xml:space="preserve"> as</w:t>
      </w:r>
      <w:r w:rsidR="00E00B19" w:rsidRPr="004A0323">
        <w:rPr>
          <w:rFonts w:asciiTheme="majorBidi" w:hAnsiTheme="majorBidi" w:cstheme="majorBidi"/>
          <w:color w:val="000000" w:themeColor="text1"/>
          <w:szCs w:val="24"/>
        </w:rPr>
        <w:t xml:space="preserve"> </w:t>
      </w:r>
      <w:r w:rsidR="001E617F" w:rsidRPr="004A0323">
        <w:rPr>
          <w:rFonts w:asciiTheme="majorBidi" w:hAnsiTheme="majorBidi" w:cstheme="majorBidi"/>
          <w:color w:val="000000" w:themeColor="text1"/>
          <w:szCs w:val="24"/>
        </w:rPr>
        <w:t>habit</w:t>
      </w:r>
      <w:r w:rsidR="00E00B19" w:rsidRPr="004A0323">
        <w:rPr>
          <w:rFonts w:asciiTheme="majorBidi" w:hAnsiTheme="majorBidi" w:cstheme="majorBidi"/>
          <w:color w:val="000000" w:themeColor="text1"/>
          <w:szCs w:val="24"/>
        </w:rPr>
        <w:t>, interest</w:t>
      </w:r>
      <w:r w:rsidR="001E617F" w:rsidRPr="004A0323">
        <w:rPr>
          <w:rFonts w:asciiTheme="majorBidi" w:hAnsiTheme="majorBidi" w:cstheme="majorBidi"/>
          <w:color w:val="000000" w:themeColor="text1"/>
          <w:szCs w:val="24"/>
        </w:rPr>
        <w:t xml:space="preserve"> calculations</w:t>
      </w:r>
      <w:r w:rsidR="00E00B19" w:rsidRPr="004A0323">
        <w:rPr>
          <w:rFonts w:asciiTheme="majorBidi" w:hAnsiTheme="majorBidi" w:cstheme="majorBidi"/>
          <w:color w:val="000000" w:themeColor="text1"/>
          <w:szCs w:val="24"/>
        </w:rPr>
        <w:t xml:space="preserve"> </w:t>
      </w:r>
      <w:r w:rsidR="001E617F" w:rsidRPr="004A0323">
        <w:rPr>
          <w:rFonts w:asciiTheme="majorBidi" w:hAnsiTheme="majorBidi" w:cstheme="majorBidi"/>
          <w:color w:val="000000" w:themeColor="text1"/>
          <w:szCs w:val="24"/>
        </w:rPr>
        <w:t xml:space="preserve">or </w:t>
      </w:r>
      <w:r w:rsidR="00E00B19" w:rsidRPr="004A0323">
        <w:rPr>
          <w:rFonts w:asciiTheme="majorBidi" w:hAnsiTheme="majorBidi" w:cstheme="majorBidi"/>
          <w:color w:val="000000" w:themeColor="text1"/>
          <w:szCs w:val="24"/>
        </w:rPr>
        <w:t>fear of the reputational consequences of non-compliance. She argues</w:t>
      </w:r>
      <w:r w:rsidR="00D80909" w:rsidRPr="004A0323">
        <w:rPr>
          <w:rFonts w:asciiTheme="majorBidi" w:hAnsiTheme="majorBidi" w:cstheme="majorBidi"/>
          <w:color w:val="000000" w:themeColor="text1"/>
          <w:szCs w:val="24"/>
        </w:rPr>
        <w:t xml:space="preserve"> that “[</w:t>
      </w:r>
      <w:r w:rsidR="00E00B19" w:rsidRPr="004A0323">
        <w:rPr>
          <w:rFonts w:asciiTheme="majorBidi" w:hAnsiTheme="majorBidi" w:cstheme="majorBidi"/>
          <w:color w:val="000000" w:themeColor="text1"/>
          <w:szCs w:val="24"/>
        </w:rPr>
        <w:t>a</w:t>
      </w:r>
      <w:r w:rsidR="00D80909" w:rsidRPr="004A0323">
        <w:rPr>
          <w:rFonts w:asciiTheme="majorBidi" w:hAnsiTheme="majorBidi" w:cstheme="majorBidi"/>
          <w:color w:val="000000" w:themeColor="text1"/>
          <w:szCs w:val="24"/>
        </w:rPr>
        <w:t>]t least in the short run, little legitimacy is needed to uphold a regime, legal or not, that is able to reward and to punish”</w:t>
      </w:r>
      <w:r w:rsidR="00EA0ADF" w:rsidRPr="004A0323">
        <w:rPr>
          <w:rFonts w:asciiTheme="majorBidi" w:hAnsiTheme="majorBidi" w:cstheme="majorBidi"/>
          <w:color w:val="000000" w:themeColor="text1"/>
          <w:szCs w:val="24"/>
        </w:rPr>
        <w:t xml:space="preserve"> </w:t>
      </w:r>
      <w:r w:rsidR="00E00B19" w:rsidRPr="004A0323">
        <w:rPr>
          <w:rFonts w:asciiTheme="majorBidi" w:hAnsiTheme="majorBidi" w:cstheme="majorBidi"/>
          <w:color w:val="000000" w:themeColor="text1"/>
          <w:szCs w:val="24"/>
        </w:rPr>
        <w:t>(p. 13)</w:t>
      </w:r>
      <w:r w:rsidR="00E00B19" w:rsidRPr="004A0323">
        <w:rPr>
          <w:rStyle w:val="FootnoteReference"/>
          <w:rFonts w:asciiTheme="majorBidi" w:hAnsiTheme="majorBidi" w:cstheme="majorBidi"/>
          <w:color w:val="000000" w:themeColor="text1"/>
        </w:rPr>
        <w:footnoteReference w:id="1"/>
      </w:r>
      <w:r w:rsidR="00A1191B" w:rsidRPr="004A0323">
        <w:rPr>
          <w:rFonts w:asciiTheme="majorBidi" w:hAnsiTheme="majorBidi" w:cstheme="majorBidi"/>
          <w:color w:val="000000" w:themeColor="text1"/>
          <w:szCs w:val="24"/>
        </w:rPr>
        <w:t>.</w:t>
      </w:r>
      <w:r w:rsidR="00AE3482" w:rsidRPr="004A0323">
        <w:rPr>
          <w:rFonts w:asciiTheme="majorBidi" w:hAnsiTheme="majorBidi" w:cstheme="majorBidi"/>
          <w:color w:val="000000" w:themeColor="text1"/>
          <w:szCs w:val="24"/>
        </w:rPr>
        <w:t xml:space="preserve"> </w:t>
      </w:r>
    </w:p>
    <w:p w14:paraId="6737F3E8" w14:textId="71DE917B" w:rsidR="006E0D8F" w:rsidRPr="004A0323" w:rsidRDefault="00E00B19" w:rsidP="00513F10">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However, Mayntz is basing her discussion mainly on </w:t>
      </w:r>
      <w:r w:rsidR="00664143" w:rsidRPr="004A0323">
        <w:rPr>
          <w:rFonts w:asciiTheme="majorBidi" w:hAnsiTheme="majorBidi" w:cstheme="majorBidi"/>
          <w:color w:val="000000" w:themeColor="text1"/>
          <w:szCs w:val="24"/>
        </w:rPr>
        <w:t>the example of</w:t>
      </w:r>
      <w:r w:rsidRPr="004A0323">
        <w:rPr>
          <w:rFonts w:asciiTheme="majorBidi" w:hAnsiTheme="majorBidi" w:cstheme="majorBidi"/>
          <w:color w:val="000000" w:themeColor="text1"/>
          <w:szCs w:val="24"/>
        </w:rPr>
        <w:t xml:space="preserve"> official and long-established </w:t>
      </w:r>
      <w:r w:rsidR="00664143" w:rsidRPr="004A0323">
        <w:rPr>
          <w:rFonts w:asciiTheme="majorBidi" w:hAnsiTheme="majorBidi" w:cstheme="majorBidi"/>
          <w:color w:val="000000" w:themeColor="text1"/>
          <w:szCs w:val="24"/>
        </w:rPr>
        <w:t>IGOs</w:t>
      </w:r>
      <w:r w:rsidRPr="004A0323">
        <w:rPr>
          <w:rFonts w:asciiTheme="majorBidi" w:hAnsiTheme="majorBidi" w:cstheme="majorBidi"/>
          <w:color w:val="000000" w:themeColor="text1"/>
          <w:szCs w:val="24"/>
        </w:rPr>
        <w:t xml:space="preserve"> such as the EU, GATT or WTO. The IASB </w:t>
      </w:r>
      <w:r w:rsidR="00664143" w:rsidRPr="004A0323">
        <w:rPr>
          <w:rFonts w:asciiTheme="majorBidi" w:hAnsiTheme="majorBidi" w:cstheme="majorBidi"/>
          <w:color w:val="000000" w:themeColor="text1"/>
          <w:szCs w:val="24"/>
        </w:rPr>
        <w:t>discussed by Botzem &amp; Dobusch is an instance of</w:t>
      </w:r>
      <w:r w:rsidRPr="004A0323">
        <w:rPr>
          <w:rFonts w:asciiTheme="majorBidi" w:hAnsiTheme="majorBidi" w:cstheme="majorBidi"/>
          <w:color w:val="000000" w:themeColor="text1"/>
          <w:szCs w:val="24"/>
        </w:rPr>
        <w:t xml:space="preserve"> </w:t>
      </w:r>
      <w:r w:rsidR="000673D8" w:rsidRPr="004A0323">
        <w:rPr>
          <w:rFonts w:asciiTheme="majorBidi" w:hAnsiTheme="majorBidi" w:cstheme="majorBidi"/>
          <w:color w:val="000000" w:themeColor="text1"/>
          <w:szCs w:val="24"/>
        </w:rPr>
        <w:t xml:space="preserve">a </w:t>
      </w:r>
      <w:r w:rsidR="00664143" w:rsidRPr="004A0323">
        <w:rPr>
          <w:rFonts w:asciiTheme="majorBidi" w:hAnsiTheme="majorBidi" w:cstheme="majorBidi"/>
          <w:color w:val="000000" w:themeColor="text1"/>
          <w:szCs w:val="24"/>
        </w:rPr>
        <w:t xml:space="preserve">private </w:t>
      </w:r>
      <w:r w:rsidRPr="004A0323">
        <w:rPr>
          <w:rFonts w:asciiTheme="majorBidi" w:hAnsiTheme="majorBidi" w:cstheme="majorBidi"/>
          <w:color w:val="000000" w:themeColor="text1"/>
          <w:szCs w:val="24"/>
        </w:rPr>
        <w:t>regulator</w:t>
      </w:r>
      <w:r w:rsidR="00664143" w:rsidRPr="004A0323">
        <w:rPr>
          <w:rFonts w:asciiTheme="majorBidi" w:hAnsiTheme="majorBidi" w:cstheme="majorBidi"/>
          <w:color w:val="000000" w:themeColor="text1"/>
          <w:szCs w:val="24"/>
        </w:rPr>
        <w:t xml:space="preserve"> whose initial standing vis-a`-vis the national states expected </w:t>
      </w:r>
      <w:r w:rsidR="00664143" w:rsidRPr="004A0323">
        <w:rPr>
          <w:rFonts w:asciiTheme="majorBidi" w:hAnsiTheme="majorBidi" w:cstheme="majorBidi"/>
          <w:color w:val="000000" w:themeColor="text1"/>
          <w:szCs w:val="24"/>
        </w:rPr>
        <w:lastRenderedPageBreak/>
        <w:t>to endorse</w:t>
      </w:r>
      <w:r w:rsidR="008C442F" w:rsidRPr="004A0323">
        <w:rPr>
          <w:rFonts w:asciiTheme="majorBidi" w:hAnsiTheme="majorBidi" w:cstheme="majorBidi"/>
          <w:color w:val="000000" w:themeColor="text1"/>
          <w:szCs w:val="24"/>
        </w:rPr>
        <w:t xml:space="preserve"> its standards</w:t>
      </w:r>
      <w:r w:rsidR="00A1191B" w:rsidRPr="004A0323">
        <w:rPr>
          <w:rFonts w:asciiTheme="majorBidi" w:hAnsiTheme="majorBidi" w:cstheme="majorBidi"/>
          <w:color w:val="000000" w:themeColor="text1"/>
          <w:szCs w:val="24"/>
        </w:rPr>
        <w:t xml:space="preserve"> was quite fragile</w:t>
      </w:r>
      <w:r w:rsidR="000673D8" w:rsidRPr="004A0323">
        <w:rPr>
          <w:rFonts w:asciiTheme="majorBidi" w:hAnsiTheme="majorBidi" w:cstheme="majorBidi"/>
          <w:color w:val="000000" w:themeColor="text1"/>
          <w:szCs w:val="24"/>
        </w:rPr>
        <w:t>, and thus unlikely to be in the position to “reward and punish”</w:t>
      </w:r>
      <w:r w:rsidR="008C442F" w:rsidRPr="004A0323">
        <w:rPr>
          <w:rFonts w:asciiTheme="majorBidi" w:hAnsiTheme="majorBidi" w:cstheme="majorBidi"/>
          <w:color w:val="000000" w:themeColor="text1"/>
          <w:szCs w:val="24"/>
        </w:rPr>
        <w:t xml:space="preserve">. </w:t>
      </w:r>
      <w:r w:rsidR="000673D8" w:rsidRPr="004A0323">
        <w:rPr>
          <w:rFonts w:asciiTheme="majorBidi" w:hAnsiTheme="majorBidi" w:cstheme="majorBidi"/>
          <w:color w:val="000000" w:themeColor="text1"/>
          <w:szCs w:val="24"/>
        </w:rPr>
        <w:t>Given the diversity of regulators and intermediaries which characterizes contemporary governance, t</w:t>
      </w:r>
      <w:r w:rsidR="008C442F" w:rsidRPr="004A0323">
        <w:rPr>
          <w:rFonts w:asciiTheme="majorBidi" w:hAnsiTheme="majorBidi" w:cstheme="majorBidi"/>
          <w:color w:val="000000" w:themeColor="text1"/>
          <w:szCs w:val="24"/>
        </w:rPr>
        <w:t>he question</w:t>
      </w:r>
      <w:r w:rsidR="001E617F" w:rsidRPr="004A0323">
        <w:rPr>
          <w:rFonts w:asciiTheme="majorBidi" w:hAnsiTheme="majorBidi" w:cstheme="majorBidi"/>
          <w:color w:val="000000" w:themeColor="text1"/>
          <w:szCs w:val="24"/>
        </w:rPr>
        <w:t xml:space="preserve"> of the link between legitimacy and compliance</w:t>
      </w:r>
      <w:r w:rsidR="008C442F" w:rsidRPr="004A0323">
        <w:rPr>
          <w:rFonts w:asciiTheme="majorBidi" w:hAnsiTheme="majorBidi" w:cstheme="majorBidi"/>
          <w:color w:val="000000" w:themeColor="text1"/>
          <w:szCs w:val="24"/>
        </w:rPr>
        <w:t>, as Mayntz argues, is ultimately an empirical one</w:t>
      </w:r>
      <w:r w:rsidR="006E0D8F" w:rsidRPr="004A0323">
        <w:rPr>
          <w:rFonts w:asciiTheme="majorBidi" w:hAnsiTheme="majorBidi" w:cstheme="majorBidi"/>
          <w:color w:val="000000" w:themeColor="text1"/>
          <w:szCs w:val="24"/>
        </w:rPr>
        <w:t>.</w:t>
      </w:r>
      <w:r w:rsidR="00D80909" w:rsidRPr="004A0323">
        <w:rPr>
          <w:rFonts w:asciiTheme="majorBidi" w:hAnsiTheme="majorBidi" w:cstheme="majorBidi"/>
          <w:color w:val="000000" w:themeColor="text1"/>
          <w:szCs w:val="24"/>
        </w:rPr>
        <w:t xml:space="preserve"> </w:t>
      </w:r>
    </w:p>
    <w:p w14:paraId="67B16F81" w14:textId="6141D78B" w:rsidR="00A1191B" w:rsidRPr="004A0323" w:rsidRDefault="00596AEF" w:rsidP="00513F10">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In their </w:t>
      </w:r>
      <w:r w:rsidR="00B77A68" w:rsidRPr="004A0323">
        <w:rPr>
          <w:rFonts w:asciiTheme="majorBidi" w:hAnsiTheme="majorBidi" w:cstheme="majorBidi"/>
          <w:color w:val="000000" w:themeColor="text1"/>
          <w:szCs w:val="24"/>
        </w:rPr>
        <w:t>editorial for</w:t>
      </w:r>
      <w:r w:rsidRPr="004A0323">
        <w:rPr>
          <w:rFonts w:asciiTheme="majorBidi" w:hAnsiTheme="majorBidi" w:cstheme="majorBidi"/>
          <w:color w:val="000000" w:themeColor="text1"/>
          <w:szCs w:val="24"/>
        </w:rPr>
        <w:t xml:space="preserve"> this special issue, </w:t>
      </w:r>
      <w:r w:rsidR="008C442F" w:rsidRPr="004A0323">
        <w:rPr>
          <w:rFonts w:asciiTheme="majorBidi" w:hAnsiTheme="majorBidi" w:cstheme="majorBidi"/>
          <w:color w:val="000000" w:themeColor="text1"/>
          <w:szCs w:val="24"/>
        </w:rPr>
        <w:t>Mena</w:t>
      </w:r>
      <w:r w:rsidRPr="004A0323">
        <w:rPr>
          <w:rFonts w:asciiTheme="majorBidi" w:hAnsiTheme="majorBidi" w:cstheme="majorBidi"/>
          <w:color w:val="000000" w:themeColor="text1"/>
          <w:szCs w:val="24"/>
        </w:rPr>
        <w:t xml:space="preserve"> </w:t>
      </w:r>
      <w:r w:rsidRPr="004A0323">
        <w:rPr>
          <w:rFonts w:asciiTheme="majorBidi" w:hAnsiTheme="majorBidi" w:cstheme="majorBidi"/>
          <w:i/>
          <w:color w:val="000000" w:themeColor="text1"/>
          <w:szCs w:val="24"/>
        </w:rPr>
        <w:t>et. al.</w:t>
      </w:r>
      <w:r w:rsidRPr="004A0323">
        <w:rPr>
          <w:rFonts w:asciiTheme="majorBidi" w:hAnsiTheme="majorBidi" w:cstheme="majorBidi"/>
          <w:color w:val="000000" w:themeColor="text1"/>
          <w:szCs w:val="24"/>
        </w:rPr>
        <w:t xml:space="preserve"> highlight two crucial aspects of regulatory intermediation</w:t>
      </w:r>
      <w:r w:rsidR="00D87DAB" w:rsidRPr="004A0323">
        <w:rPr>
          <w:rFonts w:asciiTheme="majorBidi" w:hAnsiTheme="majorBidi" w:cstheme="majorBidi"/>
          <w:color w:val="000000" w:themeColor="text1"/>
          <w:szCs w:val="24"/>
        </w:rPr>
        <w:t xml:space="preserve"> in transnational governance</w:t>
      </w:r>
      <w:r w:rsidR="006E0D8F" w:rsidRPr="004A0323">
        <w:rPr>
          <w:rFonts w:asciiTheme="majorBidi" w:hAnsiTheme="majorBidi" w:cstheme="majorBidi"/>
          <w:color w:val="000000" w:themeColor="text1"/>
          <w:szCs w:val="24"/>
        </w:rPr>
        <w:t>:</w:t>
      </w:r>
      <w:r w:rsidRPr="004A0323">
        <w:rPr>
          <w:rFonts w:asciiTheme="majorBidi" w:hAnsiTheme="majorBidi" w:cstheme="majorBidi"/>
          <w:color w:val="000000" w:themeColor="text1"/>
          <w:szCs w:val="24"/>
        </w:rPr>
        <w:t xml:space="preserve"> </w:t>
      </w:r>
      <w:r w:rsidR="006E0D8F" w:rsidRPr="004A0323">
        <w:rPr>
          <w:rFonts w:asciiTheme="majorBidi" w:hAnsiTheme="majorBidi" w:cstheme="majorBidi"/>
          <w:color w:val="000000" w:themeColor="text1"/>
          <w:szCs w:val="24"/>
        </w:rPr>
        <w:t>the</w:t>
      </w:r>
      <w:r w:rsidRPr="004A0323">
        <w:rPr>
          <w:rFonts w:asciiTheme="majorBidi" w:hAnsiTheme="majorBidi" w:cstheme="majorBidi"/>
          <w:color w:val="000000" w:themeColor="text1"/>
          <w:szCs w:val="24"/>
        </w:rPr>
        <w:t xml:space="preserve"> presence or absence of an official mandate from a rule-maker and the </w:t>
      </w:r>
      <w:r w:rsidR="00A1191B" w:rsidRPr="004A0323">
        <w:rPr>
          <w:rFonts w:asciiTheme="majorBidi" w:hAnsiTheme="majorBidi" w:cstheme="majorBidi"/>
          <w:color w:val="000000" w:themeColor="text1"/>
          <w:szCs w:val="24"/>
        </w:rPr>
        <w:t xml:space="preserve">degree </w:t>
      </w:r>
      <w:r w:rsidRPr="004A0323">
        <w:rPr>
          <w:rFonts w:asciiTheme="majorBidi" w:hAnsiTheme="majorBidi" w:cstheme="majorBidi"/>
          <w:color w:val="000000" w:themeColor="text1"/>
          <w:szCs w:val="24"/>
        </w:rPr>
        <w:t xml:space="preserve">of formalization of regulatory intermediation procedures. </w:t>
      </w:r>
      <w:r w:rsidR="00B43E64" w:rsidRPr="004A0323">
        <w:rPr>
          <w:rFonts w:asciiTheme="majorBidi" w:hAnsiTheme="majorBidi" w:cstheme="majorBidi"/>
          <w:color w:val="000000" w:themeColor="text1"/>
          <w:szCs w:val="24"/>
        </w:rPr>
        <w:t xml:space="preserve">They argue that these two </w:t>
      </w:r>
      <w:r w:rsidR="00A1191B" w:rsidRPr="004A0323">
        <w:rPr>
          <w:rFonts w:asciiTheme="majorBidi" w:hAnsiTheme="majorBidi" w:cstheme="majorBidi"/>
          <w:color w:val="000000" w:themeColor="text1"/>
          <w:szCs w:val="24"/>
        </w:rPr>
        <w:t xml:space="preserve">dimensions </w:t>
      </w:r>
      <w:r w:rsidR="001303A4" w:rsidRPr="004A0323">
        <w:rPr>
          <w:rFonts w:asciiTheme="majorBidi" w:hAnsiTheme="majorBidi" w:cstheme="majorBidi"/>
          <w:color w:val="000000" w:themeColor="text1"/>
          <w:szCs w:val="24"/>
        </w:rPr>
        <w:t xml:space="preserve">define the type of intermediation likely to </w:t>
      </w:r>
      <w:r w:rsidR="00A1191B" w:rsidRPr="004A0323">
        <w:rPr>
          <w:rFonts w:asciiTheme="majorBidi" w:hAnsiTheme="majorBidi" w:cstheme="majorBidi"/>
          <w:color w:val="000000" w:themeColor="text1"/>
          <w:szCs w:val="24"/>
        </w:rPr>
        <w:t xml:space="preserve">emerge </w:t>
      </w:r>
      <w:r w:rsidR="001303A4" w:rsidRPr="004A0323">
        <w:rPr>
          <w:rFonts w:asciiTheme="majorBidi" w:hAnsiTheme="majorBidi" w:cstheme="majorBidi"/>
          <w:color w:val="000000" w:themeColor="text1"/>
          <w:szCs w:val="24"/>
        </w:rPr>
        <w:t xml:space="preserve">in private regulation initiatives, and that intermediation may change its characters and properties depending on how it evolves along the lines of </w:t>
      </w:r>
      <w:r w:rsidR="00A1191B" w:rsidRPr="004A0323">
        <w:rPr>
          <w:rFonts w:asciiTheme="majorBidi" w:hAnsiTheme="majorBidi" w:cstheme="majorBidi"/>
          <w:color w:val="000000" w:themeColor="text1"/>
          <w:szCs w:val="24"/>
        </w:rPr>
        <w:t>such</w:t>
      </w:r>
      <w:r w:rsidR="001303A4" w:rsidRPr="004A0323">
        <w:rPr>
          <w:rFonts w:asciiTheme="majorBidi" w:hAnsiTheme="majorBidi" w:cstheme="majorBidi"/>
          <w:color w:val="000000" w:themeColor="text1"/>
          <w:szCs w:val="24"/>
        </w:rPr>
        <w:t xml:space="preserve"> dimensions. </w:t>
      </w:r>
    </w:p>
    <w:p w14:paraId="1CD6979D" w14:textId="71233B87" w:rsidR="006E0D8F" w:rsidRPr="004A0323" w:rsidRDefault="00A1191B" w:rsidP="00513F10">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Mena </w:t>
      </w:r>
      <w:r w:rsidRPr="004A0323">
        <w:rPr>
          <w:rFonts w:asciiTheme="majorBidi" w:hAnsiTheme="majorBidi" w:cstheme="majorBidi"/>
          <w:i/>
          <w:color w:val="000000" w:themeColor="text1"/>
          <w:szCs w:val="24"/>
        </w:rPr>
        <w:t>et al.</w:t>
      </w:r>
      <w:r w:rsidR="001303A4" w:rsidRPr="004A0323">
        <w:rPr>
          <w:rFonts w:asciiTheme="majorBidi" w:hAnsiTheme="majorBidi" w:cstheme="majorBidi"/>
          <w:color w:val="000000" w:themeColor="text1"/>
          <w:szCs w:val="24"/>
        </w:rPr>
        <w:t xml:space="preserve"> </w:t>
      </w:r>
      <w:r w:rsidR="006B66BD" w:rsidRPr="004A0323">
        <w:rPr>
          <w:rFonts w:asciiTheme="majorBidi" w:hAnsiTheme="majorBidi" w:cstheme="majorBidi"/>
          <w:color w:val="000000" w:themeColor="text1"/>
          <w:szCs w:val="24"/>
        </w:rPr>
        <w:t>argue that</w:t>
      </w:r>
      <w:r w:rsidR="001303A4" w:rsidRPr="004A0323">
        <w:rPr>
          <w:rFonts w:asciiTheme="majorBidi" w:hAnsiTheme="majorBidi" w:cstheme="majorBidi"/>
          <w:color w:val="000000" w:themeColor="text1"/>
          <w:szCs w:val="24"/>
        </w:rPr>
        <w:t xml:space="preserve"> intermediation </w:t>
      </w:r>
      <w:r w:rsidR="006B66BD" w:rsidRPr="004A0323">
        <w:rPr>
          <w:rFonts w:asciiTheme="majorBidi" w:hAnsiTheme="majorBidi" w:cstheme="majorBidi"/>
          <w:color w:val="000000" w:themeColor="text1"/>
          <w:szCs w:val="24"/>
        </w:rPr>
        <w:t xml:space="preserve">is to be seen </w:t>
      </w:r>
      <w:r w:rsidR="001303A4" w:rsidRPr="004A0323">
        <w:rPr>
          <w:rFonts w:asciiTheme="majorBidi" w:hAnsiTheme="majorBidi" w:cstheme="majorBidi"/>
          <w:color w:val="000000" w:themeColor="text1"/>
          <w:szCs w:val="24"/>
        </w:rPr>
        <w:t xml:space="preserve">as an emergent process </w:t>
      </w:r>
      <w:r w:rsidR="006B66BD" w:rsidRPr="004A0323">
        <w:rPr>
          <w:rFonts w:asciiTheme="majorBidi" w:hAnsiTheme="majorBidi" w:cstheme="majorBidi"/>
          <w:color w:val="000000" w:themeColor="text1"/>
          <w:szCs w:val="24"/>
        </w:rPr>
        <w:t xml:space="preserve">which can develop in unexpected directions and </w:t>
      </w:r>
      <w:r w:rsidR="001303A4" w:rsidRPr="004A0323">
        <w:rPr>
          <w:rFonts w:asciiTheme="majorBidi" w:hAnsiTheme="majorBidi" w:cstheme="majorBidi"/>
          <w:color w:val="000000" w:themeColor="text1"/>
          <w:szCs w:val="24"/>
        </w:rPr>
        <w:t xml:space="preserve">whose </w:t>
      </w:r>
      <w:r w:rsidR="006B66BD" w:rsidRPr="004A0323">
        <w:rPr>
          <w:rFonts w:asciiTheme="majorBidi" w:hAnsiTheme="majorBidi" w:cstheme="majorBidi"/>
          <w:color w:val="000000" w:themeColor="text1"/>
          <w:szCs w:val="24"/>
        </w:rPr>
        <w:t>unfolding</w:t>
      </w:r>
      <w:r w:rsidR="001303A4" w:rsidRPr="004A0323">
        <w:rPr>
          <w:rFonts w:asciiTheme="majorBidi" w:hAnsiTheme="majorBidi" w:cstheme="majorBidi"/>
          <w:color w:val="000000" w:themeColor="text1"/>
          <w:szCs w:val="24"/>
        </w:rPr>
        <w:t xml:space="preserve"> needs to be analyzed beyond formal structural features such as </w:t>
      </w:r>
      <w:r w:rsidR="001E617F" w:rsidRPr="004A0323">
        <w:rPr>
          <w:rFonts w:asciiTheme="majorBidi" w:hAnsiTheme="majorBidi" w:cstheme="majorBidi"/>
          <w:color w:val="000000" w:themeColor="text1"/>
          <w:szCs w:val="24"/>
        </w:rPr>
        <w:t xml:space="preserve">the existence of an </w:t>
      </w:r>
      <w:r w:rsidR="001303A4" w:rsidRPr="004A0323">
        <w:rPr>
          <w:rFonts w:asciiTheme="majorBidi" w:hAnsiTheme="majorBidi" w:cstheme="majorBidi"/>
          <w:color w:val="000000" w:themeColor="text1"/>
          <w:szCs w:val="24"/>
        </w:rPr>
        <w:t>official mandate and the codified natur</w:t>
      </w:r>
      <w:r w:rsidR="006B66BD" w:rsidRPr="004A0323">
        <w:rPr>
          <w:rFonts w:asciiTheme="majorBidi" w:hAnsiTheme="majorBidi" w:cstheme="majorBidi"/>
          <w:color w:val="000000" w:themeColor="text1"/>
          <w:szCs w:val="24"/>
        </w:rPr>
        <w:t xml:space="preserve">e of the intermediation process. In particular, Mena </w:t>
      </w:r>
      <w:r w:rsidR="006B66BD" w:rsidRPr="004A0323">
        <w:rPr>
          <w:rFonts w:asciiTheme="majorBidi" w:hAnsiTheme="majorBidi" w:cstheme="majorBidi"/>
          <w:i/>
          <w:color w:val="000000" w:themeColor="text1"/>
          <w:szCs w:val="24"/>
        </w:rPr>
        <w:t>et al.</w:t>
      </w:r>
      <w:r w:rsidR="006B66BD" w:rsidRPr="004A0323">
        <w:rPr>
          <w:rFonts w:asciiTheme="majorBidi" w:hAnsiTheme="majorBidi" w:cstheme="majorBidi"/>
          <w:color w:val="000000" w:themeColor="text1"/>
          <w:szCs w:val="24"/>
        </w:rPr>
        <w:t xml:space="preserve"> point to the cognitive and material dimension of intermediation</w:t>
      </w:r>
      <w:r w:rsidR="002F58F0" w:rsidRPr="004A0323">
        <w:rPr>
          <w:rFonts w:asciiTheme="majorBidi" w:hAnsiTheme="majorBidi" w:cstheme="majorBidi"/>
          <w:color w:val="000000" w:themeColor="text1"/>
          <w:szCs w:val="24"/>
        </w:rPr>
        <w:t xml:space="preserve"> – how tacit or implicit norms are progressively codified and inscribed in some material artefact such as a code</w:t>
      </w:r>
      <w:r w:rsidR="006C5879" w:rsidRPr="004A0323">
        <w:rPr>
          <w:rFonts w:asciiTheme="majorBidi" w:hAnsiTheme="majorBidi" w:cstheme="majorBidi"/>
          <w:color w:val="000000" w:themeColor="text1"/>
          <w:szCs w:val="24"/>
        </w:rPr>
        <w:t>, or else kept “</w:t>
      </w:r>
      <w:r w:rsidR="00045DC5" w:rsidRPr="004A0323">
        <w:rPr>
          <w:rFonts w:asciiTheme="majorBidi" w:hAnsiTheme="majorBidi" w:cstheme="majorBidi"/>
          <w:color w:val="000000" w:themeColor="text1"/>
          <w:szCs w:val="24"/>
        </w:rPr>
        <w:t>un</w:t>
      </w:r>
      <w:r w:rsidR="006C5879" w:rsidRPr="004A0323">
        <w:rPr>
          <w:rFonts w:asciiTheme="majorBidi" w:hAnsiTheme="majorBidi" w:cstheme="majorBidi"/>
          <w:color w:val="000000" w:themeColor="text1"/>
          <w:szCs w:val="24"/>
        </w:rPr>
        <w:t>formal</w:t>
      </w:r>
      <w:r w:rsidR="00045DC5" w:rsidRPr="004A0323">
        <w:rPr>
          <w:rFonts w:asciiTheme="majorBidi" w:hAnsiTheme="majorBidi" w:cstheme="majorBidi"/>
          <w:color w:val="000000" w:themeColor="text1"/>
          <w:szCs w:val="24"/>
        </w:rPr>
        <w:t>ized</w:t>
      </w:r>
      <w:r w:rsidR="006C5879" w:rsidRPr="004A0323">
        <w:rPr>
          <w:rFonts w:asciiTheme="majorBidi" w:hAnsiTheme="majorBidi" w:cstheme="majorBidi"/>
          <w:color w:val="000000" w:themeColor="text1"/>
          <w:szCs w:val="24"/>
        </w:rPr>
        <w:t>”</w:t>
      </w:r>
      <w:r w:rsidR="002F58F0" w:rsidRPr="004A0323">
        <w:rPr>
          <w:rFonts w:asciiTheme="majorBidi" w:hAnsiTheme="majorBidi" w:cstheme="majorBidi"/>
          <w:color w:val="000000" w:themeColor="text1"/>
          <w:szCs w:val="24"/>
        </w:rPr>
        <w:t xml:space="preserve"> –</w:t>
      </w:r>
      <w:r w:rsidR="006B66BD" w:rsidRPr="004A0323">
        <w:rPr>
          <w:rFonts w:asciiTheme="majorBidi" w:hAnsiTheme="majorBidi" w:cstheme="majorBidi"/>
          <w:color w:val="000000" w:themeColor="text1"/>
          <w:szCs w:val="24"/>
        </w:rPr>
        <w:t xml:space="preserve"> as</w:t>
      </w:r>
      <w:r w:rsidR="002F58F0" w:rsidRPr="004A0323">
        <w:rPr>
          <w:rFonts w:asciiTheme="majorBidi" w:hAnsiTheme="majorBidi" w:cstheme="majorBidi"/>
          <w:color w:val="000000" w:themeColor="text1"/>
          <w:szCs w:val="24"/>
        </w:rPr>
        <w:t xml:space="preserve"> </w:t>
      </w:r>
      <w:r w:rsidR="006B66BD" w:rsidRPr="004A0323">
        <w:rPr>
          <w:rFonts w:asciiTheme="majorBidi" w:hAnsiTheme="majorBidi" w:cstheme="majorBidi"/>
          <w:color w:val="000000" w:themeColor="text1"/>
          <w:szCs w:val="24"/>
        </w:rPr>
        <w:t xml:space="preserve">key to understanding how the meaning of rules is negotiated, stabilized or de-stabilized over time and across changing constituencies. </w:t>
      </w:r>
    </w:p>
    <w:p w14:paraId="76B8EC3C" w14:textId="12F3772B" w:rsidR="005A492E" w:rsidRPr="004A0323" w:rsidRDefault="00D7014D" w:rsidP="00F07D2A">
      <w:pPr>
        <w:pStyle w:val="Body"/>
        <w:spacing w:after="120"/>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Our </w:t>
      </w:r>
      <w:r w:rsidR="00D0000D" w:rsidRPr="004A0323">
        <w:rPr>
          <w:rFonts w:asciiTheme="majorBidi" w:hAnsiTheme="majorBidi" w:cstheme="majorBidi"/>
          <w:color w:val="000000" w:themeColor="text1"/>
          <w:szCs w:val="24"/>
        </w:rPr>
        <w:t>study follows th</w:t>
      </w:r>
      <w:r w:rsidR="00AB4113" w:rsidRPr="004A0323">
        <w:rPr>
          <w:rFonts w:asciiTheme="majorBidi" w:hAnsiTheme="majorBidi" w:cstheme="majorBidi"/>
          <w:color w:val="000000" w:themeColor="text1"/>
          <w:szCs w:val="24"/>
        </w:rPr>
        <w:t>ese</w:t>
      </w:r>
      <w:r w:rsidR="00D0000D" w:rsidRPr="004A0323">
        <w:rPr>
          <w:rFonts w:asciiTheme="majorBidi" w:hAnsiTheme="majorBidi" w:cstheme="majorBidi"/>
          <w:color w:val="000000" w:themeColor="text1"/>
          <w:szCs w:val="24"/>
        </w:rPr>
        <w:t xml:space="preserve"> line</w:t>
      </w:r>
      <w:r w:rsidR="00AB4113" w:rsidRPr="004A0323">
        <w:rPr>
          <w:rFonts w:asciiTheme="majorBidi" w:hAnsiTheme="majorBidi" w:cstheme="majorBidi"/>
          <w:color w:val="000000" w:themeColor="text1"/>
          <w:szCs w:val="24"/>
        </w:rPr>
        <w:t>s</w:t>
      </w:r>
      <w:r w:rsidR="00D0000D" w:rsidRPr="004A0323">
        <w:rPr>
          <w:rFonts w:asciiTheme="majorBidi" w:hAnsiTheme="majorBidi" w:cstheme="majorBidi"/>
          <w:color w:val="000000" w:themeColor="text1"/>
          <w:szCs w:val="24"/>
        </w:rPr>
        <w:t xml:space="preserve"> of argument by examining the role of formalization in the interplay between input and output legitimacy, and between legitimacy and compliance. </w:t>
      </w:r>
      <w:r w:rsidR="005B5FFA" w:rsidRPr="004A0323">
        <w:rPr>
          <w:rFonts w:asciiTheme="majorBidi" w:hAnsiTheme="majorBidi" w:cstheme="majorBidi"/>
          <w:color w:val="000000" w:themeColor="text1"/>
          <w:szCs w:val="24"/>
        </w:rPr>
        <w:t>We analyze</w:t>
      </w:r>
      <w:r w:rsidR="00596AEF" w:rsidRPr="004A0323">
        <w:rPr>
          <w:rFonts w:asciiTheme="majorBidi" w:hAnsiTheme="majorBidi" w:cstheme="majorBidi"/>
          <w:color w:val="000000" w:themeColor="text1"/>
          <w:szCs w:val="24"/>
        </w:rPr>
        <w:t xml:space="preserve"> an “unofficial”</w:t>
      </w:r>
      <w:r w:rsidR="005B5FFA" w:rsidRPr="004A0323">
        <w:rPr>
          <w:rFonts w:asciiTheme="majorBidi" w:hAnsiTheme="majorBidi" w:cstheme="majorBidi"/>
          <w:color w:val="000000" w:themeColor="text1"/>
          <w:szCs w:val="24"/>
        </w:rPr>
        <w:t xml:space="preserve">, </w:t>
      </w:r>
      <w:r w:rsidRPr="004A0323">
        <w:rPr>
          <w:rFonts w:asciiTheme="majorBidi" w:hAnsiTheme="majorBidi" w:cstheme="majorBidi"/>
          <w:color w:val="000000" w:themeColor="text1"/>
          <w:szCs w:val="24"/>
        </w:rPr>
        <w:t xml:space="preserve">“beneficiary-related” (Monciardini &amp; Conaldi this issue), </w:t>
      </w:r>
      <w:r w:rsidR="005B5FFA" w:rsidRPr="004A0323">
        <w:rPr>
          <w:rFonts w:asciiTheme="majorBidi" w:hAnsiTheme="majorBidi" w:cstheme="majorBidi"/>
          <w:color w:val="000000" w:themeColor="text1"/>
          <w:szCs w:val="24"/>
        </w:rPr>
        <w:t>“</w:t>
      </w:r>
      <w:r w:rsidR="00596AEF" w:rsidRPr="004A0323">
        <w:rPr>
          <w:rFonts w:asciiTheme="majorBidi" w:hAnsiTheme="majorBidi" w:cstheme="majorBidi"/>
          <w:color w:val="000000" w:themeColor="text1"/>
          <w:szCs w:val="24"/>
        </w:rPr>
        <w:t xml:space="preserve">non-delegated rule intermediary” (Marx </w:t>
      </w:r>
      <w:r w:rsidR="00596AEF" w:rsidRPr="004A0323">
        <w:rPr>
          <w:rFonts w:asciiTheme="majorBidi" w:hAnsiTheme="majorBidi" w:cstheme="majorBidi"/>
          <w:i/>
          <w:color w:val="000000" w:themeColor="text1"/>
          <w:szCs w:val="24"/>
        </w:rPr>
        <w:t>et. al.</w:t>
      </w:r>
      <w:r w:rsidR="00596AEF" w:rsidRPr="004A0323">
        <w:rPr>
          <w:rFonts w:asciiTheme="majorBidi" w:hAnsiTheme="majorBidi" w:cstheme="majorBidi"/>
          <w:color w:val="000000" w:themeColor="text1"/>
          <w:szCs w:val="24"/>
        </w:rPr>
        <w:t xml:space="preserve"> 2017) </w:t>
      </w:r>
      <w:r w:rsidR="005B5FFA" w:rsidRPr="004A0323">
        <w:rPr>
          <w:rFonts w:asciiTheme="majorBidi" w:hAnsiTheme="majorBidi" w:cstheme="majorBidi"/>
          <w:color w:val="000000" w:themeColor="text1"/>
          <w:szCs w:val="24"/>
        </w:rPr>
        <w:t xml:space="preserve">in </w:t>
      </w:r>
      <w:r w:rsidR="00596AEF" w:rsidRPr="004A0323">
        <w:rPr>
          <w:rFonts w:asciiTheme="majorBidi" w:hAnsiTheme="majorBidi" w:cstheme="majorBidi"/>
          <w:color w:val="000000" w:themeColor="text1"/>
          <w:szCs w:val="24"/>
        </w:rPr>
        <w:t>its efforts to construct for itself a “stakeholder mand</w:t>
      </w:r>
      <w:r w:rsidR="00492807" w:rsidRPr="004A0323">
        <w:rPr>
          <w:rFonts w:asciiTheme="majorBidi" w:hAnsiTheme="majorBidi" w:cstheme="majorBidi"/>
          <w:color w:val="000000" w:themeColor="text1"/>
          <w:szCs w:val="24"/>
        </w:rPr>
        <w:t>at</w:t>
      </w:r>
      <w:r w:rsidRPr="004A0323">
        <w:rPr>
          <w:rFonts w:asciiTheme="majorBidi" w:hAnsiTheme="majorBidi" w:cstheme="majorBidi"/>
          <w:color w:val="000000" w:themeColor="text1"/>
          <w:szCs w:val="24"/>
        </w:rPr>
        <w:t>e</w:t>
      </w:r>
      <w:r w:rsidR="00492807" w:rsidRPr="004A0323">
        <w:rPr>
          <w:rFonts w:asciiTheme="majorBidi" w:hAnsiTheme="majorBidi" w:cstheme="majorBidi"/>
          <w:color w:val="000000" w:themeColor="text1"/>
          <w:szCs w:val="24"/>
        </w:rPr>
        <w:t xml:space="preserve">”. We </w:t>
      </w:r>
      <w:r w:rsidR="00A1191B" w:rsidRPr="004A0323">
        <w:rPr>
          <w:rFonts w:asciiTheme="majorBidi" w:hAnsiTheme="majorBidi" w:cstheme="majorBidi"/>
          <w:color w:val="000000" w:themeColor="text1"/>
          <w:szCs w:val="24"/>
        </w:rPr>
        <w:t xml:space="preserve">detail </w:t>
      </w:r>
      <w:r w:rsidR="005B5FFA" w:rsidRPr="004A0323">
        <w:rPr>
          <w:rFonts w:asciiTheme="majorBidi" w:hAnsiTheme="majorBidi" w:cstheme="majorBidi"/>
          <w:color w:val="000000" w:themeColor="text1"/>
          <w:szCs w:val="24"/>
        </w:rPr>
        <w:t xml:space="preserve">how these efforts have been </w:t>
      </w:r>
      <w:r w:rsidR="008402F0" w:rsidRPr="004A0323">
        <w:rPr>
          <w:rFonts w:asciiTheme="majorBidi" w:hAnsiTheme="majorBidi" w:cstheme="majorBidi"/>
          <w:color w:val="000000" w:themeColor="text1"/>
          <w:szCs w:val="24"/>
        </w:rPr>
        <w:t>shaped</w:t>
      </w:r>
      <w:r w:rsidR="005B5FFA" w:rsidRPr="004A0323">
        <w:rPr>
          <w:rFonts w:asciiTheme="majorBidi" w:hAnsiTheme="majorBidi" w:cstheme="majorBidi"/>
          <w:color w:val="000000" w:themeColor="text1"/>
          <w:szCs w:val="24"/>
        </w:rPr>
        <w:t xml:space="preserve"> by the development of performance indicators and scoring guidelines with different degrees of formalization</w:t>
      </w:r>
      <w:r w:rsidR="00EE3E0B" w:rsidRPr="004A0323">
        <w:rPr>
          <w:rFonts w:asciiTheme="majorBidi" w:hAnsiTheme="majorBidi" w:cstheme="majorBidi"/>
          <w:color w:val="000000" w:themeColor="text1"/>
          <w:szCs w:val="24"/>
        </w:rPr>
        <w:t xml:space="preserve">, where </w:t>
      </w:r>
      <w:r w:rsidR="00EE3E0B" w:rsidRPr="004A0323">
        <w:rPr>
          <w:rFonts w:asciiTheme="majorBidi" w:hAnsiTheme="majorBidi" w:cstheme="majorBidi"/>
          <w:color w:val="000000" w:themeColor="text1"/>
          <w:szCs w:val="24"/>
        </w:rPr>
        <w:lastRenderedPageBreak/>
        <w:t>such guidelines provide a flexible mechanism to mediate between polarized stakeholder views while at the same optimizing the possibility of compliance by the targets</w:t>
      </w:r>
      <w:r w:rsidR="005B5FFA" w:rsidRPr="004A0323">
        <w:rPr>
          <w:rFonts w:asciiTheme="majorBidi" w:hAnsiTheme="majorBidi" w:cstheme="majorBidi"/>
          <w:color w:val="000000" w:themeColor="text1"/>
          <w:szCs w:val="24"/>
        </w:rPr>
        <w:t xml:space="preserve">. </w:t>
      </w:r>
    </w:p>
    <w:p w14:paraId="141D6E3D" w14:textId="79CFCA41" w:rsidR="00596AEF" w:rsidRPr="004A0323" w:rsidRDefault="00BC0BD2" w:rsidP="00513F10">
      <w:pPr>
        <w:pStyle w:val="Body"/>
        <w:ind w:left="567"/>
        <w:rPr>
          <w:rFonts w:asciiTheme="majorBidi" w:hAnsiTheme="majorBidi" w:cstheme="majorBidi"/>
          <w:color w:val="000000" w:themeColor="text1"/>
          <w:szCs w:val="24"/>
        </w:rPr>
      </w:pPr>
      <w:r w:rsidRPr="004A0323">
        <w:rPr>
          <w:rFonts w:asciiTheme="majorBidi" w:hAnsiTheme="majorBidi" w:cstheme="majorBidi"/>
          <w:i/>
          <w:color w:val="000000" w:themeColor="text1"/>
          <w:szCs w:val="24"/>
        </w:rPr>
        <w:t>2.2 Regulatory intermediation and governance by indicators</w:t>
      </w:r>
    </w:p>
    <w:p w14:paraId="7F9CB977" w14:textId="243D6A8B" w:rsidR="006A1F7D" w:rsidRPr="004A0323" w:rsidRDefault="004D2B81" w:rsidP="00513F10">
      <w:pPr>
        <w:pStyle w:val="Body"/>
        <w:ind w:firstLine="567"/>
        <w:rPr>
          <w:rFonts w:asciiTheme="majorBidi" w:hAnsiTheme="majorBidi" w:cstheme="majorBidi"/>
          <w:color w:val="000000" w:themeColor="text1"/>
        </w:rPr>
      </w:pPr>
      <w:r w:rsidRPr="004A0323">
        <w:rPr>
          <w:rFonts w:asciiTheme="majorBidi" w:hAnsiTheme="majorBidi" w:cstheme="majorBidi"/>
          <w:color w:val="000000" w:themeColor="text1"/>
          <w:szCs w:val="24"/>
        </w:rPr>
        <w:t xml:space="preserve">The rapid proliferation of indicators, rankings and ratings in the polity during the past few decades </w:t>
      </w:r>
      <w:r w:rsidR="00A868EA" w:rsidRPr="004A0323">
        <w:rPr>
          <w:rFonts w:asciiTheme="majorBidi" w:hAnsiTheme="majorBidi" w:cstheme="majorBidi"/>
          <w:color w:val="000000" w:themeColor="text1"/>
          <w:szCs w:val="24"/>
        </w:rPr>
        <w:t xml:space="preserve">(Davis </w:t>
      </w:r>
      <w:r w:rsidR="00A868EA" w:rsidRPr="004A0323">
        <w:rPr>
          <w:rFonts w:asciiTheme="majorBidi" w:hAnsiTheme="majorBidi" w:cstheme="majorBidi"/>
          <w:i/>
          <w:color w:val="000000" w:themeColor="text1"/>
          <w:szCs w:val="24"/>
        </w:rPr>
        <w:t>et al.</w:t>
      </w:r>
      <w:r w:rsidR="00A868EA" w:rsidRPr="004A0323">
        <w:rPr>
          <w:rFonts w:asciiTheme="majorBidi" w:hAnsiTheme="majorBidi" w:cstheme="majorBidi"/>
          <w:color w:val="000000" w:themeColor="text1"/>
          <w:szCs w:val="24"/>
        </w:rPr>
        <w:t xml:space="preserve"> 2012; Malito </w:t>
      </w:r>
      <w:r w:rsidR="00A868EA" w:rsidRPr="004A0323">
        <w:rPr>
          <w:rFonts w:asciiTheme="majorBidi" w:hAnsiTheme="majorBidi" w:cstheme="majorBidi"/>
          <w:i/>
          <w:color w:val="000000" w:themeColor="text1"/>
          <w:szCs w:val="24"/>
        </w:rPr>
        <w:t xml:space="preserve">et al. </w:t>
      </w:r>
      <w:r w:rsidR="00A868EA" w:rsidRPr="004A0323">
        <w:rPr>
          <w:rFonts w:asciiTheme="majorBidi" w:hAnsiTheme="majorBidi" w:cstheme="majorBidi"/>
          <w:color w:val="000000" w:themeColor="text1"/>
          <w:szCs w:val="24"/>
        </w:rPr>
        <w:t xml:space="preserve">2018; Rottenburg </w:t>
      </w:r>
      <w:r w:rsidR="00A868EA" w:rsidRPr="004A0323">
        <w:rPr>
          <w:rFonts w:asciiTheme="majorBidi" w:hAnsiTheme="majorBidi" w:cstheme="majorBidi"/>
          <w:i/>
          <w:color w:val="000000" w:themeColor="text1"/>
          <w:szCs w:val="24"/>
        </w:rPr>
        <w:t>et al.</w:t>
      </w:r>
      <w:r w:rsidR="00A868EA" w:rsidRPr="004A0323">
        <w:rPr>
          <w:rFonts w:asciiTheme="majorBidi" w:hAnsiTheme="majorBidi" w:cstheme="majorBidi"/>
          <w:color w:val="000000" w:themeColor="text1"/>
          <w:szCs w:val="24"/>
        </w:rPr>
        <w:t xml:space="preserve"> 2015)</w:t>
      </w:r>
      <w:r w:rsidR="00A868EA" w:rsidRPr="004A0323">
        <w:rPr>
          <w:color w:val="000000" w:themeColor="text1"/>
        </w:rPr>
        <w:t xml:space="preserve"> </w:t>
      </w:r>
      <w:r w:rsidRPr="004A0323">
        <w:rPr>
          <w:rFonts w:asciiTheme="majorBidi" w:hAnsiTheme="majorBidi" w:cstheme="majorBidi"/>
          <w:color w:val="000000" w:themeColor="text1"/>
          <w:szCs w:val="24"/>
        </w:rPr>
        <w:t xml:space="preserve">speaks of a calculative turn in regulation and governance. </w:t>
      </w:r>
      <w:r w:rsidR="006A1F7D" w:rsidRPr="004A0323">
        <w:rPr>
          <w:rFonts w:asciiTheme="majorBidi" w:hAnsiTheme="majorBidi" w:cstheme="majorBidi"/>
          <w:color w:val="000000" w:themeColor="text1"/>
          <w:szCs w:val="24"/>
        </w:rPr>
        <w:t>For example, a host of “regulatory rankings”</w:t>
      </w:r>
      <w:r w:rsidR="00E416E5" w:rsidRPr="004A0323">
        <w:rPr>
          <w:rFonts w:asciiTheme="majorBidi" w:hAnsiTheme="majorBidi" w:cstheme="majorBidi"/>
          <w:color w:val="000000" w:themeColor="text1"/>
          <w:szCs w:val="24"/>
        </w:rPr>
        <w:t xml:space="preserve"> (Mehrpouya &amp; Samiolo 2016)</w:t>
      </w:r>
      <w:r w:rsidR="006A1F7D" w:rsidRPr="004A0323">
        <w:rPr>
          <w:rFonts w:asciiTheme="majorBidi" w:hAnsiTheme="majorBidi" w:cstheme="majorBidi"/>
          <w:color w:val="000000" w:themeColor="text1"/>
          <w:szCs w:val="24"/>
        </w:rPr>
        <w:t xml:space="preserve"> now use performance measurement and benchmarking as a basis for </w:t>
      </w:r>
      <w:r w:rsidR="00E416E5" w:rsidRPr="004A0323">
        <w:rPr>
          <w:rFonts w:asciiTheme="majorBidi" w:hAnsiTheme="majorBidi" w:cstheme="majorBidi"/>
          <w:color w:val="000000" w:themeColor="text1"/>
          <w:szCs w:val="24"/>
        </w:rPr>
        <w:t xml:space="preserve">understanding and promoting </w:t>
      </w:r>
      <w:r w:rsidR="006A1F7D" w:rsidRPr="004A0323">
        <w:rPr>
          <w:rFonts w:asciiTheme="majorBidi" w:hAnsiTheme="majorBidi" w:cstheme="majorBidi"/>
          <w:color w:val="000000" w:themeColor="text1"/>
          <w:szCs w:val="24"/>
        </w:rPr>
        <w:t>company compliance</w:t>
      </w:r>
      <w:r w:rsidR="00A868EA" w:rsidRPr="004A0323">
        <w:rPr>
          <w:rFonts w:asciiTheme="majorBidi" w:hAnsiTheme="majorBidi" w:cstheme="majorBidi"/>
          <w:color w:val="000000" w:themeColor="text1"/>
          <w:szCs w:val="24"/>
        </w:rPr>
        <w:t xml:space="preserve"> with stakeholder-defined standards and best practices</w:t>
      </w:r>
      <w:r w:rsidR="006A1F7D" w:rsidRPr="004A0323">
        <w:rPr>
          <w:rFonts w:asciiTheme="majorBidi" w:hAnsiTheme="majorBidi" w:cstheme="majorBidi"/>
          <w:color w:val="000000" w:themeColor="text1"/>
          <w:szCs w:val="24"/>
        </w:rPr>
        <w:t xml:space="preserve">: Access to Nutrition Index, Access to Seeds Index, Responsible Mining Index, Access to Vaccines Index, </w:t>
      </w:r>
      <w:commentRangeStart w:id="4"/>
      <w:r w:rsidR="00B223AB" w:rsidRPr="004A0323">
        <w:rPr>
          <w:rFonts w:asciiTheme="majorBidi" w:hAnsiTheme="majorBidi" w:cstheme="majorBidi"/>
          <w:color w:val="000000" w:themeColor="text1"/>
          <w:szCs w:val="24"/>
        </w:rPr>
        <w:t>Corporate</w:t>
      </w:r>
      <w:r w:rsidR="006A1F7D" w:rsidRPr="004A0323">
        <w:rPr>
          <w:rFonts w:asciiTheme="majorBidi" w:hAnsiTheme="majorBidi" w:cstheme="majorBidi"/>
          <w:color w:val="000000" w:themeColor="text1"/>
          <w:szCs w:val="24"/>
        </w:rPr>
        <w:t xml:space="preserve"> Human Rights </w:t>
      </w:r>
      <w:commentRangeEnd w:id="4"/>
      <w:r w:rsidR="00B223AB" w:rsidRPr="004A0323">
        <w:rPr>
          <w:rFonts w:asciiTheme="majorBidi" w:hAnsiTheme="majorBidi" w:cstheme="majorBidi"/>
          <w:color w:val="000000" w:themeColor="text1"/>
          <w:szCs w:val="24"/>
        </w:rPr>
        <w:t xml:space="preserve">Benchmark, </w:t>
      </w:r>
      <w:r w:rsidR="003E2B05" w:rsidRPr="004A0323">
        <w:rPr>
          <w:rStyle w:val="CommentReference"/>
          <w:rFonts w:asciiTheme="majorBidi" w:eastAsiaTheme="minorHAnsi" w:hAnsiTheme="majorBidi" w:cstheme="majorBidi"/>
          <w:color w:val="000000" w:themeColor="text1"/>
          <w:bdr w:val="none" w:sz="0" w:space="0" w:color="auto"/>
          <w:lang w:val="en-GB"/>
        </w:rPr>
        <w:commentReference w:id="4"/>
      </w:r>
      <w:r w:rsidR="006A1F7D" w:rsidRPr="004A0323">
        <w:rPr>
          <w:rFonts w:asciiTheme="majorBidi" w:hAnsiTheme="majorBidi" w:cstheme="majorBidi"/>
          <w:color w:val="000000" w:themeColor="text1"/>
          <w:szCs w:val="24"/>
        </w:rPr>
        <w:t>and Access to Medicine Index (studied here).</w:t>
      </w:r>
    </w:p>
    <w:p w14:paraId="210557CC" w14:textId="6C8FE709" w:rsidR="00B8111F" w:rsidRPr="004A0323" w:rsidRDefault="004D2B81" w:rsidP="00513F10">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Governance by indicators, however, is far from uncontroversial or fully understood (Davis </w:t>
      </w:r>
      <w:r w:rsidRPr="004A0323">
        <w:rPr>
          <w:rFonts w:asciiTheme="majorBidi" w:hAnsiTheme="majorBidi" w:cstheme="majorBidi"/>
          <w:i/>
          <w:color w:val="000000" w:themeColor="text1"/>
          <w:szCs w:val="24"/>
        </w:rPr>
        <w:t>et al.</w:t>
      </w:r>
      <w:r w:rsidRPr="004A0323">
        <w:rPr>
          <w:rFonts w:asciiTheme="majorBidi" w:hAnsiTheme="majorBidi" w:cstheme="majorBidi"/>
          <w:color w:val="000000" w:themeColor="text1"/>
          <w:szCs w:val="24"/>
        </w:rPr>
        <w:t xml:space="preserve"> 2012; Rottenburg </w:t>
      </w:r>
      <w:r w:rsidRPr="004A0323">
        <w:rPr>
          <w:rFonts w:asciiTheme="majorBidi" w:hAnsiTheme="majorBidi" w:cstheme="majorBidi"/>
          <w:i/>
          <w:color w:val="000000" w:themeColor="text1"/>
          <w:szCs w:val="24"/>
        </w:rPr>
        <w:t>et al.</w:t>
      </w:r>
      <w:r w:rsidRPr="004A0323">
        <w:rPr>
          <w:rFonts w:asciiTheme="majorBidi" w:hAnsiTheme="majorBidi" w:cstheme="majorBidi"/>
          <w:color w:val="000000" w:themeColor="text1"/>
          <w:szCs w:val="24"/>
        </w:rPr>
        <w:t xml:space="preserve"> 2015). </w:t>
      </w:r>
      <w:r w:rsidR="00AB4113" w:rsidRPr="004A0323">
        <w:rPr>
          <w:rFonts w:asciiTheme="majorBidi" w:hAnsiTheme="majorBidi" w:cstheme="majorBidi"/>
          <w:color w:val="000000" w:themeColor="text1"/>
          <w:szCs w:val="24"/>
        </w:rPr>
        <w:t>In broad terms</w:t>
      </w:r>
      <w:r w:rsidR="006317A2" w:rsidRPr="004A0323">
        <w:rPr>
          <w:rFonts w:asciiTheme="majorBidi" w:hAnsiTheme="majorBidi" w:cstheme="majorBidi"/>
          <w:color w:val="000000" w:themeColor="text1"/>
          <w:szCs w:val="24"/>
        </w:rPr>
        <w:t xml:space="preserve">, the </w:t>
      </w:r>
      <w:r w:rsidRPr="004A0323">
        <w:rPr>
          <w:rFonts w:asciiTheme="majorBidi" w:hAnsiTheme="majorBidi" w:cstheme="majorBidi"/>
          <w:color w:val="000000" w:themeColor="text1"/>
          <w:szCs w:val="24"/>
        </w:rPr>
        <w:t xml:space="preserve">use of quantification in governance </w:t>
      </w:r>
      <w:r w:rsidR="00A1191B" w:rsidRPr="004A0323">
        <w:rPr>
          <w:rFonts w:asciiTheme="majorBidi" w:hAnsiTheme="majorBidi" w:cstheme="majorBidi"/>
          <w:color w:val="000000" w:themeColor="text1"/>
          <w:szCs w:val="24"/>
        </w:rPr>
        <w:t>speaks of</w:t>
      </w:r>
      <w:r w:rsidRPr="004A0323">
        <w:rPr>
          <w:rFonts w:asciiTheme="majorBidi" w:hAnsiTheme="majorBidi" w:cstheme="majorBidi"/>
          <w:color w:val="000000" w:themeColor="text1"/>
          <w:szCs w:val="24"/>
        </w:rPr>
        <w:t xml:space="preserve"> the expanding cultural authority of accounting</w:t>
      </w:r>
      <w:r w:rsidR="00AB4113" w:rsidRPr="004A0323">
        <w:rPr>
          <w:rFonts w:asciiTheme="majorBidi" w:hAnsiTheme="majorBidi" w:cstheme="majorBidi"/>
          <w:color w:val="000000" w:themeColor="text1"/>
          <w:szCs w:val="24"/>
        </w:rPr>
        <w:t xml:space="preserve"> and quantification</w:t>
      </w:r>
      <w:r w:rsidRPr="004A0323">
        <w:rPr>
          <w:rFonts w:asciiTheme="majorBidi" w:hAnsiTheme="majorBidi" w:cstheme="majorBidi"/>
          <w:color w:val="000000" w:themeColor="text1"/>
          <w:szCs w:val="24"/>
        </w:rPr>
        <w:t xml:space="preserve"> in the world polity (Drori </w:t>
      </w:r>
      <w:r w:rsidRPr="004A0323">
        <w:rPr>
          <w:rFonts w:asciiTheme="majorBidi" w:hAnsiTheme="majorBidi" w:cstheme="majorBidi"/>
          <w:i/>
          <w:color w:val="000000" w:themeColor="text1"/>
          <w:szCs w:val="24"/>
        </w:rPr>
        <w:t>et al.</w:t>
      </w:r>
      <w:r w:rsidRPr="004A0323">
        <w:rPr>
          <w:rFonts w:asciiTheme="majorBidi" w:hAnsiTheme="majorBidi" w:cstheme="majorBidi"/>
          <w:color w:val="000000" w:themeColor="text1"/>
          <w:szCs w:val="24"/>
        </w:rPr>
        <w:t xml:space="preserve"> 2006; Meyer 1986; Jang 2006). Usually associated with transparency agendas, quantification and performance measurement can confer legitimacy to rule</w:t>
      </w:r>
      <w:r w:rsidR="00CB07B8" w:rsidRPr="004A0323">
        <w:rPr>
          <w:rFonts w:asciiTheme="majorBidi" w:hAnsiTheme="majorBidi" w:cstheme="majorBidi"/>
          <w:color w:val="000000" w:themeColor="text1"/>
          <w:szCs w:val="24"/>
        </w:rPr>
        <w:t>-</w:t>
      </w:r>
      <w:r w:rsidRPr="004A0323">
        <w:rPr>
          <w:rFonts w:asciiTheme="majorBidi" w:hAnsiTheme="majorBidi" w:cstheme="majorBidi"/>
          <w:color w:val="000000" w:themeColor="text1"/>
          <w:szCs w:val="24"/>
        </w:rPr>
        <w:t>makers and intermediaries because of their presumed scientificity and impersonality (Porter 199</w:t>
      </w:r>
      <w:r w:rsidR="00DA5393" w:rsidRPr="004A0323">
        <w:rPr>
          <w:rFonts w:asciiTheme="majorBidi" w:hAnsiTheme="majorBidi" w:cstheme="majorBidi"/>
          <w:color w:val="000000" w:themeColor="text1"/>
          <w:szCs w:val="24"/>
        </w:rPr>
        <w:t>6</w:t>
      </w:r>
      <w:r w:rsidRPr="004A0323">
        <w:rPr>
          <w:rFonts w:asciiTheme="majorBidi" w:hAnsiTheme="majorBidi" w:cstheme="majorBidi"/>
          <w:color w:val="000000" w:themeColor="text1"/>
          <w:szCs w:val="24"/>
        </w:rPr>
        <w:t>).</w:t>
      </w:r>
      <w:r w:rsidR="000C5650" w:rsidRPr="004A0323">
        <w:rPr>
          <w:rFonts w:asciiTheme="majorBidi" w:hAnsiTheme="majorBidi" w:cstheme="majorBidi"/>
          <w:color w:val="000000" w:themeColor="text1"/>
          <w:szCs w:val="24"/>
        </w:rPr>
        <w:t xml:space="preserve"> Quantification carries a promise of objectivity (Porter </w:t>
      </w:r>
      <w:r w:rsidR="00DA5393" w:rsidRPr="004A0323">
        <w:rPr>
          <w:rFonts w:asciiTheme="majorBidi" w:hAnsiTheme="majorBidi" w:cstheme="majorBidi"/>
          <w:color w:val="000000" w:themeColor="text1"/>
          <w:szCs w:val="24"/>
        </w:rPr>
        <w:t>1996</w:t>
      </w:r>
      <w:r w:rsidR="000C5650" w:rsidRPr="004A0323">
        <w:rPr>
          <w:rFonts w:asciiTheme="majorBidi" w:hAnsiTheme="majorBidi" w:cstheme="majorBidi"/>
          <w:color w:val="000000" w:themeColor="text1"/>
          <w:szCs w:val="24"/>
        </w:rPr>
        <w:t>) and thus democratization (Espeland &amp; Stevens 1998), as well as being ostensibly portable and comparable on a large scale – the quintessential way of “governing at a distance” (Rose &amp; Miller 1992)</w:t>
      </w:r>
      <w:r w:rsidR="00356B0C" w:rsidRPr="004A0323">
        <w:rPr>
          <w:rFonts w:asciiTheme="majorBidi" w:hAnsiTheme="majorBidi" w:cstheme="majorBidi"/>
          <w:color w:val="000000" w:themeColor="text1"/>
          <w:szCs w:val="24"/>
        </w:rPr>
        <w:t>, and thus particularly appealing in those transnational governance initiatives which seek to achieve transparency and comparability of global firms</w:t>
      </w:r>
      <w:r w:rsidR="000C5650" w:rsidRPr="004A0323">
        <w:rPr>
          <w:rFonts w:asciiTheme="majorBidi" w:hAnsiTheme="majorBidi" w:cstheme="majorBidi"/>
          <w:color w:val="000000" w:themeColor="text1"/>
          <w:szCs w:val="24"/>
        </w:rPr>
        <w:t xml:space="preserve">. </w:t>
      </w:r>
    </w:p>
    <w:p w14:paraId="787A03B6" w14:textId="61EAC088" w:rsidR="000C5650" w:rsidRPr="004A0323" w:rsidRDefault="000C5650" w:rsidP="00513F10">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Yet the processes of quantification </w:t>
      </w:r>
      <w:r w:rsidR="00B51C75" w:rsidRPr="004A0323">
        <w:rPr>
          <w:rFonts w:asciiTheme="majorBidi" w:hAnsiTheme="majorBidi" w:cstheme="majorBidi"/>
          <w:color w:val="000000" w:themeColor="text1"/>
          <w:szCs w:val="24"/>
        </w:rPr>
        <w:t xml:space="preserve">and the </w:t>
      </w:r>
      <w:r w:rsidRPr="004A0323">
        <w:rPr>
          <w:rFonts w:asciiTheme="majorBidi" w:hAnsiTheme="majorBidi" w:cstheme="majorBidi"/>
          <w:color w:val="000000" w:themeColor="text1"/>
          <w:szCs w:val="24"/>
        </w:rPr>
        <w:t>underlying efforts to “govern by numbers” (Miller 200</w:t>
      </w:r>
      <w:r w:rsidR="009C0DAF" w:rsidRPr="004A0323">
        <w:rPr>
          <w:rFonts w:asciiTheme="majorBidi" w:hAnsiTheme="majorBidi" w:cstheme="majorBidi"/>
          <w:color w:val="000000" w:themeColor="text1"/>
          <w:szCs w:val="24"/>
        </w:rPr>
        <w:t>8</w:t>
      </w:r>
      <w:r w:rsidRPr="004A0323">
        <w:rPr>
          <w:rFonts w:asciiTheme="majorBidi" w:hAnsiTheme="majorBidi" w:cstheme="majorBidi"/>
          <w:color w:val="000000" w:themeColor="text1"/>
          <w:szCs w:val="24"/>
        </w:rPr>
        <w:t>; Rose 199</w:t>
      </w:r>
      <w:r w:rsidR="0023796C" w:rsidRPr="004A0323">
        <w:rPr>
          <w:rFonts w:asciiTheme="majorBidi" w:hAnsiTheme="majorBidi" w:cstheme="majorBidi"/>
          <w:color w:val="000000" w:themeColor="text1"/>
          <w:szCs w:val="24"/>
        </w:rPr>
        <w:t>1</w:t>
      </w:r>
      <w:r w:rsidRPr="004A0323">
        <w:rPr>
          <w:rFonts w:asciiTheme="majorBidi" w:hAnsiTheme="majorBidi" w:cstheme="majorBidi"/>
          <w:color w:val="000000" w:themeColor="text1"/>
          <w:szCs w:val="24"/>
        </w:rPr>
        <w:t xml:space="preserve">) in spaces of global governance are rarely transparent and have received relatively little academic attention compared to the empirical scale of the </w:t>
      </w:r>
      <w:r w:rsidRPr="004A0323">
        <w:rPr>
          <w:rFonts w:asciiTheme="majorBidi" w:hAnsiTheme="majorBidi" w:cstheme="majorBidi"/>
          <w:color w:val="000000" w:themeColor="text1"/>
          <w:szCs w:val="24"/>
        </w:rPr>
        <w:lastRenderedPageBreak/>
        <w:t>phenomenon</w:t>
      </w:r>
      <w:r w:rsidR="009E451C" w:rsidRPr="004A0323">
        <w:rPr>
          <w:rFonts w:asciiTheme="majorBidi" w:hAnsiTheme="majorBidi" w:cstheme="majorBidi"/>
          <w:color w:val="000000" w:themeColor="text1"/>
          <w:szCs w:val="24"/>
        </w:rPr>
        <w:t>.</w:t>
      </w:r>
      <w:r w:rsidRPr="004A0323">
        <w:rPr>
          <w:rFonts w:asciiTheme="majorBidi" w:hAnsiTheme="majorBidi" w:cstheme="majorBidi"/>
          <w:color w:val="000000" w:themeColor="text1"/>
          <w:szCs w:val="24"/>
        </w:rPr>
        <w:t xml:space="preserve"> As Rottenburg and Merry put it, </w:t>
      </w:r>
      <w:r w:rsidR="009E451C" w:rsidRPr="004A0323">
        <w:rPr>
          <w:rFonts w:asciiTheme="majorBidi" w:hAnsiTheme="majorBidi" w:cstheme="majorBidi"/>
          <w:color w:val="000000" w:themeColor="text1"/>
          <w:szCs w:val="24"/>
        </w:rPr>
        <w:t>the spread of quantification in governance raises questions concerning “the ways we set the norms we wish to follow, the technologies and instruments we regard as indispensable for organising collective life, and the role numeric representation should play in contemporary world orders” (2015: 1-2).</w:t>
      </w:r>
      <w:r w:rsidR="00B8111F" w:rsidRPr="004A0323" w:rsidDel="00B8111F">
        <w:rPr>
          <w:rFonts w:asciiTheme="majorBidi" w:hAnsiTheme="majorBidi" w:cstheme="majorBidi"/>
          <w:color w:val="000000" w:themeColor="text1"/>
        </w:rPr>
        <w:t xml:space="preserve"> </w:t>
      </w:r>
      <w:r w:rsidR="00B8111F" w:rsidRPr="004A0323">
        <w:rPr>
          <w:rFonts w:asciiTheme="majorBidi" w:hAnsiTheme="majorBidi" w:cstheme="majorBidi"/>
          <w:color w:val="000000" w:themeColor="text1"/>
        </w:rPr>
        <w:t>How</w:t>
      </w:r>
      <w:r w:rsidRPr="004A0323">
        <w:rPr>
          <w:rFonts w:asciiTheme="majorBidi" w:hAnsiTheme="majorBidi" w:cstheme="majorBidi"/>
          <w:color w:val="000000" w:themeColor="text1"/>
          <w:szCs w:val="24"/>
        </w:rPr>
        <w:t xml:space="preserve"> performance indicators are produced, validated and disseminated</w:t>
      </w:r>
      <w:r w:rsidR="00356B0C" w:rsidRPr="004A0323">
        <w:rPr>
          <w:rFonts w:asciiTheme="majorBidi" w:hAnsiTheme="majorBidi" w:cstheme="majorBidi"/>
          <w:color w:val="000000" w:themeColor="text1"/>
          <w:szCs w:val="24"/>
        </w:rPr>
        <w:t>, and t</w:t>
      </w:r>
      <w:r w:rsidRPr="004A0323">
        <w:rPr>
          <w:rFonts w:asciiTheme="majorBidi" w:hAnsiTheme="majorBidi" w:cstheme="majorBidi"/>
          <w:color w:val="000000" w:themeColor="text1"/>
          <w:szCs w:val="24"/>
        </w:rPr>
        <w:t xml:space="preserve">he enrolment of </w:t>
      </w:r>
      <w:r w:rsidR="00DF5C49" w:rsidRPr="004A0323">
        <w:rPr>
          <w:rFonts w:asciiTheme="majorBidi" w:hAnsiTheme="majorBidi" w:cstheme="majorBidi"/>
          <w:color w:val="000000" w:themeColor="text1"/>
          <w:szCs w:val="24"/>
        </w:rPr>
        <w:t xml:space="preserve">such </w:t>
      </w:r>
      <w:r w:rsidRPr="004A0323">
        <w:rPr>
          <w:rFonts w:asciiTheme="majorBidi" w:hAnsiTheme="majorBidi" w:cstheme="majorBidi"/>
          <w:color w:val="000000" w:themeColor="text1"/>
          <w:szCs w:val="24"/>
        </w:rPr>
        <w:t>“calculative knowledge” in various forms of regulation and regulatory instruments</w:t>
      </w:r>
      <w:r w:rsidR="00356B0C" w:rsidRPr="004A0323">
        <w:rPr>
          <w:rFonts w:asciiTheme="majorBidi" w:hAnsiTheme="majorBidi" w:cstheme="majorBidi"/>
          <w:color w:val="000000" w:themeColor="text1"/>
          <w:szCs w:val="24"/>
        </w:rPr>
        <w:t>,</w:t>
      </w:r>
      <w:r w:rsidRPr="004A0323">
        <w:rPr>
          <w:rFonts w:asciiTheme="majorBidi" w:hAnsiTheme="majorBidi" w:cstheme="majorBidi"/>
          <w:color w:val="000000" w:themeColor="text1"/>
          <w:szCs w:val="24"/>
        </w:rPr>
        <w:t xml:space="preserve"> </w:t>
      </w:r>
      <w:r w:rsidR="00A515F6" w:rsidRPr="004A0323">
        <w:rPr>
          <w:rFonts w:asciiTheme="majorBidi" w:hAnsiTheme="majorBidi" w:cstheme="majorBidi"/>
          <w:color w:val="000000" w:themeColor="text1"/>
          <w:szCs w:val="24"/>
        </w:rPr>
        <w:t xml:space="preserve">are issues that </w:t>
      </w:r>
      <w:r w:rsidR="00356B0C" w:rsidRPr="004A0323">
        <w:rPr>
          <w:rFonts w:asciiTheme="majorBidi" w:hAnsiTheme="majorBidi" w:cstheme="majorBidi"/>
          <w:color w:val="000000" w:themeColor="text1"/>
          <w:szCs w:val="24"/>
        </w:rPr>
        <w:t>require much more attention than granted so far</w:t>
      </w:r>
      <w:r w:rsidR="00946CB1" w:rsidRPr="004A0323">
        <w:rPr>
          <w:rFonts w:asciiTheme="majorBidi" w:hAnsiTheme="majorBidi" w:cstheme="majorBidi"/>
          <w:color w:val="000000" w:themeColor="text1"/>
          <w:szCs w:val="24"/>
        </w:rPr>
        <w:t xml:space="preserve"> (Malito </w:t>
      </w:r>
      <w:r w:rsidR="00946CB1" w:rsidRPr="004A0323">
        <w:rPr>
          <w:rFonts w:asciiTheme="majorBidi" w:hAnsiTheme="majorBidi" w:cstheme="majorBidi"/>
          <w:i/>
          <w:color w:val="000000" w:themeColor="text1"/>
          <w:szCs w:val="24"/>
        </w:rPr>
        <w:t>et al.</w:t>
      </w:r>
      <w:r w:rsidR="00946CB1" w:rsidRPr="004A0323">
        <w:rPr>
          <w:rFonts w:asciiTheme="majorBidi" w:hAnsiTheme="majorBidi" w:cstheme="majorBidi"/>
          <w:color w:val="000000" w:themeColor="text1"/>
          <w:szCs w:val="24"/>
        </w:rPr>
        <w:t xml:space="preserve"> 2018)</w:t>
      </w:r>
      <w:r w:rsidRPr="004A0323">
        <w:rPr>
          <w:rFonts w:asciiTheme="majorBidi" w:hAnsiTheme="majorBidi" w:cstheme="majorBidi"/>
          <w:color w:val="000000" w:themeColor="text1"/>
          <w:szCs w:val="24"/>
        </w:rPr>
        <w:t xml:space="preserve">. </w:t>
      </w:r>
      <w:r w:rsidR="00A515F6" w:rsidRPr="004A0323">
        <w:rPr>
          <w:rFonts w:asciiTheme="majorBidi" w:hAnsiTheme="majorBidi" w:cstheme="majorBidi"/>
          <w:color w:val="000000" w:themeColor="text1"/>
          <w:szCs w:val="24"/>
        </w:rPr>
        <w:t xml:space="preserve">As Davis </w:t>
      </w:r>
      <w:r w:rsidR="00A515F6" w:rsidRPr="004A0323">
        <w:rPr>
          <w:rFonts w:asciiTheme="majorBidi" w:hAnsiTheme="majorBidi" w:cstheme="majorBidi"/>
          <w:i/>
          <w:color w:val="000000" w:themeColor="text1"/>
          <w:szCs w:val="24"/>
        </w:rPr>
        <w:t>et al.</w:t>
      </w:r>
      <w:r w:rsidR="00A515F6" w:rsidRPr="004A0323">
        <w:rPr>
          <w:rFonts w:asciiTheme="majorBidi" w:hAnsiTheme="majorBidi" w:cstheme="majorBidi"/>
          <w:color w:val="000000" w:themeColor="text1"/>
          <w:szCs w:val="24"/>
        </w:rPr>
        <w:t xml:space="preserve"> </w:t>
      </w:r>
      <w:r w:rsidR="00946CB1" w:rsidRPr="004A0323">
        <w:rPr>
          <w:rFonts w:asciiTheme="majorBidi" w:hAnsiTheme="majorBidi" w:cstheme="majorBidi"/>
          <w:color w:val="000000" w:themeColor="text1"/>
          <w:szCs w:val="24"/>
        </w:rPr>
        <w:t xml:space="preserve">(2012: 4) </w:t>
      </w:r>
      <w:r w:rsidR="00A515F6" w:rsidRPr="004A0323">
        <w:rPr>
          <w:rFonts w:asciiTheme="majorBidi" w:hAnsiTheme="majorBidi" w:cstheme="majorBidi"/>
          <w:color w:val="000000" w:themeColor="text1"/>
          <w:szCs w:val="24"/>
        </w:rPr>
        <w:t>put it, t</w:t>
      </w:r>
      <w:r w:rsidRPr="004A0323">
        <w:rPr>
          <w:rFonts w:asciiTheme="majorBidi" w:hAnsiTheme="majorBidi" w:cstheme="majorBidi"/>
          <w:color w:val="000000" w:themeColor="text1"/>
          <w:szCs w:val="24"/>
        </w:rPr>
        <w:t xml:space="preserve">he use of indicators </w:t>
      </w:r>
      <w:r w:rsidR="00A515F6" w:rsidRPr="004A0323">
        <w:rPr>
          <w:rFonts w:asciiTheme="majorBidi" w:hAnsiTheme="majorBidi" w:cstheme="majorBidi"/>
          <w:color w:val="000000" w:themeColor="text1"/>
          <w:szCs w:val="24"/>
        </w:rPr>
        <w:t xml:space="preserve">“has the potential to alter the forms, the exercise, and perhaps even the distributions of power in certain spheres of global governance”; </w:t>
      </w:r>
      <w:r w:rsidR="00946CB1" w:rsidRPr="004A0323">
        <w:rPr>
          <w:rFonts w:asciiTheme="majorBidi" w:hAnsiTheme="majorBidi" w:cstheme="majorBidi"/>
          <w:color w:val="000000" w:themeColor="text1"/>
          <w:szCs w:val="24"/>
        </w:rPr>
        <w:t>it</w:t>
      </w:r>
      <w:r w:rsidR="00A515F6" w:rsidRPr="004A0323">
        <w:rPr>
          <w:rFonts w:asciiTheme="majorBidi" w:hAnsiTheme="majorBidi" w:cstheme="majorBidi"/>
          <w:color w:val="000000" w:themeColor="text1"/>
          <w:szCs w:val="24"/>
        </w:rPr>
        <w:t xml:space="preserve"> </w:t>
      </w:r>
      <w:r w:rsidRPr="004A0323">
        <w:rPr>
          <w:rFonts w:asciiTheme="majorBidi" w:hAnsiTheme="majorBidi" w:cstheme="majorBidi"/>
          <w:color w:val="000000" w:themeColor="text1"/>
          <w:szCs w:val="24"/>
        </w:rPr>
        <w:t>opens a set of new questions:</w:t>
      </w:r>
    </w:p>
    <w:p w14:paraId="2A89FFE7" w14:textId="7C32ADD6" w:rsidR="00D005A7" w:rsidRPr="004A0323" w:rsidRDefault="000C5650" w:rsidP="00513F10">
      <w:pPr>
        <w:pStyle w:val="Body"/>
        <w:spacing w:line="240" w:lineRule="auto"/>
        <w:ind w:left="567" w:right="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“How does the use of indicators in global governance change the nature of standard-setting and decision-making?,” “How does it affect the distribution of power between and among those who govern and those who are governed?,” “What is the nature of responses to the exercises of power through indicators, including forms of contestation and attempts to regulate the production or use of indicators?” </w:t>
      </w:r>
    </w:p>
    <w:p w14:paraId="5B950AF2" w14:textId="77777777" w:rsidR="000C5650" w:rsidRPr="004A0323" w:rsidRDefault="000C5650" w:rsidP="00513F10">
      <w:pPr>
        <w:pStyle w:val="Body"/>
        <w:spacing w:line="240" w:lineRule="auto"/>
        <w:ind w:left="567" w:right="567"/>
        <w:rPr>
          <w:rFonts w:asciiTheme="majorBidi" w:hAnsiTheme="majorBidi" w:cstheme="majorBidi"/>
          <w:color w:val="000000" w:themeColor="text1"/>
          <w:szCs w:val="24"/>
        </w:rPr>
      </w:pPr>
    </w:p>
    <w:p w14:paraId="136835CB" w14:textId="3F43DE5B" w:rsidR="00E86D1C" w:rsidRPr="004A0323" w:rsidRDefault="000C5650" w:rsidP="00F07D2A">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Questions such as these have a bearing on our understanding of regulatory intermediation. In the space of transnational multi-stakeholder regulation, private regulators tend to use intermediaries to monitor compliance with standards and best practices, yet such monitoring inevitably requires to interpret and </w:t>
      </w:r>
      <w:r w:rsidR="00A515F6" w:rsidRPr="004A0323">
        <w:rPr>
          <w:rFonts w:asciiTheme="majorBidi" w:hAnsiTheme="majorBidi" w:cstheme="majorBidi"/>
          <w:color w:val="000000" w:themeColor="text1"/>
          <w:szCs w:val="24"/>
        </w:rPr>
        <w:t>re</w:t>
      </w:r>
      <w:r w:rsidRPr="004A0323">
        <w:rPr>
          <w:rFonts w:asciiTheme="majorBidi" w:hAnsiTheme="majorBidi" w:cstheme="majorBidi"/>
          <w:color w:val="000000" w:themeColor="text1"/>
          <w:szCs w:val="24"/>
        </w:rPr>
        <w:t xml:space="preserve">define (often through forms of quantification alongside qualification) such best practices and standards in the context of the individual circumstances of the organizations being monitored. Here the role of regulator and that of intermediary tend to blend, and quantification is at play in and mediates both roles. </w:t>
      </w:r>
    </w:p>
    <w:p w14:paraId="4E6F8CFB" w14:textId="475F984C" w:rsidR="006A1F7D" w:rsidRPr="004A0323" w:rsidRDefault="001E377D" w:rsidP="00F07D2A">
      <w:pPr>
        <w:pStyle w:val="Body"/>
        <w:spacing w:after="120"/>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This blending of intermediation and regulation</w:t>
      </w:r>
      <w:r w:rsidR="00CB07B8" w:rsidRPr="004A0323">
        <w:rPr>
          <w:rFonts w:asciiTheme="majorBidi" w:hAnsiTheme="majorBidi" w:cstheme="majorBidi"/>
          <w:color w:val="000000" w:themeColor="text1"/>
          <w:szCs w:val="24"/>
        </w:rPr>
        <w:t xml:space="preserve"> in the process of performance measurement</w:t>
      </w:r>
      <w:r w:rsidRPr="004A0323">
        <w:rPr>
          <w:rFonts w:asciiTheme="majorBidi" w:hAnsiTheme="majorBidi" w:cstheme="majorBidi"/>
          <w:color w:val="000000" w:themeColor="text1"/>
          <w:szCs w:val="24"/>
        </w:rPr>
        <w:t xml:space="preserve"> allows much needed flexibility in the interpretation of </w:t>
      </w:r>
      <w:r w:rsidR="004E5767" w:rsidRPr="004A0323">
        <w:rPr>
          <w:rFonts w:asciiTheme="majorBidi" w:hAnsiTheme="majorBidi" w:cstheme="majorBidi"/>
          <w:color w:val="000000" w:themeColor="text1"/>
          <w:szCs w:val="24"/>
        </w:rPr>
        <w:t xml:space="preserve">actual and desired </w:t>
      </w:r>
      <w:r w:rsidRPr="004A0323">
        <w:rPr>
          <w:rFonts w:asciiTheme="majorBidi" w:hAnsiTheme="majorBidi" w:cstheme="majorBidi"/>
          <w:color w:val="000000" w:themeColor="text1"/>
          <w:szCs w:val="24"/>
        </w:rPr>
        <w:t xml:space="preserve">company performance, along two key </w:t>
      </w:r>
      <w:r w:rsidR="004E5767" w:rsidRPr="004A0323">
        <w:rPr>
          <w:rFonts w:asciiTheme="majorBidi" w:hAnsiTheme="majorBidi" w:cstheme="majorBidi"/>
          <w:color w:val="000000" w:themeColor="text1"/>
          <w:szCs w:val="24"/>
        </w:rPr>
        <w:t>dimensions. First,</w:t>
      </w:r>
      <w:r w:rsidRPr="004A0323">
        <w:rPr>
          <w:rFonts w:asciiTheme="majorBidi" w:hAnsiTheme="majorBidi" w:cstheme="majorBidi"/>
          <w:color w:val="000000" w:themeColor="text1"/>
          <w:szCs w:val="24"/>
        </w:rPr>
        <w:t xml:space="preserve"> flexibility to set </w:t>
      </w:r>
      <w:r w:rsidR="004E5767" w:rsidRPr="004A0323">
        <w:rPr>
          <w:rFonts w:asciiTheme="majorBidi" w:hAnsiTheme="majorBidi" w:cstheme="majorBidi"/>
          <w:color w:val="000000" w:themeColor="text1"/>
          <w:szCs w:val="24"/>
        </w:rPr>
        <w:t xml:space="preserve">performance </w:t>
      </w:r>
      <w:r w:rsidRPr="004A0323">
        <w:rPr>
          <w:rFonts w:asciiTheme="majorBidi" w:hAnsiTheme="majorBidi" w:cstheme="majorBidi"/>
          <w:color w:val="000000" w:themeColor="text1"/>
          <w:szCs w:val="24"/>
        </w:rPr>
        <w:t>benchmarks that can be acceptable to different stake</w:t>
      </w:r>
      <w:r w:rsidR="004E5767" w:rsidRPr="004A0323">
        <w:rPr>
          <w:rFonts w:asciiTheme="majorBidi" w:hAnsiTheme="majorBidi" w:cstheme="majorBidi"/>
          <w:color w:val="000000" w:themeColor="text1"/>
          <w:szCs w:val="24"/>
        </w:rPr>
        <w:t xml:space="preserve">holders (in our case, by combining relative and absolute benchmarks), thus supporting the management of </w:t>
      </w:r>
      <w:r w:rsidR="00CB07B8" w:rsidRPr="004A0323">
        <w:rPr>
          <w:rFonts w:asciiTheme="majorBidi" w:hAnsiTheme="majorBidi" w:cstheme="majorBidi"/>
          <w:color w:val="000000" w:themeColor="text1"/>
          <w:szCs w:val="24"/>
        </w:rPr>
        <w:t>a polarized stakeholder base</w:t>
      </w:r>
      <w:r w:rsidR="004E5767" w:rsidRPr="004A0323">
        <w:rPr>
          <w:rFonts w:asciiTheme="majorBidi" w:hAnsiTheme="majorBidi" w:cstheme="majorBidi"/>
          <w:color w:val="000000" w:themeColor="text1"/>
          <w:szCs w:val="24"/>
        </w:rPr>
        <w:t xml:space="preserve"> and </w:t>
      </w:r>
      <w:r w:rsidR="00E86D1C" w:rsidRPr="004A0323">
        <w:rPr>
          <w:rFonts w:asciiTheme="majorBidi" w:hAnsiTheme="majorBidi" w:cstheme="majorBidi"/>
          <w:color w:val="000000" w:themeColor="text1"/>
          <w:szCs w:val="24"/>
        </w:rPr>
        <w:t>input legitimacy</w:t>
      </w:r>
      <w:r w:rsidR="004E5767" w:rsidRPr="004A0323">
        <w:rPr>
          <w:rFonts w:asciiTheme="majorBidi" w:hAnsiTheme="majorBidi" w:cstheme="majorBidi"/>
          <w:color w:val="000000" w:themeColor="text1"/>
          <w:szCs w:val="24"/>
        </w:rPr>
        <w:t xml:space="preserve">. Second, flexibility to adapt benchmarks in the light of observed company </w:t>
      </w:r>
      <w:r w:rsidR="004E5767" w:rsidRPr="004A0323">
        <w:rPr>
          <w:rFonts w:asciiTheme="majorBidi" w:hAnsiTheme="majorBidi" w:cstheme="majorBidi"/>
          <w:color w:val="000000" w:themeColor="text1"/>
          <w:szCs w:val="24"/>
        </w:rPr>
        <w:lastRenderedPageBreak/>
        <w:t>behavior so as to maximize the possibility of compliance (by modifying scoring guidelines so as to highlight attainable performance improvements), thus contributing to</w:t>
      </w:r>
      <w:r w:rsidR="00CB07B8" w:rsidRPr="004A0323">
        <w:rPr>
          <w:rFonts w:asciiTheme="majorBidi" w:hAnsiTheme="majorBidi" w:cstheme="majorBidi"/>
          <w:color w:val="000000" w:themeColor="text1"/>
          <w:szCs w:val="24"/>
        </w:rPr>
        <w:t xml:space="preserve"> the effectiveness of this initiative and</w:t>
      </w:r>
      <w:r w:rsidR="004E5767" w:rsidRPr="004A0323">
        <w:rPr>
          <w:rFonts w:asciiTheme="majorBidi" w:hAnsiTheme="majorBidi" w:cstheme="majorBidi"/>
          <w:color w:val="000000" w:themeColor="text1"/>
          <w:szCs w:val="24"/>
        </w:rPr>
        <w:t xml:space="preserve"> output legitimacy.</w:t>
      </w:r>
      <w:r w:rsidR="002B43F6" w:rsidRPr="004A0323">
        <w:rPr>
          <w:rFonts w:asciiTheme="majorBidi" w:hAnsiTheme="majorBidi" w:cstheme="majorBidi"/>
          <w:color w:val="000000" w:themeColor="text1"/>
          <w:szCs w:val="24"/>
        </w:rPr>
        <w:t xml:space="preserve"> </w:t>
      </w:r>
      <w:r w:rsidR="00E86D1C" w:rsidRPr="004A0323">
        <w:rPr>
          <w:rFonts w:asciiTheme="majorBidi" w:hAnsiTheme="majorBidi" w:cstheme="majorBidi"/>
          <w:color w:val="000000" w:themeColor="text1"/>
          <w:szCs w:val="24"/>
        </w:rPr>
        <w:t>It is to such performance measurement processes as a form of regulatory intermediation in the contentious field of access to medicine that we now turn.</w:t>
      </w:r>
    </w:p>
    <w:p w14:paraId="78C0B63A" w14:textId="71AF6960" w:rsidR="008B383F" w:rsidRPr="004A0323" w:rsidRDefault="004A77A2" w:rsidP="00513F10">
      <w:pPr>
        <w:pStyle w:val="Body"/>
        <w:numPr>
          <w:ilvl w:val="0"/>
          <w:numId w:val="1"/>
        </w:numPr>
        <w:rPr>
          <w:rFonts w:asciiTheme="majorBidi" w:hAnsiTheme="majorBidi" w:cstheme="majorBidi"/>
          <w:b/>
          <w:color w:val="000000" w:themeColor="text1"/>
          <w:szCs w:val="24"/>
        </w:rPr>
      </w:pPr>
      <w:r w:rsidRPr="004A0323">
        <w:rPr>
          <w:rFonts w:asciiTheme="majorBidi" w:hAnsiTheme="majorBidi" w:cstheme="majorBidi"/>
          <w:b/>
          <w:color w:val="000000" w:themeColor="text1"/>
          <w:szCs w:val="24"/>
        </w:rPr>
        <w:t>Empirical setting: The Access to Medicine Index as regulatory intermediation</w:t>
      </w:r>
    </w:p>
    <w:p w14:paraId="2595E249" w14:textId="212AE791" w:rsidR="00524049" w:rsidRPr="004A0323" w:rsidRDefault="00524049" w:rsidP="00513F10">
      <w:pPr>
        <w:pStyle w:val="Body"/>
        <w:spacing w:after="120"/>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Access to medicine in poor countries and communities, and its tension with commercial gains from the sales of medicines</w:t>
      </w:r>
      <w:r w:rsidR="00D005A7" w:rsidRPr="004A0323">
        <w:rPr>
          <w:rFonts w:asciiTheme="majorBidi" w:hAnsiTheme="majorBidi" w:cstheme="majorBidi"/>
          <w:color w:val="000000" w:themeColor="text1"/>
          <w:szCs w:val="24"/>
        </w:rPr>
        <w:t>,</w:t>
      </w:r>
      <w:r w:rsidRPr="004A0323">
        <w:rPr>
          <w:rFonts w:asciiTheme="majorBidi" w:hAnsiTheme="majorBidi" w:cstheme="majorBidi"/>
          <w:color w:val="000000" w:themeColor="text1"/>
          <w:szCs w:val="24"/>
        </w:rPr>
        <w:t xml:space="preserve"> is a centuries-old concern. Since 1994, the ratification of the Trade-Related aspects of Intellectual Property Rights (TRIPS) at the World Trade Organization (WTO) has </w:t>
      </w:r>
      <w:r w:rsidR="00D005A7" w:rsidRPr="004A0323">
        <w:rPr>
          <w:rFonts w:asciiTheme="majorBidi" w:hAnsiTheme="majorBidi" w:cstheme="majorBidi"/>
          <w:color w:val="000000" w:themeColor="text1"/>
          <w:szCs w:val="24"/>
        </w:rPr>
        <w:t xml:space="preserve">forced </w:t>
      </w:r>
      <w:r w:rsidRPr="004A0323">
        <w:rPr>
          <w:rFonts w:asciiTheme="majorBidi" w:hAnsiTheme="majorBidi" w:cstheme="majorBidi"/>
          <w:color w:val="000000" w:themeColor="text1"/>
          <w:szCs w:val="24"/>
        </w:rPr>
        <w:t xml:space="preserve">all WTO member countries to create regulatory platforms and compliance mechanisms to protect intellectual property through patents. The TRIPS agreement implied that drugs and other products under patent could remain under the exclusive control of </w:t>
      </w:r>
      <w:r w:rsidR="00DE6AAC" w:rsidRPr="004A0323">
        <w:rPr>
          <w:rFonts w:asciiTheme="majorBidi" w:hAnsiTheme="majorBidi" w:cstheme="majorBidi"/>
          <w:color w:val="000000" w:themeColor="text1"/>
          <w:szCs w:val="24"/>
        </w:rPr>
        <w:t xml:space="preserve">the </w:t>
      </w:r>
      <w:r w:rsidR="00D80773" w:rsidRPr="004A0323">
        <w:rPr>
          <w:rFonts w:asciiTheme="majorBidi" w:hAnsiTheme="majorBidi" w:cstheme="majorBidi"/>
          <w:color w:val="000000" w:themeColor="text1"/>
          <w:szCs w:val="24"/>
        </w:rPr>
        <w:t>patent holder</w:t>
      </w:r>
      <w:r w:rsidRPr="004A0323">
        <w:rPr>
          <w:rFonts w:asciiTheme="majorBidi" w:hAnsiTheme="majorBidi" w:cstheme="majorBidi"/>
          <w:color w:val="000000" w:themeColor="text1"/>
          <w:szCs w:val="24"/>
        </w:rPr>
        <w:t xml:space="preserve"> for the period of the patent’s validity (typically 20 to 25 years). As a consequence, pharmaceutical companies began paying increasing attention to emerging markets (t Hoen et al. 2003). </w:t>
      </w:r>
      <w:r w:rsidR="00DE6AAC" w:rsidRPr="004A0323">
        <w:rPr>
          <w:rFonts w:asciiTheme="majorBidi" w:hAnsiTheme="majorBidi" w:cstheme="majorBidi"/>
          <w:color w:val="000000" w:themeColor="text1"/>
          <w:szCs w:val="24"/>
        </w:rPr>
        <w:t>T</w:t>
      </w:r>
      <w:r w:rsidRPr="004A0323">
        <w:rPr>
          <w:rFonts w:asciiTheme="majorBidi" w:hAnsiTheme="majorBidi" w:cstheme="majorBidi"/>
          <w:color w:val="000000" w:themeColor="text1"/>
          <w:szCs w:val="24"/>
        </w:rPr>
        <w:t xml:space="preserve">he TRIPS agreement is said to have caused significant price increases and decreased supply of </w:t>
      </w:r>
      <w:r w:rsidR="00D80773" w:rsidRPr="004A0323">
        <w:rPr>
          <w:rFonts w:asciiTheme="majorBidi" w:hAnsiTheme="majorBidi" w:cstheme="majorBidi"/>
          <w:color w:val="000000" w:themeColor="text1"/>
          <w:szCs w:val="24"/>
        </w:rPr>
        <w:t xml:space="preserve">patented </w:t>
      </w:r>
      <w:r w:rsidRPr="004A0323">
        <w:rPr>
          <w:rFonts w:asciiTheme="majorBidi" w:hAnsiTheme="majorBidi" w:cstheme="majorBidi"/>
          <w:color w:val="000000" w:themeColor="text1"/>
          <w:szCs w:val="24"/>
        </w:rPr>
        <w:t xml:space="preserve">products to emerging markets (Grace 2004). This </w:t>
      </w:r>
      <w:r w:rsidR="00D80773" w:rsidRPr="004A0323">
        <w:rPr>
          <w:rFonts w:asciiTheme="majorBidi" w:hAnsiTheme="majorBidi" w:cstheme="majorBidi"/>
          <w:color w:val="000000" w:themeColor="text1"/>
          <w:szCs w:val="24"/>
        </w:rPr>
        <w:t xml:space="preserve">has been </w:t>
      </w:r>
      <w:r w:rsidRPr="004A0323">
        <w:rPr>
          <w:rFonts w:asciiTheme="majorBidi" w:hAnsiTheme="majorBidi" w:cstheme="majorBidi"/>
          <w:color w:val="000000" w:themeColor="text1"/>
          <w:szCs w:val="24"/>
        </w:rPr>
        <w:t xml:space="preserve">concurrent with the emergence of HIV/AIDS as a key global health concern, especially in poor countries, which contributed to increase in the mobilization of civil society around access to medicines (Greene 2011). </w:t>
      </w:r>
    </w:p>
    <w:p w14:paraId="3F891A08" w14:textId="1FC44B74" w:rsidR="00524049" w:rsidRPr="004A0323" w:rsidRDefault="00E56C18" w:rsidP="00513F10">
      <w:pPr>
        <w:pStyle w:val="Body"/>
        <w:spacing w:after="120"/>
        <w:ind w:firstLine="720"/>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Debates in this field are </w:t>
      </w:r>
      <w:r w:rsidR="00D80773" w:rsidRPr="004A0323">
        <w:rPr>
          <w:rFonts w:asciiTheme="majorBidi" w:hAnsiTheme="majorBidi" w:cstheme="majorBidi"/>
          <w:color w:val="000000" w:themeColor="text1"/>
          <w:szCs w:val="24"/>
        </w:rPr>
        <w:t>have tended to be</w:t>
      </w:r>
      <w:r w:rsidR="00524049" w:rsidRPr="004A0323">
        <w:rPr>
          <w:rFonts w:asciiTheme="majorBidi" w:hAnsiTheme="majorBidi" w:cstheme="majorBidi"/>
          <w:color w:val="000000" w:themeColor="text1"/>
          <w:szCs w:val="24"/>
        </w:rPr>
        <w:t xml:space="preserve"> highly conflictual</w:t>
      </w:r>
      <w:r w:rsidR="00D80773" w:rsidRPr="004A0323">
        <w:rPr>
          <w:rFonts w:asciiTheme="majorBidi" w:hAnsiTheme="majorBidi" w:cstheme="majorBidi"/>
          <w:color w:val="000000" w:themeColor="text1"/>
          <w:szCs w:val="24"/>
        </w:rPr>
        <w:t>,</w:t>
      </w:r>
      <w:r w:rsidR="00524049" w:rsidRPr="004A0323">
        <w:rPr>
          <w:rFonts w:asciiTheme="majorBidi" w:hAnsiTheme="majorBidi" w:cstheme="majorBidi"/>
          <w:color w:val="000000" w:themeColor="text1"/>
          <w:szCs w:val="24"/>
        </w:rPr>
        <w:t xml:space="preserve"> and litigation endemic (Morris 2010). Besides patents, other contentious issues include the pharmaceutical industry’s </w:t>
      </w:r>
      <w:r w:rsidR="00D80773" w:rsidRPr="004A0323">
        <w:rPr>
          <w:rFonts w:asciiTheme="majorBidi" w:hAnsiTheme="majorBidi" w:cstheme="majorBidi"/>
          <w:color w:val="000000" w:themeColor="text1"/>
          <w:szCs w:val="24"/>
        </w:rPr>
        <w:t xml:space="preserve">efforts </w:t>
      </w:r>
      <w:r w:rsidR="00524049" w:rsidRPr="004A0323">
        <w:rPr>
          <w:rFonts w:asciiTheme="majorBidi" w:hAnsiTheme="majorBidi" w:cstheme="majorBidi"/>
          <w:color w:val="000000" w:themeColor="text1"/>
          <w:szCs w:val="24"/>
        </w:rPr>
        <w:t xml:space="preserve">in researching “neglected tropical diseases” which occur almost exclusively in poor countries (where pharmaceutical markets are frequently unviable), </w:t>
      </w:r>
      <w:r w:rsidR="00D80773" w:rsidRPr="004A0323">
        <w:rPr>
          <w:rFonts w:asciiTheme="majorBidi" w:hAnsiTheme="majorBidi" w:cstheme="majorBidi"/>
          <w:color w:val="000000" w:themeColor="text1"/>
          <w:szCs w:val="24"/>
        </w:rPr>
        <w:t xml:space="preserve">its </w:t>
      </w:r>
      <w:r w:rsidR="00524049" w:rsidRPr="004A0323">
        <w:rPr>
          <w:rFonts w:asciiTheme="majorBidi" w:hAnsiTheme="majorBidi" w:cstheme="majorBidi"/>
          <w:color w:val="000000" w:themeColor="text1"/>
          <w:szCs w:val="24"/>
        </w:rPr>
        <w:t xml:space="preserve">role in providing affordable prices, and </w:t>
      </w:r>
      <w:r w:rsidR="00D80773" w:rsidRPr="004A0323">
        <w:rPr>
          <w:rFonts w:asciiTheme="majorBidi" w:hAnsiTheme="majorBidi" w:cstheme="majorBidi"/>
          <w:color w:val="000000" w:themeColor="text1"/>
          <w:szCs w:val="24"/>
        </w:rPr>
        <w:t xml:space="preserve">its </w:t>
      </w:r>
      <w:r w:rsidR="00524049" w:rsidRPr="004A0323">
        <w:rPr>
          <w:rFonts w:asciiTheme="majorBidi" w:hAnsiTheme="majorBidi" w:cstheme="majorBidi"/>
          <w:color w:val="000000" w:themeColor="text1"/>
          <w:szCs w:val="24"/>
        </w:rPr>
        <w:t xml:space="preserve">marketing and lobbying ethics in low and medium-income countries. </w:t>
      </w:r>
    </w:p>
    <w:p w14:paraId="2A3044FD" w14:textId="1D7C4477" w:rsidR="00524049" w:rsidRPr="004A0323" w:rsidRDefault="00524049" w:rsidP="00513F10">
      <w:pPr>
        <w:pStyle w:val="Body"/>
        <w:spacing w:after="120"/>
        <w:ind w:firstLine="720"/>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The </w:t>
      </w:r>
      <w:r w:rsidR="00D005A7" w:rsidRPr="004A0323">
        <w:rPr>
          <w:rFonts w:asciiTheme="majorBidi" w:hAnsiTheme="majorBidi" w:cstheme="majorBidi"/>
          <w:color w:val="000000" w:themeColor="text1"/>
          <w:szCs w:val="24"/>
        </w:rPr>
        <w:t>W</w:t>
      </w:r>
      <w:r w:rsidRPr="004A0323">
        <w:rPr>
          <w:rFonts w:asciiTheme="majorBidi" w:hAnsiTheme="majorBidi" w:cstheme="majorBidi"/>
          <w:color w:val="000000" w:themeColor="text1"/>
          <w:szCs w:val="24"/>
        </w:rPr>
        <w:t>HO</w:t>
      </w:r>
      <w:r w:rsidR="00D23F4E" w:rsidRPr="004A0323">
        <w:rPr>
          <w:rFonts w:asciiTheme="majorBidi" w:hAnsiTheme="majorBidi" w:cstheme="majorBidi"/>
          <w:color w:val="000000" w:themeColor="text1"/>
          <w:szCs w:val="24"/>
        </w:rPr>
        <w:t>,</w:t>
      </w:r>
      <w:r w:rsidRPr="004A0323">
        <w:rPr>
          <w:rFonts w:asciiTheme="majorBidi" w:hAnsiTheme="majorBidi" w:cstheme="majorBidi"/>
          <w:color w:val="000000" w:themeColor="text1"/>
          <w:szCs w:val="24"/>
        </w:rPr>
        <w:t xml:space="preserve"> as the primary transnational regulator in this area</w:t>
      </w:r>
      <w:r w:rsidR="00D23F4E" w:rsidRPr="004A0323">
        <w:rPr>
          <w:rFonts w:asciiTheme="majorBidi" w:hAnsiTheme="majorBidi" w:cstheme="majorBidi"/>
          <w:color w:val="000000" w:themeColor="text1"/>
          <w:szCs w:val="24"/>
        </w:rPr>
        <w:t>,</w:t>
      </w:r>
      <w:r w:rsidRPr="004A0323">
        <w:rPr>
          <w:rFonts w:asciiTheme="majorBidi" w:hAnsiTheme="majorBidi" w:cstheme="majorBidi"/>
          <w:color w:val="000000" w:themeColor="text1"/>
          <w:szCs w:val="24"/>
        </w:rPr>
        <w:t xml:space="preserve"> has played a central role in providing the </w:t>
      </w:r>
      <w:r w:rsidR="00D23F4E" w:rsidRPr="004A0323">
        <w:rPr>
          <w:rFonts w:asciiTheme="majorBidi" w:hAnsiTheme="majorBidi" w:cstheme="majorBidi"/>
          <w:color w:val="000000" w:themeColor="text1"/>
          <w:szCs w:val="24"/>
        </w:rPr>
        <w:t xml:space="preserve">main </w:t>
      </w:r>
      <w:r w:rsidRPr="004A0323">
        <w:rPr>
          <w:rFonts w:asciiTheme="majorBidi" w:hAnsiTheme="majorBidi" w:cstheme="majorBidi"/>
          <w:color w:val="000000" w:themeColor="text1"/>
          <w:szCs w:val="24"/>
        </w:rPr>
        <w:t xml:space="preserve">regulatory infrastructure for the access to medicine field by defining </w:t>
      </w:r>
      <w:r w:rsidR="00D23F4E" w:rsidRPr="004A0323">
        <w:rPr>
          <w:rFonts w:asciiTheme="majorBidi" w:hAnsiTheme="majorBidi" w:cstheme="majorBidi"/>
          <w:color w:val="000000" w:themeColor="text1"/>
          <w:szCs w:val="24"/>
        </w:rPr>
        <w:t xml:space="preserve">need </w:t>
      </w:r>
      <w:r w:rsidRPr="004A0323">
        <w:rPr>
          <w:rFonts w:asciiTheme="majorBidi" w:hAnsiTheme="majorBidi" w:cstheme="majorBidi"/>
          <w:color w:val="000000" w:themeColor="text1"/>
          <w:szCs w:val="24"/>
        </w:rPr>
        <w:lastRenderedPageBreak/>
        <w:t>priorities</w:t>
      </w:r>
      <w:r w:rsidR="00E56C18" w:rsidRPr="004A0323">
        <w:rPr>
          <w:rFonts w:asciiTheme="majorBidi" w:hAnsiTheme="majorBidi" w:cstheme="majorBidi"/>
          <w:color w:val="000000" w:themeColor="text1"/>
          <w:szCs w:val="24"/>
        </w:rPr>
        <w:t xml:space="preserve"> (in the form of the “Essential Drugs List</w:t>
      </w:r>
      <w:r w:rsidR="00D23F4E" w:rsidRPr="004A0323">
        <w:rPr>
          <w:rFonts w:asciiTheme="majorBidi" w:hAnsiTheme="majorBidi" w:cstheme="majorBidi"/>
          <w:color w:val="000000" w:themeColor="text1"/>
          <w:szCs w:val="24"/>
        </w:rPr>
        <w:t>”</w:t>
      </w:r>
      <w:r w:rsidR="00E56C18" w:rsidRPr="004A0323">
        <w:rPr>
          <w:rFonts w:asciiTheme="majorBidi" w:hAnsiTheme="majorBidi" w:cstheme="majorBidi"/>
          <w:color w:val="000000" w:themeColor="text1"/>
          <w:szCs w:val="24"/>
        </w:rPr>
        <w:t>)</w:t>
      </w:r>
      <w:r w:rsidRPr="004A0323">
        <w:rPr>
          <w:rFonts w:asciiTheme="majorBidi" w:hAnsiTheme="majorBidi" w:cstheme="majorBidi"/>
          <w:color w:val="000000" w:themeColor="text1"/>
          <w:szCs w:val="24"/>
        </w:rPr>
        <w:t xml:space="preserve"> and by publishing the global burden of diseases database (based on Disability-Adjusted Life Year lost to a disease)</w:t>
      </w:r>
      <w:r w:rsidR="00D23F4E" w:rsidRPr="004A0323">
        <w:rPr>
          <w:rFonts w:asciiTheme="majorBidi" w:hAnsiTheme="majorBidi" w:cstheme="majorBidi"/>
          <w:color w:val="000000" w:themeColor="text1"/>
          <w:szCs w:val="24"/>
        </w:rPr>
        <w:t>,</w:t>
      </w:r>
      <w:r w:rsidRPr="004A0323">
        <w:rPr>
          <w:rFonts w:asciiTheme="majorBidi" w:hAnsiTheme="majorBidi" w:cstheme="majorBidi"/>
          <w:color w:val="000000" w:themeColor="text1"/>
          <w:szCs w:val="24"/>
        </w:rPr>
        <w:t xml:space="preserve"> which quantifies the health burden of different diseases in countries across the world. The introduction of the United Nations Millennium Development Goals</w:t>
      </w:r>
      <w:r w:rsidR="00D80773" w:rsidRPr="004A0323">
        <w:rPr>
          <w:rFonts w:asciiTheme="majorBidi" w:hAnsiTheme="majorBidi" w:cstheme="majorBidi"/>
          <w:color w:val="000000" w:themeColor="text1"/>
          <w:szCs w:val="24"/>
        </w:rPr>
        <w:t xml:space="preserve"> (MDG)</w:t>
      </w:r>
      <w:r w:rsidRPr="004A0323">
        <w:rPr>
          <w:rFonts w:asciiTheme="majorBidi" w:hAnsiTheme="majorBidi" w:cstheme="majorBidi"/>
          <w:color w:val="000000" w:themeColor="text1"/>
          <w:szCs w:val="24"/>
        </w:rPr>
        <w:t xml:space="preserve"> in 2000 and </w:t>
      </w:r>
      <w:r w:rsidR="00D23F4E" w:rsidRPr="004A0323">
        <w:rPr>
          <w:rFonts w:asciiTheme="majorBidi" w:hAnsiTheme="majorBidi" w:cstheme="majorBidi"/>
          <w:color w:val="000000" w:themeColor="text1"/>
          <w:szCs w:val="24"/>
        </w:rPr>
        <w:t xml:space="preserve">of </w:t>
      </w:r>
      <w:r w:rsidRPr="004A0323">
        <w:rPr>
          <w:rFonts w:asciiTheme="majorBidi" w:hAnsiTheme="majorBidi" w:cstheme="majorBidi"/>
          <w:color w:val="000000" w:themeColor="text1"/>
          <w:szCs w:val="24"/>
        </w:rPr>
        <w:t>the Sustainable Development Goals</w:t>
      </w:r>
      <w:r w:rsidR="00DE6AAC" w:rsidRPr="004A0323">
        <w:rPr>
          <w:rFonts w:asciiTheme="majorBidi" w:hAnsiTheme="majorBidi" w:cstheme="majorBidi"/>
          <w:color w:val="000000" w:themeColor="text1"/>
          <w:szCs w:val="24"/>
        </w:rPr>
        <w:t xml:space="preserve"> </w:t>
      </w:r>
      <w:r w:rsidR="00D80773" w:rsidRPr="004A0323">
        <w:rPr>
          <w:rFonts w:asciiTheme="majorBidi" w:hAnsiTheme="majorBidi" w:cstheme="majorBidi"/>
          <w:color w:val="000000" w:themeColor="text1"/>
          <w:szCs w:val="24"/>
        </w:rPr>
        <w:t xml:space="preserve">(SDG) </w:t>
      </w:r>
      <w:r w:rsidR="00DE6AAC" w:rsidRPr="004A0323">
        <w:rPr>
          <w:rFonts w:asciiTheme="majorBidi" w:hAnsiTheme="majorBidi" w:cstheme="majorBidi"/>
          <w:color w:val="000000" w:themeColor="text1"/>
          <w:szCs w:val="24"/>
        </w:rPr>
        <w:t xml:space="preserve">in 2015 </w:t>
      </w:r>
      <w:r w:rsidRPr="004A0323">
        <w:rPr>
          <w:rFonts w:asciiTheme="majorBidi" w:hAnsiTheme="majorBidi" w:cstheme="majorBidi"/>
          <w:color w:val="000000" w:themeColor="text1"/>
          <w:szCs w:val="24"/>
        </w:rPr>
        <w:t>have</w:t>
      </w:r>
      <w:r w:rsidR="00DE6AAC" w:rsidRPr="004A0323">
        <w:rPr>
          <w:rFonts w:asciiTheme="majorBidi" w:hAnsiTheme="majorBidi" w:cstheme="majorBidi"/>
          <w:color w:val="000000" w:themeColor="text1"/>
          <w:szCs w:val="24"/>
        </w:rPr>
        <w:t xml:space="preserve"> been</w:t>
      </w:r>
      <w:r w:rsidRPr="004A0323">
        <w:rPr>
          <w:rFonts w:asciiTheme="majorBidi" w:hAnsiTheme="majorBidi" w:cstheme="majorBidi"/>
          <w:color w:val="000000" w:themeColor="text1"/>
          <w:szCs w:val="24"/>
        </w:rPr>
        <w:t xml:space="preserve"> further milestone</w:t>
      </w:r>
      <w:r w:rsidR="00DE6AAC" w:rsidRPr="004A0323">
        <w:rPr>
          <w:rFonts w:asciiTheme="majorBidi" w:hAnsiTheme="majorBidi" w:cstheme="majorBidi"/>
          <w:color w:val="000000" w:themeColor="text1"/>
          <w:szCs w:val="24"/>
        </w:rPr>
        <w:t>s</w:t>
      </w:r>
      <w:r w:rsidRPr="004A0323">
        <w:rPr>
          <w:rFonts w:asciiTheme="majorBidi" w:hAnsiTheme="majorBidi" w:cstheme="majorBidi"/>
          <w:color w:val="000000" w:themeColor="text1"/>
          <w:szCs w:val="24"/>
        </w:rPr>
        <w:t xml:space="preserve"> in defining the access to medicine problem, and in delineating the role of the pharmaceutical companies in helping address this “gap” (WHO 2014)</w:t>
      </w:r>
      <w:r w:rsidRPr="004A0323">
        <w:rPr>
          <w:rStyle w:val="FootnoteReference"/>
          <w:rFonts w:asciiTheme="majorBidi" w:hAnsiTheme="majorBidi" w:cstheme="majorBidi"/>
          <w:color w:val="000000" w:themeColor="text1"/>
        </w:rPr>
        <w:footnoteReference w:id="2"/>
      </w:r>
      <w:r w:rsidRPr="004A0323">
        <w:rPr>
          <w:rFonts w:asciiTheme="majorBidi" w:hAnsiTheme="majorBidi" w:cstheme="majorBidi"/>
          <w:color w:val="000000" w:themeColor="text1"/>
          <w:szCs w:val="24"/>
        </w:rPr>
        <w:t>.</w:t>
      </w:r>
    </w:p>
    <w:p w14:paraId="09B8716A" w14:textId="3D1483AF" w:rsidR="00524049" w:rsidRPr="004A0323" w:rsidRDefault="00524049" w:rsidP="00513F10">
      <w:pPr>
        <w:pStyle w:val="Body"/>
        <w:spacing w:after="120"/>
        <w:ind w:firstLine="720"/>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In this expanding </w:t>
      </w:r>
      <w:r w:rsidR="00D23F4E" w:rsidRPr="004A0323">
        <w:rPr>
          <w:rFonts w:asciiTheme="majorBidi" w:hAnsiTheme="majorBidi" w:cstheme="majorBidi"/>
          <w:color w:val="000000" w:themeColor="text1"/>
          <w:szCs w:val="24"/>
        </w:rPr>
        <w:t xml:space="preserve">transnational </w:t>
      </w:r>
      <w:r w:rsidRPr="004A0323">
        <w:rPr>
          <w:rFonts w:asciiTheme="majorBidi" w:hAnsiTheme="majorBidi" w:cstheme="majorBidi"/>
          <w:color w:val="000000" w:themeColor="text1"/>
          <w:szCs w:val="24"/>
        </w:rPr>
        <w:t xml:space="preserve">regulatory field, besides </w:t>
      </w:r>
      <w:r w:rsidR="004E3A82" w:rsidRPr="004A0323">
        <w:rPr>
          <w:rFonts w:asciiTheme="majorBidi" w:hAnsiTheme="majorBidi" w:cstheme="majorBidi"/>
          <w:color w:val="000000" w:themeColor="text1"/>
          <w:szCs w:val="24"/>
        </w:rPr>
        <w:t>IGO</w:t>
      </w:r>
      <w:r w:rsidRPr="004A0323">
        <w:rPr>
          <w:rFonts w:asciiTheme="majorBidi" w:hAnsiTheme="majorBidi" w:cstheme="majorBidi"/>
          <w:color w:val="000000" w:themeColor="text1"/>
          <w:szCs w:val="24"/>
        </w:rPr>
        <w:t xml:space="preserve">s </w:t>
      </w:r>
      <w:r w:rsidR="00D80773" w:rsidRPr="004A0323">
        <w:rPr>
          <w:rFonts w:asciiTheme="majorBidi" w:hAnsiTheme="majorBidi" w:cstheme="majorBidi"/>
          <w:color w:val="000000" w:themeColor="text1"/>
          <w:szCs w:val="24"/>
        </w:rPr>
        <w:t xml:space="preserve">such as </w:t>
      </w:r>
      <w:r w:rsidRPr="004A0323">
        <w:rPr>
          <w:rFonts w:asciiTheme="majorBidi" w:hAnsiTheme="majorBidi" w:cstheme="majorBidi"/>
          <w:color w:val="000000" w:themeColor="text1"/>
          <w:szCs w:val="24"/>
        </w:rPr>
        <w:t xml:space="preserve">the WHO and the UN, other international and national organizations compete and/or collaborate towards adopting regulatory roles and orchestrating the regulatory field (Abbott </w:t>
      </w:r>
      <w:r w:rsidRPr="004A0323">
        <w:rPr>
          <w:rFonts w:asciiTheme="majorBidi" w:hAnsiTheme="majorBidi" w:cstheme="majorBidi"/>
          <w:i/>
          <w:color w:val="000000" w:themeColor="text1"/>
          <w:szCs w:val="24"/>
        </w:rPr>
        <w:t>et al.</w:t>
      </w:r>
      <w:r w:rsidRPr="004A0323">
        <w:rPr>
          <w:rFonts w:asciiTheme="majorBidi" w:hAnsiTheme="majorBidi" w:cstheme="majorBidi"/>
          <w:color w:val="000000" w:themeColor="text1"/>
          <w:szCs w:val="24"/>
        </w:rPr>
        <w:t xml:space="preserve"> 2014). These include</w:t>
      </w:r>
      <w:r w:rsidR="00D23F4E" w:rsidRPr="004A0323">
        <w:rPr>
          <w:rFonts w:asciiTheme="majorBidi" w:hAnsiTheme="majorBidi" w:cstheme="majorBidi"/>
          <w:color w:val="000000" w:themeColor="text1"/>
          <w:szCs w:val="24"/>
        </w:rPr>
        <w:t>, as powerful funders,</w:t>
      </w:r>
      <w:r w:rsidRPr="004A0323">
        <w:rPr>
          <w:rFonts w:asciiTheme="majorBidi" w:hAnsiTheme="majorBidi" w:cstheme="majorBidi"/>
          <w:color w:val="000000" w:themeColor="text1"/>
          <w:szCs w:val="24"/>
        </w:rPr>
        <w:t xml:space="preserve"> national development agencies – especially the Department </w:t>
      </w:r>
      <w:r w:rsidR="001038B2" w:rsidRPr="004A0323">
        <w:rPr>
          <w:rFonts w:asciiTheme="majorBidi" w:hAnsiTheme="majorBidi" w:cstheme="majorBidi"/>
          <w:color w:val="000000" w:themeColor="text1"/>
          <w:szCs w:val="24"/>
        </w:rPr>
        <w:t>f</w:t>
      </w:r>
      <w:r w:rsidRPr="004A0323">
        <w:rPr>
          <w:rFonts w:asciiTheme="majorBidi" w:hAnsiTheme="majorBidi" w:cstheme="majorBidi"/>
          <w:color w:val="000000" w:themeColor="text1"/>
          <w:szCs w:val="24"/>
        </w:rPr>
        <w:t xml:space="preserve">or International Development (DFID) of the United Kingdom and USAID – and private foundations such as the Bill &amp; Melinda Gates Foundation, the Clinton Foundation and the Wellcome Trust. In addition, NGOs such as Doctors Without Borders and Health Action International (HAI) are vocal in this field, seeking to diffuse their own narrative about the Access to Medicine problem and the role of the pharmaceutical industry therein. It is in this ecosystem of </w:t>
      </w:r>
      <w:r w:rsidR="00D23F4E" w:rsidRPr="004A0323">
        <w:rPr>
          <w:rFonts w:asciiTheme="majorBidi" w:hAnsiTheme="majorBidi" w:cstheme="majorBidi"/>
          <w:color w:val="000000" w:themeColor="text1"/>
          <w:szCs w:val="24"/>
        </w:rPr>
        <w:t xml:space="preserve">overlapping </w:t>
      </w:r>
      <w:r w:rsidR="001038B2" w:rsidRPr="004A0323">
        <w:rPr>
          <w:rFonts w:asciiTheme="majorBidi" w:hAnsiTheme="majorBidi" w:cstheme="majorBidi"/>
          <w:color w:val="000000" w:themeColor="text1"/>
          <w:szCs w:val="24"/>
        </w:rPr>
        <w:t>rule-</w:t>
      </w:r>
      <w:r w:rsidRPr="004A0323">
        <w:rPr>
          <w:rFonts w:asciiTheme="majorBidi" w:hAnsiTheme="majorBidi" w:cstheme="majorBidi"/>
          <w:color w:val="000000" w:themeColor="text1"/>
          <w:szCs w:val="24"/>
        </w:rPr>
        <w:t>makers that the Access to Medicine Foundation was launched in 2005. Its key regulatory product is</w:t>
      </w:r>
      <w:r w:rsidR="00D23F4E" w:rsidRPr="004A0323">
        <w:rPr>
          <w:rFonts w:asciiTheme="majorBidi" w:hAnsiTheme="majorBidi" w:cstheme="majorBidi"/>
          <w:color w:val="000000" w:themeColor="text1"/>
          <w:szCs w:val="24"/>
        </w:rPr>
        <w:t xml:space="preserve"> a ranking known as</w:t>
      </w:r>
      <w:r w:rsidRPr="004A0323">
        <w:rPr>
          <w:rFonts w:asciiTheme="majorBidi" w:hAnsiTheme="majorBidi" w:cstheme="majorBidi"/>
          <w:color w:val="000000" w:themeColor="text1"/>
          <w:szCs w:val="24"/>
        </w:rPr>
        <w:t xml:space="preserve"> the Access to Medicine Index. The first bi-annual index was launched in 2008 and the sixth iteration is under way</w:t>
      </w:r>
      <w:r w:rsidR="00D80773" w:rsidRPr="004A0323">
        <w:rPr>
          <w:rFonts w:asciiTheme="majorBidi" w:hAnsiTheme="majorBidi" w:cstheme="majorBidi"/>
          <w:color w:val="000000" w:themeColor="text1"/>
          <w:szCs w:val="24"/>
        </w:rPr>
        <w:t xml:space="preserve"> at the time of writing</w:t>
      </w:r>
      <w:r w:rsidRPr="004A0323">
        <w:rPr>
          <w:rFonts w:asciiTheme="majorBidi" w:hAnsiTheme="majorBidi" w:cstheme="majorBidi"/>
          <w:color w:val="000000" w:themeColor="text1"/>
          <w:szCs w:val="24"/>
        </w:rPr>
        <w:t>.</w:t>
      </w:r>
    </w:p>
    <w:p w14:paraId="5D4A2EB2" w14:textId="443C1A71" w:rsidR="002A3CA8" w:rsidRPr="004A0323" w:rsidRDefault="002A3CA8" w:rsidP="00513F10">
      <w:pPr>
        <w:spacing w:line="480" w:lineRule="auto"/>
        <w:ind w:firstLine="567"/>
        <w:jc w:val="both"/>
        <w:rPr>
          <w:lang w:val="en-US"/>
        </w:rPr>
      </w:pPr>
      <w:r w:rsidRPr="004A0323">
        <w:rPr>
          <w:lang w:val="en-US"/>
        </w:rPr>
        <w:t xml:space="preserve">Each Index cycle of two years includes one year of stakeholder consultations aimed at updating the Index methodology, including an online survey, several stakeholder events and </w:t>
      </w:r>
      <w:r w:rsidRPr="004A0323">
        <w:rPr>
          <w:lang w:val="en-US"/>
        </w:rPr>
        <w:lastRenderedPageBreak/>
        <w:t xml:space="preserve">discussions about contentious issues at the “Expert Review Committee” (ERC), which </w:t>
      </w:r>
      <w:r w:rsidR="000F3862" w:rsidRPr="004A0323">
        <w:rPr>
          <w:lang w:val="en-US"/>
        </w:rPr>
        <w:t xml:space="preserve">includes </w:t>
      </w:r>
      <w:r w:rsidRPr="004A0323">
        <w:rPr>
          <w:lang w:val="en-US"/>
        </w:rPr>
        <w:t>representative</w:t>
      </w:r>
      <w:r w:rsidR="000F3862" w:rsidRPr="004A0323">
        <w:rPr>
          <w:lang w:val="en-US"/>
        </w:rPr>
        <w:t>s</w:t>
      </w:r>
      <w:r w:rsidRPr="004A0323">
        <w:rPr>
          <w:lang w:val="en-US"/>
        </w:rPr>
        <w:t xml:space="preserve"> </w:t>
      </w:r>
      <w:r w:rsidR="000F3862" w:rsidRPr="004A0323">
        <w:rPr>
          <w:lang w:val="en-US"/>
        </w:rPr>
        <w:t xml:space="preserve">from each </w:t>
      </w:r>
      <w:r w:rsidRPr="004A0323">
        <w:rPr>
          <w:lang w:val="en-US"/>
        </w:rPr>
        <w:t xml:space="preserve">stakeholder group (see Appendix II). </w:t>
      </w:r>
    </w:p>
    <w:p w14:paraId="01EE3C6F" w14:textId="395AEB44" w:rsidR="002A3CA8" w:rsidRPr="004A0323" w:rsidRDefault="002A3CA8" w:rsidP="00513F10">
      <w:pPr>
        <w:spacing w:line="480" w:lineRule="auto"/>
        <w:ind w:firstLine="567"/>
        <w:jc w:val="both"/>
        <w:rPr>
          <w:lang w:val="en-US"/>
        </w:rPr>
      </w:pPr>
      <w:commentRangeStart w:id="5"/>
      <w:r w:rsidRPr="004A0323">
        <w:rPr>
          <w:lang w:val="en-US"/>
        </w:rPr>
        <w:t xml:space="preserve">The </w:t>
      </w:r>
      <w:r w:rsidR="00B223AB" w:rsidRPr="004A0323">
        <w:rPr>
          <w:lang w:val="en-US"/>
        </w:rPr>
        <w:t xml:space="preserve">latest iteration of the </w:t>
      </w:r>
      <w:r w:rsidRPr="004A0323">
        <w:rPr>
          <w:lang w:val="en-US"/>
        </w:rPr>
        <w:t>Index</w:t>
      </w:r>
      <w:r w:rsidR="00B223AB" w:rsidRPr="004A0323">
        <w:rPr>
          <w:lang w:val="en-US"/>
        </w:rPr>
        <w:t xml:space="preserve"> (2016)</w:t>
      </w:r>
      <w:r w:rsidRPr="004A0323">
        <w:rPr>
          <w:lang w:val="en-US"/>
        </w:rPr>
        <w:t xml:space="preserve"> consists of </w:t>
      </w:r>
      <w:r w:rsidR="00B223AB" w:rsidRPr="004A0323">
        <w:rPr>
          <w:lang w:val="en-US"/>
        </w:rPr>
        <w:t>69</w:t>
      </w:r>
      <w:r w:rsidRPr="004A0323">
        <w:rPr>
          <w:lang w:val="en-US"/>
        </w:rPr>
        <w:t xml:space="preserve"> indicators, each accompanied by scoring guidelines to be used by analysts when measuring company performance. Each indicator is assigned a weight based on its perceived quality and correlation with the underlying</w:t>
      </w:r>
      <w:r w:rsidRPr="004A0323">
        <w:rPr>
          <w:iCs/>
          <w:lang w:val="en-US"/>
        </w:rPr>
        <w:t xml:space="preserve"> goal</w:t>
      </w:r>
      <w:r w:rsidRPr="004A0323">
        <w:rPr>
          <w:lang w:val="en-US"/>
        </w:rPr>
        <w:t xml:space="preserve"> of improving access to medicine. The indicators are classified under seven Technical Areas:</w:t>
      </w:r>
    </w:p>
    <w:p w14:paraId="74151A62" w14:textId="2DE4DEFD" w:rsidR="00A37CDB" w:rsidRPr="004A0323" w:rsidRDefault="00A37CDB" w:rsidP="00A37CDB">
      <w:pPr>
        <w:pStyle w:val="Citations"/>
        <w:numPr>
          <w:ilvl w:val="0"/>
          <w:numId w:val="5"/>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contextualSpacing/>
        <w:rPr>
          <w:color w:val="000000" w:themeColor="text1"/>
        </w:rPr>
      </w:pPr>
      <w:r w:rsidRPr="004A0323">
        <w:rPr>
          <w:color w:val="000000" w:themeColor="text1"/>
        </w:rPr>
        <w:t>General Access to Medicine Management</w:t>
      </w:r>
    </w:p>
    <w:p w14:paraId="68A21AAF" w14:textId="404B560B" w:rsidR="00A37CDB" w:rsidRPr="004A0323" w:rsidRDefault="00A37CDB" w:rsidP="00A37CDB">
      <w:pPr>
        <w:pStyle w:val="Citations"/>
        <w:numPr>
          <w:ilvl w:val="0"/>
          <w:numId w:val="5"/>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contextualSpacing/>
        <w:rPr>
          <w:color w:val="000000" w:themeColor="text1"/>
        </w:rPr>
      </w:pPr>
      <w:r w:rsidRPr="004A0323">
        <w:rPr>
          <w:color w:val="000000" w:themeColor="text1"/>
        </w:rPr>
        <w:t>Market Influence &amp; Compliance</w:t>
      </w:r>
    </w:p>
    <w:p w14:paraId="2DE699CC" w14:textId="5A068B61" w:rsidR="00A37CDB" w:rsidRPr="004A0323" w:rsidRDefault="00A37CDB" w:rsidP="00A37CDB">
      <w:pPr>
        <w:pStyle w:val="Citations"/>
        <w:numPr>
          <w:ilvl w:val="0"/>
          <w:numId w:val="5"/>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contextualSpacing/>
        <w:rPr>
          <w:color w:val="000000" w:themeColor="text1"/>
        </w:rPr>
      </w:pPr>
      <w:r w:rsidRPr="004A0323">
        <w:rPr>
          <w:color w:val="000000" w:themeColor="text1"/>
        </w:rPr>
        <w:t>Research &amp; Development</w:t>
      </w:r>
    </w:p>
    <w:p w14:paraId="02A6E202" w14:textId="2530BE70" w:rsidR="00A37CDB" w:rsidRPr="004A0323" w:rsidRDefault="00A37CDB" w:rsidP="00A37CDB">
      <w:pPr>
        <w:pStyle w:val="Citations"/>
        <w:numPr>
          <w:ilvl w:val="0"/>
          <w:numId w:val="5"/>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contextualSpacing/>
        <w:rPr>
          <w:color w:val="000000" w:themeColor="text1"/>
        </w:rPr>
      </w:pPr>
      <w:r w:rsidRPr="004A0323">
        <w:rPr>
          <w:color w:val="000000" w:themeColor="text1"/>
        </w:rPr>
        <w:t>Pricing, Manufacturing &amp; Distribution</w:t>
      </w:r>
    </w:p>
    <w:p w14:paraId="5739115C" w14:textId="3E34A267" w:rsidR="00A37CDB" w:rsidRPr="004A0323" w:rsidRDefault="00A37CDB" w:rsidP="00A37CDB">
      <w:pPr>
        <w:pStyle w:val="Citations"/>
        <w:numPr>
          <w:ilvl w:val="0"/>
          <w:numId w:val="5"/>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contextualSpacing/>
        <w:rPr>
          <w:color w:val="000000" w:themeColor="text1"/>
        </w:rPr>
      </w:pPr>
      <w:r w:rsidRPr="004A0323">
        <w:rPr>
          <w:color w:val="000000" w:themeColor="text1"/>
        </w:rPr>
        <w:t>Patents &amp; Licensing</w:t>
      </w:r>
    </w:p>
    <w:p w14:paraId="435BDDD3" w14:textId="481DE706" w:rsidR="00A37CDB" w:rsidRPr="004A0323" w:rsidRDefault="00A37CDB" w:rsidP="00A37CDB">
      <w:pPr>
        <w:pStyle w:val="Citations"/>
        <w:numPr>
          <w:ilvl w:val="0"/>
          <w:numId w:val="5"/>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contextualSpacing/>
        <w:rPr>
          <w:color w:val="000000" w:themeColor="text1"/>
        </w:rPr>
      </w:pPr>
      <w:r w:rsidRPr="004A0323">
        <w:rPr>
          <w:color w:val="000000" w:themeColor="text1"/>
        </w:rPr>
        <w:t>Capacity Building</w:t>
      </w:r>
    </w:p>
    <w:p w14:paraId="1F17EC92" w14:textId="76A573EB" w:rsidR="002A3CA8" w:rsidRPr="004A0323" w:rsidRDefault="00A37CDB" w:rsidP="00513F10">
      <w:pPr>
        <w:pStyle w:val="Citations"/>
        <w:numPr>
          <w:ilvl w:val="0"/>
          <w:numId w:val="5"/>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contextualSpacing/>
        <w:rPr>
          <w:rFonts w:asciiTheme="majorBidi" w:hAnsiTheme="majorBidi" w:cstheme="majorBidi"/>
          <w:color w:val="000000" w:themeColor="text1"/>
        </w:rPr>
      </w:pPr>
      <w:r w:rsidRPr="004A0323">
        <w:rPr>
          <w:color w:val="000000" w:themeColor="text1"/>
        </w:rPr>
        <w:t>Product Donations</w:t>
      </w:r>
      <w:r w:rsidR="002A3CA8" w:rsidRPr="004A0323">
        <w:rPr>
          <w:rFonts w:asciiTheme="majorBidi" w:hAnsiTheme="majorBidi" w:cstheme="majorBidi"/>
          <w:color w:val="000000" w:themeColor="text1"/>
        </w:rPr>
        <w:t>.</w:t>
      </w:r>
      <w:commentRangeEnd w:id="5"/>
      <w:r w:rsidR="00F542A8" w:rsidRPr="004A0323">
        <w:rPr>
          <w:rStyle w:val="CommentReference"/>
          <w:rFonts w:asciiTheme="majorBidi" w:eastAsiaTheme="minorHAnsi" w:hAnsiTheme="majorBidi" w:cstheme="majorBidi"/>
          <w:color w:val="000000" w:themeColor="text1"/>
          <w:bdr w:val="none" w:sz="0" w:space="0" w:color="auto"/>
          <w:lang w:val="en-GB"/>
        </w:rPr>
        <w:commentReference w:id="5"/>
      </w:r>
    </w:p>
    <w:p w14:paraId="6D9C15EE" w14:textId="77777777" w:rsidR="00202F6F" w:rsidRPr="004A0323" w:rsidRDefault="00202F6F" w:rsidP="00513F10">
      <w:pPr>
        <w:spacing w:after="120" w:line="480" w:lineRule="auto"/>
        <w:jc w:val="both"/>
        <w:rPr>
          <w:b/>
          <w:lang w:val="en-US"/>
        </w:rPr>
      </w:pPr>
    </w:p>
    <w:p w14:paraId="4EC2BCA5" w14:textId="0F9167B6" w:rsidR="0065197B" w:rsidRPr="004A0323" w:rsidRDefault="0065197B" w:rsidP="00513F10">
      <w:pPr>
        <w:spacing w:after="120" w:line="480" w:lineRule="auto"/>
        <w:jc w:val="center"/>
        <w:rPr>
          <w:b/>
          <w:lang w:val="en-US"/>
        </w:rPr>
      </w:pPr>
      <w:r w:rsidRPr="004A0323">
        <w:rPr>
          <w:b/>
          <w:lang w:val="en-US"/>
        </w:rPr>
        <w:t>[Enter Figure 1 about here]</w:t>
      </w:r>
    </w:p>
    <w:p w14:paraId="211C9BCE" w14:textId="593AB16B" w:rsidR="00DE6AAC" w:rsidRPr="004A0323" w:rsidRDefault="00524049" w:rsidP="00513F10">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lang w:val="en-US"/>
        </w:rPr>
      </w:pPr>
      <w:r w:rsidRPr="004A0323">
        <w:rPr>
          <w:lang w:val="en-US"/>
        </w:rPr>
        <w:t xml:space="preserve">Indicators under each technical area are categorized </w:t>
      </w:r>
      <w:r w:rsidR="00665842" w:rsidRPr="004A0323">
        <w:rPr>
          <w:lang w:val="en-US"/>
        </w:rPr>
        <w:t xml:space="preserve">in </w:t>
      </w:r>
      <w:r w:rsidRPr="004A0323">
        <w:rPr>
          <w:lang w:val="en-US"/>
        </w:rPr>
        <w:t>the four groups of commitments (policy statements), transparency</w:t>
      </w:r>
      <w:r w:rsidR="0088003E" w:rsidRPr="004A0323">
        <w:rPr>
          <w:lang w:val="en-US"/>
        </w:rPr>
        <w:t xml:space="preserve"> (public disclosure/reporting)</w:t>
      </w:r>
      <w:r w:rsidRPr="004A0323">
        <w:rPr>
          <w:lang w:val="en-US"/>
        </w:rPr>
        <w:t xml:space="preserve">, performance (output and outcome indicators) and innovation (unique in the sector initiatives) indicators. Following the finalization of the methodology and its release, a group of analysts engages in data collection, analysis, scoring and ranking. </w:t>
      </w:r>
    </w:p>
    <w:p w14:paraId="443741E6" w14:textId="18BA35A1" w:rsidR="00524049" w:rsidRPr="004A0323" w:rsidRDefault="00D80773" w:rsidP="00513F10">
      <w:pPr>
        <w:pStyle w:val="Body"/>
        <w:spacing w:after="120"/>
        <w:ind w:firstLine="567"/>
        <w:rPr>
          <w:rFonts w:asciiTheme="majorBidi" w:hAnsiTheme="majorBidi" w:cstheme="majorBidi"/>
          <w:b/>
          <w:color w:val="000000" w:themeColor="text1"/>
          <w:szCs w:val="24"/>
        </w:rPr>
      </w:pPr>
      <w:r w:rsidRPr="004A0323">
        <w:rPr>
          <w:rFonts w:asciiTheme="majorBidi" w:hAnsiTheme="majorBidi" w:cstheme="majorBidi"/>
          <w:color w:val="000000" w:themeColor="text1"/>
          <w:szCs w:val="24"/>
        </w:rPr>
        <w:t>S</w:t>
      </w:r>
      <w:r w:rsidR="00524049" w:rsidRPr="004A0323">
        <w:rPr>
          <w:rFonts w:asciiTheme="majorBidi" w:hAnsiTheme="majorBidi" w:cstheme="majorBidi"/>
          <w:color w:val="000000" w:themeColor="text1"/>
          <w:szCs w:val="24"/>
        </w:rPr>
        <w:t>ince 2009</w:t>
      </w:r>
      <w:r w:rsidRPr="004A0323">
        <w:rPr>
          <w:rFonts w:asciiTheme="majorBidi" w:hAnsiTheme="majorBidi" w:cstheme="majorBidi"/>
          <w:color w:val="000000" w:themeColor="text1"/>
          <w:szCs w:val="24"/>
        </w:rPr>
        <w:t>,</w:t>
      </w:r>
      <w:r w:rsidR="00524049" w:rsidRPr="004A0323">
        <w:rPr>
          <w:rFonts w:asciiTheme="majorBidi" w:hAnsiTheme="majorBidi" w:cstheme="majorBidi"/>
          <w:color w:val="000000" w:themeColor="text1"/>
          <w:szCs w:val="24"/>
        </w:rPr>
        <w:t xml:space="preserve"> </w:t>
      </w:r>
      <w:r w:rsidRPr="004A0323">
        <w:rPr>
          <w:rFonts w:asciiTheme="majorBidi" w:hAnsiTheme="majorBidi" w:cstheme="majorBidi"/>
          <w:color w:val="000000" w:themeColor="text1"/>
          <w:szCs w:val="24"/>
        </w:rPr>
        <w:t>thanks to</w:t>
      </w:r>
      <w:r w:rsidR="00524049" w:rsidRPr="004A0323">
        <w:rPr>
          <w:rFonts w:asciiTheme="majorBidi" w:hAnsiTheme="majorBidi" w:cstheme="majorBidi"/>
          <w:color w:val="000000" w:themeColor="text1"/>
          <w:szCs w:val="24"/>
        </w:rPr>
        <w:t xml:space="preserve"> multi-year funding from the Bill &amp; Melinda Gates Foundation, followed by UK Department for International Development (DFID) and the Dutch </w:t>
      </w:r>
      <w:r w:rsidR="00D23F4E" w:rsidRPr="004A0323">
        <w:rPr>
          <w:rFonts w:asciiTheme="majorBidi" w:hAnsiTheme="majorBidi" w:cstheme="majorBidi"/>
          <w:color w:val="000000" w:themeColor="text1"/>
          <w:szCs w:val="24"/>
        </w:rPr>
        <w:t>M</w:t>
      </w:r>
      <w:r w:rsidR="00524049" w:rsidRPr="004A0323">
        <w:rPr>
          <w:rFonts w:asciiTheme="majorBidi" w:hAnsiTheme="majorBidi" w:cstheme="majorBidi"/>
          <w:color w:val="000000" w:themeColor="text1"/>
          <w:szCs w:val="24"/>
        </w:rPr>
        <w:t xml:space="preserve">inistry of </w:t>
      </w:r>
      <w:r w:rsidR="00D23F4E" w:rsidRPr="004A0323">
        <w:rPr>
          <w:rFonts w:asciiTheme="majorBidi" w:hAnsiTheme="majorBidi" w:cstheme="majorBidi"/>
          <w:color w:val="000000" w:themeColor="text1"/>
          <w:szCs w:val="24"/>
        </w:rPr>
        <w:t>F</w:t>
      </w:r>
      <w:r w:rsidR="00524049" w:rsidRPr="004A0323">
        <w:rPr>
          <w:rFonts w:asciiTheme="majorBidi" w:hAnsiTheme="majorBidi" w:cstheme="majorBidi"/>
          <w:color w:val="000000" w:themeColor="text1"/>
          <w:szCs w:val="24"/>
        </w:rPr>
        <w:t xml:space="preserve">oreign </w:t>
      </w:r>
      <w:r w:rsidR="00D23F4E" w:rsidRPr="004A0323">
        <w:rPr>
          <w:rFonts w:asciiTheme="majorBidi" w:hAnsiTheme="majorBidi" w:cstheme="majorBidi"/>
          <w:color w:val="000000" w:themeColor="text1"/>
          <w:szCs w:val="24"/>
        </w:rPr>
        <w:t>A</w:t>
      </w:r>
      <w:r w:rsidR="00524049" w:rsidRPr="004A0323">
        <w:rPr>
          <w:rFonts w:asciiTheme="majorBidi" w:hAnsiTheme="majorBidi" w:cstheme="majorBidi"/>
          <w:color w:val="000000" w:themeColor="text1"/>
          <w:szCs w:val="24"/>
        </w:rPr>
        <w:t xml:space="preserve">ffairs, the Index has become a central reference point for evaluating large companies’ policies and </w:t>
      </w:r>
      <w:r w:rsidR="00D23F4E" w:rsidRPr="004A0323">
        <w:rPr>
          <w:rFonts w:asciiTheme="majorBidi" w:hAnsiTheme="majorBidi" w:cstheme="majorBidi"/>
          <w:color w:val="000000" w:themeColor="text1"/>
          <w:szCs w:val="24"/>
        </w:rPr>
        <w:t>actions</w:t>
      </w:r>
      <w:r w:rsidR="00524049" w:rsidRPr="004A0323">
        <w:rPr>
          <w:rFonts w:asciiTheme="majorBidi" w:hAnsiTheme="majorBidi" w:cstheme="majorBidi"/>
          <w:color w:val="000000" w:themeColor="text1"/>
          <w:szCs w:val="24"/>
        </w:rPr>
        <w:t xml:space="preserve"> </w:t>
      </w:r>
      <w:r w:rsidR="00D23F4E" w:rsidRPr="004A0323">
        <w:rPr>
          <w:rFonts w:asciiTheme="majorBidi" w:hAnsiTheme="majorBidi" w:cstheme="majorBidi"/>
          <w:color w:val="000000" w:themeColor="text1"/>
          <w:szCs w:val="24"/>
        </w:rPr>
        <w:t xml:space="preserve">related to </w:t>
      </w:r>
      <w:r w:rsidR="00524049" w:rsidRPr="004A0323">
        <w:rPr>
          <w:rFonts w:asciiTheme="majorBidi" w:hAnsiTheme="majorBidi" w:cstheme="majorBidi"/>
          <w:color w:val="000000" w:themeColor="text1"/>
          <w:szCs w:val="24"/>
        </w:rPr>
        <w:t xml:space="preserve">access to medicines. The Foundation’s (and the Index’s) success has been such that it is now a key </w:t>
      </w:r>
      <w:r w:rsidR="00040D1D" w:rsidRPr="004A0323">
        <w:rPr>
          <w:rFonts w:asciiTheme="majorBidi" w:hAnsiTheme="majorBidi" w:cstheme="majorBidi"/>
          <w:color w:val="000000" w:themeColor="text1"/>
          <w:szCs w:val="24"/>
        </w:rPr>
        <w:t>source of knowledge</w:t>
      </w:r>
      <w:r w:rsidR="00524049" w:rsidRPr="004A0323">
        <w:rPr>
          <w:rFonts w:asciiTheme="majorBidi" w:hAnsiTheme="majorBidi" w:cstheme="majorBidi"/>
          <w:color w:val="000000" w:themeColor="text1"/>
          <w:szCs w:val="24"/>
        </w:rPr>
        <w:t xml:space="preserve"> </w:t>
      </w:r>
      <w:r w:rsidR="00040D1D" w:rsidRPr="004A0323">
        <w:rPr>
          <w:rFonts w:asciiTheme="majorBidi" w:hAnsiTheme="majorBidi" w:cstheme="majorBidi"/>
          <w:color w:val="000000" w:themeColor="text1"/>
          <w:szCs w:val="24"/>
        </w:rPr>
        <w:t xml:space="preserve">for </w:t>
      </w:r>
      <w:r w:rsidR="00524049" w:rsidRPr="004A0323">
        <w:rPr>
          <w:rFonts w:asciiTheme="majorBidi" w:hAnsiTheme="majorBidi" w:cstheme="majorBidi"/>
          <w:color w:val="000000" w:themeColor="text1"/>
          <w:szCs w:val="24"/>
        </w:rPr>
        <w:t>global debates in this area</w:t>
      </w:r>
      <w:r w:rsidRPr="004A0323">
        <w:rPr>
          <w:rFonts w:asciiTheme="majorBidi" w:hAnsiTheme="majorBidi" w:cstheme="majorBidi"/>
          <w:color w:val="000000" w:themeColor="text1"/>
          <w:szCs w:val="24"/>
        </w:rPr>
        <w:t xml:space="preserve"> (e.g.</w:t>
      </w:r>
      <w:r w:rsidR="00524049" w:rsidRPr="004A0323">
        <w:rPr>
          <w:rFonts w:asciiTheme="majorBidi" w:hAnsiTheme="majorBidi" w:cstheme="majorBidi"/>
          <w:color w:val="000000" w:themeColor="text1"/>
          <w:szCs w:val="24"/>
        </w:rPr>
        <w:t xml:space="preserve"> </w:t>
      </w:r>
      <w:r w:rsidR="00040D1D" w:rsidRPr="004A0323">
        <w:rPr>
          <w:rFonts w:asciiTheme="majorBidi" w:hAnsiTheme="majorBidi" w:cstheme="majorBidi"/>
          <w:color w:val="000000" w:themeColor="text1"/>
          <w:szCs w:val="24"/>
        </w:rPr>
        <w:t xml:space="preserve">by contributing </w:t>
      </w:r>
      <w:r w:rsidR="00524049" w:rsidRPr="004A0323">
        <w:rPr>
          <w:rFonts w:asciiTheme="majorBidi" w:hAnsiTheme="majorBidi" w:cstheme="majorBidi"/>
          <w:color w:val="000000" w:themeColor="text1"/>
          <w:szCs w:val="24"/>
        </w:rPr>
        <w:t>to major policy documents issue</w:t>
      </w:r>
      <w:r w:rsidR="00D23F4E" w:rsidRPr="004A0323">
        <w:rPr>
          <w:rFonts w:asciiTheme="majorBidi" w:hAnsiTheme="majorBidi" w:cstheme="majorBidi"/>
          <w:color w:val="000000" w:themeColor="text1"/>
          <w:szCs w:val="24"/>
        </w:rPr>
        <w:t>d</w:t>
      </w:r>
      <w:r w:rsidR="00524049" w:rsidRPr="004A0323">
        <w:rPr>
          <w:rFonts w:asciiTheme="majorBidi" w:hAnsiTheme="majorBidi" w:cstheme="majorBidi"/>
          <w:color w:val="000000" w:themeColor="text1"/>
          <w:szCs w:val="24"/>
        </w:rPr>
        <w:t xml:space="preserve"> by the WHO and the UN</w:t>
      </w:r>
      <w:r w:rsidRPr="004A0323">
        <w:rPr>
          <w:rFonts w:asciiTheme="majorBidi" w:hAnsiTheme="majorBidi" w:cstheme="majorBidi"/>
          <w:color w:val="000000" w:themeColor="text1"/>
          <w:szCs w:val="24"/>
        </w:rPr>
        <w:t>).</w:t>
      </w:r>
      <w:r w:rsidR="00524049" w:rsidRPr="004A0323">
        <w:rPr>
          <w:rFonts w:asciiTheme="majorBidi" w:hAnsiTheme="majorBidi" w:cstheme="majorBidi"/>
          <w:color w:val="000000" w:themeColor="text1"/>
          <w:szCs w:val="24"/>
        </w:rPr>
        <w:t xml:space="preserve"> </w:t>
      </w:r>
    </w:p>
    <w:p w14:paraId="6242992E" w14:textId="0FB76B57" w:rsidR="008B383F" w:rsidRPr="004A0323" w:rsidRDefault="008B383F" w:rsidP="00513F10">
      <w:pPr>
        <w:pStyle w:val="Body"/>
        <w:numPr>
          <w:ilvl w:val="0"/>
          <w:numId w:val="1"/>
        </w:numPr>
        <w:rPr>
          <w:rFonts w:asciiTheme="majorBidi" w:hAnsiTheme="majorBidi" w:cstheme="majorBidi"/>
          <w:b/>
          <w:color w:val="000000" w:themeColor="text1"/>
          <w:szCs w:val="24"/>
        </w:rPr>
      </w:pPr>
      <w:r w:rsidRPr="004A0323">
        <w:rPr>
          <w:rFonts w:asciiTheme="majorBidi" w:hAnsiTheme="majorBidi" w:cstheme="majorBidi"/>
          <w:b/>
          <w:color w:val="000000" w:themeColor="text1"/>
          <w:szCs w:val="24"/>
        </w:rPr>
        <w:t>Sources and materials</w:t>
      </w:r>
    </w:p>
    <w:p w14:paraId="4EA3D4C6" w14:textId="7F7C12BE" w:rsidR="00524049" w:rsidRPr="004A0323" w:rsidRDefault="00524049" w:rsidP="00513F10">
      <w:pPr>
        <w:spacing w:line="480" w:lineRule="auto"/>
        <w:ind w:firstLine="567"/>
        <w:jc w:val="both"/>
        <w:rPr>
          <w:lang w:val="en-US"/>
        </w:rPr>
      </w:pPr>
      <w:r w:rsidRPr="004A0323">
        <w:rPr>
          <w:lang w:val="en-US"/>
        </w:rPr>
        <w:lastRenderedPageBreak/>
        <w:t>This study covers the development of the Access to Medicine Index from 2005 to 2016. Our sources comprise of documentary evidence, participant observation</w:t>
      </w:r>
      <w:r w:rsidR="00420CFB" w:rsidRPr="004A0323">
        <w:rPr>
          <w:lang w:val="en-US"/>
        </w:rPr>
        <w:t xml:space="preserve"> notes</w:t>
      </w:r>
      <w:r w:rsidRPr="004A0323">
        <w:rPr>
          <w:lang w:val="en-US"/>
        </w:rPr>
        <w:t xml:space="preserve"> and interviews. Documentary evidence includes press releases, news and media articles, minutes of meetings and outputs from stakeholder consultations (</w:t>
      </w:r>
      <w:r w:rsidR="00420CFB" w:rsidRPr="004A0323">
        <w:rPr>
          <w:lang w:val="en-US"/>
        </w:rPr>
        <w:t xml:space="preserve">such as </w:t>
      </w:r>
      <w:r w:rsidRPr="004A0323">
        <w:rPr>
          <w:lang w:val="en-US"/>
        </w:rPr>
        <w:t>online stakeholder survey</w:t>
      </w:r>
      <w:r w:rsidR="00420CFB" w:rsidRPr="004A0323">
        <w:rPr>
          <w:lang w:val="en-US"/>
        </w:rPr>
        <w:t>s</w:t>
      </w:r>
      <w:r w:rsidRPr="004A0323">
        <w:rPr>
          <w:lang w:val="en-US"/>
        </w:rPr>
        <w:t xml:space="preserve"> </w:t>
      </w:r>
      <w:r w:rsidR="00420CFB" w:rsidRPr="004A0323">
        <w:rPr>
          <w:lang w:val="en-US"/>
        </w:rPr>
        <w:t xml:space="preserve">conducted </w:t>
      </w:r>
      <w:r w:rsidRPr="004A0323">
        <w:rPr>
          <w:lang w:val="en-US"/>
        </w:rPr>
        <w:t xml:space="preserve">in 2009 and 2011, four stakeholder meetings </w:t>
      </w:r>
      <w:r w:rsidR="00420CFB" w:rsidRPr="004A0323">
        <w:rPr>
          <w:lang w:val="en-US"/>
        </w:rPr>
        <w:t xml:space="preserve">held </w:t>
      </w:r>
      <w:r w:rsidRPr="004A0323">
        <w:rPr>
          <w:lang w:val="en-US"/>
        </w:rPr>
        <w:t xml:space="preserve">in 2009 and 2010, one meeting with NGOs in Nairobi, Kenya in 2010, two stakeholder meetings, two meetings with the pharmaceutical industry and two meetings with investors in 2011). </w:t>
      </w:r>
    </w:p>
    <w:p w14:paraId="7E26A171" w14:textId="6D2BE5C4" w:rsidR="00524049" w:rsidRPr="004A0323" w:rsidRDefault="00524049" w:rsidP="00513F10">
      <w:pPr>
        <w:spacing w:line="480" w:lineRule="auto"/>
        <w:ind w:firstLine="567"/>
        <w:jc w:val="both"/>
        <w:rPr>
          <w:lang w:val="en-US"/>
        </w:rPr>
      </w:pPr>
      <w:r w:rsidRPr="004A0323">
        <w:rPr>
          <w:lang w:val="en-US"/>
        </w:rPr>
        <w:t xml:space="preserve">One of the </w:t>
      </w:r>
      <w:r w:rsidRPr="004A0323">
        <w:rPr>
          <w:i/>
          <w:iCs/>
          <w:lang w:val="en-US"/>
        </w:rPr>
        <w:t>authors (name withheld for the blind review process)</w:t>
      </w:r>
      <w:r w:rsidRPr="004A0323">
        <w:rPr>
          <w:lang w:val="en-US"/>
        </w:rPr>
        <w:t xml:space="preserve"> was a reviewer for Index 2008 and later became the Index Project Manager, employed by the Access to Medicine Foundation’s subcontractor – Innovest (later MSCI) – from November 2009 to June 2011. From June 2011 up until November 2012 he was a member of the editorial board and steering committee for Index 2012. Since September 2012 he has been </w:t>
      </w:r>
      <w:r w:rsidR="00772F87" w:rsidRPr="004A0323">
        <w:rPr>
          <w:lang w:val="en-US"/>
        </w:rPr>
        <w:t xml:space="preserve">doing </w:t>
      </w:r>
      <w:r w:rsidRPr="004A0323">
        <w:rPr>
          <w:lang w:val="en-US"/>
        </w:rPr>
        <w:t xml:space="preserve">“participant observation” (Jorgensen 1989), </w:t>
      </w:r>
      <w:r w:rsidR="00420CFB" w:rsidRPr="004A0323">
        <w:rPr>
          <w:lang w:val="en-US"/>
        </w:rPr>
        <w:t>taking</w:t>
      </w:r>
      <w:r w:rsidRPr="004A0323">
        <w:rPr>
          <w:lang w:val="en-US"/>
        </w:rPr>
        <w:t xml:space="preserve"> notes of his engagements with the Foundation.</w:t>
      </w:r>
    </w:p>
    <w:p w14:paraId="78EEB9CC" w14:textId="3AA832F0" w:rsidR="00773B86" w:rsidRPr="004A0323" w:rsidRDefault="00524049" w:rsidP="00F07D2A">
      <w:pPr>
        <w:spacing w:after="120" w:line="480" w:lineRule="auto"/>
        <w:ind w:firstLine="567"/>
        <w:jc w:val="both"/>
        <w:rPr>
          <w:b/>
          <w:lang w:val="en-US"/>
        </w:rPr>
      </w:pPr>
      <w:r w:rsidRPr="004A0323">
        <w:rPr>
          <w:lang w:val="en-US"/>
        </w:rPr>
        <w:t xml:space="preserve">We </w:t>
      </w:r>
      <w:r w:rsidR="00213CBA" w:rsidRPr="004A0323">
        <w:rPr>
          <w:lang w:val="en-US"/>
        </w:rPr>
        <w:t xml:space="preserve">also </w:t>
      </w:r>
      <w:r w:rsidRPr="004A0323">
        <w:rPr>
          <w:lang w:val="en-US"/>
        </w:rPr>
        <w:t>conducted 2</w:t>
      </w:r>
      <w:r w:rsidRPr="004A0323">
        <w:rPr>
          <w:lang w:val="en-US" w:bidi="fa-IR"/>
        </w:rPr>
        <w:t>4</w:t>
      </w:r>
      <w:r w:rsidRPr="004A0323">
        <w:rPr>
          <w:lang w:val="en-US"/>
        </w:rPr>
        <w:t xml:space="preserve"> semi-structured interviews, which were coded and transcribed. Interviewees included the Foundation’s founder, two </w:t>
      </w:r>
      <w:r w:rsidR="009359EA" w:rsidRPr="004A0323">
        <w:rPr>
          <w:lang w:val="en-US"/>
        </w:rPr>
        <w:t xml:space="preserve">of its </w:t>
      </w:r>
      <w:r w:rsidRPr="004A0323">
        <w:rPr>
          <w:lang w:val="en-US"/>
        </w:rPr>
        <w:t>former CEOs, two pharmaceutical company representatives, two NGO representatives, a UK Department for International Development (DFID - major funder of the Foundation) program manager, a WHO official involved in developing the Index since 2008,</w:t>
      </w:r>
      <w:r w:rsidR="00765391" w:rsidRPr="004A0323">
        <w:rPr>
          <w:lang w:val="en-US"/>
        </w:rPr>
        <w:t xml:space="preserve"> the</w:t>
      </w:r>
      <w:r w:rsidRPr="004A0323">
        <w:rPr>
          <w:lang w:val="en-US"/>
        </w:rPr>
        <w:t xml:space="preserve"> chair of ERC for Index 2010 and 2012, two former managers of Innovest Strategic Value Advisors, the project managers for Index 2008, Index 2012, Index 2014 and Index 2016, the Foundation’s deputy director of strategy since 2015 and members of the Index 2008, 2010, 2012, 2014 and 2016 analyst teams.</w:t>
      </w:r>
    </w:p>
    <w:p w14:paraId="6EAD76E7" w14:textId="6668D800" w:rsidR="008B383F" w:rsidRPr="004A0323" w:rsidRDefault="004A77A2" w:rsidP="00513F10">
      <w:pPr>
        <w:pStyle w:val="Body"/>
        <w:numPr>
          <w:ilvl w:val="0"/>
          <w:numId w:val="1"/>
        </w:numPr>
        <w:rPr>
          <w:rFonts w:asciiTheme="majorBidi" w:hAnsiTheme="majorBidi" w:cstheme="majorBidi"/>
          <w:b/>
          <w:color w:val="000000" w:themeColor="text1"/>
          <w:szCs w:val="24"/>
        </w:rPr>
      </w:pPr>
      <w:r w:rsidRPr="004A0323">
        <w:rPr>
          <w:rFonts w:asciiTheme="majorBidi" w:hAnsiTheme="majorBidi" w:cstheme="majorBidi"/>
          <w:b/>
          <w:color w:val="000000" w:themeColor="text1"/>
          <w:szCs w:val="24"/>
        </w:rPr>
        <w:t>Performance measurement,</w:t>
      </w:r>
      <w:r w:rsidR="00722E94" w:rsidRPr="004A0323">
        <w:rPr>
          <w:rFonts w:asciiTheme="majorBidi" w:hAnsiTheme="majorBidi" w:cstheme="majorBidi"/>
          <w:b/>
          <w:color w:val="000000" w:themeColor="text1"/>
          <w:szCs w:val="24"/>
        </w:rPr>
        <w:t xml:space="preserve"> between</w:t>
      </w:r>
      <w:r w:rsidRPr="004A0323">
        <w:rPr>
          <w:rFonts w:asciiTheme="majorBidi" w:hAnsiTheme="majorBidi" w:cstheme="majorBidi"/>
          <w:b/>
          <w:color w:val="000000" w:themeColor="text1"/>
          <w:szCs w:val="24"/>
        </w:rPr>
        <w:t xml:space="preserve"> legitimacy and compliance</w:t>
      </w:r>
    </w:p>
    <w:p w14:paraId="00EF4CCA" w14:textId="0DE73E82" w:rsidR="00740264" w:rsidRPr="004A0323" w:rsidRDefault="00EF7346" w:rsidP="00513F10">
      <w:pPr>
        <w:pStyle w:val="Body"/>
        <w:ind w:firstLine="567"/>
        <w:rPr>
          <w:rFonts w:asciiTheme="majorBidi" w:hAnsiTheme="majorBidi" w:cstheme="majorBidi"/>
          <w:i/>
          <w:color w:val="000000" w:themeColor="text1"/>
          <w:szCs w:val="24"/>
        </w:rPr>
      </w:pPr>
      <w:r w:rsidRPr="004A0323">
        <w:rPr>
          <w:rFonts w:asciiTheme="majorBidi" w:hAnsiTheme="majorBidi" w:cstheme="majorBidi"/>
          <w:i/>
          <w:color w:val="000000" w:themeColor="text1"/>
          <w:szCs w:val="24"/>
        </w:rPr>
        <w:t xml:space="preserve">5.1 </w:t>
      </w:r>
      <w:r w:rsidR="00740264" w:rsidRPr="004A0323">
        <w:rPr>
          <w:rFonts w:asciiTheme="majorBidi" w:hAnsiTheme="majorBidi" w:cstheme="majorBidi"/>
          <w:i/>
          <w:color w:val="000000" w:themeColor="text1"/>
          <w:szCs w:val="24"/>
        </w:rPr>
        <w:t>Input legitimacy</w:t>
      </w:r>
    </w:p>
    <w:p w14:paraId="1DC3E90A" w14:textId="0F295CC9" w:rsidR="00881932" w:rsidRPr="004A0323" w:rsidRDefault="00163761" w:rsidP="00513F10">
      <w:pPr>
        <w:pStyle w:val="Body"/>
        <w:ind w:firstLine="567"/>
        <w:rPr>
          <w:rFonts w:asciiTheme="majorBidi" w:hAnsiTheme="majorBidi" w:cstheme="majorBidi"/>
          <w:bCs/>
          <w:color w:val="000000" w:themeColor="text1"/>
          <w:szCs w:val="24"/>
        </w:rPr>
      </w:pPr>
      <w:r w:rsidRPr="004A0323">
        <w:rPr>
          <w:rFonts w:asciiTheme="majorBidi" w:hAnsiTheme="majorBidi" w:cstheme="majorBidi"/>
          <w:color w:val="000000" w:themeColor="text1"/>
          <w:szCs w:val="24"/>
        </w:rPr>
        <w:lastRenderedPageBreak/>
        <w:t>The Access to Medicine Foundation was launched in 2004 by Wim Leereveld</w:t>
      </w:r>
      <w:r w:rsidR="00AD1712" w:rsidRPr="004A0323">
        <w:rPr>
          <w:rFonts w:asciiTheme="majorBidi" w:hAnsiTheme="majorBidi" w:cstheme="majorBidi"/>
          <w:color w:val="000000" w:themeColor="text1"/>
          <w:szCs w:val="24"/>
        </w:rPr>
        <w:t>,</w:t>
      </w:r>
      <w:r w:rsidRPr="004A0323">
        <w:rPr>
          <w:rFonts w:asciiTheme="majorBidi" w:hAnsiTheme="majorBidi" w:cstheme="majorBidi"/>
          <w:color w:val="000000" w:themeColor="text1"/>
          <w:szCs w:val="24"/>
        </w:rPr>
        <w:t xml:space="preserve"> with the aim of enticing the pharmaceutical </w:t>
      </w:r>
      <w:r w:rsidR="00FE01CF" w:rsidRPr="004A0323">
        <w:rPr>
          <w:rFonts w:asciiTheme="majorBidi" w:hAnsiTheme="majorBidi" w:cstheme="majorBidi"/>
          <w:color w:val="000000" w:themeColor="text1"/>
          <w:szCs w:val="24"/>
        </w:rPr>
        <w:t>industry</w:t>
      </w:r>
      <w:r w:rsidRPr="004A0323">
        <w:rPr>
          <w:rFonts w:asciiTheme="majorBidi" w:hAnsiTheme="majorBidi" w:cstheme="majorBidi"/>
          <w:color w:val="000000" w:themeColor="text1"/>
          <w:szCs w:val="24"/>
        </w:rPr>
        <w:t xml:space="preserve"> to do more for access to medicine.</w:t>
      </w:r>
      <w:r w:rsidR="00881932" w:rsidRPr="004A0323">
        <w:rPr>
          <w:rFonts w:asciiTheme="majorBidi" w:hAnsiTheme="majorBidi" w:cstheme="majorBidi"/>
          <w:color w:val="000000" w:themeColor="text1"/>
          <w:szCs w:val="24"/>
        </w:rPr>
        <w:t xml:space="preserve"> </w:t>
      </w:r>
      <w:r w:rsidR="00657AF2" w:rsidRPr="004A0323">
        <w:rPr>
          <w:rFonts w:asciiTheme="majorBidi" w:hAnsiTheme="majorBidi" w:cstheme="majorBidi"/>
          <w:bCs/>
          <w:color w:val="000000" w:themeColor="text1"/>
          <w:szCs w:val="24"/>
        </w:rPr>
        <w:t>Leereveld descri</w:t>
      </w:r>
      <w:r w:rsidR="00BC39AB" w:rsidRPr="004A0323">
        <w:rPr>
          <w:rFonts w:asciiTheme="majorBidi" w:hAnsiTheme="majorBidi" w:cstheme="majorBidi"/>
          <w:bCs/>
          <w:color w:val="000000" w:themeColor="text1"/>
          <w:szCs w:val="24"/>
        </w:rPr>
        <w:t>bes</w:t>
      </w:r>
      <w:r w:rsidR="00881932" w:rsidRPr="004A0323">
        <w:rPr>
          <w:rFonts w:asciiTheme="majorBidi" w:hAnsiTheme="majorBidi" w:cstheme="majorBidi"/>
          <w:bCs/>
          <w:color w:val="000000" w:themeColor="text1"/>
          <w:szCs w:val="24"/>
        </w:rPr>
        <w:t xml:space="preserve"> his motivation to launch the Index along the following lines (Interview 2013):</w:t>
      </w:r>
    </w:p>
    <w:p w14:paraId="4F41F2A8" w14:textId="40D9374D" w:rsidR="00C853EC" w:rsidRPr="004A0323" w:rsidRDefault="00881932" w:rsidP="00513F10">
      <w:pPr>
        <w:pStyle w:val="Body"/>
        <w:spacing w:line="240" w:lineRule="auto"/>
        <w:ind w:left="567" w:right="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I realized I had a possibility to bring everyone at the table by organizing a sort of stakeholder consensus, a sort of common agenda – what the world wanted – and at the same time I knew the competitiveness of this world, of these companies.</w:t>
      </w:r>
    </w:p>
    <w:p w14:paraId="46A595E3" w14:textId="77777777" w:rsidR="008339B8" w:rsidRPr="004A0323" w:rsidRDefault="008339B8" w:rsidP="00513F10">
      <w:pPr>
        <w:pStyle w:val="Body"/>
        <w:spacing w:line="240" w:lineRule="auto"/>
        <w:ind w:left="567" w:right="567"/>
        <w:rPr>
          <w:rFonts w:asciiTheme="majorBidi" w:hAnsiTheme="majorBidi" w:cstheme="majorBidi"/>
          <w:color w:val="000000" w:themeColor="text1"/>
          <w:szCs w:val="24"/>
        </w:rPr>
      </w:pPr>
    </w:p>
    <w:p w14:paraId="114F5EC9" w14:textId="31074C40" w:rsidR="00740264" w:rsidRPr="004A0323" w:rsidRDefault="007547BB" w:rsidP="00513F10">
      <w:pPr>
        <w:pStyle w:val="Body"/>
        <w:ind w:right="-8"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The </w:t>
      </w:r>
      <w:r w:rsidR="004C65B1" w:rsidRPr="004A0323">
        <w:rPr>
          <w:rFonts w:asciiTheme="majorBidi" w:hAnsiTheme="majorBidi" w:cstheme="majorBidi"/>
          <w:color w:val="000000" w:themeColor="text1"/>
          <w:szCs w:val="24"/>
        </w:rPr>
        <w:t xml:space="preserve">agenda </w:t>
      </w:r>
      <w:r w:rsidRPr="004A0323">
        <w:rPr>
          <w:rFonts w:asciiTheme="majorBidi" w:hAnsiTheme="majorBidi" w:cstheme="majorBidi"/>
          <w:color w:val="000000" w:themeColor="text1"/>
          <w:szCs w:val="24"/>
        </w:rPr>
        <w:t xml:space="preserve">was </w:t>
      </w:r>
      <w:r w:rsidR="004C65B1" w:rsidRPr="004A0323">
        <w:rPr>
          <w:rFonts w:asciiTheme="majorBidi" w:hAnsiTheme="majorBidi" w:cstheme="majorBidi"/>
          <w:color w:val="000000" w:themeColor="text1"/>
          <w:szCs w:val="24"/>
        </w:rPr>
        <w:t xml:space="preserve">to overcome the </w:t>
      </w:r>
      <w:r w:rsidR="00740264" w:rsidRPr="004A0323">
        <w:rPr>
          <w:rFonts w:asciiTheme="majorBidi" w:hAnsiTheme="majorBidi" w:cstheme="majorBidi"/>
          <w:color w:val="000000" w:themeColor="text1"/>
          <w:szCs w:val="24"/>
        </w:rPr>
        <w:t>bitter confrontation between the industry and other organizations</w:t>
      </w:r>
      <w:r w:rsidR="00B65539" w:rsidRPr="004A0323">
        <w:rPr>
          <w:rFonts w:asciiTheme="majorBidi" w:hAnsiTheme="majorBidi" w:cstheme="majorBidi"/>
          <w:color w:val="000000" w:themeColor="text1"/>
          <w:szCs w:val="24"/>
        </w:rPr>
        <w:t>,</w:t>
      </w:r>
      <w:r w:rsidR="00740264" w:rsidRPr="004A0323">
        <w:rPr>
          <w:rFonts w:asciiTheme="majorBidi" w:hAnsiTheme="majorBidi" w:cstheme="majorBidi"/>
          <w:color w:val="000000" w:themeColor="text1"/>
          <w:szCs w:val="24"/>
        </w:rPr>
        <w:t xml:space="preserve"> such as some vocal NGOs</w:t>
      </w:r>
      <w:r w:rsidR="00B65539" w:rsidRPr="004A0323">
        <w:rPr>
          <w:rFonts w:asciiTheme="majorBidi" w:hAnsiTheme="majorBidi" w:cstheme="majorBidi"/>
          <w:color w:val="000000" w:themeColor="text1"/>
          <w:szCs w:val="24"/>
        </w:rPr>
        <w:t>,</w:t>
      </w:r>
      <w:r w:rsidR="00740264" w:rsidRPr="004A0323">
        <w:rPr>
          <w:rFonts w:asciiTheme="majorBidi" w:hAnsiTheme="majorBidi" w:cstheme="majorBidi"/>
          <w:color w:val="000000" w:themeColor="text1"/>
          <w:szCs w:val="24"/>
        </w:rPr>
        <w:t xml:space="preserve"> </w:t>
      </w:r>
      <w:r w:rsidR="004C65B1" w:rsidRPr="004A0323">
        <w:rPr>
          <w:rFonts w:asciiTheme="majorBidi" w:hAnsiTheme="majorBidi" w:cstheme="majorBidi"/>
          <w:color w:val="000000" w:themeColor="text1"/>
          <w:szCs w:val="24"/>
        </w:rPr>
        <w:t>which had paralyzed the access to medicine debate</w:t>
      </w:r>
      <w:r w:rsidR="00740264" w:rsidRPr="004A0323">
        <w:rPr>
          <w:rFonts w:asciiTheme="majorBidi" w:hAnsiTheme="majorBidi" w:cstheme="majorBidi"/>
          <w:color w:val="000000" w:themeColor="text1"/>
          <w:szCs w:val="24"/>
        </w:rPr>
        <w:t xml:space="preserve">. </w:t>
      </w:r>
      <w:r w:rsidR="00040D1D" w:rsidRPr="004A0323">
        <w:rPr>
          <w:rFonts w:asciiTheme="majorBidi" w:hAnsiTheme="majorBidi" w:cstheme="majorBidi"/>
          <w:color w:val="000000" w:themeColor="text1"/>
          <w:szCs w:val="24"/>
        </w:rPr>
        <w:t>The Index</w:t>
      </w:r>
      <w:r w:rsidR="00740264" w:rsidRPr="004A0323">
        <w:rPr>
          <w:rFonts w:asciiTheme="majorBidi" w:hAnsiTheme="majorBidi" w:cstheme="majorBidi"/>
          <w:color w:val="000000" w:themeColor="text1"/>
          <w:szCs w:val="24"/>
        </w:rPr>
        <w:t xml:space="preserve"> was proposed as a measurement tool that could carve out, and operate within, a space of consensus. Discordant views on what the industry needs to do to improve access to medicine are seen </w:t>
      </w:r>
      <w:r w:rsidR="00B65539" w:rsidRPr="004A0323">
        <w:rPr>
          <w:rFonts w:asciiTheme="majorBidi" w:hAnsiTheme="majorBidi" w:cstheme="majorBidi"/>
          <w:color w:val="000000" w:themeColor="text1"/>
          <w:szCs w:val="24"/>
        </w:rPr>
        <w:t>as</w:t>
      </w:r>
      <w:r w:rsidR="00740264" w:rsidRPr="004A0323">
        <w:rPr>
          <w:rFonts w:asciiTheme="majorBidi" w:hAnsiTheme="majorBidi" w:cstheme="majorBidi"/>
          <w:color w:val="000000" w:themeColor="text1"/>
          <w:szCs w:val="24"/>
        </w:rPr>
        <w:t xml:space="preserve"> “problematic because the pharmaceutical industry lacks concrete guidance on how to best respond to societal pressure. Moreover, external stakeholders cannot hold the industry to account </w:t>
      </w:r>
      <w:r w:rsidR="00B95BFF" w:rsidRPr="004A0323">
        <w:rPr>
          <w:rFonts w:asciiTheme="majorBidi" w:hAnsiTheme="majorBidi" w:cstheme="majorBidi"/>
          <w:color w:val="000000" w:themeColor="text1"/>
          <w:szCs w:val="24"/>
        </w:rPr>
        <w:t xml:space="preserve">without </w:t>
      </w:r>
      <w:r w:rsidR="00740264" w:rsidRPr="004A0323">
        <w:rPr>
          <w:rFonts w:asciiTheme="majorBidi" w:hAnsiTheme="majorBidi" w:cstheme="majorBidi"/>
          <w:color w:val="000000" w:themeColor="text1"/>
          <w:szCs w:val="24"/>
        </w:rPr>
        <w:t>using mutually-agreed-upon standards” (De Felice</w:t>
      </w:r>
      <w:r w:rsidR="00773B86" w:rsidRPr="004A0323">
        <w:rPr>
          <w:rFonts w:asciiTheme="majorBidi" w:hAnsiTheme="majorBidi" w:cstheme="majorBidi"/>
          <w:color w:val="000000" w:themeColor="text1"/>
          <w:szCs w:val="24"/>
        </w:rPr>
        <w:t xml:space="preserve"> </w:t>
      </w:r>
      <w:r w:rsidR="00740264" w:rsidRPr="004A0323">
        <w:rPr>
          <w:rFonts w:asciiTheme="majorBidi" w:hAnsiTheme="majorBidi" w:cstheme="majorBidi"/>
          <w:color w:val="000000" w:themeColor="text1"/>
          <w:szCs w:val="24"/>
        </w:rPr>
        <w:t>20</w:t>
      </w:r>
      <w:r w:rsidR="00BE11EF" w:rsidRPr="004A0323">
        <w:rPr>
          <w:rFonts w:asciiTheme="majorBidi" w:hAnsiTheme="majorBidi" w:cstheme="majorBidi"/>
          <w:color w:val="000000" w:themeColor="text1"/>
          <w:szCs w:val="24"/>
        </w:rPr>
        <w:t>1</w:t>
      </w:r>
      <w:r w:rsidR="00740264" w:rsidRPr="004A0323">
        <w:rPr>
          <w:rFonts w:asciiTheme="majorBidi" w:hAnsiTheme="majorBidi" w:cstheme="majorBidi"/>
          <w:color w:val="000000" w:themeColor="text1"/>
          <w:szCs w:val="24"/>
        </w:rPr>
        <w:t xml:space="preserve">6). </w:t>
      </w:r>
    </w:p>
    <w:p w14:paraId="5D9F8997" w14:textId="7EAAC6B2" w:rsidR="003B730E" w:rsidRPr="004A0323" w:rsidRDefault="00555FEE" w:rsidP="00513F10">
      <w:pPr>
        <w:pStyle w:val="Body"/>
        <w:ind w:right="-8"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Operating with such an agenda in the conflict-ridden space of access to medicine was a daring enterprise for what was essentially</w:t>
      </w:r>
      <w:r w:rsidR="00B65539" w:rsidRPr="004A0323">
        <w:rPr>
          <w:rFonts w:asciiTheme="majorBidi" w:hAnsiTheme="majorBidi" w:cstheme="majorBidi"/>
          <w:color w:val="000000" w:themeColor="text1"/>
          <w:szCs w:val="24"/>
        </w:rPr>
        <w:t>, in its early stages,</w:t>
      </w:r>
      <w:r w:rsidRPr="004A0323">
        <w:rPr>
          <w:rFonts w:asciiTheme="majorBidi" w:hAnsiTheme="majorBidi" w:cstheme="majorBidi"/>
          <w:color w:val="000000" w:themeColor="text1"/>
          <w:szCs w:val="24"/>
        </w:rPr>
        <w:t xml:space="preserve"> a one-man initiative – an NGO with only</w:t>
      </w:r>
      <w:r w:rsidR="00EA672D" w:rsidRPr="004A0323">
        <w:rPr>
          <w:rFonts w:asciiTheme="majorBidi" w:hAnsiTheme="majorBidi" w:cstheme="majorBidi"/>
          <w:color w:val="000000" w:themeColor="text1"/>
          <w:szCs w:val="24"/>
        </w:rPr>
        <w:t xml:space="preserve"> one </w:t>
      </w:r>
      <w:r w:rsidR="00A818D8" w:rsidRPr="004A0323">
        <w:rPr>
          <w:rFonts w:asciiTheme="majorBidi" w:hAnsiTheme="majorBidi" w:cstheme="majorBidi"/>
          <w:color w:val="000000" w:themeColor="text1"/>
          <w:szCs w:val="24"/>
        </w:rPr>
        <w:t xml:space="preserve">full-time </w:t>
      </w:r>
      <w:r w:rsidR="00EA672D" w:rsidRPr="004A0323">
        <w:rPr>
          <w:rFonts w:asciiTheme="majorBidi" w:hAnsiTheme="majorBidi" w:cstheme="majorBidi"/>
          <w:color w:val="000000" w:themeColor="text1"/>
          <w:szCs w:val="24"/>
        </w:rPr>
        <w:t>employee</w:t>
      </w:r>
      <w:r w:rsidRPr="004A0323">
        <w:rPr>
          <w:rFonts w:asciiTheme="majorBidi" w:hAnsiTheme="majorBidi" w:cstheme="majorBidi"/>
          <w:color w:val="000000" w:themeColor="text1"/>
          <w:szCs w:val="24"/>
        </w:rPr>
        <w:t xml:space="preserve"> </w:t>
      </w:r>
      <w:r w:rsidR="00EA672D" w:rsidRPr="004A0323">
        <w:rPr>
          <w:rFonts w:asciiTheme="majorBidi" w:hAnsiTheme="majorBidi" w:cstheme="majorBidi"/>
          <w:color w:val="000000" w:themeColor="text1"/>
          <w:szCs w:val="24"/>
        </w:rPr>
        <w:t>(its founder)</w:t>
      </w:r>
      <w:r w:rsidRPr="004A0323">
        <w:rPr>
          <w:rFonts w:asciiTheme="majorBidi" w:hAnsiTheme="majorBidi" w:cstheme="majorBidi"/>
          <w:color w:val="000000" w:themeColor="text1"/>
          <w:szCs w:val="24"/>
        </w:rPr>
        <w:t xml:space="preserve"> which received its first major multi-year funding from the Bill &amp; Melinda Gates Foundation only in 2009. In its early </w:t>
      </w:r>
      <w:r w:rsidR="0098374F" w:rsidRPr="004A0323">
        <w:rPr>
          <w:rFonts w:asciiTheme="majorBidi" w:hAnsiTheme="majorBidi" w:cstheme="majorBidi"/>
          <w:color w:val="000000" w:themeColor="text1"/>
          <w:szCs w:val="24"/>
        </w:rPr>
        <w:t>days</w:t>
      </w:r>
      <w:r w:rsidRPr="004A0323">
        <w:rPr>
          <w:rFonts w:asciiTheme="majorBidi" w:hAnsiTheme="majorBidi" w:cstheme="majorBidi"/>
          <w:color w:val="000000" w:themeColor="text1"/>
          <w:szCs w:val="24"/>
        </w:rPr>
        <w:t>, the Foundation was</w:t>
      </w:r>
      <w:r w:rsidR="00C615D7" w:rsidRPr="004A0323">
        <w:rPr>
          <w:rFonts w:asciiTheme="majorBidi" w:hAnsiTheme="majorBidi" w:cstheme="majorBidi"/>
          <w:color w:val="000000" w:themeColor="text1"/>
          <w:szCs w:val="24"/>
        </w:rPr>
        <w:t xml:space="preserve"> a</w:t>
      </w:r>
      <w:r w:rsidR="0098374F" w:rsidRPr="004A0323">
        <w:rPr>
          <w:rFonts w:asciiTheme="majorBidi" w:hAnsiTheme="majorBidi" w:cstheme="majorBidi"/>
          <w:color w:val="000000" w:themeColor="text1"/>
          <w:szCs w:val="24"/>
        </w:rPr>
        <w:t xml:space="preserve"> </w:t>
      </w:r>
      <w:r w:rsidRPr="004A0323">
        <w:rPr>
          <w:rFonts w:asciiTheme="majorBidi" w:hAnsiTheme="majorBidi" w:cstheme="majorBidi"/>
          <w:color w:val="000000" w:themeColor="text1"/>
          <w:szCs w:val="24"/>
        </w:rPr>
        <w:t xml:space="preserve">rather obscure </w:t>
      </w:r>
      <w:r w:rsidR="0098374F" w:rsidRPr="004A0323">
        <w:rPr>
          <w:rFonts w:asciiTheme="majorBidi" w:hAnsiTheme="majorBidi" w:cstheme="majorBidi"/>
          <w:color w:val="000000" w:themeColor="text1"/>
          <w:szCs w:val="24"/>
        </w:rPr>
        <w:t xml:space="preserve">“unofficial” intermediary (Mena </w:t>
      </w:r>
      <w:r w:rsidR="0098374F" w:rsidRPr="004A0323">
        <w:rPr>
          <w:rFonts w:asciiTheme="majorBidi" w:hAnsiTheme="majorBidi" w:cstheme="majorBidi"/>
          <w:i/>
          <w:color w:val="000000" w:themeColor="text1"/>
          <w:szCs w:val="24"/>
        </w:rPr>
        <w:t>et. al</w:t>
      </w:r>
      <w:r w:rsidR="0098374F" w:rsidRPr="004A0323">
        <w:rPr>
          <w:rFonts w:asciiTheme="majorBidi" w:hAnsiTheme="majorBidi" w:cstheme="majorBidi"/>
          <w:color w:val="000000" w:themeColor="text1"/>
          <w:szCs w:val="24"/>
        </w:rPr>
        <w:t>. this issue).</w:t>
      </w:r>
      <w:r w:rsidRPr="004A0323">
        <w:rPr>
          <w:rFonts w:asciiTheme="majorBidi" w:hAnsiTheme="majorBidi" w:cstheme="majorBidi"/>
          <w:color w:val="000000" w:themeColor="text1"/>
          <w:szCs w:val="24"/>
        </w:rPr>
        <w:t xml:space="preserve"> </w:t>
      </w:r>
      <w:r w:rsidR="0098374F" w:rsidRPr="004A0323">
        <w:rPr>
          <w:rFonts w:asciiTheme="majorBidi" w:hAnsiTheme="majorBidi" w:cstheme="majorBidi"/>
          <w:color w:val="000000" w:themeColor="text1"/>
          <w:szCs w:val="24"/>
        </w:rPr>
        <w:t>It soon became clear to Leereveld, especially after receiving advice from a United Nations official, that in order to move the consensus</w:t>
      </w:r>
      <w:r w:rsidR="00C615D7" w:rsidRPr="004A0323">
        <w:rPr>
          <w:rFonts w:asciiTheme="majorBidi" w:hAnsiTheme="majorBidi" w:cstheme="majorBidi"/>
          <w:color w:val="000000" w:themeColor="text1"/>
          <w:szCs w:val="24"/>
        </w:rPr>
        <w:t>-</w:t>
      </w:r>
      <w:r w:rsidR="0098374F" w:rsidRPr="004A0323">
        <w:rPr>
          <w:rFonts w:asciiTheme="majorBidi" w:hAnsiTheme="majorBidi" w:cstheme="majorBidi"/>
          <w:color w:val="000000" w:themeColor="text1"/>
          <w:szCs w:val="24"/>
        </w:rPr>
        <w:t>building agenda forward</w:t>
      </w:r>
      <w:r w:rsidR="003B730E" w:rsidRPr="004A0323">
        <w:rPr>
          <w:rFonts w:asciiTheme="majorBidi" w:hAnsiTheme="majorBidi" w:cstheme="majorBidi"/>
          <w:color w:val="000000" w:themeColor="text1"/>
          <w:szCs w:val="24"/>
        </w:rPr>
        <w:t xml:space="preserve"> some formal</w:t>
      </w:r>
      <w:r w:rsidR="0098374F" w:rsidRPr="004A0323">
        <w:rPr>
          <w:rFonts w:asciiTheme="majorBidi" w:hAnsiTheme="majorBidi" w:cstheme="majorBidi"/>
          <w:color w:val="000000" w:themeColor="text1"/>
          <w:szCs w:val="24"/>
        </w:rPr>
        <w:t xml:space="preserve"> stakeholder consultation had to be organized</w:t>
      </w:r>
      <w:r w:rsidR="00D138FE" w:rsidRPr="004A0323">
        <w:rPr>
          <w:rFonts w:asciiTheme="majorBidi" w:hAnsiTheme="majorBidi" w:cstheme="majorBidi"/>
          <w:color w:val="000000" w:themeColor="text1"/>
          <w:szCs w:val="24"/>
        </w:rPr>
        <w:t xml:space="preserve"> (Interview with Leereveld 2013)</w:t>
      </w:r>
      <w:r w:rsidR="0098374F" w:rsidRPr="004A0323">
        <w:rPr>
          <w:rFonts w:asciiTheme="majorBidi" w:hAnsiTheme="majorBidi" w:cstheme="majorBidi"/>
          <w:color w:val="000000" w:themeColor="text1"/>
          <w:szCs w:val="24"/>
        </w:rPr>
        <w:t xml:space="preserve">. </w:t>
      </w:r>
      <w:r w:rsidRPr="004A0323">
        <w:rPr>
          <w:rFonts w:asciiTheme="majorBidi" w:hAnsiTheme="majorBidi" w:cstheme="majorBidi"/>
          <w:color w:val="000000" w:themeColor="text1"/>
          <w:szCs w:val="24"/>
        </w:rPr>
        <w:t>In 2006 and 2007</w:t>
      </w:r>
      <w:r w:rsidR="00757C7F" w:rsidRPr="004A0323">
        <w:rPr>
          <w:rFonts w:asciiTheme="majorBidi" w:hAnsiTheme="majorBidi" w:cstheme="majorBidi"/>
          <w:color w:val="000000" w:themeColor="text1"/>
          <w:szCs w:val="24"/>
        </w:rPr>
        <w:t>,</w:t>
      </w:r>
      <w:r w:rsidRPr="004A0323">
        <w:rPr>
          <w:rFonts w:asciiTheme="majorBidi" w:hAnsiTheme="majorBidi" w:cstheme="majorBidi"/>
          <w:color w:val="000000" w:themeColor="text1"/>
          <w:szCs w:val="24"/>
        </w:rPr>
        <w:t xml:space="preserve"> the Foundation and the company hired to develop the Index </w:t>
      </w:r>
      <w:r w:rsidR="003B730E" w:rsidRPr="004A0323">
        <w:rPr>
          <w:rFonts w:asciiTheme="majorBidi" w:hAnsiTheme="majorBidi" w:cstheme="majorBidi"/>
          <w:color w:val="000000" w:themeColor="text1"/>
          <w:szCs w:val="24"/>
        </w:rPr>
        <w:t>convened</w:t>
      </w:r>
      <w:r w:rsidRPr="004A0323">
        <w:rPr>
          <w:rFonts w:asciiTheme="majorBidi" w:hAnsiTheme="majorBidi" w:cstheme="majorBidi"/>
          <w:color w:val="000000" w:themeColor="text1"/>
          <w:szCs w:val="24"/>
        </w:rPr>
        <w:t xml:space="preserve"> several stakeholder roundtables. The Foundation released a stakeholder consultation </w:t>
      </w:r>
      <w:r w:rsidR="003B730E" w:rsidRPr="004A0323">
        <w:rPr>
          <w:rFonts w:asciiTheme="majorBidi" w:hAnsiTheme="majorBidi" w:cstheme="majorBidi"/>
          <w:color w:val="000000" w:themeColor="text1"/>
          <w:szCs w:val="24"/>
        </w:rPr>
        <w:t xml:space="preserve">report </w:t>
      </w:r>
      <w:r w:rsidRPr="004A0323">
        <w:rPr>
          <w:rFonts w:asciiTheme="majorBidi" w:hAnsiTheme="majorBidi" w:cstheme="majorBidi"/>
          <w:color w:val="000000" w:themeColor="text1"/>
          <w:szCs w:val="24"/>
        </w:rPr>
        <w:t xml:space="preserve">and then an industry consultation report </w:t>
      </w:r>
      <w:r w:rsidR="003B730E" w:rsidRPr="004A0323">
        <w:rPr>
          <w:rFonts w:asciiTheme="majorBidi" w:hAnsiTheme="majorBidi" w:cstheme="majorBidi"/>
          <w:color w:val="000000" w:themeColor="text1"/>
          <w:szCs w:val="24"/>
        </w:rPr>
        <w:t>which</w:t>
      </w:r>
      <w:r w:rsidRPr="004A0323">
        <w:rPr>
          <w:rFonts w:asciiTheme="majorBidi" w:hAnsiTheme="majorBidi" w:cstheme="majorBidi"/>
          <w:color w:val="000000" w:themeColor="text1"/>
          <w:szCs w:val="24"/>
        </w:rPr>
        <w:t xml:space="preserve"> served as bases for the development of </w:t>
      </w:r>
      <w:r w:rsidR="003B730E" w:rsidRPr="004A0323">
        <w:rPr>
          <w:rFonts w:asciiTheme="majorBidi" w:hAnsiTheme="majorBidi" w:cstheme="majorBidi"/>
          <w:color w:val="000000" w:themeColor="text1"/>
          <w:szCs w:val="24"/>
        </w:rPr>
        <w:t xml:space="preserve">the first Access to Medicine </w:t>
      </w:r>
      <w:r w:rsidRPr="004A0323">
        <w:rPr>
          <w:rFonts w:asciiTheme="majorBidi" w:hAnsiTheme="majorBidi" w:cstheme="majorBidi"/>
          <w:color w:val="000000" w:themeColor="text1"/>
          <w:szCs w:val="24"/>
        </w:rPr>
        <w:t xml:space="preserve">Index </w:t>
      </w:r>
      <w:r w:rsidR="003B730E" w:rsidRPr="004A0323">
        <w:rPr>
          <w:rFonts w:asciiTheme="majorBidi" w:hAnsiTheme="majorBidi" w:cstheme="majorBidi"/>
          <w:color w:val="000000" w:themeColor="text1"/>
          <w:szCs w:val="24"/>
        </w:rPr>
        <w:t xml:space="preserve">in </w:t>
      </w:r>
      <w:r w:rsidRPr="004A0323">
        <w:rPr>
          <w:rFonts w:asciiTheme="majorBidi" w:hAnsiTheme="majorBidi" w:cstheme="majorBidi"/>
          <w:color w:val="000000" w:themeColor="text1"/>
          <w:szCs w:val="24"/>
        </w:rPr>
        <w:t xml:space="preserve">2008. </w:t>
      </w:r>
    </w:p>
    <w:p w14:paraId="2FE2D34A" w14:textId="77777777" w:rsidR="000851D4" w:rsidRPr="004A0323" w:rsidRDefault="003B730E" w:rsidP="00F07D2A">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Despite this first milestone, f</w:t>
      </w:r>
      <w:r w:rsidR="00555FEE" w:rsidRPr="004A0323">
        <w:rPr>
          <w:rFonts w:asciiTheme="majorBidi" w:hAnsiTheme="majorBidi" w:cstheme="majorBidi"/>
          <w:color w:val="000000" w:themeColor="text1"/>
          <w:szCs w:val="24"/>
        </w:rPr>
        <w:t xml:space="preserve">ollowing the launch of Index 2008 </w:t>
      </w:r>
      <w:r w:rsidRPr="004A0323">
        <w:rPr>
          <w:rFonts w:asciiTheme="majorBidi" w:hAnsiTheme="majorBidi" w:cstheme="majorBidi"/>
          <w:color w:val="000000" w:themeColor="text1"/>
          <w:szCs w:val="24"/>
        </w:rPr>
        <w:t xml:space="preserve">the </w:t>
      </w:r>
      <w:r w:rsidR="00555FEE" w:rsidRPr="004A0323">
        <w:rPr>
          <w:rFonts w:asciiTheme="majorBidi" w:hAnsiTheme="majorBidi" w:cstheme="majorBidi"/>
          <w:color w:val="000000" w:themeColor="text1"/>
          <w:szCs w:val="24"/>
        </w:rPr>
        <w:t xml:space="preserve">Foundation </w:t>
      </w:r>
      <w:r w:rsidRPr="004A0323">
        <w:rPr>
          <w:rFonts w:asciiTheme="majorBidi" w:hAnsiTheme="majorBidi" w:cstheme="majorBidi"/>
          <w:color w:val="000000" w:themeColor="text1"/>
          <w:szCs w:val="24"/>
        </w:rPr>
        <w:t xml:space="preserve">faced criticism </w:t>
      </w:r>
      <w:r w:rsidR="00555FEE" w:rsidRPr="004A0323">
        <w:rPr>
          <w:rFonts w:asciiTheme="majorBidi" w:hAnsiTheme="majorBidi" w:cstheme="majorBidi"/>
          <w:color w:val="000000" w:themeColor="text1"/>
          <w:szCs w:val="24"/>
        </w:rPr>
        <w:t xml:space="preserve">both from the </w:t>
      </w:r>
      <w:r w:rsidRPr="004A0323">
        <w:rPr>
          <w:rFonts w:asciiTheme="majorBidi" w:hAnsiTheme="majorBidi" w:cstheme="majorBidi"/>
          <w:color w:val="000000" w:themeColor="text1"/>
          <w:szCs w:val="24"/>
        </w:rPr>
        <w:t>industry</w:t>
      </w:r>
      <w:r w:rsidR="00555FEE" w:rsidRPr="004A0323">
        <w:rPr>
          <w:rFonts w:asciiTheme="majorBidi" w:hAnsiTheme="majorBidi" w:cstheme="majorBidi"/>
          <w:color w:val="000000" w:themeColor="text1"/>
          <w:szCs w:val="24"/>
        </w:rPr>
        <w:t xml:space="preserve"> and </w:t>
      </w:r>
      <w:r w:rsidR="00A33646" w:rsidRPr="004A0323">
        <w:rPr>
          <w:rFonts w:asciiTheme="majorBidi" w:hAnsiTheme="majorBidi" w:cstheme="majorBidi"/>
          <w:color w:val="000000" w:themeColor="text1"/>
          <w:szCs w:val="24"/>
        </w:rPr>
        <w:t xml:space="preserve">some international </w:t>
      </w:r>
      <w:r w:rsidR="00555FEE" w:rsidRPr="004A0323">
        <w:rPr>
          <w:rFonts w:asciiTheme="majorBidi" w:hAnsiTheme="majorBidi" w:cstheme="majorBidi"/>
          <w:color w:val="000000" w:themeColor="text1"/>
          <w:szCs w:val="24"/>
        </w:rPr>
        <w:t>NGOs with regards to its sta</w:t>
      </w:r>
      <w:r w:rsidR="004663E7" w:rsidRPr="004A0323">
        <w:rPr>
          <w:rFonts w:asciiTheme="majorBidi" w:hAnsiTheme="majorBidi" w:cstheme="majorBidi"/>
          <w:color w:val="000000" w:themeColor="text1"/>
          <w:szCs w:val="24"/>
        </w:rPr>
        <w:t xml:space="preserve">keholder </w:t>
      </w:r>
      <w:r w:rsidR="004663E7" w:rsidRPr="004A0323">
        <w:rPr>
          <w:rFonts w:asciiTheme="majorBidi" w:hAnsiTheme="majorBidi" w:cstheme="majorBidi"/>
          <w:color w:val="000000" w:themeColor="text1"/>
          <w:szCs w:val="24"/>
        </w:rPr>
        <w:lastRenderedPageBreak/>
        <w:t>consultation process. In response to this criticism, f</w:t>
      </w:r>
      <w:r w:rsidR="00555FEE" w:rsidRPr="004A0323">
        <w:rPr>
          <w:rFonts w:asciiTheme="majorBidi" w:hAnsiTheme="majorBidi" w:cstheme="majorBidi"/>
          <w:color w:val="000000" w:themeColor="text1"/>
          <w:szCs w:val="24"/>
        </w:rPr>
        <w:t>or the following</w:t>
      </w:r>
      <w:r w:rsidRPr="004A0323">
        <w:rPr>
          <w:rFonts w:asciiTheme="majorBidi" w:hAnsiTheme="majorBidi" w:cstheme="majorBidi"/>
          <w:color w:val="000000" w:themeColor="text1"/>
          <w:szCs w:val="24"/>
        </w:rPr>
        <w:t xml:space="preserve"> iteration of the</w:t>
      </w:r>
      <w:r w:rsidR="00555FEE" w:rsidRPr="004A0323">
        <w:rPr>
          <w:rFonts w:asciiTheme="majorBidi" w:hAnsiTheme="majorBidi" w:cstheme="majorBidi"/>
          <w:color w:val="000000" w:themeColor="text1"/>
          <w:szCs w:val="24"/>
        </w:rPr>
        <w:t xml:space="preserve"> Index (</w:t>
      </w:r>
      <w:r w:rsidRPr="004A0323">
        <w:rPr>
          <w:rFonts w:asciiTheme="majorBidi" w:hAnsiTheme="majorBidi" w:cstheme="majorBidi"/>
          <w:color w:val="000000" w:themeColor="text1"/>
          <w:szCs w:val="24"/>
        </w:rPr>
        <w:t xml:space="preserve">issued </w:t>
      </w:r>
      <w:r w:rsidR="004663E7" w:rsidRPr="004A0323">
        <w:rPr>
          <w:rFonts w:asciiTheme="majorBidi" w:hAnsiTheme="majorBidi" w:cstheme="majorBidi"/>
          <w:color w:val="000000" w:themeColor="text1"/>
          <w:szCs w:val="24"/>
        </w:rPr>
        <w:t xml:space="preserve">in </w:t>
      </w:r>
      <w:r w:rsidR="00555FEE" w:rsidRPr="004A0323">
        <w:rPr>
          <w:rFonts w:asciiTheme="majorBidi" w:hAnsiTheme="majorBidi" w:cstheme="majorBidi"/>
          <w:color w:val="000000" w:themeColor="text1"/>
          <w:szCs w:val="24"/>
        </w:rPr>
        <w:t>2010) the Foundation organized a stakeholder advisory body</w:t>
      </w:r>
      <w:r w:rsidR="004E3A82" w:rsidRPr="004A0323">
        <w:rPr>
          <w:rFonts w:asciiTheme="majorBidi" w:hAnsiTheme="majorBidi" w:cstheme="majorBidi"/>
          <w:color w:val="000000" w:themeColor="text1"/>
          <w:szCs w:val="24"/>
        </w:rPr>
        <w:t>,</w:t>
      </w:r>
      <w:r w:rsidR="00555FEE" w:rsidRPr="004A0323">
        <w:rPr>
          <w:rFonts w:asciiTheme="majorBidi" w:hAnsiTheme="majorBidi" w:cstheme="majorBidi"/>
          <w:color w:val="000000" w:themeColor="text1"/>
          <w:szCs w:val="24"/>
        </w:rPr>
        <w:t xml:space="preserve"> named the Expert Review Committee</w:t>
      </w:r>
      <w:r w:rsidR="004E3A82" w:rsidRPr="004A0323">
        <w:rPr>
          <w:rFonts w:asciiTheme="majorBidi" w:hAnsiTheme="majorBidi" w:cstheme="majorBidi"/>
          <w:color w:val="000000" w:themeColor="text1"/>
          <w:szCs w:val="24"/>
        </w:rPr>
        <w:t>,</w:t>
      </w:r>
      <w:r w:rsidR="00555FEE" w:rsidRPr="004A0323">
        <w:rPr>
          <w:rFonts w:asciiTheme="majorBidi" w:hAnsiTheme="majorBidi" w:cstheme="majorBidi"/>
          <w:color w:val="000000" w:themeColor="text1"/>
          <w:szCs w:val="24"/>
        </w:rPr>
        <w:t xml:space="preserve"> that was to </w:t>
      </w:r>
      <w:r w:rsidRPr="004A0323">
        <w:rPr>
          <w:rFonts w:asciiTheme="majorBidi" w:hAnsiTheme="majorBidi" w:cstheme="majorBidi"/>
          <w:color w:val="000000" w:themeColor="text1"/>
          <w:szCs w:val="24"/>
        </w:rPr>
        <w:t>oversee methodological development</w:t>
      </w:r>
      <w:r w:rsidR="00555FEE" w:rsidRPr="004A0323">
        <w:rPr>
          <w:rFonts w:asciiTheme="majorBidi" w:hAnsiTheme="majorBidi" w:cstheme="majorBidi"/>
          <w:color w:val="000000" w:themeColor="text1"/>
          <w:szCs w:val="24"/>
        </w:rPr>
        <w:t xml:space="preserve"> and decide on contentious issues. The stakeholders included representatives of the research</w:t>
      </w:r>
      <w:r w:rsidR="00B65539" w:rsidRPr="004A0323">
        <w:rPr>
          <w:rFonts w:asciiTheme="majorBidi" w:hAnsiTheme="majorBidi" w:cstheme="majorBidi"/>
          <w:color w:val="000000" w:themeColor="text1"/>
          <w:szCs w:val="24"/>
        </w:rPr>
        <w:t>-</w:t>
      </w:r>
      <w:r w:rsidR="00555FEE" w:rsidRPr="004A0323">
        <w:rPr>
          <w:rFonts w:asciiTheme="majorBidi" w:hAnsiTheme="majorBidi" w:cstheme="majorBidi"/>
          <w:color w:val="000000" w:themeColor="text1"/>
          <w:szCs w:val="24"/>
        </w:rPr>
        <w:t xml:space="preserve">based pharmaceutical industry, the generics sector, investors, academia, </w:t>
      </w:r>
      <w:r w:rsidR="00A33646" w:rsidRPr="004A0323">
        <w:rPr>
          <w:rFonts w:asciiTheme="majorBidi" w:hAnsiTheme="majorBidi" w:cstheme="majorBidi"/>
          <w:color w:val="000000" w:themeColor="text1"/>
          <w:szCs w:val="24"/>
        </w:rPr>
        <w:t>Western</w:t>
      </w:r>
      <w:r w:rsidR="00555FEE" w:rsidRPr="004A0323">
        <w:rPr>
          <w:rFonts w:asciiTheme="majorBidi" w:hAnsiTheme="majorBidi" w:cstheme="majorBidi"/>
          <w:color w:val="000000" w:themeColor="text1"/>
          <w:szCs w:val="24"/>
        </w:rPr>
        <w:t xml:space="preserve"> and Southern governments, and </w:t>
      </w:r>
      <w:r w:rsidRPr="004A0323">
        <w:rPr>
          <w:rFonts w:asciiTheme="majorBidi" w:hAnsiTheme="majorBidi" w:cstheme="majorBidi"/>
          <w:color w:val="000000" w:themeColor="text1"/>
          <w:szCs w:val="24"/>
        </w:rPr>
        <w:t>IGOs</w:t>
      </w:r>
      <w:r w:rsidR="004663E7" w:rsidRPr="004A0323">
        <w:rPr>
          <w:rFonts w:asciiTheme="majorBidi" w:hAnsiTheme="majorBidi" w:cstheme="majorBidi"/>
          <w:color w:val="000000" w:themeColor="text1"/>
          <w:szCs w:val="24"/>
        </w:rPr>
        <w:t xml:space="preserve"> –</w:t>
      </w:r>
      <w:r w:rsidR="00555FEE" w:rsidRPr="004A0323">
        <w:rPr>
          <w:rFonts w:asciiTheme="majorBidi" w:hAnsiTheme="majorBidi" w:cstheme="majorBidi"/>
          <w:color w:val="000000" w:themeColor="text1"/>
          <w:szCs w:val="24"/>
        </w:rPr>
        <w:t xml:space="preserve"> namely</w:t>
      </w:r>
      <w:r w:rsidR="004663E7" w:rsidRPr="004A0323">
        <w:rPr>
          <w:rFonts w:asciiTheme="majorBidi" w:hAnsiTheme="majorBidi" w:cstheme="majorBidi"/>
          <w:color w:val="000000" w:themeColor="text1"/>
          <w:szCs w:val="24"/>
        </w:rPr>
        <w:t xml:space="preserve"> </w:t>
      </w:r>
      <w:r w:rsidR="00555FEE" w:rsidRPr="004A0323">
        <w:rPr>
          <w:rFonts w:asciiTheme="majorBidi" w:hAnsiTheme="majorBidi" w:cstheme="majorBidi"/>
          <w:color w:val="000000" w:themeColor="text1"/>
          <w:szCs w:val="24"/>
        </w:rPr>
        <w:t xml:space="preserve">the </w:t>
      </w:r>
      <w:r w:rsidR="004663E7" w:rsidRPr="004A0323">
        <w:rPr>
          <w:rFonts w:asciiTheme="majorBidi" w:hAnsiTheme="majorBidi" w:cstheme="majorBidi"/>
          <w:color w:val="000000" w:themeColor="text1"/>
          <w:szCs w:val="24"/>
        </w:rPr>
        <w:t>WHO</w:t>
      </w:r>
      <w:r w:rsidR="00555FEE" w:rsidRPr="004A0323">
        <w:rPr>
          <w:rFonts w:asciiTheme="majorBidi" w:hAnsiTheme="majorBidi" w:cstheme="majorBidi"/>
          <w:color w:val="000000" w:themeColor="text1"/>
          <w:szCs w:val="24"/>
        </w:rPr>
        <w:t xml:space="preserve"> (Appendi</w:t>
      </w:r>
      <w:r w:rsidR="00FC6351" w:rsidRPr="004A0323">
        <w:rPr>
          <w:rFonts w:asciiTheme="majorBidi" w:hAnsiTheme="majorBidi" w:cstheme="majorBidi"/>
          <w:color w:val="000000" w:themeColor="text1"/>
          <w:szCs w:val="24"/>
        </w:rPr>
        <w:t>x II includes the ERC structure</w:t>
      </w:r>
      <w:r w:rsidR="00555FEE" w:rsidRPr="004A0323">
        <w:rPr>
          <w:rFonts w:asciiTheme="majorBidi" w:hAnsiTheme="majorBidi" w:cstheme="majorBidi"/>
          <w:color w:val="000000" w:themeColor="text1"/>
          <w:szCs w:val="24"/>
        </w:rPr>
        <w:t xml:space="preserve"> for Index 2012).</w:t>
      </w:r>
      <w:r w:rsidR="00650027" w:rsidRPr="004A0323">
        <w:rPr>
          <w:rFonts w:asciiTheme="majorBidi" w:hAnsiTheme="majorBidi" w:cstheme="majorBidi"/>
          <w:color w:val="000000" w:themeColor="text1"/>
          <w:szCs w:val="24"/>
        </w:rPr>
        <w:t xml:space="preserve"> </w:t>
      </w:r>
    </w:p>
    <w:p w14:paraId="7BF5AF14" w14:textId="5B304FE8" w:rsidR="004663E7" w:rsidRPr="004A0323" w:rsidRDefault="00650027" w:rsidP="00F07D2A">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This was the start of the Foundation’s attempt to formalize a “</w:t>
      </w:r>
      <w:r w:rsidR="00B17EE5" w:rsidRPr="004A0323">
        <w:rPr>
          <w:rFonts w:asciiTheme="majorBidi" w:hAnsiTheme="majorBidi" w:cstheme="majorBidi"/>
          <w:color w:val="000000" w:themeColor="text1"/>
          <w:szCs w:val="24"/>
        </w:rPr>
        <w:t xml:space="preserve">second order </w:t>
      </w:r>
      <w:r w:rsidRPr="004A0323">
        <w:rPr>
          <w:rFonts w:asciiTheme="majorBidi" w:hAnsiTheme="majorBidi" w:cstheme="majorBidi"/>
          <w:color w:val="000000" w:themeColor="text1"/>
          <w:szCs w:val="24"/>
        </w:rPr>
        <w:t xml:space="preserve">rule-making” apparatus that </w:t>
      </w:r>
      <w:r w:rsidR="00B64C03" w:rsidRPr="004A0323">
        <w:rPr>
          <w:rFonts w:asciiTheme="majorBidi" w:hAnsiTheme="majorBidi" w:cstheme="majorBidi"/>
          <w:color w:val="000000" w:themeColor="text1"/>
          <w:szCs w:val="24"/>
        </w:rPr>
        <w:t xml:space="preserve">would </w:t>
      </w:r>
      <w:r w:rsidR="008A3B2F" w:rsidRPr="004A0323">
        <w:rPr>
          <w:rFonts w:asciiTheme="majorBidi" w:hAnsiTheme="majorBidi" w:cstheme="majorBidi"/>
          <w:color w:val="000000" w:themeColor="text1"/>
          <w:szCs w:val="24"/>
        </w:rPr>
        <w:t>reconcile the competing and at times conflicting expectations and rules set for pharmaceutical companies by different constituencies</w:t>
      </w:r>
      <w:r w:rsidR="00B64C03" w:rsidRPr="004A0323">
        <w:rPr>
          <w:rFonts w:asciiTheme="majorBidi" w:hAnsiTheme="majorBidi" w:cstheme="majorBidi"/>
          <w:color w:val="000000" w:themeColor="text1"/>
          <w:szCs w:val="24"/>
        </w:rPr>
        <w:t xml:space="preserve"> </w:t>
      </w:r>
      <w:r w:rsidR="00B17EE5" w:rsidRPr="004A0323">
        <w:rPr>
          <w:rFonts w:asciiTheme="majorBidi" w:hAnsiTheme="majorBidi" w:cstheme="majorBidi"/>
          <w:color w:val="000000" w:themeColor="text1"/>
          <w:szCs w:val="24"/>
        </w:rPr>
        <w:t xml:space="preserve">(the “first order rule-makers”) </w:t>
      </w:r>
      <w:r w:rsidR="00977809" w:rsidRPr="004A0323">
        <w:rPr>
          <w:rFonts w:asciiTheme="majorBidi" w:hAnsiTheme="majorBidi" w:cstheme="majorBidi"/>
          <w:color w:val="000000" w:themeColor="text1"/>
          <w:szCs w:val="24"/>
        </w:rPr>
        <w:t>in</w:t>
      </w:r>
      <w:r w:rsidR="00B64C03" w:rsidRPr="004A0323">
        <w:rPr>
          <w:rFonts w:asciiTheme="majorBidi" w:hAnsiTheme="majorBidi" w:cstheme="majorBidi"/>
          <w:color w:val="000000" w:themeColor="text1"/>
          <w:szCs w:val="24"/>
        </w:rPr>
        <w:t>to</w:t>
      </w:r>
      <w:r w:rsidRPr="004A0323">
        <w:rPr>
          <w:rFonts w:asciiTheme="majorBidi" w:hAnsiTheme="majorBidi" w:cstheme="majorBidi"/>
          <w:color w:val="000000" w:themeColor="text1"/>
          <w:szCs w:val="24"/>
        </w:rPr>
        <w:t xml:space="preserve"> </w:t>
      </w:r>
      <w:r w:rsidR="008A3B2F" w:rsidRPr="004A0323">
        <w:rPr>
          <w:rFonts w:asciiTheme="majorBidi" w:hAnsiTheme="majorBidi" w:cstheme="majorBidi"/>
          <w:color w:val="000000" w:themeColor="text1"/>
          <w:szCs w:val="24"/>
        </w:rPr>
        <w:t xml:space="preserve">a set of consensual </w:t>
      </w:r>
      <w:r w:rsidR="00B17EE5" w:rsidRPr="004A0323">
        <w:rPr>
          <w:rFonts w:asciiTheme="majorBidi" w:hAnsiTheme="majorBidi" w:cstheme="majorBidi"/>
          <w:color w:val="000000" w:themeColor="text1"/>
          <w:szCs w:val="24"/>
        </w:rPr>
        <w:t>rules</w:t>
      </w:r>
      <w:r w:rsidR="001C2C2D" w:rsidRPr="004A0323">
        <w:rPr>
          <w:rFonts w:asciiTheme="majorBidi" w:hAnsiTheme="majorBidi" w:cstheme="majorBidi"/>
          <w:color w:val="000000" w:themeColor="text1"/>
          <w:szCs w:val="24"/>
        </w:rPr>
        <w:t>, in the guise of performance indicators</w:t>
      </w:r>
      <w:r w:rsidRPr="004A0323">
        <w:rPr>
          <w:rFonts w:asciiTheme="majorBidi" w:hAnsiTheme="majorBidi" w:cstheme="majorBidi"/>
          <w:color w:val="000000" w:themeColor="text1"/>
          <w:szCs w:val="24"/>
        </w:rPr>
        <w:t xml:space="preserve">. </w:t>
      </w:r>
      <w:r w:rsidR="00B65539" w:rsidRPr="004A0323">
        <w:rPr>
          <w:rFonts w:asciiTheme="majorBidi" w:hAnsiTheme="majorBidi" w:cstheme="majorBidi"/>
          <w:color w:val="000000" w:themeColor="text1"/>
          <w:szCs w:val="24"/>
        </w:rPr>
        <w:t xml:space="preserve">Company </w:t>
      </w:r>
      <w:r w:rsidRPr="004A0323">
        <w:rPr>
          <w:rFonts w:asciiTheme="majorBidi" w:hAnsiTheme="majorBidi" w:cstheme="majorBidi"/>
          <w:color w:val="000000" w:themeColor="text1"/>
          <w:szCs w:val="24"/>
        </w:rPr>
        <w:t>analysts</w:t>
      </w:r>
      <w:r w:rsidR="000851D4" w:rsidRPr="004A0323">
        <w:rPr>
          <w:rStyle w:val="FootnoteReference"/>
          <w:rFonts w:asciiTheme="majorBidi" w:hAnsiTheme="majorBidi" w:cstheme="majorBidi"/>
          <w:color w:val="000000" w:themeColor="text1"/>
          <w:szCs w:val="24"/>
        </w:rPr>
        <w:footnoteReference w:id="3"/>
      </w:r>
      <w:r w:rsidRPr="004A0323">
        <w:rPr>
          <w:rFonts w:asciiTheme="majorBidi" w:hAnsiTheme="majorBidi" w:cstheme="majorBidi"/>
          <w:color w:val="000000" w:themeColor="text1"/>
          <w:szCs w:val="24"/>
        </w:rPr>
        <w:t xml:space="preserve"> would then focus on the intermediary role of collecting data and scoring companies</w:t>
      </w:r>
      <w:r w:rsidR="001C2C2D" w:rsidRPr="004A0323">
        <w:rPr>
          <w:rFonts w:asciiTheme="majorBidi" w:hAnsiTheme="majorBidi" w:cstheme="majorBidi"/>
          <w:color w:val="000000" w:themeColor="text1"/>
          <w:szCs w:val="24"/>
        </w:rPr>
        <w:t xml:space="preserve"> </w:t>
      </w:r>
      <w:r w:rsidRPr="004A0323">
        <w:rPr>
          <w:rFonts w:asciiTheme="majorBidi" w:hAnsiTheme="majorBidi" w:cstheme="majorBidi"/>
          <w:color w:val="000000" w:themeColor="text1"/>
          <w:szCs w:val="24"/>
        </w:rPr>
        <w:t xml:space="preserve">with the combined goals of monitoring compliance and also </w:t>
      </w:r>
      <w:r w:rsidR="00A800C2" w:rsidRPr="004A0323">
        <w:rPr>
          <w:rFonts w:asciiTheme="majorBidi" w:hAnsiTheme="majorBidi" w:cstheme="majorBidi"/>
          <w:color w:val="000000" w:themeColor="text1"/>
          <w:szCs w:val="24"/>
        </w:rPr>
        <w:t xml:space="preserve">enticing </w:t>
      </w:r>
      <w:r w:rsidRPr="004A0323">
        <w:rPr>
          <w:rFonts w:asciiTheme="majorBidi" w:hAnsiTheme="majorBidi" w:cstheme="majorBidi"/>
          <w:color w:val="000000" w:themeColor="text1"/>
          <w:szCs w:val="24"/>
        </w:rPr>
        <w:t>compliance</w:t>
      </w:r>
      <w:r w:rsidR="00977809" w:rsidRPr="004A0323">
        <w:rPr>
          <w:rFonts w:asciiTheme="majorBidi" w:hAnsiTheme="majorBidi" w:cstheme="majorBidi"/>
          <w:color w:val="000000" w:themeColor="text1"/>
          <w:szCs w:val="24"/>
        </w:rPr>
        <w:t xml:space="preserve"> through their scoring approach</w:t>
      </w:r>
      <w:r w:rsidRPr="004A0323">
        <w:rPr>
          <w:rFonts w:asciiTheme="majorBidi" w:hAnsiTheme="majorBidi" w:cstheme="majorBidi"/>
          <w:color w:val="000000" w:themeColor="text1"/>
          <w:szCs w:val="24"/>
        </w:rPr>
        <w:t>.</w:t>
      </w:r>
      <w:r w:rsidR="007827C8" w:rsidRPr="004A0323">
        <w:rPr>
          <w:rFonts w:asciiTheme="majorBidi" w:hAnsiTheme="majorBidi" w:cstheme="majorBidi"/>
          <w:color w:val="000000" w:themeColor="text1"/>
          <w:szCs w:val="24"/>
        </w:rPr>
        <w:t xml:space="preserve"> At this early stage, stakeholder participation and consultation were considered essential to the Foundation’s survival and there was an intensification of efforts to achieve input legitimacy, focused on the formalization of </w:t>
      </w:r>
      <w:r w:rsidR="0061268E" w:rsidRPr="004A0323">
        <w:rPr>
          <w:rFonts w:asciiTheme="majorBidi" w:hAnsiTheme="majorBidi" w:cstheme="majorBidi"/>
          <w:color w:val="000000" w:themeColor="text1"/>
          <w:szCs w:val="24"/>
        </w:rPr>
        <w:t xml:space="preserve">a </w:t>
      </w:r>
      <w:r w:rsidR="007827C8" w:rsidRPr="004A0323">
        <w:rPr>
          <w:rFonts w:asciiTheme="majorBidi" w:hAnsiTheme="majorBidi" w:cstheme="majorBidi"/>
          <w:color w:val="000000" w:themeColor="text1"/>
          <w:szCs w:val="24"/>
        </w:rPr>
        <w:t xml:space="preserve">stakeholder </w:t>
      </w:r>
      <w:r w:rsidR="0061268E" w:rsidRPr="004A0323">
        <w:rPr>
          <w:rFonts w:asciiTheme="majorBidi" w:hAnsiTheme="majorBidi" w:cstheme="majorBidi"/>
          <w:color w:val="000000" w:themeColor="text1"/>
          <w:szCs w:val="24"/>
        </w:rPr>
        <w:t>mandate</w:t>
      </w:r>
      <w:r w:rsidR="007827C8" w:rsidRPr="004A0323">
        <w:rPr>
          <w:rFonts w:asciiTheme="majorBidi" w:hAnsiTheme="majorBidi" w:cstheme="majorBidi"/>
          <w:color w:val="000000" w:themeColor="text1"/>
          <w:szCs w:val="24"/>
        </w:rPr>
        <w:t xml:space="preserve"> and on the informal management of stakeholder conflict. </w:t>
      </w:r>
    </w:p>
    <w:p w14:paraId="0AD1420D" w14:textId="6A4B7D0C" w:rsidR="007827C8" w:rsidRPr="004A0323" w:rsidRDefault="00555FEE" w:rsidP="007827C8">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While the goal </w:t>
      </w:r>
      <w:r w:rsidR="004663E7" w:rsidRPr="004A0323">
        <w:rPr>
          <w:rFonts w:asciiTheme="majorBidi" w:hAnsiTheme="majorBidi" w:cstheme="majorBidi"/>
          <w:color w:val="000000" w:themeColor="text1"/>
          <w:szCs w:val="24"/>
        </w:rPr>
        <w:t xml:space="preserve">of the ERC was </w:t>
      </w:r>
      <w:r w:rsidRPr="004A0323">
        <w:rPr>
          <w:rFonts w:asciiTheme="majorBidi" w:hAnsiTheme="majorBidi" w:cstheme="majorBidi"/>
          <w:color w:val="000000" w:themeColor="text1"/>
          <w:szCs w:val="24"/>
        </w:rPr>
        <w:t xml:space="preserve">to </w:t>
      </w:r>
      <w:r w:rsidR="004663E7" w:rsidRPr="004A0323">
        <w:rPr>
          <w:rFonts w:asciiTheme="majorBidi" w:hAnsiTheme="majorBidi" w:cstheme="majorBidi"/>
          <w:color w:val="000000" w:themeColor="text1"/>
          <w:szCs w:val="24"/>
        </w:rPr>
        <w:t>define a space of stakeholder</w:t>
      </w:r>
      <w:r w:rsidRPr="004A0323">
        <w:rPr>
          <w:rFonts w:asciiTheme="majorBidi" w:hAnsiTheme="majorBidi" w:cstheme="majorBidi"/>
          <w:color w:val="000000" w:themeColor="text1"/>
          <w:szCs w:val="24"/>
        </w:rPr>
        <w:t xml:space="preserve"> consensus </w:t>
      </w:r>
      <w:r w:rsidR="004663E7" w:rsidRPr="004A0323">
        <w:rPr>
          <w:rFonts w:asciiTheme="majorBidi" w:hAnsiTheme="majorBidi" w:cstheme="majorBidi"/>
          <w:color w:val="000000" w:themeColor="text1"/>
          <w:szCs w:val="24"/>
        </w:rPr>
        <w:t xml:space="preserve">that could provide the Index with a </w:t>
      </w:r>
      <w:r w:rsidRPr="004A0323">
        <w:rPr>
          <w:rFonts w:asciiTheme="majorBidi" w:hAnsiTheme="majorBidi" w:cstheme="majorBidi"/>
          <w:color w:val="000000" w:themeColor="text1"/>
          <w:szCs w:val="24"/>
        </w:rPr>
        <w:t>stakeholder mandate</w:t>
      </w:r>
      <w:r w:rsidR="000F2E89" w:rsidRPr="004A0323">
        <w:rPr>
          <w:rFonts w:asciiTheme="majorBidi" w:hAnsiTheme="majorBidi" w:cstheme="majorBidi"/>
          <w:color w:val="000000" w:themeColor="text1"/>
          <w:szCs w:val="24"/>
        </w:rPr>
        <w:t xml:space="preserve"> and compensate for its lack of an official mandate</w:t>
      </w:r>
      <w:r w:rsidRPr="004A0323">
        <w:rPr>
          <w:rFonts w:asciiTheme="majorBidi" w:hAnsiTheme="majorBidi" w:cstheme="majorBidi"/>
          <w:color w:val="000000" w:themeColor="text1"/>
          <w:szCs w:val="24"/>
        </w:rPr>
        <w:t>, achieving such consensus on contentious issues such as patent</w:t>
      </w:r>
      <w:r w:rsidR="000F2E89" w:rsidRPr="004A0323">
        <w:rPr>
          <w:rFonts w:asciiTheme="majorBidi" w:hAnsiTheme="majorBidi" w:cstheme="majorBidi"/>
          <w:color w:val="000000" w:themeColor="text1"/>
          <w:szCs w:val="24"/>
        </w:rPr>
        <w:t>s</w:t>
      </w:r>
      <w:r w:rsidRPr="004A0323">
        <w:rPr>
          <w:rFonts w:asciiTheme="majorBidi" w:hAnsiTheme="majorBidi" w:cstheme="majorBidi"/>
          <w:color w:val="000000" w:themeColor="text1"/>
          <w:szCs w:val="24"/>
        </w:rPr>
        <w:t xml:space="preserve"> </w:t>
      </w:r>
      <w:r w:rsidR="000F2E89" w:rsidRPr="004A0323">
        <w:rPr>
          <w:rFonts w:asciiTheme="majorBidi" w:hAnsiTheme="majorBidi" w:cstheme="majorBidi"/>
          <w:color w:val="000000" w:themeColor="text1"/>
          <w:szCs w:val="24"/>
        </w:rPr>
        <w:t>and</w:t>
      </w:r>
      <w:r w:rsidRPr="004A0323">
        <w:rPr>
          <w:rFonts w:asciiTheme="majorBidi" w:hAnsiTheme="majorBidi" w:cstheme="majorBidi"/>
          <w:color w:val="000000" w:themeColor="text1"/>
          <w:szCs w:val="24"/>
        </w:rPr>
        <w:t xml:space="preserve"> competitive practices proved </w:t>
      </w:r>
      <w:r w:rsidR="004663E7" w:rsidRPr="004A0323">
        <w:rPr>
          <w:rFonts w:asciiTheme="majorBidi" w:hAnsiTheme="majorBidi" w:cstheme="majorBidi"/>
          <w:color w:val="000000" w:themeColor="text1"/>
          <w:szCs w:val="24"/>
        </w:rPr>
        <w:t>a continuing challenge</w:t>
      </w:r>
      <w:r w:rsidRPr="004A0323">
        <w:rPr>
          <w:rFonts w:asciiTheme="majorBidi" w:hAnsiTheme="majorBidi" w:cstheme="majorBidi"/>
          <w:color w:val="000000" w:themeColor="text1"/>
          <w:szCs w:val="24"/>
        </w:rPr>
        <w:t>.</w:t>
      </w:r>
      <w:r w:rsidR="000F2E89" w:rsidRPr="004A0323">
        <w:rPr>
          <w:rFonts w:asciiTheme="majorBidi" w:hAnsiTheme="majorBidi" w:cstheme="majorBidi"/>
          <w:color w:val="000000" w:themeColor="text1"/>
          <w:szCs w:val="24"/>
        </w:rPr>
        <w:t xml:space="preserve"> </w:t>
      </w:r>
      <w:r w:rsidR="00B17EE5" w:rsidRPr="004A0323">
        <w:rPr>
          <w:rFonts w:asciiTheme="majorBidi" w:hAnsiTheme="majorBidi" w:cstheme="majorBidi"/>
          <w:color w:val="000000" w:themeColor="text1"/>
          <w:szCs w:val="24"/>
        </w:rPr>
        <w:t xml:space="preserve">Examples of contentious indicators (especially contested by </w:t>
      </w:r>
      <w:r w:rsidR="005049F1" w:rsidRPr="004A0323">
        <w:rPr>
          <w:rFonts w:asciiTheme="majorBidi" w:hAnsiTheme="majorBidi" w:cstheme="majorBidi"/>
          <w:color w:val="000000" w:themeColor="text1"/>
          <w:szCs w:val="24"/>
        </w:rPr>
        <w:t>several large</w:t>
      </w:r>
      <w:r w:rsidR="00B17EE5" w:rsidRPr="004A0323">
        <w:rPr>
          <w:rFonts w:asciiTheme="majorBidi" w:hAnsiTheme="majorBidi" w:cstheme="majorBidi"/>
          <w:color w:val="000000" w:themeColor="text1"/>
          <w:szCs w:val="24"/>
        </w:rPr>
        <w:t xml:space="preserve"> pharmaceutical firms) include those against data exclusivity (related to the exclusion of generics manufacturers from the use of clinical trial files</w:t>
      </w:r>
      <w:r w:rsidR="00C84065" w:rsidRPr="004A0323">
        <w:rPr>
          <w:rFonts w:asciiTheme="majorBidi" w:hAnsiTheme="majorBidi" w:cstheme="majorBidi"/>
          <w:color w:val="000000" w:themeColor="text1"/>
          <w:szCs w:val="24"/>
        </w:rPr>
        <w:t xml:space="preserve"> of research-based </w:t>
      </w:r>
      <w:r w:rsidR="00C84065" w:rsidRPr="004A0323">
        <w:rPr>
          <w:rFonts w:asciiTheme="majorBidi" w:hAnsiTheme="majorBidi" w:cstheme="majorBidi"/>
          <w:color w:val="000000" w:themeColor="text1"/>
          <w:szCs w:val="24"/>
        </w:rPr>
        <w:lastRenderedPageBreak/>
        <w:t>firms</w:t>
      </w:r>
      <w:r w:rsidR="00B17EE5" w:rsidRPr="004A0323">
        <w:rPr>
          <w:rFonts w:asciiTheme="majorBidi" w:hAnsiTheme="majorBidi" w:cstheme="majorBidi"/>
          <w:color w:val="000000" w:themeColor="text1"/>
          <w:szCs w:val="24"/>
        </w:rPr>
        <w:t xml:space="preserve">), those against the patenting of medicines in the Least Developed Countries, and those endorsing Patent Pooling initiatives (such as UN Medicines Patent Pool). </w:t>
      </w:r>
      <w:r w:rsidR="000F2E89" w:rsidRPr="004A0323">
        <w:rPr>
          <w:rFonts w:asciiTheme="majorBidi" w:hAnsiTheme="majorBidi" w:cstheme="majorBidi"/>
          <w:color w:val="000000" w:themeColor="text1"/>
          <w:szCs w:val="24"/>
        </w:rPr>
        <w:t xml:space="preserve">Methodological decisions on such </w:t>
      </w:r>
      <w:r w:rsidR="00B17EE5" w:rsidRPr="004A0323">
        <w:rPr>
          <w:rFonts w:asciiTheme="majorBidi" w:hAnsiTheme="majorBidi" w:cstheme="majorBidi"/>
          <w:color w:val="000000" w:themeColor="text1"/>
          <w:szCs w:val="24"/>
        </w:rPr>
        <w:t>indicators</w:t>
      </w:r>
      <w:r w:rsidR="000F2E89" w:rsidRPr="004A0323">
        <w:rPr>
          <w:rFonts w:asciiTheme="majorBidi" w:hAnsiTheme="majorBidi" w:cstheme="majorBidi"/>
          <w:color w:val="000000" w:themeColor="text1"/>
          <w:szCs w:val="24"/>
        </w:rPr>
        <w:t xml:space="preserve">, when they could not be </w:t>
      </w:r>
      <w:r w:rsidR="009C1BBA" w:rsidRPr="004A0323">
        <w:rPr>
          <w:rFonts w:asciiTheme="majorBidi" w:hAnsiTheme="majorBidi" w:cstheme="majorBidi"/>
          <w:color w:val="000000" w:themeColor="text1"/>
          <w:szCs w:val="24"/>
        </w:rPr>
        <w:t>reached</w:t>
      </w:r>
      <w:r w:rsidR="000F2E89" w:rsidRPr="004A0323">
        <w:rPr>
          <w:rFonts w:asciiTheme="majorBidi" w:hAnsiTheme="majorBidi" w:cstheme="majorBidi"/>
          <w:color w:val="000000" w:themeColor="text1"/>
          <w:szCs w:val="24"/>
        </w:rPr>
        <w:t xml:space="preserve"> within the ERC, were often left to the Foundation and the analyst team. </w:t>
      </w:r>
      <w:r w:rsidR="00B17EE5" w:rsidRPr="004A0323">
        <w:rPr>
          <w:rFonts w:asciiTheme="majorBidi" w:hAnsiTheme="majorBidi" w:cstheme="majorBidi"/>
          <w:color w:val="000000" w:themeColor="text1"/>
          <w:szCs w:val="24"/>
        </w:rPr>
        <w:t xml:space="preserve">Such issues were moved, in other words, from the formal space of stakeholder consultation to the informal “backstage” of company analysis. In this way, analysts adopted an ad-hoc rule-setting role for those contested issues. </w:t>
      </w:r>
      <w:r w:rsidR="009A13BC" w:rsidRPr="004A0323">
        <w:rPr>
          <w:rFonts w:asciiTheme="majorBidi" w:hAnsiTheme="majorBidi" w:cstheme="majorBidi"/>
          <w:color w:val="000000" w:themeColor="text1"/>
          <w:szCs w:val="24"/>
        </w:rPr>
        <w:t>T</w:t>
      </w:r>
      <w:r w:rsidR="00D7408C" w:rsidRPr="004A0323">
        <w:rPr>
          <w:rFonts w:asciiTheme="majorBidi" w:hAnsiTheme="majorBidi" w:cstheme="majorBidi"/>
          <w:color w:val="000000" w:themeColor="text1"/>
          <w:szCs w:val="24"/>
        </w:rPr>
        <w:t xml:space="preserve">he </w:t>
      </w:r>
      <w:r w:rsidR="00C615D7" w:rsidRPr="004A0323">
        <w:rPr>
          <w:rFonts w:asciiTheme="majorBidi" w:hAnsiTheme="majorBidi" w:cstheme="majorBidi"/>
          <w:color w:val="000000" w:themeColor="text1"/>
          <w:szCs w:val="24"/>
        </w:rPr>
        <w:t xml:space="preserve">analysts </w:t>
      </w:r>
      <w:r w:rsidR="0061268E" w:rsidRPr="004A0323">
        <w:rPr>
          <w:rFonts w:asciiTheme="majorBidi" w:hAnsiTheme="majorBidi" w:cstheme="majorBidi"/>
          <w:color w:val="000000" w:themeColor="text1"/>
          <w:szCs w:val="24"/>
        </w:rPr>
        <w:t xml:space="preserve">tended </w:t>
      </w:r>
      <w:r w:rsidR="00C615D7" w:rsidRPr="004A0323">
        <w:rPr>
          <w:rFonts w:asciiTheme="majorBidi" w:hAnsiTheme="majorBidi" w:cstheme="majorBidi"/>
          <w:color w:val="000000" w:themeColor="text1"/>
          <w:szCs w:val="24"/>
        </w:rPr>
        <w:t>to absorb the</w:t>
      </w:r>
      <w:r w:rsidR="00D7408C" w:rsidRPr="004A0323">
        <w:rPr>
          <w:rFonts w:asciiTheme="majorBidi" w:hAnsiTheme="majorBidi" w:cstheme="majorBidi"/>
          <w:color w:val="000000" w:themeColor="text1"/>
          <w:szCs w:val="24"/>
        </w:rPr>
        <w:t xml:space="preserve"> Foundation’s</w:t>
      </w:r>
      <w:r w:rsidR="00C615D7" w:rsidRPr="004A0323">
        <w:rPr>
          <w:rFonts w:asciiTheme="majorBidi" w:hAnsiTheme="majorBidi" w:cstheme="majorBidi"/>
          <w:color w:val="000000" w:themeColor="text1"/>
          <w:szCs w:val="24"/>
        </w:rPr>
        <w:t xml:space="preserve"> responsibility of </w:t>
      </w:r>
      <w:r w:rsidR="00D7408C" w:rsidRPr="004A0323">
        <w:rPr>
          <w:rFonts w:asciiTheme="majorBidi" w:hAnsiTheme="majorBidi" w:cstheme="majorBidi"/>
          <w:color w:val="000000" w:themeColor="text1"/>
          <w:szCs w:val="24"/>
        </w:rPr>
        <w:t>dealing</w:t>
      </w:r>
      <w:r w:rsidR="00C615D7" w:rsidRPr="004A0323">
        <w:rPr>
          <w:rFonts w:asciiTheme="majorBidi" w:hAnsiTheme="majorBidi" w:cstheme="majorBidi"/>
          <w:color w:val="000000" w:themeColor="text1"/>
          <w:szCs w:val="24"/>
        </w:rPr>
        <w:t xml:space="preserve"> </w:t>
      </w:r>
      <w:r w:rsidR="00D7408C" w:rsidRPr="004A0323">
        <w:rPr>
          <w:rFonts w:asciiTheme="majorBidi" w:hAnsiTheme="majorBidi" w:cstheme="majorBidi"/>
          <w:color w:val="000000" w:themeColor="text1"/>
          <w:szCs w:val="24"/>
        </w:rPr>
        <w:t>with</w:t>
      </w:r>
      <w:r w:rsidR="00256897" w:rsidRPr="004A0323">
        <w:rPr>
          <w:rFonts w:asciiTheme="majorBidi" w:hAnsiTheme="majorBidi" w:cstheme="majorBidi"/>
          <w:color w:val="000000" w:themeColor="text1"/>
          <w:szCs w:val="24"/>
        </w:rPr>
        <w:t xml:space="preserve"> and balancing</w:t>
      </w:r>
      <w:r w:rsidR="00D7408C" w:rsidRPr="004A0323">
        <w:rPr>
          <w:rFonts w:asciiTheme="majorBidi" w:hAnsiTheme="majorBidi" w:cstheme="majorBidi"/>
          <w:color w:val="000000" w:themeColor="text1"/>
          <w:szCs w:val="24"/>
        </w:rPr>
        <w:t xml:space="preserve"> </w:t>
      </w:r>
      <w:r w:rsidR="00C615D7" w:rsidRPr="004A0323">
        <w:rPr>
          <w:rFonts w:asciiTheme="majorBidi" w:hAnsiTheme="majorBidi" w:cstheme="majorBidi"/>
          <w:color w:val="000000" w:themeColor="text1"/>
          <w:szCs w:val="24"/>
        </w:rPr>
        <w:t xml:space="preserve">the </w:t>
      </w:r>
      <w:r w:rsidR="009A13BC" w:rsidRPr="004A0323">
        <w:rPr>
          <w:rFonts w:asciiTheme="majorBidi" w:hAnsiTheme="majorBidi" w:cstheme="majorBidi"/>
          <w:color w:val="000000" w:themeColor="text1"/>
          <w:szCs w:val="24"/>
        </w:rPr>
        <w:t xml:space="preserve">conflicting positions </w:t>
      </w:r>
      <w:r w:rsidR="003A3F50" w:rsidRPr="004A0323">
        <w:rPr>
          <w:rFonts w:asciiTheme="majorBidi" w:hAnsiTheme="majorBidi" w:cstheme="majorBidi"/>
          <w:color w:val="000000" w:themeColor="text1"/>
          <w:szCs w:val="24"/>
        </w:rPr>
        <w:t>in rule-making</w:t>
      </w:r>
      <w:r w:rsidR="00C615D7" w:rsidRPr="004A0323">
        <w:rPr>
          <w:rFonts w:asciiTheme="majorBidi" w:hAnsiTheme="majorBidi" w:cstheme="majorBidi"/>
          <w:color w:val="000000" w:themeColor="text1"/>
          <w:szCs w:val="24"/>
        </w:rPr>
        <w:t xml:space="preserve"> that could not be decided </w:t>
      </w:r>
      <w:r w:rsidR="00FA2ADB" w:rsidRPr="004A0323">
        <w:rPr>
          <w:rFonts w:asciiTheme="majorBidi" w:hAnsiTheme="majorBidi" w:cstheme="majorBidi"/>
          <w:color w:val="000000" w:themeColor="text1"/>
          <w:szCs w:val="24"/>
        </w:rPr>
        <w:t>in the stakeholder consultation process</w:t>
      </w:r>
      <w:r w:rsidR="009A13BC" w:rsidRPr="004A0323">
        <w:rPr>
          <w:rFonts w:asciiTheme="majorBidi" w:hAnsiTheme="majorBidi" w:cstheme="majorBidi"/>
          <w:color w:val="000000" w:themeColor="text1"/>
          <w:szCs w:val="24"/>
        </w:rPr>
        <w:t xml:space="preserve">, and to </w:t>
      </w:r>
      <w:r w:rsidR="00C615D7" w:rsidRPr="004A0323">
        <w:rPr>
          <w:rFonts w:asciiTheme="majorBidi" w:hAnsiTheme="majorBidi" w:cstheme="majorBidi"/>
          <w:color w:val="000000" w:themeColor="text1"/>
          <w:szCs w:val="24"/>
        </w:rPr>
        <w:t xml:space="preserve">produce </w:t>
      </w:r>
      <w:r w:rsidR="00296406" w:rsidRPr="004A0323">
        <w:rPr>
          <w:rFonts w:asciiTheme="majorBidi" w:hAnsiTheme="majorBidi" w:cstheme="majorBidi"/>
          <w:color w:val="000000" w:themeColor="text1"/>
          <w:szCs w:val="24"/>
        </w:rPr>
        <w:t xml:space="preserve">scores </w:t>
      </w:r>
      <w:r w:rsidR="00C615D7" w:rsidRPr="004A0323">
        <w:rPr>
          <w:rFonts w:asciiTheme="majorBidi" w:hAnsiTheme="majorBidi" w:cstheme="majorBidi"/>
          <w:color w:val="000000" w:themeColor="text1"/>
          <w:szCs w:val="24"/>
        </w:rPr>
        <w:t xml:space="preserve">that would reconcile </w:t>
      </w:r>
      <w:r w:rsidR="0061268E" w:rsidRPr="004A0323">
        <w:rPr>
          <w:rFonts w:asciiTheme="majorBidi" w:hAnsiTheme="majorBidi" w:cstheme="majorBidi"/>
          <w:color w:val="000000" w:themeColor="text1"/>
          <w:szCs w:val="24"/>
        </w:rPr>
        <w:t xml:space="preserve">those </w:t>
      </w:r>
      <w:r w:rsidR="00C615D7" w:rsidRPr="004A0323">
        <w:rPr>
          <w:rFonts w:asciiTheme="majorBidi" w:hAnsiTheme="majorBidi" w:cstheme="majorBidi"/>
          <w:color w:val="000000" w:themeColor="text1"/>
          <w:szCs w:val="24"/>
        </w:rPr>
        <w:t>competing demands.</w:t>
      </w:r>
      <w:r w:rsidR="00C81233" w:rsidRPr="004A0323">
        <w:rPr>
          <w:rFonts w:asciiTheme="majorBidi" w:hAnsiTheme="majorBidi" w:cstheme="majorBidi"/>
          <w:color w:val="000000" w:themeColor="text1"/>
          <w:szCs w:val="24"/>
        </w:rPr>
        <w:t xml:space="preserve"> </w:t>
      </w:r>
      <w:r w:rsidR="007827C8" w:rsidRPr="004A0323">
        <w:rPr>
          <w:rFonts w:asciiTheme="majorBidi" w:hAnsiTheme="majorBidi" w:cstheme="majorBidi"/>
          <w:color w:val="000000" w:themeColor="text1"/>
          <w:szCs w:val="24"/>
        </w:rPr>
        <w:t xml:space="preserve">This rendering technical of contentious issues helped weather the insoluble conflict that </w:t>
      </w:r>
      <w:r w:rsidR="00B17EE5" w:rsidRPr="004A0323">
        <w:rPr>
          <w:rFonts w:asciiTheme="majorBidi" w:hAnsiTheme="majorBidi" w:cstheme="majorBidi"/>
          <w:color w:val="000000" w:themeColor="text1"/>
          <w:szCs w:val="24"/>
        </w:rPr>
        <w:t xml:space="preserve">seemed to </w:t>
      </w:r>
      <w:r w:rsidR="007827C8" w:rsidRPr="004A0323">
        <w:rPr>
          <w:rFonts w:asciiTheme="majorBidi" w:hAnsiTheme="majorBidi" w:cstheme="majorBidi"/>
          <w:color w:val="000000" w:themeColor="text1"/>
          <w:szCs w:val="24"/>
        </w:rPr>
        <w:t xml:space="preserve">mark the space of access to medicine, and the “legitimacy deficit” which a small unofficial intermediary cast in this contentious space of immense economic and social stakes was bound to confront in its early days. </w:t>
      </w:r>
    </w:p>
    <w:p w14:paraId="792A121F" w14:textId="1B2C4226" w:rsidR="002452B5" w:rsidRPr="004A0323" w:rsidRDefault="00C81233" w:rsidP="007827C8">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The analysis process </w:t>
      </w:r>
      <w:r w:rsidR="00122B49" w:rsidRPr="004A0323">
        <w:rPr>
          <w:rFonts w:asciiTheme="majorBidi" w:hAnsiTheme="majorBidi" w:cstheme="majorBidi"/>
          <w:color w:val="000000" w:themeColor="text1"/>
          <w:szCs w:val="24"/>
        </w:rPr>
        <w:t>was formally described as</w:t>
      </w:r>
      <w:r w:rsidRPr="004A0323">
        <w:rPr>
          <w:rFonts w:asciiTheme="majorBidi" w:hAnsiTheme="majorBidi" w:cstheme="majorBidi"/>
          <w:color w:val="000000" w:themeColor="text1"/>
          <w:szCs w:val="24"/>
        </w:rPr>
        <w:t xml:space="preserve"> avoiding any form of “politics”</w:t>
      </w:r>
      <w:r w:rsidR="00122B49" w:rsidRPr="004A0323">
        <w:rPr>
          <w:rFonts w:asciiTheme="majorBidi" w:hAnsiTheme="majorBidi" w:cstheme="majorBidi"/>
          <w:color w:val="000000" w:themeColor="text1"/>
          <w:szCs w:val="24"/>
        </w:rPr>
        <w:t>;</w:t>
      </w:r>
      <w:r w:rsidRPr="004A0323">
        <w:rPr>
          <w:rFonts w:asciiTheme="majorBidi" w:hAnsiTheme="majorBidi" w:cstheme="majorBidi"/>
          <w:color w:val="000000" w:themeColor="text1"/>
          <w:szCs w:val="24"/>
        </w:rPr>
        <w:t xml:space="preserve"> </w:t>
      </w:r>
      <w:r w:rsidR="00122B49" w:rsidRPr="004A0323">
        <w:rPr>
          <w:rFonts w:asciiTheme="majorBidi" w:hAnsiTheme="majorBidi" w:cstheme="majorBidi"/>
          <w:color w:val="000000" w:themeColor="text1"/>
          <w:szCs w:val="24"/>
        </w:rPr>
        <w:t xml:space="preserve">analysts were told they had to </w:t>
      </w:r>
      <w:r w:rsidRPr="004A0323">
        <w:rPr>
          <w:rFonts w:asciiTheme="majorBidi" w:hAnsiTheme="majorBidi" w:cstheme="majorBidi"/>
          <w:color w:val="000000" w:themeColor="text1"/>
          <w:szCs w:val="24"/>
        </w:rPr>
        <w:t>operat</w:t>
      </w:r>
      <w:r w:rsidR="00122B49" w:rsidRPr="004A0323">
        <w:rPr>
          <w:rFonts w:asciiTheme="majorBidi" w:hAnsiTheme="majorBidi" w:cstheme="majorBidi"/>
          <w:color w:val="000000" w:themeColor="text1"/>
          <w:szCs w:val="24"/>
        </w:rPr>
        <w:t>e</w:t>
      </w:r>
      <w:r w:rsidRPr="004A0323">
        <w:rPr>
          <w:rFonts w:asciiTheme="majorBidi" w:hAnsiTheme="majorBidi" w:cstheme="majorBidi"/>
          <w:color w:val="000000" w:themeColor="text1"/>
          <w:szCs w:val="24"/>
        </w:rPr>
        <w:t xml:space="preserve"> as “experts” </w:t>
      </w:r>
      <w:r w:rsidR="00122B49" w:rsidRPr="004A0323">
        <w:rPr>
          <w:rFonts w:asciiTheme="majorBidi" w:hAnsiTheme="majorBidi" w:cstheme="majorBidi"/>
          <w:color w:val="000000" w:themeColor="text1"/>
          <w:szCs w:val="24"/>
        </w:rPr>
        <w:t xml:space="preserve">in evidence-based analysis </w:t>
      </w:r>
      <w:r w:rsidRPr="004A0323">
        <w:rPr>
          <w:rFonts w:asciiTheme="majorBidi" w:hAnsiTheme="majorBidi" w:cstheme="majorBidi"/>
          <w:color w:val="000000" w:themeColor="text1"/>
          <w:szCs w:val="24"/>
        </w:rPr>
        <w:t>and as</w:t>
      </w:r>
      <w:r w:rsidR="00122B49" w:rsidRPr="004A0323">
        <w:rPr>
          <w:rFonts w:asciiTheme="majorBidi" w:hAnsiTheme="majorBidi" w:cstheme="majorBidi"/>
          <w:color w:val="000000" w:themeColor="text1"/>
          <w:szCs w:val="24"/>
        </w:rPr>
        <w:t xml:space="preserve"> politically</w:t>
      </w:r>
      <w:r w:rsidRPr="004A0323">
        <w:rPr>
          <w:rFonts w:asciiTheme="majorBidi" w:hAnsiTheme="majorBidi" w:cstheme="majorBidi"/>
          <w:color w:val="000000" w:themeColor="text1"/>
          <w:szCs w:val="24"/>
        </w:rPr>
        <w:t xml:space="preserve"> neutral “stakeholder collectors”.</w:t>
      </w:r>
      <w:r w:rsidR="002452B5" w:rsidRPr="004A0323">
        <w:rPr>
          <w:rFonts w:asciiTheme="majorBidi" w:hAnsiTheme="majorBidi" w:cstheme="majorBidi"/>
          <w:color w:val="000000" w:themeColor="text1"/>
          <w:szCs w:val="24"/>
        </w:rPr>
        <w:t xml:space="preserve"> </w:t>
      </w:r>
      <w:r w:rsidR="004B1569" w:rsidRPr="004A0323">
        <w:rPr>
          <w:rFonts w:asciiTheme="majorBidi" w:hAnsiTheme="majorBidi" w:cstheme="majorBidi"/>
          <w:color w:val="000000" w:themeColor="text1"/>
          <w:szCs w:val="24"/>
        </w:rPr>
        <w:t xml:space="preserve">This intense </w:t>
      </w:r>
      <w:r w:rsidR="0061268E" w:rsidRPr="004A0323">
        <w:rPr>
          <w:rFonts w:asciiTheme="majorBidi" w:hAnsiTheme="majorBidi" w:cstheme="majorBidi"/>
          <w:color w:val="000000" w:themeColor="text1"/>
          <w:szCs w:val="24"/>
        </w:rPr>
        <w:t xml:space="preserve">stakeholder </w:t>
      </w:r>
      <w:r w:rsidR="004B1569" w:rsidRPr="004A0323">
        <w:rPr>
          <w:rFonts w:asciiTheme="majorBidi" w:hAnsiTheme="majorBidi" w:cstheme="majorBidi"/>
          <w:color w:val="000000" w:themeColor="text1"/>
          <w:szCs w:val="24"/>
        </w:rPr>
        <w:t>intermediation work</w:t>
      </w:r>
      <w:r w:rsidR="002452B5" w:rsidRPr="004A0323">
        <w:rPr>
          <w:rFonts w:asciiTheme="majorBidi" w:hAnsiTheme="majorBidi" w:cstheme="majorBidi"/>
          <w:color w:val="000000" w:themeColor="text1"/>
          <w:szCs w:val="24"/>
        </w:rPr>
        <w:t xml:space="preserve"> entailed </w:t>
      </w:r>
      <w:r w:rsidR="004B1569" w:rsidRPr="004A0323">
        <w:rPr>
          <w:rFonts w:asciiTheme="majorBidi" w:hAnsiTheme="majorBidi" w:cstheme="majorBidi"/>
          <w:color w:val="000000" w:themeColor="text1"/>
          <w:szCs w:val="24"/>
        </w:rPr>
        <w:t xml:space="preserve">at times </w:t>
      </w:r>
      <w:r w:rsidR="002452B5" w:rsidRPr="004A0323">
        <w:rPr>
          <w:rFonts w:asciiTheme="majorBidi" w:hAnsiTheme="majorBidi" w:cstheme="majorBidi"/>
          <w:color w:val="000000" w:themeColor="text1"/>
          <w:szCs w:val="24"/>
        </w:rPr>
        <w:t xml:space="preserve">an element of fear (Interview – Index 2010 analyst I): </w:t>
      </w:r>
    </w:p>
    <w:p w14:paraId="4B1C91E1" w14:textId="0618C2EA" w:rsidR="003D6436" w:rsidRPr="004A0323" w:rsidRDefault="002452B5" w:rsidP="00513F10">
      <w:pPr>
        <w:pStyle w:val="Body"/>
        <w:spacing w:line="240" w:lineRule="auto"/>
        <w:ind w:left="567" w:right="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I mostly feared the companies, which is ironic because the Foundation was our client. I was more scared of the companies, because they know their data better than I do – way better than I ever could, but I depend on the data they send, as well as, obviously, external sources.  I had nightmares about making mistakes – but in a positive way, this forces you to make sure everything you’re putting in there is accurate [...] Hot topic areas – areas of dispute between NGOs and companies – were where I was the most scared of making mistakes, just in terms of legally representing them properly.</w:t>
      </w:r>
    </w:p>
    <w:p w14:paraId="17D84733" w14:textId="77777777" w:rsidR="00C615D7" w:rsidRPr="004A0323" w:rsidRDefault="00C615D7" w:rsidP="00513F10">
      <w:pPr>
        <w:pStyle w:val="Body"/>
        <w:spacing w:line="240" w:lineRule="auto"/>
        <w:ind w:left="567" w:right="567"/>
        <w:rPr>
          <w:color w:val="000000" w:themeColor="text1"/>
        </w:rPr>
      </w:pPr>
    </w:p>
    <w:p w14:paraId="36A46184" w14:textId="5AC7FA54" w:rsidR="00EB258D" w:rsidRPr="004A0323" w:rsidRDefault="00EC2969" w:rsidP="003E6551">
      <w:pPr>
        <w:spacing w:line="480" w:lineRule="auto"/>
        <w:ind w:firstLine="567"/>
        <w:jc w:val="both"/>
        <w:rPr>
          <w:lang w:val="en-US"/>
        </w:rPr>
      </w:pPr>
      <w:r w:rsidRPr="004A0323">
        <w:rPr>
          <w:lang w:val="en-US"/>
        </w:rPr>
        <w:t>In attempts to avoid politics</w:t>
      </w:r>
      <w:r w:rsidR="004B1569" w:rsidRPr="004A0323">
        <w:rPr>
          <w:lang w:val="en-US"/>
        </w:rPr>
        <w:t xml:space="preserve"> and accusations of bias, projecting </w:t>
      </w:r>
      <w:r w:rsidR="002736C0" w:rsidRPr="004A0323">
        <w:rPr>
          <w:lang w:val="en-US"/>
        </w:rPr>
        <w:t xml:space="preserve">technical competence </w:t>
      </w:r>
      <w:r w:rsidR="004B1569" w:rsidRPr="004A0323">
        <w:rPr>
          <w:lang w:val="en-US"/>
        </w:rPr>
        <w:t xml:space="preserve">played a central role and </w:t>
      </w:r>
      <w:r w:rsidRPr="004A0323">
        <w:rPr>
          <w:lang w:val="en-US"/>
        </w:rPr>
        <w:t>quantification</w:t>
      </w:r>
      <w:r w:rsidR="002736C0" w:rsidRPr="004A0323">
        <w:rPr>
          <w:lang w:val="en-US"/>
        </w:rPr>
        <w:t>, in this respect,</w:t>
      </w:r>
      <w:r w:rsidRPr="004A0323">
        <w:rPr>
          <w:lang w:val="en-US"/>
        </w:rPr>
        <w:t xml:space="preserve"> </w:t>
      </w:r>
      <w:r w:rsidR="004B1569" w:rsidRPr="004A0323">
        <w:rPr>
          <w:lang w:val="en-US"/>
        </w:rPr>
        <w:t>was</w:t>
      </w:r>
      <w:r w:rsidRPr="004A0323">
        <w:rPr>
          <w:lang w:val="en-US"/>
        </w:rPr>
        <w:t xml:space="preserve"> </w:t>
      </w:r>
      <w:r w:rsidR="004B1569" w:rsidRPr="004A0323">
        <w:rPr>
          <w:lang w:val="en-US"/>
        </w:rPr>
        <w:t>paramount</w:t>
      </w:r>
      <w:r w:rsidRPr="004A0323">
        <w:rPr>
          <w:lang w:val="en-US"/>
        </w:rPr>
        <w:t>. Analysts considered quantified information to be more “dependable” (Index 2010 analyst III) or “scientific” (Interview - Index 2008 Project Manager)</w:t>
      </w:r>
      <w:r w:rsidR="004B1569" w:rsidRPr="004A0323">
        <w:rPr>
          <w:lang w:val="en-US"/>
        </w:rPr>
        <w:t xml:space="preserve">. </w:t>
      </w:r>
      <w:r w:rsidR="003E6551" w:rsidRPr="004A0323">
        <w:rPr>
          <w:lang w:val="en-US"/>
        </w:rPr>
        <w:t>A</w:t>
      </w:r>
      <w:r w:rsidRPr="004A0323">
        <w:rPr>
          <w:lang w:val="en-US"/>
        </w:rPr>
        <w:t xml:space="preserve">s specified by one analyst (Interview - Index 2010 </w:t>
      </w:r>
      <w:r w:rsidRPr="004A0323">
        <w:rPr>
          <w:lang w:val="en-US"/>
        </w:rPr>
        <w:lastRenderedPageBreak/>
        <w:t>analyst III)</w:t>
      </w:r>
      <w:r w:rsidR="004B1569" w:rsidRPr="004A0323">
        <w:rPr>
          <w:lang w:val="en-US"/>
        </w:rPr>
        <w:t xml:space="preserve"> there was an implicit assumption that quantified data was more objective and reliable. </w:t>
      </w:r>
      <w:r w:rsidRPr="004A0323">
        <w:rPr>
          <w:lang w:val="en-US"/>
        </w:rPr>
        <w:t>Quantification</w:t>
      </w:r>
      <w:r w:rsidR="004B1569" w:rsidRPr="004A0323">
        <w:rPr>
          <w:lang w:val="en-US"/>
        </w:rPr>
        <w:t>, in other words,</w:t>
      </w:r>
      <w:r w:rsidRPr="004A0323">
        <w:rPr>
          <w:lang w:val="en-US"/>
        </w:rPr>
        <w:t xml:space="preserve"> played a central role in the formalization of the in</w:t>
      </w:r>
      <w:r w:rsidR="003B0ADB" w:rsidRPr="004A0323">
        <w:rPr>
          <w:lang w:val="en-US"/>
        </w:rPr>
        <w:t xml:space="preserve">dex </w:t>
      </w:r>
      <w:r w:rsidR="00287EA1" w:rsidRPr="004A0323">
        <w:rPr>
          <w:lang w:val="en-US"/>
        </w:rPr>
        <w:t xml:space="preserve">methodology </w:t>
      </w:r>
      <w:r w:rsidR="003B0ADB" w:rsidRPr="004A0323">
        <w:rPr>
          <w:lang w:val="en-US"/>
        </w:rPr>
        <w:t xml:space="preserve">and </w:t>
      </w:r>
      <w:r w:rsidR="0061268E" w:rsidRPr="004A0323">
        <w:rPr>
          <w:lang w:val="en-US"/>
        </w:rPr>
        <w:t>was seen as a way to increase its scientificity</w:t>
      </w:r>
      <w:r w:rsidR="003B0ADB" w:rsidRPr="004A0323">
        <w:rPr>
          <w:lang w:val="en-US"/>
        </w:rPr>
        <w:t>.</w:t>
      </w:r>
    </w:p>
    <w:p w14:paraId="7F306AE0" w14:textId="16741A4E" w:rsidR="003A6FE7" w:rsidRPr="004A0323" w:rsidRDefault="00FA2ADB" w:rsidP="00513F10">
      <w:pPr>
        <w:spacing w:line="480" w:lineRule="auto"/>
        <w:ind w:firstLine="720"/>
        <w:jc w:val="both"/>
        <w:rPr>
          <w:lang w:val="en-US"/>
        </w:rPr>
      </w:pPr>
      <w:r w:rsidRPr="004A0323">
        <w:rPr>
          <w:lang w:val="en-US"/>
        </w:rPr>
        <w:t>For the p</w:t>
      </w:r>
      <w:r w:rsidR="00C615D7" w:rsidRPr="004A0323">
        <w:rPr>
          <w:lang w:val="en-US"/>
        </w:rPr>
        <w:t>u</w:t>
      </w:r>
      <w:r w:rsidRPr="004A0323">
        <w:rPr>
          <w:lang w:val="en-US"/>
        </w:rPr>
        <w:t>r</w:t>
      </w:r>
      <w:r w:rsidR="00C615D7" w:rsidRPr="004A0323">
        <w:rPr>
          <w:lang w:val="en-US"/>
        </w:rPr>
        <w:t xml:space="preserve">pose of data collection and scoring, </w:t>
      </w:r>
      <w:r w:rsidR="000C4C4C" w:rsidRPr="004A0323">
        <w:rPr>
          <w:lang w:val="en-US"/>
        </w:rPr>
        <w:t>t</w:t>
      </w:r>
      <w:r w:rsidR="00A76BC6" w:rsidRPr="004A0323">
        <w:rPr>
          <w:lang w:val="en-US"/>
        </w:rPr>
        <w:t xml:space="preserve">he </w:t>
      </w:r>
      <w:r w:rsidR="003A6FE7" w:rsidRPr="004A0323">
        <w:rPr>
          <w:lang w:val="en-US"/>
        </w:rPr>
        <w:t xml:space="preserve">analysts relied on diverse sets of secondary sources ranging from the WHO (for DALYs, patents), Lexis Nexis (for lawsuits), Factiva (for news) and Thomson Reuters (for financial information). This was in addition to the information that companies provided in response to the Foundation’s questionnaire, which requested detailed information about their activities that could have implications for access to medicine for “Index Countries” and “Index Diseases” (the geographical and disease scope of the index). </w:t>
      </w:r>
    </w:p>
    <w:p w14:paraId="5B94282C" w14:textId="09814914" w:rsidR="00E96147" w:rsidRPr="004A0323" w:rsidRDefault="009D5A2B" w:rsidP="00513F10">
      <w:pPr>
        <w:spacing w:line="480" w:lineRule="auto"/>
        <w:ind w:firstLine="720"/>
        <w:jc w:val="both"/>
        <w:rPr>
          <w:lang w:val="en-US"/>
        </w:rPr>
      </w:pPr>
      <w:r w:rsidRPr="004A0323">
        <w:rPr>
          <w:lang w:val="en-US"/>
        </w:rPr>
        <w:t xml:space="preserve">Not all sources were regarded as equal; analysts made a judgment of how credible each source was based on its level of potential bias. Analysts considered information coming from organizations universally regarded as credible such as the WHO as “the gold standard” (Interview – Index 2010 analyst II), whereas they did not necessarily consider local and more activist NGOs as neutral because of their more confrontational attitudes towards the industry. Overall the criterion for inclusion of sources was avoiding stakeholder politics </w:t>
      </w:r>
      <w:r w:rsidR="00345A97" w:rsidRPr="004A0323">
        <w:rPr>
          <w:lang w:val="en-US"/>
        </w:rPr>
        <w:t>when the issues at hand could not be made</w:t>
      </w:r>
      <w:r w:rsidRPr="004A0323">
        <w:rPr>
          <w:lang w:val="en-US"/>
        </w:rPr>
        <w:t xml:space="preserve"> technical</w:t>
      </w:r>
      <w:r w:rsidR="00345A97" w:rsidRPr="004A0323">
        <w:rPr>
          <w:lang w:val="en-US"/>
        </w:rPr>
        <w:t xml:space="preserve"> and addressed in an “evidence based” fashion</w:t>
      </w:r>
      <w:r w:rsidRPr="004A0323">
        <w:rPr>
          <w:lang w:val="en-US"/>
        </w:rPr>
        <w:t xml:space="preserve">. Intermediation, at this stage, meant the ability to screen all available sources on the access issues at hand, and ensuring that the sources selected remained scientifically valid, neutral or representative of the wide and often </w:t>
      </w:r>
      <w:r w:rsidR="00614136" w:rsidRPr="004A0323">
        <w:rPr>
          <w:lang w:val="en-US"/>
        </w:rPr>
        <w:t>divided</w:t>
      </w:r>
      <w:r w:rsidRPr="004A0323">
        <w:rPr>
          <w:lang w:val="en-US"/>
        </w:rPr>
        <w:t xml:space="preserve"> stakeholder base of the Index.</w:t>
      </w:r>
    </w:p>
    <w:p w14:paraId="197BF143" w14:textId="16C468EA" w:rsidR="00E96147" w:rsidRPr="004A0323" w:rsidRDefault="00E96147" w:rsidP="00513F10">
      <w:pPr>
        <w:pStyle w:val="Citations"/>
        <w:spacing w:line="480" w:lineRule="auto"/>
        <w:ind w:left="0" w:right="0" w:firstLine="567"/>
        <w:rPr>
          <w:rFonts w:asciiTheme="majorBidi" w:hAnsiTheme="majorBidi" w:cstheme="majorBidi"/>
          <w:iCs/>
          <w:color w:val="000000" w:themeColor="text1"/>
        </w:rPr>
      </w:pPr>
      <w:r w:rsidRPr="004A0323">
        <w:rPr>
          <w:rFonts w:asciiTheme="majorBidi" w:hAnsiTheme="majorBidi" w:cstheme="majorBidi"/>
          <w:iCs/>
          <w:color w:val="000000" w:themeColor="text1"/>
        </w:rPr>
        <w:t>This process of reverting to data accuracy and evidence was however not unproblematic. The expert views and scientific sources in many areas were also polarized. Ultimately, “it was about saying, okay, we have got some expert views, they seem to be polarized or inconclusive and we need to take a judgment call on the knowing that there are two quite valid perspectives”. (</w:t>
      </w:r>
      <w:r w:rsidR="00114C09" w:rsidRPr="004A0323">
        <w:rPr>
          <w:rFonts w:asciiTheme="majorBidi" w:hAnsiTheme="majorBidi" w:cstheme="majorBidi"/>
          <w:iCs/>
          <w:color w:val="000000" w:themeColor="text1"/>
        </w:rPr>
        <w:t>Interview – consultant for Index 2012</w:t>
      </w:r>
      <w:r w:rsidRPr="004A0323">
        <w:rPr>
          <w:rFonts w:asciiTheme="majorBidi" w:hAnsiTheme="majorBidi" w:cstheme="majorBidi"/>
          <w:iCs/>
          <w:color w:val="000000" w:themeColor="text1"/>
        </w:rPr>
        <w:t xml:space="preserve">). Alignment with the main views of, and with trends set </w:t>
      </w:r>
      <w:r w:rsidRPr="004A0323">
        <w:rPr>
          <w:rFonts w:asciiTheme="majorBidi" w:hAnsiTheme="majorBidi" w:cstheme="majorBidi"/>
          <w:iCs/>
          <w:color w:val="000000" w:themeColor="text1"/>
        </w:rPr>
        <w:lastRenderedPageBreak/>
        <w:t>by, key international organizations was a way of securing and stabilizing the analysts’ position on contentious issues</w:t>
      </w:r>
      <w:r w:rsidR="00114C09" w:rsidRPr="004A0323">
        <w:rPr>
          <w:rFonts w:asciiTheme="majorBidi" w:hAnsiTheme="majorBidi" w:cstheme="majorBidi"/>
          <w:iCs/>
          <w:color w:val="000000" w:themeColor="text1"/>
        </w:rPr>
        <w:t>. In the words of the same interviewee: “</w:t>
      </w:r>
      <w:r w:rsidR="00114C09" w:rsidRPr="004A0323">
        <w:rPr>
          <w:rFonts w:asciiTheme="majorBidi" w:eastAsia="Times New Roman" w:hAnsiTheme="majorBidi" w:cstheme="majorBidi"/>
          <w:color w:val="000000" w:themeColor="text1"/>
          <w:bdr w:val="none" w:sz="0" w:space="0" w:color="auto"/>
        </w:rPr>
        <w:t>what is reassuring I suppose is that the methodology review does seem to be in-line with global health trends I guess, thinking policy trends”</w:t>
      </w:r>
      <w:r w:rsidRPr="004A0323">
        <w:rPr>
          <w:rFonts w:asciiTheme="majorBidi" w:hAnsiTheme="majorBidi" w:cstheme="majorBidi"/>
          <w:iCs/>
          <w:color w:val="000000" w:themeColor="text1"/>
        </w:rPr>
        <w:t xml:space="preserve"> (Interview – consultant for Index </w:t>
      </w:r>
      <w:r w:rsidR="00114C09" w:rsidRPr="004A0323">
        <w:rPr>
          <w:rFonts w:asciiTheme="majorBidi" w:hAnsiTheme="majorBidi" w:cstheme="majorBidi"/>
          <w:iCs/>
          <w:color w:val="000000" w:themeColor="text1"/>
        </w:rPr>
        <w:t>2012).</w:t>
      </w:r>
      <w:r w:rsidR="00061DFB" w:rsidRPr="004A0323">
        <w:rPr>
          <w:rFonts w:asciiTheme="majorBidi" w:hAnsiTheme="majorBidi" w:cstheme="majorBidi"/>
          <w:iCs/>
          <w:color w:val="000000" w:themeColor="text1"/>
        </w:rPr>
        <w:t xml:space="preserve"> Thus, on the one hand contentious</w:t>
      </w:r>
      <w:r w:rsidR="001C2C2D" w:rsidRPr="004A0323">
        <w:rPr>
          <w:rFonts w:asciiTheme="majorBidi" w:hAnsiTheme="majorBidi" w:cstheme="majorBidi"/>
          <w:iCs/>
          <w:color w:val="000000" w:themeColor="text1"/>
        </w:rPr>
        <w:t xml:space="preserve"> rule-making</w:t>
      </w:r>
      <w:r w:rsidR="00061DFB" w:rsidRPr="004A0323">
        <w:rPr>
          <w:rFonts w:asciiTheme="majorBidi" w:hAnsiTheme="majorBidi" w:cstheme="majorBidi"/>
          <w:iCs/>
          <w:color w:val="000000" w:themeColor="text1"/>
        </w:rPr>
        <w:t xml:space="preserve"> issues had to be resolved in the </w:t>
      </w:r>
      <w:r w:rsidR="000028EE" w:rsidRPr="004A0323">
        <w:rPr>
          <w:rFonts w:asciiTheme="majorBidi" w:hAnsiTheme="majorBidi" w:cstheme="majorBidi"/>
          <w:iCs/>
          <w:color w:val="000000" w:themeColor="text1"/>
        </w:rPr>
        <w:t xml:space="preserve">not fully formalized </w:t>
      </w:r>
      <w:r w:rsidR="00061DFB" w:rsidRPr="004A0323">
        <w:rPr>
          <w:rFonts w:asciiTheme="majorBidi" w:hAnsiTheme="majorBidi" w:cstheme="majorBidi"/>
          <w:iCs/>
          <w:color w:val="000000" w:themeColor="text1"/>
        </w:rPr>
        <w:t>space of analysts’ judgment</w:t>
      </w:r>
      <w:r w:rsidR="00A11F9D" w:rsidRPr="004A0323">
        <w:rPr>
          <w:rFonts w:asciiTheme="majorBidi" w:hAnsiTheme="majorBidi" w:cstheme="majorBidi"/>
          <w:iCs/>
          <w:color w:val="000000" w:themeColor="text1"/>
        </w:rPr>
        <w:t>,</w:t>
      </w:r>
      <w:r w:rsidR="00061DFB" w:rsidRPr="004A0323">
        <w:rPr>
          <w:rFonts w:asciiTheme="majorBidi" w:hAnsiTheme="majorBidi" w:cstheme="majorBidi"/>
          <w:iCs/>
          <w:color w:val="000000" w:themeColor="text1"/>
        </w:rPr>
        <w:t xml:space="preserve"> but on the other hand alignment with official and formalized policy documents provided this more subjective and informal processes with a safe anchor. Here, a subtle interplay between the formalized and the not-yet-formalized and between the official and the unofficial allowed analysts and the Foundation to maneuver between the conflicting poles of its stakeholder base.</w:t>
      </w:r>
    </w:p>
    <w:p w14:paraId="5AC46251" w14:textId="787D5687" w:rsidR="0065569C" w:rsidRPr="004A0323" w:rsidRDefault="005E2181" w:rsidP="007827C8">
      <w:pPr>
        <w:pStyle w:val="Body"/>
        <w:ind w:right="-8"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Over the years, stakeholder consultation seems to have become a “cooler” process. First, a range of technical sub-committees (TSC) were introduced with Index 2012 to support the methodology review process and insulate some of the technical issues at stake from the more open </w:t>
      </w:r>
      <w:r w:rsidR="00614136" w:rsidRPr="004A0323">
        <w:rPr>
          <w:rFonts w:asciiTheme="majorBidi" w:hAnsiTheme="majorBidi" w:cstheme="majorBidi"/>
          <w:color w:val="000000" w:themeColor="text1"/>
          <w:szCs w:val="24"/>
        </w:rPr>
        <w:t xml:space="preserve">stakeholder </w:t>
      </w:r>
      <w:r w:rsidRPr="004A0323">
        <w:rPr>
          <w:rFonts w:asciiTheme="majorBidi" w:hAnsiTheme="majorBidi" w:cstheme="majorBidi"/>
          <w:color w:val="000000" w:themeColor="text1"/>
          <w:szCs w:val="24"/>
        </w:rPr>
        <w:t xml:space="preserve">politics of the ERC. </w:t>
      </w:r>
      <w:r w:rsidR="001B4846" w:rsidRPr="004A0323">
        <w:rPr>
          <w:rFonts w:asciiTheme="majorBidi" w:hAnsiTheme="majorBidi" w:cstheme="majorBidi"/>
          <w:color w:val="000000" w:themeColor="text1"/>
          <w:szCs w:val="24"/>
        </w:rPr>
        <w:t xml:space="preserve">Furthermore, </w:t>
      </w:r>
      <w:r w:rsidR="00D83B0A" w:rsidRPr="004A0323">
        <w:rPr>
          <w:rFonts w:asciiTheme="majorBidi" w:hAnsiTheme="majorBidi" w:cstheme="majorBidi"/>
          <w:color w:val="000000" w:themeColor="text1"/>
          <w:szCs w:val="24"/>
        </w:rPr>
        <w:t xml:space="preserve">with its increased stability and centrality in the field, the </w:t>
      </w:r>
      <w:r w:rsidR="003B3B86" w:rsidRPr="004A0323">
        <w:rPr>
          <w:rFonts w:asciiTheme="majorBidi" w:hAnsiTheme="majorBidi" w:cstheme="majorBidi"/>
          <w:color w:val="000000" w:themeColor="text1"/>
          <w:szCs w:val="24"/>
        </w:rPr>
        <w:t>process of scoring companies and the language used by the Foundation more broadly have become much more assertive</w:t>
      </w:r>
      <w:r w:rsidR="00D83B0A" w:rsidRPr="004A0323">
        <w:rPr>
          <w:rFonts w:asciiTheme="majorBidi" w:hAnsiTheme="majorBidi" w:cstheme="majorBidi"/>
          <w:color w:val="000000" w:themeColor="text1"/>
          <w:szCs w:val="24"/>
        </w:rPr>
        <w:t xml:space="preserve">. </w:t>
      </w:r>
    </w:p>
    <w:p w14:paraId="572BD1FC" w14:textId="6836D569" w:rsidR="0029737A" w:rsidRPr="004A0323" w:rsidRDefault="0029737A" w:rsidP="0050211A">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Fear of politics</w:t>
      </w:r>
      <w:r w:rsidR="00ED4BB9" w:rsidRPr="004A0323">
        <w:rPr>
          <w:rFonts w:asciiTheme="majorBidi" w:hAnsiTheme="majorBidi" w:cstheme="majorBidi"/>
          <w:color w:val="000000" w:themeColor="text1"/>
          <w:szCs w:val="24"/>
        </w:rPr>
        <w:t>,</w:t>
      </w:r>
      <w:r w:rsidRPr="004A0323">
        <w:rPr>
          <w:rFonts w:asciiTheme="majorBidi" w:hAnsiTheme="majorBidi" w:cstheme="majorBidi"/>
          <w:color w:val="000000" w:themeColor="text1"/>
          <w:szCs w:val="24"/>
        </w:rPr>
        <w:t xml:space="preserve"> which </w:t>
      </w:r>
      <w:r w:rsidR="00ED4BB9" w:rsidRPr="004A0323">
        <w:rPr>
          <w:rFonts w:asciiTheme="majorBidi" w:hAnsiTheme="majorBidi" w:cstheme="majorBidi"/>
          <w:color w:val="000000" w:themeColor="text1"/>
          <w:szCs w:val="24"/>
        </w:rPr>
        <w:t>permeated</w:t>
      </w:r>
      <w:r w:rsidRPr="004A0323">
        <w:rPr>
          <w:rFonts w:asciiTheme="majorBidi" w:hAnsiTheme="majorBidi" w:cstheme="majorBidi"/>
          <w:color w:val="000000" w:themeColor="text1"/>
          <w:szCs w:val="24"/>
        </w:rPr>
        <w:t xml:space="preserve"> the analysis underlying the Index and the tone of Index report</w:t>
      </w:r>
      <w:r w:rsidR="00ED4BB9" w:rsidRPr="004A0323">
        <w:rPr>
          <w:rFonts w:asciiTheme="majorBidi" w:hAnsiTheme="majorBidi" w:cstheme="majorBidi"/>
          <w:color w:val="000000" w:themeColor="text1"/>
          <w:szCs w:val="24"/>
        </w:rPr>
        <w:t>,</w:t>
      </w:r>
      <w:r w:rsidRPr="004A0323">
        <w:rPr>
          <w:rFonts w:asciiTheme="majorBidi" w:hAnsiTheme="majorBidi" w:cstheme="majorBidi"/>
          <w:color w:val="000000" w:themeColor="text1"/>
          <w:szCs w:val="24"/>
        </w:rPr>
        <w:t xml:space="preserve"> has </w:t>
      </w:r>
      <w:r w:rsidR="00614136" w:rsidRPr="004A0323">
        <w:rPr>
          <w:rFonts w:asciiTheme="majorBidi" w:hAnsiTheme="majorBidi" w:cstheme="majorBidi"/>
          <w:color w:val="000000" w:themeColor="text1"/>
          <w:szCs w:val="24"/>
        </w:rPr>
        <w:t xml:space="preserve">now </w:t>
      </w:r>
      <w:r w:rsidRPr="004A0323">
        <w:rPr>
          <w:rFonts w:asciiTheme="majorBidi" w:hAnsiTheme="majorBidi" w:cstheme="majorBidi"/>
          <w:color w:val="000000" w:themeColor="text1"/>
          <w:szCs w:val="24"/>
        </w:rPr>
        <w:t xml:space="preserve">been </w:t>
      </w:r>
      <w:r w:rsidR="00614136" w:rsidRPr="004A0323">
        <w:rPr>
          <w:rFonts w:asciiTheme="majorBidi" w:hAnsiTheme="majorBidi" w:cstheme="majorBidi"/>
          <w:color w:val="000000" w:themeColor="text1"/>
          <w:szCs w:val="24"/>
        </w:rPr>
        <w:t>largely</w:t>
      </w:r>
      <w:r w:rsidRPr="004A0323">
        <w:rPr>
          <w:rFonts w:asciiTheme="majorBidi" w:hAnsiTheme="majorBidi" w:cstheme="majorBidi"/>
          <w:color w:val="000000" w:themeColor="text1"/>
          <w:szCs w:val="24"/>
        </w:rPr>
        <w:t xml:space="preserve"> tamed. For example, </w:t>
      </w:r>
      <w:r w:rsidR="00ED4BB9" w:rsidRPr="004A0323">
        <w:rPr>
          <w:rFonts w:asciiTheme="majorBidi" w:hAnsiTheme="majorBidi" w:cstheme="majorBidi"/>
          <w:color w:val="000000" w:themeColor="text1"/>
          <w:szCs w:val="24"/>
        </w:rPr>
        <w:t xml:space="preserve">the </w:t>
      </w:r>
      <w:r w:rsidR="00526F03" w:rsidRPr="004A0323">
        <w:rPr>
          <w:rFonts w:asciiTheme="majorBidi" w:hAnsiTheme="majorBidi" w:cstheme="majorBidi"/>
          <w:color w:val="000000" w:themeColor="text1"/>
          <w:szCs w:val="24"/>
        </w:rPr>
        <w:t>r</w:t>
      </w:r>
      <w:r w:rsidR="00ED4BB9" w:rsidRPr="004A0323">
        <w:rPr>
          <w:rFonts w:asciiTheme="majorBidi" w:hAnsiTheme="majorBidi" w:cstheme="majorBidi"/>
          <w:color w:val="000000" w:themeColor="text1"/>
          <w:szCs w:val="24"/>
        </w:rPr>
        <w:t xml:space="preserve">eport for Index 2016 for the first time </w:t>
      </w:r>
      <w:r w:rsidR="00E77868" w:rsidRPr="004A0323">
        <w:rPr>
          <w:rFonts w:asciiTheme="majorBidi" w:hAnsiTheme="majorBidi" w:cstheme="majorBidi"/>
          <w:color w:val="000000" w:themeColor="text1"/>
          <w:szCs w:val="24"/>
        </w:rPr>
        <w:t>provides</w:t>
      </w:r>
      <w:r w:rsidR="00ED4BB9" w:rsidRPr="004A0323">
        <w:rPr>
          <w:rFonts w:asciiTheme="majorBidi" w:hAnsiTheme="majorBidi" w:cstheme="majorBidi"/>
          <w:color w:val="000000" w:themeColor="text1"/>
          <w:szCs w:val="24"/>
        </w:rPr>
        <w:t xml:space="preserve"> a </w:t>
      </w:r>
      <w:r w:rsidR="00112359" w:rsidRPr="004A0323">
        <w:rPr>
          <w:rFonts w:asciiTheme="majorBidi" w:hAnsiTheme="majorBidi" w:cstheme="majorBidi"/>
          <w:color w:val="000000" w:themeColor="text1"/>
          <w:szCs w:val="24"/>
        </w:rPr>
        <w:t xml:space="preserve">summary of </w:t>
      </w:r>
      <w:r w:rsidR="00E77868" w:rsidRPr="004A0323">
        <w:rPr>
          <w:rFonts w:asciiTheme="majorBidi" w:hAnsiTheme="majorBidi" w:cstheme="majorBidi"/>
          <w:color w:val="000000" w:themeColor="text1"/>
          <w:szCs w:val="24"/>
        </w:rPr>
        <w:t>performance observed within each tier in the ranking, including a section for the lowest ranking</w:t>
      </w:r>
      <w:r w:rsidR="0061268E" w:rsidRPr="004A0323">
        <w:rPr>
          <w:rFonts w:asciiTheme="majorBidi" w:hAnsiTheme="majorBidi" w:cstheme="majorBidi"/>
          <w:color w:val="000000" w:themeColor="text1"/>
          <w:szCs w:val="24"/>
        </w:rPr>
        <w:t xml:space="preserve"> companies</w:t>
      </w:r>
      <w:r w:rsidR="00E77868" w:rsidRPr="004A0323">
        <w:rPr>
          <w:rFonts w:asciiTheme="majorBidi" w:hAnsiTheme="majorBidi" w:cstheme="majorBidi"/>
          <w:color w:val="000000" w:themeColor="text1"/>
          <w:szCs w:val="24"/>
        </w:rPr>
        <w:t xml:space="preserve">, in which </w:t>
      </w:r>
      <w:r w:rsidR="0061268E" w:rsidRPr="004A0323">
        <w:rPr>
          <w:rFonts w:asciiTheme="majorBidi" w:hAnsiTheme="majorBidi" w:cstheme="majorBidi"/>
          <w:color w:val="000000" w:themeColor="text1"/>
          <w:szCs w:val="24"/>
        </w:rPr>
        <w:t xml:space="preserve">firms </w:t>
      </w:r>
      <w:r w:rsidR="00E77868" w:rsidRPr="004A0323">
        <w:rPr>
          <w:rFonts w:asciiTheme="majorBidi" w:hAnsiTheme="majorBidi" w:cstheme="majorBidi"/>
          <w:color w:val="000000" w:themeColor="text1"/>
          <w:szCs w:val="24"/>
        </w:rPr>
        <w:t xml:space="preserve">at the bottom are singled out </w:t>
      </w:r>
      <w:r w:rsidR="00ED4BB9" w:rsidRPr="004A0323">
        <w:rPr>
          <w:rFonts w:asciiTheme="majorBidi" w:hAnsiTheme="majorBidi" w:cstheme="majorBidi"/>
          <w:color w:val="000000" w:themeColor="text1"/>
          <w:szCs w:val="24"/>
        </w:rPr>
        <w:t>(ATMI</w:t>
      </w:r>
      <w:r w:rsidRPr="004A0323">
        <w:rPr>
          <w:rFonts w:asciiTheme="majorBidi" w:hAnsiTheme="majorBidi" w:cstheme="majorBidi"/>
          <w:color w:val="000000" w:themeColor="text1"/>
          <w:szCs w:val="24"/>
        </w:rPr>
        <w:t xml:space="preserve"> 2016). </w:t>
      </w:r>
      <w:r w:rsidR="009518A6" w:rsidRPr="004A0323">
        <w:rPr>
          <w:rFonts w:asciiTheme="majorBidi" w:hAnsiTheme="majorBidi" w:cstheme="majorBidi"/>
          <w:color w:val="000000" w:themeColor="text1"/>
          <w:szCs w:val="24"/>
        </w:rPr>
        <w:t>In the early years, the</w:t>
      </w:r>
      <w:r w:rsidR="00EB23E1" w:rsidRPr="004A0323">
        <w:rPr>
          <w:rFonts w:asciiTheme="majorBidi" w:hAnsiTheme="majorBidi" w:cstheme="majorBidi"/>
          <w:color w:val="000000" w:themeColor="text1"/>
          <w:szCs w:val="24"/>
        </w:rPr>
        <w:t xml:space="preserve"> F</w:t>
      </w:r>
      <w:r w:rsidR="009518A6" w:rsidRPr="004A0323">
        <w:rPr>
          <w:rFonts w:asciiTheme="majorBidi" w:hAnsiTheme="majorBidi" w:cstheme="majorBidi"/>
          <w:color w:val="000000" w:themeColor="text1"/>
          <w:szCs w:val="24"/>
        </w:rPr>
        <w:t xml:space="preserve">oundation </w:t>
      </w:r>
      <w:r w:rsidR="003B3B86" w:rsidRPr="004A0323">
        <w:rPr>
          <w:rFonts w:asciiTheme="majorBidi" w:hAnsiTheme="majorBidi" w:cstheme="majorBidi"/>
          <w:color w:val="000000" w:themeColor="text1"/>
          <w:szCs w:val="24"/>
        </w:rPr>
        <w:t xml:space="preserve">tended to </w:t>
      </w:r>
      <w:r w:rsidR="009518A6" w:rsidRPr="004A0323">
        <w:rPr>
          <w:rFonts w:asciiTheme="majorBidi" w:hAnsiTheme="majorBidi" w:cstheme="majorBidi"/>
          <w:color w:val="000000" w:themeColor="text1"/>
          <w:szCs w:val="24"/>
        </w:rPr>
        <w:t xml:space="preserve">avoid </w:t>
      </w:r>
      <w:r w:rsidR="003B3B86" w:rsidRPr="004A0323">
        <w:rPr>
          <w:rFonts w:asciiTheme="majorBidi" w:hAnsiTheme="majorBidi" w:cstheme="majorBidi"/>
          <w:color w:val="000000" w:themeColor="text1"/>
          <w:szCs w:val="24"/>
        </w:rPr>
        <w:t xml:space="preserve">focusing </w:t>
      </w:r>
      <w:r w:rsidR="009518A6" w:rsidRPr="004A0323">
        <w:rPr>
          <w:rFonts w:asciiTheme="majorBidi" w:hAnsiTheme="majorBidi" w:cstheme="majorBidi"/>
          <w:color w:val="000000" w:themeColor="text1"/>
          <w:szCs w:val="24"/>
        </w:rPr>
        <w:t xml:space="preserve">on the firms </w:t>
      </w:r>
      <w:r w:rsidR="0061268E" w:rsidRPr="004A0323">
        <w:rPr>
          <w:rFonts w:asciiTheme="majorBidi" w:hAnsiTheme="majorBidi" w:cstheme="majorBidi"/>
          <w:color w:val="000000" w:themeColor="text1"/>
          <w:szCs w:val="24"/>
        </w:rPr>
        <w:t xml:space="preserve">at the bottom </w:t>
      </w:r>
      <w:r w:rsidR="009518A6" w:rsidRPr="004A0323">
        <w:rPr>
          <w:rFonts w:asciiTheme="majorBidi" w:hAnsiTheme="majorBidi" w:cstheme="majorBidi"/>
          <w:color w:val="000000" w:themeColor="text1"/>
          <w:szCs w:val="24"/>
        </w:rPr>
        <w:t>because it could be seen as negativistic</w:t>
      </w:r>
      <w:r w:rsidR="0061268E" w:rsidRPr="004A0323">
        <w:rPr>
          <w:rFonts w:asciiTheme="majorBidi" w:hAnsiTheme="majorBidi" w:cstheme="majorBidi"/>
          <w:color w:val="000000" w:themeColor="text1"/>
          <w:szCs w:val="24"/>
        </w:rPr>
        <w:t>,</w:t>
      </w:r>
      <w:r w:rsidR="009518A6" w:rsidRPr="004A0323">
        <w:rPr>
          <w:rFonts w:asciiTheme="majorBidi" w:hAnsiTheme="majorBidi" w:cstheme="majorBidi"/>
          <w:color w:val="000000" w:themeColor="text1"/>
          <w:szCs w:val="24"/>
        </w:rPr>
        <w:t xml:space="preserve"> as </w:t>
      </w:r>
      <w:r w:rsidR="0061268E" w:rsidRPr="004A0323">
        <w:rPr>
          <w:rFonts w:asciiTheme="majorBidi" w:hAnsiTheme="majorBidi" w:cstheme="majorBidi"/>
          <w:color w:val="000000" w:themeColor="text1"/>
          <w:szCs w:val="24"/>
        </w:rPr>
        <w:t xml:space="preserve">a choice of </w:t>
      </w:r>
      <w:r w:rsidR="009518A6" w:rsidRPr="004A0323">
        <w:rPr>
          <w:rFonts w:asciiTheme="majorBidi" w:hAnsiTheme="majorBidi" w:cstheme="majorBidi"/>
          <w:color w:val="000000" w:themeColor="text1"/>
          <w:szCs w:val="24"/>
        </w:rPr>
        <w:t>“stick”</w:t>
      </w:r>
      <w:r w:rsidR="0061268E" w:rsidRPr="004A0323">
        <w:rPr>
          <w:rFonts w:asciiTheme="majorBidi" w:hAnsiTheme="majorBidi" w:cstheme="majorBidi"/>
          <w:color w:val="000000" w:themeColor="text1"/>
          <w:szCs w:val="24"/>
        </w:rPr>
        <w:t xml:space="preserve"> over</w:t>
      </w:r>
      <w:r w:rsidR="009518A6" w:rsidRPr="004A0323">
        <w:rPr>
          <w:rFonts w:asciiTheme="majorBidi" w:hAnsiTheme="majorBidi" w:cstheme="majorBidi"/>
          <w:color w:val="000000" w:themeColor="text1"/>
          <w:szCs w:val="24"/>
        </w:rPr>
        <w:t xml:space="preserve"> </w:t>
      </w:r>
      <w:r w:rsidR="0061268E" w:rsidRPr="004A0323">
        <w:rPr>
          <w:rFonts w:asciiTheme="majorBidi" w:hAnsiTheme="majorBidi" w:cstheme="majorBidi"/>
          <w:color w:val="000000" w:themeColor="text1"/>
          <w:szCs w:val="24"/>
        </w:rPr>
        <w:t>“</w:t>
      </w:r>
      <w:r w:rsidR="009518A6" w:rsidRPr="004A0323">
        <w:rPr>
          <w:rFonts w:asciiTheme="majorBidi" w:hAnsiTheme="majorBidi" w:cstheme="majorBidi"/>
          <w:color w:val="000000" w:themeColor="text1"/>
          <w:szCs w:val="24"/>
        </w:rPr>
        <w:t>carrot</w:t>
      </w:r>
      <w:r w:rsidR="0061268E" w:rsidRPr="004A0323">
        <w:rPr>
          <w:rFonts w:asciiTheme="majorBidi" w:hAnsiTheme="majorBidi" w:cstheme="majorBidi"/>
          <w:color w:val="000000" w:themeColor="text1"/>
          <w:szCs w:val="24"/>
        </w:rPr>
        <w:t>”, where</w:t>
      </w:r>
      <w:r w:rsidR="0050211A" w:rsidRPr="004A0323">
        <w:rPr>
          <w:rFonts w:asciiTheme="majorBidi" w:hAnsiTheme="majorBidi" w:cstheme="majorBidi"/>
          <w:color w:val="000000" w:themeColor="text1"/>
          <w:szCs w:val="24"/>
        </w:rPr>
        <w:t xml:space="preserve"> </w:t>
      </w:r>
      <w:r w:rsidR="0061268E" w:rsidRPr="004A0323">
        <w:rPr>
          <w:rFonts w:asciiTheme="majorBidi" w:hAnsiTheme="majorBidi" w:cstheme="majorBidi"/>
          <w:color w:val="000000" w:themeColor="text1"/>
          <w:szCs w:val="24"/>
        </w:rPr>
        <w:t>t</w:t>
      </w:r>
      <w:r w:rsidR="0050211A" w:rsidRPr="004A0323">
        <w:rPr>
          <w:rFonts w:asciiTheme="majorBidi" w:hAnsiTheme="majorBidi" w:cstheme="majorBidi"/>
          <w:color w:val="000000" w:themeColor="text1"/>
          <w:szCs w:val="24"/>
        </w:rPr>
        <w:t>he former</w:t>
      </w:r>
      <w:r w:rsidR="009518A6" w:rsidRPr="004A0323">
        <w:rPr>
          <w:rFonts w:asciiTheme="majorBidi" w:hAnsiTheme="majorBidi" w:cstheme="majorBidi"/>
          <w:color w:val="000000" w:themeColor="text1"/>
          <w:szCs w:val="24"/>
        </w:rPr>
        <w:t xml:space="preserve"> was deemed to be more </w:t>
      </w:r>
      <w:r w:rsidR="0061268E" w:rsidRPr="004A0323">
        <w:rPr>
          <w:rFonts w:asciiTheme="majorBidi" w:hAnsiTheme="majorBidi" w:cstheme="majorBidi"/>
          <w:color w:val="000000" w:themeColor="text1"/>
          <w:szCs w:val="24"/>
        </w:rPr>
        <w:t>“</w:t>
      </w:r>
      <w:r w:rsidR="009518A6" w:rsidRPr="004A0323">
        <w:rPr>
          <w:rFonts w:asciiTheme="majorBidi" w:hAnsiTheme="majorBidi" w:cstheme="majorBidi"/>
          <w:color w:val="000000" w:themeColor="text1"/>
          <w:szCs w:val="24"/>
        </w:rPr>
        <w:t>political</w:t>
      </w:r>
      <w:r w:rsidR="0061268E" w:rsidRPr="004A0323">
        <w:rPr>
          <w:rFonts w:asciiTheme="majorBidi" w:hAnsiTheme="majorBidi" w:cstheme="majorBidi"/>
          <w:color w:val="000000" w:themeColor="text1"/>
          <w:szCs w:val="24"/>
        </w:rPr>
        <w:t>”</w:t>
      </w:r>
      <w:r w:rsidR="009518A6" w:rsidRPr="004A0323">
        <w:rPr>
          <w:rFonts w:asciiTheme="majorBidi" w:hAnsiTheme="majorBidi" w:cstheme="majorBidi"/>
          <w:color w:val="000000" w:themeColor="text1"/>
          <w:szCs w:val="24"/>
        </w:rPr>
        <w:t xml:space="preserve">. </w:t>
      </w:r>
      <w:r w:rsidR="00E77868" w:rsidRPr="004A0323">
        <w:rPr>
          <w:rFonts w:asciiTheme="majorBidi" w:hAnsiTheme="majorBidi" w:cstheme="majorBidi"/>
          <w:color w:val="000000" w:themeColor="text1"/>
          <w:szCs w:val="24"/>
        </w:rPr>
        <w:t>Furthermore</w:t>
      </w:r>
      <w:r w:rsidRPr="004A0323">
        <w:rPr>
          <w:rFonts w:asciiTheme="majorBidi" w:hAnsiTheme="majorBidi" w:cstheme="majorBidi"/>
          <w:color w:val="000000" w:themeColor="text1"/>
          <w:szCs w:val="24"/>
        </w:rPr>
        <w:t>, the Foundation’s tone regarding the industry’s overall behavior has become more critical. From the language of “major improvements made” (</w:t>
      </w:r>
      <w:r w:rsidR="00E77868" w:rsidRPr="004A0323">
        <w:rPr>
          <w:rFonts w:asciiTheme="majorBidi" w:hAnsiTheme="majorBidi" w:cstheme="majorBidi"/>
          <w:color w:val="000000" w:themeColor="text1"/>
          <w:szCs w:val="24"/>
        </w:rPr>
        <w:t>ATMI 2012</w:t>
      </w:r>
      <w:r w:rsidR="00B4325E" w:rsidRPr="004A0323">
        <w:rPr>
          <w:rFonts w:asciiTheme="majorBidi" w:hAnsiTheme="majorBidi" w:cstheme="majorBidi"/>
          <w:color w:val="000000" w:themeColor="text1"/>
          <w:szCs w:val="24"/>
        </w:rPr>
        <w:t>:</w:t>
      </w:r>
      <w:r w:rsidRPr="004A0323">
        <w:rPr>
          <w:rFonts w:asciiTheme="majorBidi" w:hAnsiTheme="majorBidi" w:cstheme="majorBidi"/>
          <w:color w:val="000000" w:themeColor="text1"/>
          <w:szCs w:val="24"/>
        </w:rPr>
        <w:t xml:space="preserve">16) in the past Indices, the Foundation </w:t>
      </w:r>
      <w:r w:rsidR="0054053F" w:rsidRPr="004A0323">
        <w:rPr>
          <w:rFonts w:asciiTheme="majorBidi" w:hAnsiTheme="majorBidi" w:cstheme="majorBidi"/>
          <w:color w:val="000000" w:themeColor="text1"/>
          <w:szCs w:val="24"/>
        </w:rPr>
        <w:t>can now</w:t>
      </w:r>
      <w:r w:rsidRPr="004A0323">
        <w:rPr>
          <w:rFonts w:asciiTheme="majorBidi" w:hAnsiTheme="majorBidi" w:cstheme="majorBidi"/>
          <w:color w:val="000000" w:themeColor="text1"/>
          <w:szCs w:val="24"/>
        </w:rPr>
        <w:t xml:space="preserve"> frame the situation as “progress is slower than many of us would like” </w:t>
      </w:r>
      <w:r w:rsidR="00996D7D" w:rsidRPr="004A0323">
        <w:rPr>
          <w:rFonts w:asciiTheme="majorBidi" w:hAnsiTheme="majorBidi" w:cstheme="majorBidi"/>
          <w:color w:val="000000" w:themeColor="text1"/>
          <w:szCs w:val="24"/>
        </w:rPr>
        <w:t>(ATMI 2016</w:t>
      </w:r>
      <w:r w:rsidR="00B4325E" w:rsidRPr="004A0323">
        <w:rPr>
          <w:rFonts w:asciiTheme="majorBidi" w:hAnsiTheme="majorBidi" w:cstheme="majorBidi"/>
          <w:color w:val="000000" w:themeColor="text1"/>
          <w:szCs w:val="24"/>
        </w:rPr>
        <w:t>:</w:t>
      </w:r>
      <w:r w:rsidR="00996D7D" w:rsidRPr="004A0323">
        <w:rPr>
          <w:rFonts w:asciiTheme="majorBidi" w:hAnsiTheme="majorBidi" w:cstheme="majorBidi"/>
          <w:color w:val="000000" w:themeColor="text1"/>
          <w:szCs w:val="24"/>
        </w:rPr>
        <w:t xml:space="preserve"> 5)</w:t>
      </w:r>
      <w:r w:rsidRPr="004A0323">
        <w:rPr>
          <w:rFonts w:asciiTheme="majorBidi" w:hAnsiTheme="majorBidi" w:cstheme="majorBidi"/>
          <w:color w:val="000000" w:themeColor="text1"/>
          <w:szCs w:val="24"/>
        </w:rPr>
        <w:t xml:space="preserve">. </w:t>
      </w:r>
    </w:p>
    <w:p w14:paraId="306D7032" w14:textId="5CB176C1" w:rsidR="007827C8" w:rsidRPr="004A0323" w:rsidRDefault="00E77868" w:rsidP="00F07D2A">
      <w:pPr>
        <w:pStyle w:val="Body"/>
        <w:spacing w:after="120"/>
        <w:ind w:firstLine="567"/>
        <w:rPr>
          <w:rFonts w:asciiTheme="majorBidi" w:hAnsiTheme="majorBidi" w:cstheme="majorBidi"/>
          <w:color w:val="000000" w:themeColor="text1"/>
          <w:szCs w:val="24"/>
        </w:rPr>
      </w:pPr>
      <w:r w:rsidRPr="004A0323">
        <w:rPr>
          <w:color w:val="000000" w:themeColor="text1"/>
        </w:rPr>
        <w:lastRenderedPageBreak/>
        <w:t xml:space="preserve">This new confidence vis-a`-vis companies in the tone and methodology express the ability to move more freely from the constraints of input legitimacy which threatened the Foundation’s survival in its early days, especially with respect to </w:t>
      </w:r>
      <w:r w:rsidR="00B223AB" w:rsidRPr="004A0323">
        <w:rPr>
          <w:color w:val="000000" w:themeColor="text1"/>
        </w:rPr>
        <w:t xml:space="preserve">one of </w:t>
      </w:r>
      <w:r w:rsidRPr="004A0323">
        <w:rPr>
          <w:color w:val="000000" w:themeColor="text1"/>
        </w:rPr>
        <w:t>its most importan</w:t>
      </w:r>
      <w:r w:rsidR="00826C53" w:rsidRPr="004A0323">
        <w:rPr>
          <w:color w:val="000000" w:themeColor="text1"/>
        </w:rPr>
        <w:t>t stakeholder</w:t>
      </w:r>
      <w:r w:rsidR="00B223AB" w:rsidRPr="004A0323">
        <w:rPr>
          <w:color w:val="000000" w:themeColor="text1"/>
        </w:rPr>
        <w:t>s</w:t>
      </w:r>
      <w:r w:rsidR="00826C53" w:rsidRPr="004A0323">
        <w:rPr>
          <w:color w:val="000000" w:themeColor="text1"/>
        </w:rPr>
        <w:t>, the</w:t>
      </w:r>
      <w:r w:rsidRPr="004A0323">
        <w:rPr>
          <w:color w:val="000000" w:themeColor="text1"/>
        </w:rPr>
        <w:t xml:space="preserve"> companies</w:t>
      </w:r>
      <w:r w:rsidR="00526F03" w:rsidRPr="004A0323">
        <w:rPr>
          <w:color w:val="000000" w:themeColor="text1"/>
        </w:rPr>
        <w:t>,</w:t>
      </w:r>
      <w:r w:rsidRPr="004A0323">
        <w:rPr>
          <w:color w:val="000000" w:themeColor="text1"/>
        </w:rPr>
        <w:t xml:space="preserve"> </w:t>
      </w:r>
      <w:commentRangeStart w:id="6"/>
      <w:r w:rsidRPr="004A0323">
        <w:rPr>
          <w:color w:val="000000" w:themeColor="text1"/>
        </w:rPr>
        <w:t>who</w:t>
      </w:r>
      <w:r w:rsidR="00B223AB" w:rsidRPr="004A0323">
        <w:rPr>
          <w:color w:val="000000" w:themeColor="text1"/>
        </w:rPr>
        <w:t xml:space="preserve"> are the targets of this regulatory initiative but also enablers as suppliers of company data</w:t>
      </w:r>
      <w:commentRangeEnd w:id="6"/>
      <w:r w:rsidRPr="004A0323">
        <w:rPr>
          <w:color w:val="000000" w:themeColor="text1"/>
        </w:rPr>
        <w:t xml:space="preserve">. </w:t>
      </w:r>
      <w:r w:rsidR="007827C8" w:rsidRPr="004A0323">
        <w:rPr>
          <w:rFonts w:asciiTheme="majorBidi" w:hAnsiTheme="majorBidi" w:cstheme="majorBidi"/>
          <w:color w:val="000000" w:themeColor="text1"/>
          <w:szCs w:val="24"/>
        </w:rPr>
        <w:t>Nonetheless, the Foundation, despite its now quite stable positioning in the field, continues to maintain its stakeholder consultation infrastructure and its focus on good stakeholder relations. Additionally, i</w:t>
      </w:r>
      <w:r w:rsidR="007827C8" w:rsidRPr="004A0323">
        <w:rPr>
          <w:rFonts w:asciiTheme="majorBidi" w:hAnsiTheme="majorBidi" w:cstheme="majorBidi"/>
          <w:color w:val="000000" w:themeColor="text1"/>
          <w:szCs w:val="24"/>
          <w:lang w:bidi="fa-IR"/>
        </w:rPr>
        <w:t>t now organizes for each iteration of the Index, several</w:t>
      </w:r>
      <w:r w:rsidR="007827C8" w:rsidRPr="004A0323">
        <w:rPr>
          <w:rFonts w:asciiTheme="majorBidi" w:hAnsiTheme="majorBidi" w:cstheme="majorBidi"/>
          <w:color w:val="000000" w:themeColor="text1"/>
          <w:szCs w:val="24"/>
        </w:rPr>
        <w:t xml:space="preserve"> meetings separately with the investors, the companies, the WHO and the local NGOs. Such continued focus on input legitimacy can be explained by the fact that, for the Foundation, the effectiveness of the </w:t>
      </w:r>
      <w:r w:rsidR="009E5DA9" w:rsidRPr="004A0323">
        <w:rPr>
          <w:rFonts w:asciiTheme="majorBidi" w:hAnsiTheme="majorBidi" w:cstheme="majorBidi"/>
          <w:color w:val="000000" w:themeColor="text1"/>
          <w:szCs w:val="24"/>
        </w:rPr>
        <w:t>Index</w:t>
      </w:r>
      <w:r w:rsidR="007827C8" w:rsidRPr="004A0323">
        <w:rPr>
          <w:rFonts w:asciiTheme="majorBidi" w:hAnsiTheme="majorBidi" w:cstheme="majorBidi"/>
          <w:color w:val="000000" w:themeColor="text1"/>
          <w:szCs w:val="24"/>
        </w:rPr>
        <w:t xml:space="preserve"> and the compliance of companies depend on whether powerful stakeholders use it in their decision-making, so that pressure will be exercised on the targets. An inclusive stakeholder consultation process and good relations with stakeholders are important preconditions for their continued use of the Index in the governance space and thus fundamental preconditions for output legitimacy, </w:t>
      </w:r>
      <w:r w:rsidR="009E5DA9" w:rsidRPr="004A0323">
        <w:rPr>
          <w:rFonts w:asciiTheme="majorBidi" w:hAnsiTheme="majorBidi" w:cstheme="majorBidi"/>
          <w:color w:val="000000" w:themeColor="text1"/>
          <w:szCs w:val="24"/>
        </w:rPr>
        <w:t>to which we now turn</w:t>
      </w:r>
      <w:r w:rsidR="007827C8" w:rsidRPr="004A0323">
        <w:rPr>
          <w:rFonts w:asciiTheme="majorBidi" w:hAnsiTheme="majorBidi" w:cstheme="majorBidi"/>
          <w:color w:val="000000" w:themeColor="text1"/>
          <w:szCs w:val="24"/>
        </w:rPr>
        <w:t>.</w:t>
      </w:r>
    </w:p>
    <w:p w14:paraId="224CEBB4" w14:textId="05C36360" w:rsidR="00EF7346" w:rsidRPr="004A0323" w:rsidRDefault="00EF7346" w:rsidP="00513F10">
      <w:pPr>
        <w:pStyle w:val="Body"/>
        <w:ind w:firstLine="567"/>
        <w:rPr>
          <w:rFonts w:asciiTheme="majorBidi" w:hAnsiTheme="majorBidi" w:cstheme="majorBidi"/>
          <w:i/>
          <w:color w:val="000000" w:themeColor="text1"/>
          <w:szCs w:val="24"/>
        </w:rPr>
      </w:pPr>
      <w:r w:rsidRPr="004A0323">
        <w:rPr>
          <w:rFonts w:asciiTheme="majorBidi" w:hAnsiTheme="majorBidi" w:cstheme="majorBidi"/>
          <w:i/>
          <w:color w:val="000000" w:themeColor="text1"/>
          <w:szCs w:val="24"/>
        </w:rPr>
        <w:t>5.2 Output legitimacy</w:t>
      </w:r>
    </w:p>
    <w:p w14:paraId="4D145291" w14:textId="362FBE2A" w:rsidR="00C53B33" w:rsidRPr="004A0323" w:rsidRDefault="00C53B33" w:rsidP="00513F10">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Given the diverse and polarized stakeholder base for the Index, notions such as “output” or “effect” mean different things to different stakeholders. While in its communications with funders, NGOs, international organizations and Southern governments the Foundation emphasizes social impact, in its dealing with investors the Foundation </w:t>
      </w:r>
      <w:r w:rsidR="00614136" w:rsidRPr="004A0323">
        <w:rPr>
          <w:rFonts w:asciiTheme="majorBidi" w:hAnsiTheme="majorBidi" w:cstheme="majorBidi"/>
          <w:color w:val="000000" w:themeColor="text1"/>
          <w:szCs w:val="24"/>
        </w:rPr>
        <w:t xml:space="preserve">primarily </w:t>
      </w:r>
      <w:r w:rsidRPr="004A0323">
        <w:rPr>
          <w:rFonts w:asciiTheme="majorBidi" w:hAnsiTheme="majorBidi" w:cstheme="majorBidi"/>
          <w:color w:val="000000" w:themeColor="text1"/>
          <w:szCs w:val="24"/>
        </w:rPr>
        <w:t xml:space="preserve">emphasizes the business case for access to medicine. </w:t>
      </w:r>
      <w:r w:rsidR="001F6AEB" w:rsidRPr="004A0323">
        <w:rPr>
          <w:rFonts w:asciiTheme="majorBidi" w:hAnsiTheme="majorBidi" w:cstheme="majorBidi"/>
          <w:color w:val="000000" w:themeColor="text1"/>
          <w:szCs w:val="24"/>
        </w:rPr>
        <w:t xml:space="preserve">The Foundation tends to present the business case for improving a company’s position in the ranking by suggesting that </w:t>
      </w:r>
      <w:r w:rsidR="009E5DA9" w:rsidRPr="004A0323">
        <w:rPr>
          <w:rFonts w:asciiTheme="majorBidi" w:hAnsiTheme="majorBidi" w:cstheme="majorBidi"/>
          <w:color w:val="000000" w:themeColor="text1"/>
          <w:szCs w:val="24"/>
        </w:rPr>
        <w:t>such positioning can be seen as</w:t>
      </w:r>
      <w:r w:rsidR="001F6AEB" w:rsidRPr="004A0323">
        <w:rPr>
          <w:rFonts w:asciiTheme="majorBidi" w:hAnsiTheme="majorBidi" w:cstheme="majorBidi"/>
          <w:color w:val="000000" w:themeColor="text1"/>
          <w:szCs w:val="24"/>
        </w:rPr>
        <w:t xml:space="preserve"> a proxy for business success in emerging markets. </w:t>
      </w:r>
      <w:r w:rsidR="007244A8" w:rsidRPr="004A0323">
        <w:rPr>
          <w:rFonts w:asciiTheme="majorBidi" w:hAnsiTheme="majorBidi" w:cstheme="majorBidi"/>
          <w:color w:val="000000" w:themeColor="text1"/>
          <w:szCs w:val="24"/>
        </w:rPr>
        <w:t>This is while i</w:t>
      </w:r>
      <w:r w:rsidR="001F6AEB" w:rsidRPr="004A0323">
        <w:rPr>
          <w:rFonts w:asciiTheme="majorBidi" w:hAnsiTheme="majorBidi" w:cstheme="majorBidi"/>
          <w:color w:val="000000" w:themeColor="text1"/>
          <w:szCs w:val="24"/>
        </w:rPr>
        <w:t>t normatively describes the provision of affordable, accessible and high quality medicines as part of the “</w:t>
      </w:r>
      <w:r w:rsidR="0077031F" w:rsidRPr="004A0323">
        <w:rPr>
          <w:rFonts w:asciiTheme="majorBidi" w:hAnsiTheme="majorBidi" w:cstheme="majorBidi"/>
          <w:color w:val="000000" w:themeColor="text1"/>
          <w:szCs w:val="24"/>
        </w:rPr>
        <w:t>social contract</w:t>
      </w:r>
      <w:r w:rsidR="001F6AEB" w:rsidRPr="004A0323">
        <w:rPr>
          <w:rFonts w:asciiTheme="majorBidi" w:hAnsiTheme="majorBidi" w:cstheme="majorBidi"/>
          <w:color w:val="000000" w:themeColor="text1"/>
          <w:szCs w:val="24"/>
        </w:rPr>
        <w:t xml:space="preserve">” of pharmaceutical companies (see for example </w:t>
      </w:r>
      <w:r w:rsidR="007244A8" w:rsidRPr="004A0323">
        <w:rPr>
          <w:rFonts w:asciiTheme="majorBidi" w:hAnsiTheme="majorBidi" w:cstheme="majorBidi"/>
          <w:color w:val="000000" w:themeColor="text1"/>
          <w:szCs w:val="24"/>
        </w:rPr>
        <w:t>the introductory letter to Index 2016</w:t>
      </w:r>
      <w:r w:rsidR="00567556" w:rsidRPr="004A0323">
        <w:rPr>
          <w:rFonts w:asciiTheme="majorBidi" w:hAnsiTheme="majorBidi" w:cstheme="majorBidi"/>
          <w:color w:val="000000" w:themeColor="text1"/>
          <w:szCs w:val="24"/>
        </w:rPr>
        <w:t xml:space="preserve">: </w:t>
      </w:r>
      <w:r w:rsidR="00D858F4" w:rsidRPr="004A0323">
        <w:rPr>
          <w:rFonts w:asciiTheme="majorBidi" w:hAnsiTheme="majorBidi" w:cstheme="majorBidi"/>
          <w:color w:val="000000" w:themeColor="text1"/>
          <w:szCs w:val="24"/>
        </w:rPr>
        <w:t>5</w:t>
      </w:r>
      <w:r w:rsidR="001F6AEB" w:rsidRPr="004A0323">
        <w:rPr>
          <w:rFonts w:asciiTheme="majorBidi" w:hAnsiTheme="majorBidi" w:cstheme="majorBidi"/>
          <w:color w:val="000000" w:themeColor="text1"/>
          <w:szCs w:val="24"/>
        </w:rPr>
        <w:t xml:space="preserve">). </w:t>
      </w:r>
      <w:r w:rsidRPr="004A0323">
        <w:rPr>
          <w:rFonts w:asciiTheme="majorBidi" w:hAnsiTheme="majorBidi" w:cstheme="majorBidi"/>
          <w:color w:val="000000" w:themeColor="text1"/>
          <w:szCs w:val="24"/>
        </w:rPr>
        <w:t xml:space="preserve">Claims </w:t>
      </w:r>
      <w:r w:rsidRPr="004A0323">
        <w:rPr>
          <w:rFonts w:asciiTheme="majorBidi" w:hAnsiTheme="majorBidi" w:cstheme="majorBidi"/>
          <w:color w:val="000000" w:themeColor="text1"/>
          <w:szCs w:val="24"/>
        </w:rPr>
        <w:lastRenderedPageBreak/>
        <w:t>of effectiveness have to reconcile different “substantive values” in the stakeholder base (Mayntz 2010)</w:t>
      </w:r>
      <w:r w:rsidR="001F6AEB" w:rsidRPr="004A0323">
        <w:rPr>
          <w:rFonts w:asciiTheme="majorBidi" w:hAnsiTheme="majorBidi" w:cstheme="majorBidi"/>
          <w:color w:val="000000" w:themeColor="text1"/>
          <w:szCs w:val="24"/>
        </w:rPr>
        <w:t xml:space="preserve">, </w:t>
      </w:r>
      <w:r w:rsidR="009E5DA9" w:rsidRPr="004A0323">
        <w:rPr>
          <w:rFonts w:asciiTheme="majorBidi" w:hAnsiTheme="majorBidi" w:cstheme="majorBidi"/>
          <w:color w:val="000000" w:themeColor="text1"/>
          <w:szCs w:val="24"/>
        </w:rPr>
        <w:t>pointing to</w:t>
      </w:r>
      <w:r w:rsidRPr="004A0323">
        <w:rPr>
          <w:rFonts w:asciiTheme="majorBidi" w:hAnsiTheme="majorBidi" w:cstheme="majorBidi"/>
          <w:color w:val="000000" w:themeColor="text1"/>
          <w:szCs w:val="24"/>
        </w:rPr>
        <w:t xml:space="preserve"> the mutual entanglement of input and output legitimacy.</w:t>
      </w:r>
    </w:p>
    <w:p w14:paraId="1FB058F9" w14:textId="39B1B4DD" w:rsidR="00C53B33" w:rsidRPr="004A0323" w:rsidRDefault="00C53B33" w:rsidP="00513F10">
      <w:pPr>
        <w:spacing w:line="480" w:lineRule="auto"/>
        <w:ind w:firstLine="567"/>
        <w:jc w:val="both"/>
        <w:rPr>
          <w:rFonts w:eastAsia="Times New Roman"/>
          <w:lang w:val="en-US"/>
        </w:rPr>
      </w:pPr>
      <w:r w:rsidRPr="004A0323">
        <w:rPr>
          <w:rFonts w:eastAsia="Times New Roman"/>
          <w:lang w:val="en-US"/>
        </w:rPr>
        <w:t>In the early days of the Foundation, there was little pressure for proof of impact. The main funders at the time were small NGOs (such as HiVOS, CordAID and Oxfam Novib) and their main emphasis was on matters related to input legitimacy such as inclusion and participation of stakeholders</w:t>
      </w:r>
      <w:r w:rsidR="00526F03" w:rsidRPr="004A0323">
        <w:rPr>
          <w:rFonts w:eastAsia="Times New Roman"/>
          <w:lang w:val="en-US"/>
        </w:rPr>
        <w:t xml:space="preserve"> (Interview, chief executive of HiVOS, 2014)</w:t>
      </w:r>
      <w:r w:rsidRPr="004A0323">
        <w:rPr>
          <w:rFonts w:eastAsia="Times New Roman"/>
          <w:lang w:val="en-US"/>
        </w:rPr>
        <w:t xml:space="preserve">. Since 2009, with the arrival of the Bill &amp; Melinda Gates Foundation followed by the UK DFID and the Dutch government, there has been an increased emphasis on providing proof of social impact. </w:t>
      </w:r>
    </w:p>
    <w:p w14:paraId="4B520932" w14:textId="1F25A621" w:rsidR="00C53B33" w:rsidRPr="004A0323" w:rsidRDefault="00C53B33" w:rsidP="00513F10">
      <w:pPr>
        <w:spacing w:line="480" w:lineRule="auto"/>
        <w:ind w:firstLine="567"/>
        <w:jc w:val="both"/>
        <w:rPr>
          <w:lang w:val="en-US"/>
        </w:rPr>
      </w:pPr>
      <w:r w:rsidRPr="004A0323">
        <w:rPr>
          <w:lang w:val="en-US"/>
        </w:rPr>
        <w:t xml:space="preserve">Similarly to other intermediaries (Kalfagianni &amp; Pattberg 2014), the Foundation has encountered difficulties in linking its activities, arguably positioned at the “global level”, to improvements in the local realities of healthcare. Access to medicine in the </w:t>
      </w:r>
      <w:r w:rsidR="00B223AB" w:rsidRPr="004A0323">
        <w:rPr>
          <w:lang w:val="en-US"/>
        </w:rPr>
        <w:t>107</w:t>
      </w:r>
      <w:commentRangeStart w:id="7"/>
      <w:r w:rsidRPr="004A0323">
        <w:rPr>
          <w:lang w:val="en-US"/>
        </w:rPr>
        <w:t xml:space="preserve"> countries </w:t>
      </w:r>
      <w:commentRangeEnd w:id="7"/>
      <w:r w:rsidR="00377B32" w:rsidRPr="004A0323">
        <w:rPr>
          <w:rStyle w:val="CommentReference"/>
        </w:rPr>
        <w:commentReference w:id="7"/>
      </w:r>
      <w:r w:rsidR="00B223AB" w:rsidRPr="004A0323">
        <w:rPr>
          <w:lang w:val="en-US"/>
        </w:rPr>
        <w:t xml:space="preserve">currently </w:t>
      </w:r>
      <w:r w:rsidRPr="004A0323">
        <w:rPr>
          <w:lang w:val="en-US"/>
        </w:rPr>
        <w:t xml:space="preserve">covered by the Index is affected by numerous factors – such as the local socioeconomic and regulatory situation or the provision of primary healthcare – over which the companies can exert little influence. Such contingencies mean that the industry, even when incentivised by the Index, can only play a partial role in improving “access to medicine”. Nonetheless, </w:t>
      </w:r>
      <w:r w:rsidR="009E5DA9" w:rsidRPr="004A0323">
        <w:rPr>
          <w:lang w:val="en-US"/>
        </w:rPr>
        <w:t xml:space="preserve">constituencies </w:t>
      </w:r>
      <w:r w:rsidRPr="004A0323">
        <w:rPr>
          <w:lang w:val="en-US"/>
        </w:rPr>
        <w:t xml:space="preserve">eager to </w:t>
      </w:r>
      <w:r w:rsidR="009E5DA9" w:rsidRPr="004A0323">
        <w:rPr>
          <w:lang w:val="en-US"/>
        </w:rPr>
        <w:t xml:space="preserve">monitor </w:t>
      </w:r>
      <w:r w:rsidRPr="004A0323">
        <w:rPr>
          <w:lang w:val="en-US"/>
        </w:rPr>
        <w:t>the effectiveness of the Index welcome evidence of indicative changes in the pharmaceutical companies. For example, in its 2013 annual review of the Foundation</w:t>
      </w:r>
      <w:r w:rsidR="00ED6804" w:rsidRPr="004A0323">
        <w:rPr>
          <w:lang w:val="en-US"/>
        </w:rPr>
        <w:t xml:space="preserve"> (based on the Logical Frame</w:t>
      </w:r>
      <w:r w:rsidR="002D3821" w:rsidRPr="004A0323">
        <w:rPr>
          <w:lang w:val="en-US"/>
        </w:rPr>
        <w:t>work)</w:t>
      </w:r>
      <w:r w:rsidRPr="004A0323">
        <w:rPr>
          <w:lang w:val="en-US"/>
        </w:rPr>
        <w:t>, DFID proposes that</w:t>
      </w:r>
      <w:r w:rsidR="00C767F2" w:rsidRPr="004A0323">
        <w:rPr>
          <w:lang w:val="en-US"/>
        </w:rPr>
        <w:t xml:space="preserve"> (DFID 2013)</w:t>
      </w:r>
      <w:r w:rsidRPr="004A0323">
        <w:rPr>
          <w:lang w:val="en-US"/>
        </w:rPr>
        <w:t>:</w:t>
      </w:r>
    </w:p>
    <w:p w14:paraId="25379A9B" w14:textId="77777777" w:rsidR="00C53B33" w:rsidRPr="004A0323" w:rsidRDefault="00C53B33" w:rsidP="00513F10">
      <w:pPr>
        <w:ind w:left="567" w:right="598"/>
        <w:jc w:val="both"/>
        <w:rPr>
          <w:lang w:val="en-US"/>
        </w:rPr>
      </w:pPr>
      <w:r w:rsidRPr="004A0323">
        <w:rPr>
          <w:lang w:val="en-US"/>
        </w:rPr>
        <w:t>impact evaluation was not feasible and … a more upstream approach to showing the impacts of the Index needs to be taken … Positive behaviour change among companies is to be demonstrated through an independent evaluation, to be completed in 2015.</w:t>
      </w:r>
    </w:p>
    <w:p w14:paraId="6133052C" w14:textId="77777777" w:rsidR="00C53B33" w:rsidRPr="004A0323" w:rsidRDefault="00C53B33" w:rsidP="00513F10">
      <w:pPr>
        <w:ind w:left="567" w:right="598"/>
        <w:jc w:val="both"/>
        <w:rPr>
          <w:lang w:val="en-US"/>
        </w:rPr>
      </w:pPr>
    </w:p>
    <w:p w14:paraId="7D5A5328" w14:textId="7CA937F7" w:rsidR="00C53B33" w:rsidRPr="004A0323" w:rsidRDefault="00C53B33" w:rsidP="00513F10">
      <w:pPr>
        <w:spacing w:line="480" w:lineRule="auto"/>
        <w:ind w:firstLine="567"/>
        <w:jc w:val="both"/>
        <w:rPr>
          <w:lang w:val="en-US"/>
        </w:rPr>
      </w:pPr>
      <w:r w:rsidRPr="004A0323">
        <w:rPr>
          <w:lang w:val="en-US"/>
        </w:rPr>
        <w:t>This funder’s demand for an “upstream approach” is basically about giving up on evaluating effectiveness “downstream” on the target populations, resorting instead to finding “upstream” proxies for effectiveness. Along these lines the Foundation has sought to substantiate its effectiveness by engaging a consulting firm</w:t>
      </w:r>
      <w:r w:rsidR="001B4537" w:rsidRPr="004A0323">
        <w:rPr>
          <w:lang w:val="en-US"/>
        </w:rPr>
        <w:t>,</w:t>
      </w:r>
      <w:r w:rsidRPr="004A0323">
        <w:rPr>
          <w:lang w:val="en-US"/>
        </w:rPr>
        <w:t xml:space="preserve"> </w:t>
      </w:r>
      <w:r w:rsidR="001B4537" w:rsidRPr="004A0323">
        <w:rPr>
          <w:lang w:val="en-US"/>
        </w:rPr>
        <w:t xml:space="preserve">Foundation Strategy Group </w:t>
      </w:r>
      <w:r w:rsidRPr="004A0323">
        <w:rPr>
          <w:lang w:val="en-US"/>
        </w:rPr>
        <w:t>(FSG)</w:t>
      </w:r>
      <w:r w:rsidR="001B4537" w:rsidRPr="004A0323">
        <w:rPr>
          <w:lang w:val="en-US"/>
        </w:rPr>
        <w:t>,</w:t>
      </w:r>
      <w:r w:rsidRPr="004A0323">
        <w:rPr>
          <w:lang w:val="en-US"/>
        </w:rPr>
        <w:t xml:space="preserve"> </w:t>
      </w:r>
      <w:r w:rsidRPr="004A0323">
        <w:rPr>
          <w:lang w:val="en-US"/>
        </w:rPr>
        <w:lastRenderedPageBreak/>
        <w:t>to study stakeholder perspectives on the use and impact of the Index</w:t>
      </w:r>
      <w:r w:rsidRPr="004A0323">
        <w:rPr>
          <w:rStyle w:val="FootnoteReference"/>
          <w:lang w:val="en-US"/>
        </w:rPr>
        <w:footnoteReference w:id="4"/>
      </w:r>
      <w:r w:rsidR="009E5DA9" w:rsidRPr="004A0323">
        <w:rPr>
          <w:lang w:val="en-US"/>
        </w:rPr>
        <w:t>.</w:t>
      </w:r>
      <w:r w:rsidRPr="004A0323">
        <w:rPr>
          <w:lang w:val="en-US"/>
        </w:rPr>
        <w:t xml:space="preserve"> Responding to a survey of multi-stakeholder rankings</w:t>
      </w:r>
      <w:r w:rsidR="001B4537" w:rsidRPr="004A0323">
        <w:rPr>
          <w:lang w:val="en-US"/>
        </w:rPr>
        <w:t xml:space="preserve"> titled “Rate the Raters”</w:t>
      </w:r>
      <w:r w:rsidRPr="004A0323">
        <w:rPr>
          <w:lang w:val="en-US"/>
        </w:rPr>
        <w:t>, the Foundation cites the FSG report where it states that the Index</w:t>
      </w:r>
      <w:r w:rsidR="001B4537" w:rsidRPr="004A0323">
        <w:rPr>
          <w:lang w:val="en-US"/>
        </w:rPr>
        <w:t xml:space="preserve"> </w:t>
      </w:r>
      <w:r w:rsidR="00051205" w:rsidRPr="004A0323">
        <w:rPr>
          <w:lang w:val="en-US"/>
        </w:rPr>
        <w:t>(SustainAbility, 2014, p. 2)</w:t>
      </w:r>
      <w:r w:rsidRPr="004A0323">
        <w:rPr>
          <w:lang w:val="en-US"/>
        </w:rPr>
        <w:t>:</w:t>
      </w:r>
    </w:p>
    <w:p w14:paraId="0D350E22" w14:textId="77777777" w:rsidR="00C53B33" w:rsidRPr="004A0323" w:rsidRDefault="00C53B33" w:rsidP="00513F10">
      <w:pPr>
        <w:ind w:left="567" w:right="598"/>
        <w:jc w:val="both"/>
        <w:rPr>
          <w:lang w:val="en-US"/>
        </w:rPr>
      </w:pPr>
      <w:r w:rsidRPr="004A0323">
        <w:rPr>
          <w:lang w:val="en-US"/>
        </w:rPr>
        <w:t>provides useful guidance for some Corporate Social Responsibility (CSR) departments as they seek to advance the access agenda internally, and it has influenced reporting – both in terms of the new level of transparency embodied by the Index, and in companies’ proactive communication of a broader range of access issues.</w:t>
      </w:r>
    </w:p>
    <w:p w14:paraId="476BF7B5" w14:textId="77777777" w:rsidR="00C53B33" w:rsidRPr="004A0323" w:rsidRDefault="00C53B33" w:rsidP="00513F10">
      <w:pPr>
        <w:ind w:left="567" w:right="598"/>
        <w:jc w:val="both"/>
        <w:rPr>
          <w:lang w:val="en-US"/>
        </w:rPr>
      </w:pPr>
    </w:p>
    <w:p w14:paraId="78BF2866" w14:textId="0262F591" w:rsidR="00C53B33" w:rsidRPr="004A0323" w:rsidRDefault="00C53B33" w:rsidP="00F07D2A">
      <w:pPr>
        <w:spacing w:line="480" w:lineRule="auto"/>
        <w:jc w:val="both"/>
        <w:rPr>
          <w:lang w:val="en-US"/>
        </w:rPr>
      </w:pPr>
      <w:r w:rsidRPr="004A0323">
        <w:rPr>
          <w:lang w:val="en-US"/>
        </w:rPr>
        <w:t>Similarly, the Foundation actively communicates anecdotes linking the Index with company behavior. For example, in a Tweet in 2015, the Foundation highlights that:</w:t>
      </w:r>
    </w:p>
    <w:p w14:paraId="587DBFF3" w14:textId="77777777" w:rsidR="00C53B33" w:rsidRPr="004A0323" w:rsidRDefault="00C53B33" w:rsidP="00513F10">
      <w:pPr>
        <w:ind w:left="567" w:right="598"/>
        <w:jc w:val="both"/>
        <w:rPr>
          <w:lang w:val="en-US"/>
        </w:rPr>
      </w:pPr>
      <w:r w:rsidRPr="004A0323">
        <w:rPr>
          <w:lang w:val="en-US"/>
        </w:rPr>
        <w:t xml:space="preserve">In line with </w:t>
      </w:r>
      <w:hyperlink r:id="rId10" w:history="1">
        <w:r w:rsidRPr="004A0323">
          <w:rPr>
            <w:rStyle w:val="Hyperlink"/>
            <w:strike/>
            <w:lang w:val="en-US"/>
          </w:rPr>
          <w:t>#</w:t>
        </w:r>
        <w:r w:rsidRPr="004A0323">
          <w:rPr>
            <w:rStyle w:val="Hyperlink"/>
            <w:bCs/>
            <w:lang w:val="en-US"/>
          </w:rPr>
          <w:t>2014AtMIndex</w:t>
        </w:r>
      </w:hyperlink>
      <w:r w:rsidRPr="004A0323">
        <w:rPr>
          <w:lang w:val="en-US"/>
        </w:rPr>
        <w:t xml:space="preserve"> recommendation, </w:t>
      </w:r>
      <w:hyperlink r:id="rId11" w:history="1">
        <w:r w:rsidRPr="004A0323">
          <w:rPr>
            <w:rStyle w:val="Hyperlink"/>
            <w:strike/>
            <w:lang w:val="en-US"/>
          </w:rPr>
          <w:t>#</w:t>
        </w:r>
        <w:r w:rsidRPr="004A0323">
          <w:rPr>
            <w:rStyle w:val="Hyperlink"/>
            <w:bCs/>
            <w:lang w:val="en-US"/>
          </w:rPr>
          <w:t>JNJ</w:t>
        </w:r>
      </w:hyperlink>
      <w:r w:rsidRPr="004A0323">
        <w:rPr>
          <w:lang w:val="en-US"/>
        </w:rPr>
        <w:t xml:space="preserve"> w. PHTI expands non-enforce commitment 4 darunavir </w:t>
      </w:r>
      <w:hyperlink r:id="rId12" w:history="1">
        <w:r w:rsidRPr="004A0323">
          <w:rPr>
            <w:rStyle w:val="Hyperlink"/>
            <w:strike/>
            <w:lang w:val="en-US"/>
          </w:rPr>
          <w:t>#</w:t>
        </w:r>
        <w:r w:rsidRPr="004A0323">
          <w:rPr>
            <w:rStyle w:val="Hyperlink"/>
            <w:bCs/>
            <w:lang w:val="en-US"/>
          </w:rPr>
          <w:t>patents</w:t>
        </w:r>
      </w:hyperlink>
      <w:r w:rsidRPr="004A0323">
        <w:rPr>
          <w:lang w:val="en-US"/>
        </w:rPr>
        <w:t xml:space="preserve"> </w:t>
      </w:r>
      <w:hyperlink r:id="rId13" w:tgtFrame="_blank" w:tooltip="http://ow.ly/MTkGB" w:history="1">
        <w:r w:rsidRPr="004A0323">
          <w:rPr>
            <w:rStyle w:val="invisible"/>
            <w:u w:val="single"/>
            <w:lang w:val="en-US"/>
          </w:rPr>
          <w:t>http://</w:t>
        </w:r>
        <w:r w:rsidRPr="004A0323">
          <w:rPr>
            <w:rStyle w:val="js-display-url"/>
            <w:u w:val="single"/>
            <w:lang w:val="en-US"/>
          </w:rPr>
          <w:t>ow.ly/MTkGB</w:t>
        </w:r>
        <w:r w:rsidRPr="004A0323">
          <w:rPr>
            <w:rStyle w:val="invisible"/>
            <w:u w:val="single"/>
            <w:lang w:val="en-US"/>
          </w:rPr>
          <w:t> </w:t>
        </w:r>
      </w:hyperlink>
    </w:p>
    <w:p w14:paraId="6B39A085" w14:textId="77777777" w:rsidR="00C53B33" w:rsidRPr="004A0323" w:rsidRDefault="00C53B33" w:rsidP="00513F10">
      <w:pPr>
        <w:rPr>
          <w:lang w:val="en-US"/>
        </w:rPr>
      </w:pPr>
    </w:p>
    <w:p w14:paraId="2CDEB357" w14:textId="67119572" w:rsidR="00C53B33" w:rsidRPr="004A0323" w:rsidRDefault="00C53B33" w:rsidP="00513F10">
      <w:pPr>
        <w:pStyle w:val="Body"/>
        <w:ind w:firstLine="567"/>
        <w:rPr>
          <w:rFonts w:asciiTheme="majorBidi" w:hAnsiTheme="majorBidi" w:cstheme="majorBidi"/>
          <w:color w:val="000000" w:themeColor="text1"/>
          <w:szCs w:val="24"/>
        </w:rPr>
      </w:pPr>
      <w:r w:rsidRPr="004A0323">
        <w:rPr>
          <w:color w:val="000000" w:themeColor="text1"/>
        </w:rPr>
        <w:t xml:space="preserve">As to providing proof of the business case and financial impact of access to medicine targeted for investors, the Foundation collects evidence that large reputed investors make use of the information provided by the Index, such as analyst reports. Furthermore, the Foundation has </w:t>
      </w:r>
      <w:r w:rsidR="00F80CA0" w:rsidRPr="004A0323">
        <w:rPr>
          <w:color w:val="000000" w:themeColor="text1"/>
        </w:rPr>
        <w:t>compiled</w:t>
      </w:r>
      <w:r w:rsidRPr="004A0323">
        <w:rPr>
          <w:color w:val="000000" w:themeColor="text1"/>
        </w:rPr>
        <w:t xml:space="preserve"> a letter signed by a large number of investors stating their belief in the financial materiality of access to medicine and </w:t>
      </w:r>
      <w:r w:rsidR="00296406" w:rsidRPr="004A0323">
        <w:rPr>
          <w:color w:val="000000" w:themeColor="text1"/>
        </w:rPr>
        <w:t>committing</w:t>
      </w:r>
      <w:r w:rsidRPr="004A0323">
        <w:rPr>
          <w:color w:val="000000" w:themeColor="text1"/>
        </w:rPr>
        <w:t xml:space="preserve"> to push for the Index’s agenda (ATMF 2016). </w:t>
      </w:r>
    </w:p>
    <w:p w14:paraId="058543BF" w14:textId="1D20AB5C" w:rsidR="00C53B33" w:rsidRPr="004A0323" w:rsidRDefault="00C53B33" w:rsidP="00513F10">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These attempts to project at the same time social and financial impact have significant implications for the work of analysts. Company profiles published in the final Index report </w:t>
      </w:r>
      <w:r w:rsidR="00526F03" w:rsidRPr="004A0323">
        <w:rPr>
          <w:rFonts w:asciiTheme="majorBidi" w:hAnsiTheme="majorBidi" w:cstheme="majorBidi"/>
          <w:color w:val="000000" w:themeColor="text1"/>
          <w:szCs w:val="24"/>
        </w:rPr>
        <w:t xml:space="preserve">frequently </w:t>
      </w:r>
      <w:r w:rsidRPr="004A0323">
        <w:rPr>
          <w:rFonts w:asciiTheme="majorBidi" w:hAnsiTheme="majorBidi" w:cstheme="majorBidi"/>
          <w:color w:val="000000" w:themeColor="text1"/>
          <w:szCs w:val="24"/>
        </w:rPr>
        <w:t>emphasize both the social and the commercial implications of the companies’ access to medicine related policies and practices.  For instance, in an analyst training document for Index 2010, an example is provided for how the analysts should frame the implications of litigation cases:</w:t>
      </w:r>
    </w:p>
    <w:p w14:paraId="6484AF55" w14:textId="77777777" w:rsidR="00C53B33" w:rsidRPr="004A0323" w:rsidRDefault="00C53B33" w:rsidP="00513F10">
      <w:pPr>
        <w:pStyle w:val="Citations"/>
        <w:ind w:right="598"/>
        <w:rPr>
          <w:rFonts w:asciiTheme="majorBidi" w:eastAsia="Times New Roman" w:hAnsiTheme="majorBidi" w:cstheme="majorBidi"/>
          <w:color w:val="000000" w:themeColor="text1"/>
          <w:bdr w:val="none" w:sz="0" w:space="0" w:color="auto"/>
        </w:rPr>
      </w:pPr>
      <w:r w:rsidRPr="004A0323">
        <w:rPr>
          <w:rFonts w:asciiTheme="majorBidi" w:eastAsia="Times New Roman" w:hAnsiTheme="majorBidi" w:cstheme="majorBidi"/>
          <w:color w:val="000000" w:themeColor="text1"/>
          <w:bdr w:val="none" w:sz="0" w:space="0" w:color="auto"/>
        </w:rPr>
        <w:t>Such cases, if proven, can bring into question the effectiveness of the company’s reactions to the health hazards of its medications in the emerging markets. Such a weakness not only puts the target populations at risk but also can put at risk the company’s image and stakeholder relationships in the target communities.</w:t>
      </w:r>
    </w:p>
    <w:p w14:paraId="51472B84" w14:textId="77777777" w:rsidR="00C53B33" w:rsidRPr="004A0323" w:rsidRDefault="00C53B33" w:rsidP="00513F10">
      <w:pPr>
        <w:pStyle w:val="Citations"/>
        <w:ind w:right="598"/>
        <w:rPr>
          <w:rFonts w:asciiTheme="majorBidi" w:eastAsia="Times New Roman" w:hAnsiTheme="majorBidi" w:cstheme="majorBidi"/>
          <w:color w:val="000000" w:themeColor="text1"/>
        </w:rPr>
      </w:pPr>
    </w:p>
    <w:p w14:paraId="325D466A" w14:textId="1727BC79" w:rsidR="00C53B33" w:rsidRPr="004A0323" w:rsidRDefault="00C53B33" w:rsidP="00F07D2A">
      <w:pPr>
        <w:pStyle w:val="Body"/>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Here, ineffectiveness in addressing health hazards is questioned in relation to both its detrimental effects on the target populations </w:t>
      </w:r>
      <w:r w:rsidR="008D7C8F" w:rsidRPr="004A0323">
        <w:rPr>
          <w:rFonts w:asciiTheme="majorBidi" w:hAnsiTheme="majorBidi" w:cstheme="majorBidi"/>
          <w:color w:val="000000" w:themeColor="text1"/>
          <w:szCs w:val="24"/>
        </w:rPr>
        <w:t xml:space="preserve">(social case) </w:t>
      </w:r>
      <w:r w:rsidRPr="004A0323">
        <w:rPr>
          <w:rFonts w:asciiTheme="majorBidi" w:hAnsiTheme="majorBidi" w:cstheme="majorBidi"/>
          <w:color w:val="000000" w:themeColor="text1"/>
          <w:szCs w:val="24"/>
        </w:rPr>
        <w:t>and also its implications for the company’s image and relationships with stakeholders</w:t>
      </w:r>
      <w:r w:rsidR="008D7C8F" w:rsidRPr="004A0323">
        <w:rPr>
          <w:rFonts w:asciiTheme="majorBidi" w:hAnsiTheme="majorBidi" w:cstheme="majorBidi"/>
          <w:color w:val="000000" w:themeColor="text1"/>
          <w:szCs w:val="24"/>
        </w:rPr>
        <w:t xml:space="preserve"> (business case)</w:t>
      </w:r>
      <w:r w:rsidRPr="004A0323">
        <w:rPr>
          <w:rFonts w:asciiTheme="majorBidi" w:hAnsiTheme="majorBidi" w:cstheme="majorBidi"/>
          <w:color w:val="000000" w:themeColor="text1"/>
          <w:szCs w:val="24"/>
        </w:rPr>
        <w:t xml:space="preserve">. </w:t>
      </w:r>
    </w:p>
    <w:p w14:paraId="13D027CE" w14:textId="3F81F7DA" w:rsidR="008D7C8F" w:rsidRPr="004A0323" w:rsidRDefault="00C53B33" w:rsidP="008D7C8F">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However, developing indicators which promote the business case alongside the social one is not always possible. In the Index methodology, there are various indicators that place societal claims on companies. Some of these indicators can also be justified with a business case argument. One example are indicators related to research collaborations addressing emerging markets’ needs, where the latter have positive implications both for access to medicine (e.g. addressing neglected diseases) </w:t>
      </w:r>
      <w:r w:rsidR="008D7C8F" w:rsidRPr="004A0323">
        <w:rPr>
          <w:rFonts w:asciiTheme="majorBidi" w:hAnsiTheme="majorBidi" w:cstheme="majorBidi"/>
          <w:color w:val="000000" w:themeColor="text1"/>
          <w:szCs w:val="24"/>
        </w:rPr>
        <w:t>and</w:t>
      </w:r>
      <w:r w:rsidRPr="004A0323">
        <w:rPr>
          <w:rFonts w:asciiTheme="majorBidi" w:hAnsiTheme="majorBidi" w:cstheme="majorBidi"/>
          <w:color w:val="000000" w:themeColor="text1"/>
          <w:szCs w:val="24"/>
        </w:rPr>
        <w:t xml:space="preserve"> for market expansion. Other indicators however are based purely on stakeholders’ demands with no, or even negative, economic implications for the firms. As an example, there is an indicator that gives a higher score to companies which do not push for protection of their clinical trial data from use by generics companies (termed as “data exclusivity”). This measure is based on the stance of the WHO and international NGOs on the issue and there is no</w:t>
      </w:r>
      <w:r w:rsidR="00C92716" w:rsidRPr="004A0323">
        <w:rPr>
          <w:rFonts w:asciiTheme="majorBidi" w:hAnsiTheme="majorBidi" w:cstheme="majorBidi"/>
          <w:color w:val="000000" w:themeColor="text1"/>
          <w:szCs w:val="24"/>
        </w:rPr>
        <w:t xml:space="preserve"> strong</w:t>
      </w:r>
      <w:r w:rsidRPr="004A0323">
        <w:rPr>
          <w:rFonts w:asciiTheme="majorBidi" w:hAnsiTheme="majorBidi" w:cstheme="majorBidi"/>
          <w:color w:val="000000" w:themeColor="text1"/>
          <w:szCs w:val="24"/>
        </w:rPr>
        <w:t xml:space="preserve"> business rationale for its inclusion. For most patent-related indicators the business rationale is also wea</w:t>
      </w:r>
      <w:r w:rsidR="00301606" w:rsidRPr="004A0323">
        <w:rPr>
          <w:rFonts w:asciiTheme="majorBidi" w:hAnsiTheme="majorBidi" w:cstheme="majorBidi"/>
          <w:color w:val="000000" w:themeColor="text1"/>
          <w:szCs w:val="24"/>
        </w:rPr>
        <w:t>k</w:t>
      </w:r>
      <w:r w:rsidRPr="004A0323">
        <w:rPr>
          <w:rFonts w:asciiTheme="majorBidi" w:hAnsiTheme="majorBidi" w:cstheme="majorBidi"/>
          <w:color w:val="000000" w:themeColor="text1"/>
          <w:szCs w:val="24"/>
        </w:rPr>
        <w:t xml:space="preserve">, as reflected in some comments made in response to a </w:t>
      </w:r>
      <w:r w:rsidR="00C972AA" w:rsidRPr="004A0323">
        <w:rPr>
          <w:rFonts w:asciiTheme="majorBidi" w:hAnsiTheme="majorBidi" w:cstheme="majorBidi"/>
          <w:color w:val="000000" w:themeColor="text1"/>
          <w:szCs w:val="24"/>
        </w:rPr>
        <w:t>s</w:t>
      </w:r>
      <w:r w:rsidRPr="004A0323">
        <w:rPr>
          <w:rFonts w:asciiTheme="majorBidi" w:hAnsiTheme="majorBidi" w:cstheme="majorBidi"/>
          <w:color w:val="000000" w:themeColor="text1"/>
          <w:szCs w:val="24"/>
        </w:rPr>
        <w:t xml:space="preserve">urvey conducted by the Foundation in 2011. </w:t>
      </w:r>
    </w:p>
    <w:p w14:paraId="08261EEF" w14:textId="780E2E33" w:rsidR="00C53B33" w:rsidRPr="004A0323" w:rsidRDefault="004B3AC1" w:rsidP="004B3AC1">
      <w:pPr>
        <w:spacing w:after="120" w:line="480" w:lineRule="auto"/>
        <w:ind w:firstLine="567"/>
        <w:jc w:val="both"/>
        <w:rPr>
          <w:lang w:val="en-US"/>
        </w:rPr>
      </w:pPr>
      <w:r w:rsidRPr="004A0323">
        <w:rPr>
          <w:lang w:val="en-US"/>
        </w:rPr>
        <w:t>Attempts to attain output legitimacy in other words involved “values intermediation” by analysts aimed at appealing and providing proof of impact to constituencies with competing/conflicting value regimes. W</w:t>
      </w:r>
      <w:r w:rsidR="008D7C8F" w:rsidRPr="004A0323">
        <w:rPr>
          <w:lang w:val="en-US"/>
        </w:rPr>
        <w:t xml:space="preserve">hile the language used avoids claiming direct causality, </w:t>
      </w:r>
      <w:r w:rsidR="00C53B33" w:rsidRPr="004A0323">
        <w:rPr>
          <w:lang w:val="en-US"/>
        </w:rPr>
        <w:t>efforts to provide both proof of social impact (primarily focused on funders) and proof of financial impact (targeting investors) have been intensifying as the Foundation and the governance field of access to medicine have “matured”.</w:t>
      </w:r>
      <w:r w:rsidRPr="004A0323">
        <w:rPr>
          <w:lang w:val="en-US"/>
        </w:rPr>
        <w:t xml:space="preserve"> </w:t>
      </w:r>
      <w:r w:rsidR="008D7C8F" w:rsidRPr="004A0323">
        <w:rPr>
          <w:lang w:val="en-US"/>
        </w:rPr>
        <w:t xml:space="preserve">On the other hand, issues such as expertise, stakeholder inclusion and other dimensions of input legitimacy seem to have become less pressing and more taken for granted. </w:t>
      </w:r>
    </w:p>
    <w:p w14:paraId="1A12F508" w14:textId="4E9F48E6" w:rsidR="00954433" w:rsidRPr="004A0323" w:rsidRDefault="00954433" w:rsidP="00513F10">
      <w:pPr>
        <w:pStyle w:val="Body"/>
        <w:spacing w:after="120"/>
        <w:ind w:firstLine="567"/>
        <w:rPr>
          <w:rFonts w:asciiTheme="majorBidi" w:hAnsiTheme="majorBidi" w:cstheme="majorBidi"/>
          <w:bCs/>
          <w:i/>
          <w:iCs/>
          <w:color w:val="000000" w:themeColor="text1"/>
          <w:szCs w:val="24"/>
        </w:rPr>
      </w:pPr>
      <w:r w:rsidRPr="004A0323">
        <w:rPr>
          <w:rFonts w:asciiTheme="majorBidi" w:hAnsiTheme="majorBidi" w:cstheme="majorBidi"/>
          <w:bCs/>
          <w:i/>
          <w:iCs/>
          <w:color w:val="000000" w:themeColor="text1"/>
          <w:szCs w:val="24"/>
        </w:rPr>
        <w:t>5.3 Enticing compliance – Between competition, stakeholder accountability and learning</w:t>
      </w:r>
    </w:p>
    <w:p w14:paraId="4F788D20" w14:textId="3D72A865" w:rsidR="009513AB" w:rsidRPr="004A0323" w:rsidRDefault="0088165F" w:rsidP="00513F10">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lastRenderedPageBreak/>
        <w:t>T</w:t>
      </w:r>
      <w:r w:rsidR="00954433" w:rsidRPr="004A0323">
        <w:rPr>
          <w:rFonts w:asciiTheme="majorBidi" w:hAnsiTheme="majorBidi" w:cstheme="majorBidi"/>
          <w:color w:val="000000" w:themeColor="text1"/>
          <w:szCs w:val="24"/>
        </w:rPr>
        <w:t>he Index operates principally through three “soft regulatory” processes: motivating competition among companies, enabling stakeholder accountability through transparency and promoting learning and diffusion of best practices by emphasizing and detailing “outstanding” companies and practices.</w:t>
      </w:r>
    </w:p>
    <w:p w14:paraId="43676D77" w14:textId="19450BFD" w:rsidR="00C52285" w:rsidRPr="004A0323" w:rsidRDefault="00954433" w:rsidP="00A40101">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Producing performance indicators inviting competition implies that analysts have to generate scores, rankings and sub-rankings (on different technical areas) that highlight </w:t>
      </w:r>
      <w:r w:rsidR="00951B51" w:rsidRPr="004A0323">
        <w:rPr>
          <w:rFonts w:asciiTheme="majorBidi" w:hAnsiTheme="majorBidi" w:cstheme="majorBidi"/>
          <w:color w:val="000000" w:themeColor="text1"/>
          <w:szCs w:val="24"/>
        </w:rPr>
        <w:t xml:space="preserve">attainable </w:t>
      </w:r>
      <w:r w:rsidRPr="004A0323">
        <w:rPr>
          <w:rFonts w:asciiTheme="majorBidi" w:hAnsiTheme="majorBidi" w:cstheme="majorBidi"/>
          <w:color w:val="000000" w:themeColor="text1"/>
          <w:szCs w:val="24"/>
        </w:rPr>
        <w:t>differences (and thus performance gaps) among companies</w:t>
      </w:r>
      <w:commentRangeStart w:id="8"/>
      <w:r w:rsidRPr="004A0323">
        <w:rPr>
          <w:rFonts w:asciiTheme="majorBidi" w:hAnsiTheme="majorBidi" w:cstheme="majorBidi"/>
          <w:color w:val="000000" w:themeColor="text1"/>
          <w:szCs w:val="24"/>
        </w:rPr>
        <w:t xml:space="preserve">. </w:t>
      </w:r>
      <w:commentRangeEnd w:id="8"/>
      <w:r w:rsidR="00895944" w:rsidRPr="004A0323">
        <w:rPr>
          <w:rStyle w:val="CommentReference"/>
          <w:rFonts w:asciiTheme="majorBidi" w:eastAsiaTheme="minorHAnsi" w:hAnsiTheme="majorBidi" w:cstheme="majorBidi"/>
          <w:color w:val="000000" w:themeColor="text1"/>
          <w:bdr w:val="none" w:sz="0" w:space="0" w:color="auto"/>
          <w:lang w:val="en-GB"/>
        </w:rPr>
        <w:commentReference w:id="8"/>
      </w:r>
      <w:r w:rsidRPr="004A0323">
        <w:rPr>
          <w:rFonts w:asciiTheme="majorBidi" w:hAnsiTheme="majorBidi" w:cstheme="majorBidi"/>
          <w:color w:val="000000" w:themeColor="text1"/>
          <w:szCs w:val="24"/>
        </w:rPr>
        <w:t xml:space="preserve">When variability in company performance for individual indicators </w:t>
      </w:r>
      <w:r w:rsidR="00895944" w:rsidRPr="004A0323">
        <w:rPr>
          <w:rFonts w:asciiTheme="majorBidi" w:hAnsiTheme="majorBidi" w:cstheme="majorBidi"/>
          <w:color w:val="000000" w:themeColor="text1"/>
          <w:szCs w:val="24"/>
        </w:rPr>
        <w:t>i</w:t>
      </w:r>
      <w:r w:rsidR="003752A5" w:rsidRPr="004A0323">
        <w:rPr>
          <w:rFonts w:asciiTheme="majorBidi" w:hAnsiTheme="majorBidi" w:cstheme="majorBidi"/>
          <w:color w:val="000000" w:themeColor="text1"/>
          <w:szCs w:val="24"/>
        </w:rPr>
        <w:t xml:space="preserve">s </w:t>
      </w:r>
      <w:r w:rsidRPr="004A0323">
        <w:rPr>
          <w:rFonts w:asciiTheme="majorBidi" w:hAnsiTheme="majorBidi" w:cstheme="majorBidi"/>
          <w:color w:val="000000" w:themeColor="text1"/>
          <w:szCs w:val="24"/>
        </w:rPr>
        <w:t>deemed insufficient, analysts refine the scoring guidelines</w:t>
      </w:r>
      <w:r w:rsidR="00951B51" w:rsidRPr="004A0323">
        <w:rPr>
          <w:rFonts w:asciiTheme="majorBidi" w:hAnsiTheme="majorBidi" w:cstheme="majorBidi"/>
          <w:color w:val="000000" w:themeColor="text1"/>
          <w:szCs w:val="24"/>
        </w:rPr>
        <w:t xml:space="preserve"> for the indicator in question</w:t>
      </w:r>
      <w:r w:rsidRPr="004A0323">
        <w:rPr>
          <w:rFonts w:asciiTheme="majorBidi" w:hAnsiTheme="majorBidi" w:cstheme="majorBidi"/>
          <w:color w:val="000000" w:themeColor="text1"/>
          <w:szCs w:val="24"/>
        </w:rPr>
        <w:t xml:space="preserve"> in order to be able to further differentiate among companies. </w:t>
      </w:r>
    </w:p>
    <w:p w14:paraId="3BC5BD43" w14:textId="799FA5AD" w:rsidR="00C972AA" w:rsidRPr="004A0323" w:rsidRDefault="00C52285" w:rsidP="00C52285">
      <w:pPr>
        <w:pStyle w:val="Body"/>
        <w:ind w:firstLine="567"/>
        <w:rPr>
          <w:rFonts w:asciiTheme="majorBidi" w:hAnsiTheme="majorBidi" w:cstheme="majorBidi"/>
          <w:color w:val="000000" w:themeColor="text1"/>
          <w:szCs w:val="24"/>
        </w:rPr>
      </w:pPr>
      <w:r w:rsidRPr="004A0323">
        <w:rPr>
          <w:color w:val="000000" w:themeColor="text1"/>
        </w:rPr>
        <w:t xml:space="preserve">Scoring guidelines enable and facilitate the measurement of company performance as articulated in the description of each indicator. They provide the benchmark for company compliance with the best practices the Index aims to disseminate. </w:t>
      </w:r>
      <w:r w:rsidR="00951B51" w:rsidRPr="004A0323">
        <w:rPr>
          <w:color w:val="000000" w:themeColor="text1"/>
        </w:rPr>
        <w:t xml:space="preserve">As data is collected, based on the observed levels of performance for each indicator, the scoring guidelines for each indicator can be adjusted to ensure a good distribution of scores for each indicator. Often, this means to make differences between performance levels subtler and more nuanced, by differentiating companies </w:t>
      </w:r>
      <w:r w:rsidRPr="004A0323">
        <w:rPr>
          <w:color w:val="000000" w:themeColor="text1"/>
        </w:rPr>
        <w:t>at the margin. These marginal differences point to attainable improvements in the performance of adjacent companies,</w:t>
      </w:r>
      <w:r w:rsidR="00951B51" w:rsidRPr="004A0323">
        <w:rPr>
          <w:rFonts w:asciiTheme="majorBidi" w:hAnsiTheme="majorBidi" w:cstheme="majorBidi"/>
          <w:color w:val="000000" w:themeColor="text1"/>
          <w:szCs w:val="24"/>
        </w:rPr>
        <w:t xml:space="preserve"> </w:t>
      </w:r>
      <w:r w:rsidRPr="004A0323">
        <w:rPr>
          <w:rFonts w:asciiTheme="majorBidi" w:hAnsiTheme="majorBidi" w:cstheme="majorBidi"/>
          <w:color w:val="000000" w:themeColor="text1"/>
          <w:szCs w:val="24"/>
        </w:rPr>
        <w:t>maximizing</w:t>
      </w:r>
      <w:r w:rsidR="00951B51" w:rsidRPr="004A0323">
        <w:rPr>
          <w:rFonts w:asciiTheme="majorBidi" w:hAnsiTheme="majorBidi" w:cstheme="majorBidi"/>
          <w:color w:val="000000" w:themeColor="text1"/>
          <w:szCs w:val="24"/>
        </w:rPr>
        <w:t xml:space="preserve"> the possibility of compliance</w:t>
      </w:r>
      <w:r w:rsidRPr="004A0323">
        <w:rPr>
          <w:rFonts w:asciiTheme="majorBidi" w:hAnsiTheme="majorBidi" w:cstheme="majorBidi"/>
          <w:color w:val="000000" w:themeColor="text1"/>
          <w:szCs w:val="24"/>
        </w:rPr>
        <w:t xml:space="preserve"> and</w:t>
      </w:r>
      <w:r w:rsidR="00951B51" w:rsidRPr="004A0323">
        <w:rPr>
          <w:rFonts w:asciiTheme="majorBidi" w:hAnsiTheme="majorBidi" w:cstheme="majorBidi"/>
          <w:color w:val="000000" w:themeColor="text1"/>
          <w:szCs w:val="24"/>
        </w:rPr>
        <w:t xml:space="preserve"> </w:t>
      </w:r>
      <w:r w:rsidR="00F35E94" w:rsidRPr="004A0323">
        <w:rPr>
          <w:rFonts w:asciiTheme="majorBidi" w:hAnsiTheme="majorBidi" w:cstheme="majorBidi"/>
          <w:color w:val="000000" w:themeColor="text1"/>
          <w:szCs w:val="24"/>
        </w:rPr>
        <w:t xml:space="preserve">potentially </w:t>
      </w:r>
      <w:r w:rsidR="00951B51" w:rsidRPr="004A0323">
        <w:rPr>
          <w:rFonts w:asciiTheme="majorBidi" w:hAnsiTheme="majorBidi" w:cstheme="majorBidi"/>
          <w:color w:val="000000" w:themeColor="text1"/>
          <w:szCs w:val="24"/>
        </w:rPr>
        <w:t xml:space="preserve">contributing to the effectiveness of this initiative and </w:t>
      </w:r>
      <w:r w:rsidRPr="004A0323">
        <w:rPr>
          <w:rFonts w:asciiTheme="majorBidi" w:hAnsiTheme="majorBidi" w:cstheme="majorBidi"/>
          <w:color w:val="000000" w:themeColor="text1"/>
          <w:szCs w:val="24"/>
        </w:rPr>
        <w:t xml:space="preserve">thus to its </w:t>
      </w:r>
      <w:r w:rsidR="00951B51" w:rsidRPr="004A0323">
        <w:rPr>
          <w:rFonts w:asciiTheme="majorBidi" w:hAnsiTheme="majorBidi" w:cstheme="majorBidi"/>
          <w:color w:val="000000" w:themeColor="text1"/>
          <w:szCs w:val="24"/>
        </w:rPr>
        <w:t>output legitimacy</w:t>
      </w:r>
      <w:r w:rsidR="00F35E94" w:rsidRPr="004A0323">
        <w:rPr>
          <w:rFonts w:asciiTheme="majorBidi" w:hAnsiTheme="majorBidi" w:cstheme="majorBidi"/>
          <w:color w:val="000000" w:themeColor="text1"/>
          <w:szCs w:val="24"/>
        </w:rPr>
        <w:t>.</w:t>
      </w:r>
    </w:p>
    <w:p w14:paraId="62E9B303" w14:textId="336E0F2A" w:rsidR="00E72200" w:rsidRPr="004A0323" w:rsidRDefault="00E72200" w:rsidP="00513F10">
      <w:pPr>
        <w:pStyle w:val="Body"/>
        <w:ind w:firstLine="567"/>
        <w:rPr>
          <w:rFonts w:asciiTheme="majorBidi" w:hAnsiTheme="majorBidi" w:cstheme="majorBidi"/>
          <w:color w:val="000000" w:themeColor="text1"/>
          <w:szCs w:val="24"/>
        </w:rPr>
      </w:pPr>
      <w:r w:rsidRPr="004A0323">
        <w:rPr>
          <w:color w:val="000000" w:themeColor="text1"/>
        </w:rPr>
        <w:t xml:space="preserve">To maintain </w:t>
      </w:r>
      <w:r w:rsidR="00C52285" w:rsidRPr="004A0323">
        <w:rPr>
          <w:color w:val="000000" w:themeColor="text1"/>
        </w:rPr>
        <w:t xml:space="preserve">this </w:t>
      </w:r>
      <w:r w:rsidRPr="004A0323">
        <w:rPr>
          <w:color w:val="000000" w:themeColor="text1"/>
        </w:rPr>
        <w:t xml:space="preserve">flexibility in the scoring process, </w:t>
      </w:r>
      <w:r w:rsidR="00D11919" w:rsidRPr="004A0323">
        <w:rPr>
          <w:color w:val="000000" w:themeColor="text1"/>
        </w:rPr>
        <w:t>s</w:t>
      </w:r>
      <w:r w:rsidRPr="004A0323">
        <w:rPr>
          <w:color w:val="000000" w:themeColor="text1"/>
        </w:rPr>
        <w:t xml:space="preserve">coring </w:t>
      </w:r>
      <w:r w:rsidR="00D11919" w:rsidRPr="004A0323">
        <w:rPr>
          <w:color w:val="000000" w:themeColor="text1"/>
        </w:rPr>
        <w:t>g</w:t>
      </w:r>
      <w:r w:rsidRPr="004A0323">
        <w:rPr>
          <w:color w:val="000000" w:themeColor="text1"/>
        </w:rPr>
        <w:t xml:space="preserve">uidelines are not disclosed </w:t>
      </w:r>
      <w:r w:rsidR="00CE0FAD" w:rsidRPr="004A0323">
        <w:rPr>
          <w:color w:val="000000" w:themeColor="text1"/>
        </w:rPr>
        <w:t>at the time when</w:t>
      </w:r>
      <w:r w:rsidRPr="004A0323">
        <w:rPr>
          <w:color w:val="000000" w:themeColor="text1"/>
        </w:rPr>
        <w:t xml:space="preserve"> the </w:t>
      </w:r>
      <w:r w:rsidR="00CE0FAD" w:rsidRPr="004A0323">
        <w:rPr>
          <w:color w:val="000000" w:themeColor="text1"/>
        </w:rPr>
        <w:t xml:space="preserve">Index </w:t>
      </w:r>
      <w:r w:rsidRPr="004A0323">
        <w:rPr>
          <w:color w:val="000000" w:themeColor="text1"/>
        </w:rPr>
        <w:t xml:space="preserve">methodology </w:t>
      </w:r>
      <w:r w:rsidR="00AC60B3" w:rsidRPr="004A0323">
        <w:rPr>
          <w:color w:val="000000" w:themeColor="text1"/>
        </w:rPr>
        <w:t>report</w:t>
      </w:r>
      <w:r w:rsidR="00CE0FAD" w:rsidRPr="004A0323">
        <w:rPr>
          <w:color w:val="000000" w:themeColor="text1"/>
        </w:rPr>
        <w:t>,</w:t>
      </w:r>
      <w:r w:rsidR="00AC60B3" w:rsidRPr="004A0323">
        <w:rPr>
          <w:color w:val="000000" w:themeColor="text1"/>
        </w:rPr>
        <w:t xml:space="preserve"> </w:t>
      </w:r>
      <w:r w:rsidR="001C2C2D" w:rsidRPr="004A0323">
        <w:rPr>
          <w:color w:val="000000" w:themeColor="text1"/>
        </w:rPr>
        <w:t>which includes the updated indicators and scope of analysis for each Index</w:t>
      </w:r>
      <w:r w:rsidR="00CE0FAD" w:rsidRPr="004A0323">
        <w:rPr>
          <w:color w:val="000000" w:themeColor="text1"/>
        </w:rPr>
        <w:t>, is</w:t>
      </w:r>
      <w:r w:rsidR="001C2C2D" w:rsidRPr="004A0323">
        <w:rPr>
          <w:color w:val="000000" w:themeColor="text1"/>
        </w:rPr>
        <w:t xml:space="preserve"> </w:t>
      </w:r>
      <w:r w:rsidRPr="004A0323">
        <w:rPr>
          <w:color w:val="000000" w:themeColor="text1"/>
        </w:rPr>
        <w:t xml:space="preserve">published </w:t>
      </w:r>
      <w:r w:rsidR="00CE0FAD" w:rsidRPr="004A0323">
        <w:rPr>
          <w:color w:val="000000" w:themeColor="text1"/>
        </w:rPr>
        <w:t>(</w:t>
      </w:r>
      <w:r w:rsidRPr="004A0323">
        <w:rPr>
          <w:color w:val="000000" w:themeColor="text1"/>
        </w:rPr>
        <w:t>before data collection</w:t>
      </w:r>
      <w:r w:rsidR="00CE0FAD" w:rsidRPr="004A0323">
        <w:rPr>
          <w:color w:val="000000" w:themeColor="text1"/>
        </w:rPr>
        <w:t>)</w:t>
      </w:r>
      <w:r w:rsidRPr="004A0323">
        <w:rPr>
          <w:color w:val="000000" w:themeColor="text1"/>
        </w:rPr>
        <w:t xml:space="preserve">. </w:t>
      </w:r>
      <w:r w:rsidR="000B3510" w:rsidRPr="004A0323">
        <w:rPr>
          <w:color w:val="000000" w:themeColor="text1"/>
        </w:rPr>
        <w:t xml:space="preserve">Scoring guidelines are instead published along with the final Index report, after being revised during the analysis process (we </w:t>
      </w:r>
      <w:r w:rsidR="000B3510" w:rsidRPr="004A0323">
        <w:rPr>
          <w:color w:val="000000" w:themeColor="text1"/>
        </w:rPr>
        <w:lastRenderedPageBreak/>
        <w:t xml:space="preserve">have included a sample indicator accompanied by its scoring guidelines from the Index 2016 final report in Appendix III). </w:t>
      </w:r>
      <w:r w:rsidR="009D78D0" w:rsidRPr="004A0323">
        <w:rPr>
          <w:color w:val="000000" w:themeColor="text1"/>
        </w:rPr>
        <w:t xml:space="preserve"> </w:t>
      </w:r>
    </w:p>
    <w:p w14:paraId="18D7D3BA" w14:textId="3093FAB7" w:rsidR="003752A5" w:rsidRPr="004A0323" w:rsidRDefault="00954433" w:rsidP="00F07D2A">
      <w:pPr>
        <w:pStyle w:val="Body"/>
        <w:ind w:right="-8"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The </w:t>
      </w:r>
      <w:r w:rsidR="00895944" w:rsidRPr="004A0323">
        <w:rPr>
          <w:rFonts w:asciiTheme="majorBidi" w:hAnsiTheme="majorBidi" w:cstheme="majorBidi"/>
          <w:color w:val="000000" w:themeColor="text1"/>
          <w:szCs w:val="24"/>
        </w:rPr>
        <w:t xml:space="preserve">Index started its life as a </w:t>
      </w:r>
      <w:r w:rsidRPr="004A0323">
        <w:rPr>
          <w:rFonts w:asciiTheme="majorBidi" w:hAnsiTheme="majorBidi" w:cstheme="majorBidi"/>
          <w:color w:val="000000" w:themeColor="text1"/>
          <w:szCs w:val="24"/>
        </w:rPr>
        <w:t>relative ranking</w:t>
      </w:r>
      <w:r w:rsidR="00895944" w:rsidRPr="004A0323">
        <w:rPr>
          <w:rFonts w:asciiTheme="majorBidi" w:hAnsiTheme="majorBidi" w:cstheme="majorBidi"/>
          <w:color w:val="000000" w:themeColor="text1"/>
          <w:szCs w:val="24"/>
        </w:rPr>
        <w:t xml:space="preserve">, </w:t>
      </w:r>
      <w:r w:rsidR="00D11919" w:rsidRPr="004A0323">
        <w:rPr>
          <w:rFonts w:asciiTheme="majorBidi" w:hAnsiTheme="majorBidi" w:cstheme="majorBidi"/>
          <w:color w:val="000000" w:themeColor="text1"/>
          <w:szCs w:val="24"/>
        </w:rPr>
        <w:t>initial</w:t>
      </w:r>
      <w:r w:rsidR="00895944" w:rsidRPr="004A0323">
        <w:rPr>
          <w:rFonts w:asciiTheme="majorBidi" w:hAnsiTheme="majorBidi" w:cstheme="majorBidi"/>
          <w:color w:val="000000" w:themeColor="text1"/>
          <w:szCs w:val="24"/>
        </w:rPr>
        <w:t>ly</w:t>
      </w:r>
      <w:r w:rsidR="00D11919" w:rsidRPr="004A0323">
        <w:rPr>
          <w:rFonts w:asciiTheme="majorBidi" w:hAnsiTheme="majorBidi" w:cstheme="majorBidi"/>
          <w:color w:val="000000" w:themeColor="text1"/>
          <w:szCs w:val="24"/>
        </w:rPr>
        <w:t xml:space="preserve"> </w:t>
      </w:r>
      <w:r w:rsidRPr="004A0323">
        <w:rPr>
          <w:rFonts w:asciiTheme="majorBidi" w:hAnsiTheme="majorBidi" w:cstheme="majorBidi"/>
          <w:color w:val="000000" w:themeColor="text1"/>
          <w:szCs w:val="24"/>
        </w:rPr>
        <w:t xml:space="preserve">associating a </w:t>
      </w:r>
      <w:r w:rsidR="00EB35F6" w:rsidRPr="004A0323">
        <w:rPr>
          <w:rFonts w:asciiTheme="majorBidi" w:hAnsiTheme="majorBidi" w:cstheme="majorBidi"/>
          <w:color w:val="000000" w:themeColor="text1"/>
          <w:szCs w:val="24"/>
        </w:rPr>
        <w:t xml:space="preserve">score of </w:t>
      </w:r>
      <w:r w:rsidRPr="004A0323">
        <w:rPr>
          <w:rFonts w:asciiTheme="majorBidi" w:hAnsiTheme="majorBidi" w:cstheme="majorBidi"/>
          <w:color w:val="000000" w:themeColor="text1"/>
          <w:szCs w:val="24"/>
        </w:rPr>
        <w:t xml:space="preserve">five to best </w:t>
      </w:r>
      <w:r w:rsidRPr="004A0323">
        <w:rPr>
          <w:rFonts w:asciiTheme="majorBidi" w:hAnsiTheme="majorBidi" w:cstheme="majorBidi"/>
          <w:i/>
          <w:color w:val="000000" w:themeColor="text1"/>
          <w:szCs w:val="24"/>
        </w:rPr>
        <w:t>observed</w:t>
      </w:r>
      <w:r w:rsidRPr="004A0323">
        <w:rPr>
          <w:rFonts w:asciiTheme="majorBidi" w:hAnsiTheme="majorBidi" w:cstheme="majorBidi"/>
          <w:color w:val="000000" w:themeColor="text1"/>
          <w:szCs w:val="24"/>
        </w:rPr>
        <w:t xml:space="preserve"> performance</w:t>
      </w:r>
      <w:r w:rsidR="00895944" w:rsidRPr="004A0323">
        <w:rPr>
          <w:rFonts w:asciiTheme="majorBidi" w:hAnsiTheme="majorBidi" w:cstheme="majorBidi"/>
          <w:color w:val="000000" w:themeColor="text1"/>
          <w:szCs w:val="24"/>
        </w:rPr>
        <w:t xml:space="preserve"> and a score of zero to the lowest observed one. H</w:t>
      </w:r>
      <w:r w:rsidRPr="004A0323">
        <w:rPr>
          <w:rFonts w:asciiTheme="majorBidi" w:hAnsiTheme="majorBidi" w:cstheme="majorBidi"/>
          <w:color w:val="000000" w:themeColor="text1"/>
          <w:szCs w:val="24"/>
        </w:rPr>
        <w:t xml:space="preserve">owever, </w:t>
      </w:r>
      <w:r w:rsidR="00895944" w:rsidRPr="004A0323">
        <w:rPr>
          <w:rFonts w:asciiTheme="majorBidi" w:hAnsiTheme="majorBidi" w:cstheme="majorBidi"/>
          <w:color w:val="000000" w:themeColor="text1"/>
          <w:szCs w:val="24"/>
        </w:rPr>
        <w:t xml:space="preserve">this </w:t>
      </w:r>
      <w:r w:rsidRPr="004A0323">
        <w:rPr>
          <w:rFonts w:asciiTheme="majorBidi" w:hAnsiTheme="majorBidi" w:cstheme="majorBidi"/>
          <w:color w:val="000000" w:themeColor="text1"/>
          <w:szCs w:val="24"/>
        </w:rPr>
        <w:t>led to maximum and average scores in Index 2008 that some NGOs considered as too high and as a “too positive image of the industry”; the Index was accused of giving “a financial boost to the big brands and their socially conscious investors”, without any “real improvements in access to essential medicine in developing countries” (Reed 2008). Since Index 2010, the methodology has been revised to make it more demanding.</w:t>
      </w:r>
      <w:r w:rsidR="00443FF5" w:rsidRPr="004A0323">
        <w:rPr>
          <w:rFonts w:asciiTheme="majorBidi" w:hAnsiTheme="majorBidi" w:cstheme="majorBidi"/>
          <w:color w:val="000000" w:themeColor="text1"/>
          <w:szCs w:val="24"/>
        </w:rPr>
        <w:t xml:space="preserve"> Many indicators are now used as absolute rather than relative benchmarks; that is, they measure company performance vis-a`-vis </w:t>
      </w:r>
      <w:r w:rsidR="0023796C" w:rsidRPr="004A0323">
        <w:rPr>
          <w:rFonts w:asciiTheme="majorBidi" w:hAnsiTheme="majorBidi" w:cstheme="majorBidi"/>
          <w:color w:val="000000" w:themeColor="text1"/>
          <w:szCs w:val="24"/>
        </w:rPr>
        <w:t xml:space="preserve">predefined </w:t>
      </w:r>
      <w:r w:rsidR="00443FF5" w:rsidRPr="004A0323">
        <w:rPr>
          <w:rFonts w:asciiTheme="majorBidi" w:hAnsiTheme="majorBidi" w:cstheme="majorBidi"/>
          <w:color w:val="000000" w:themeColor="text1"/>
          <w:szCs w:val="24"/>
        </w:rPr>
        <w:t>stakeholder expectations rather than already observable best practices.</w:t>
      </w:r>
      <w:r w:rsidRPr="004A0323">
        <w:rPr>
          <w:rFonts w:asciiTheme="majorBidi" w:hAnsiTheme="majorBidi" w:cstheme="majorBidi"/>
          <w:color w:val="000000" w:themeColor="text1"/>
          <w:szCs w:val="24"/>
        </w:rPr>
        <w:t xml:space="preserve"> </w:t>
      </w:r>
      <w:r w:rsidR="00443FF5" w:rsidRPr="004A0323">
        <w:rPr>
          <w:rFonts w:asciiTheme="majorBidi" w:hAnsiTheme="majorBidi" w:cstheme="majorBidi"/>
          <w:color w:val="000000" w:themeColor="text1"/>
          <w:szCs w:val="24"/>
        </w:rPr>
        <w:t>A</w:t>
      </w:r>
      <w:r w:rsidRPr="004A0323">
        <w:rPr>
          <w:rFonts w:asciiTheme="majorBidi" w:hAnsiTheme="majorBidi" w:cstheme="majorBidi"/>
          <w:color w:val="000000" w:themeColor="text1"/>
          <w:szCs w:val="24"/>
        </w:rPr>
        <w:t xml:space="preserve"> score of five is more and more often associated with best </w:t>
      </w:r>
      <w:r w:rsidRPr="004A0323">
        <w:rPr>
          <w:rFonts w:asciiTheme="majorBidi" w:hAnsiTheme="majorBidi" w:cstheme="majorBidi"/>
          <w:i/>
          <w:color w:val="000000" w:themeColor="text1"/>
          <w:szCs w:val="24"/>
        </w:rPr>
        <w:t>expected</w:t>
      </w:r>
      <w:r w:rsidRPr="004A0323">
        <w:rPr>
          <w:rFonts w:asciiTheme="majorBidi" w:hAnsiTheme="majorBidi" w:cstheme="majorBidi"/>
          <w:color w:val="000000" w:themeColor="text1"/>
          <w:szCs w:val="24"/>
        </w:rPr>
        <w:t xml:space="preserve"> performance, effectively making the Index a mix of relative and absolute ranking. As a result, maximum and average scores have been </w:t>
      </w:r>
      <w:r w:rsidR="003752A5" w:rsidRPr="004A0323">
        <w:rPr>
          <w:rFonts w:asciiTheme="majorBidi" w:hAnsiTheme="majorBidi" w:cstheme="majorBidi"/>
          <w:color w:val="000000" w:themeColor="text1"/>
          <w:szCs w:val="24"/>
        </w:rPr>
        <w:t xml:space="preserve">progressively </w:t>
      </w:r>
      <w:r w:rsidRPr="004A0323">
        <w:rPr>
          <w:rFonts w:asciiTheme="majorBidi" w:hAnsiTheme="majorBidi" w:cstheme="majorBidi"/>
          <w:color w:val="000000" w:themeColor="text1"/>
          <w:szCs w:val="24"/>
        </w:rPr>
        <w:t xml:space="preserve">falling. </w:t>
      </w:r>
    </w:p>
    <w:p w14:paraId="709F5FA1" w14:textId="02540AFF" w:rsidR="00954433" w:rsidRPr="004A0323" w:rsidRDefault="00954433" w:rsidP="00513F10">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This brings the index closer to being useful for stakeholder accountability</w:t>
      </w:r>
      <w:r w:rsidR="003752A5" w:rsidRPr="004A0323">
        <w:rPr>
          <w:rFonts w:asciiTheme="majorBidi" w:hAnsiTheme="majorBidi" w:cstheme="majorBidi"/>
          <w:color w:val="000000" w:themeColor="text1"/>
          <w:szCs w:val="24"/>
        </w:rPr>
        <w:t>, as</w:t>
      </w:r>
      <w:r w:rsidRPr="004A0323">
        <w:rPr>
          <w:rFonts w:asciiTheme="majorBidi" w:hAnsiTheme="majorBidi" w:cstheme="majorBidi"/>
          <w:color w:val="000000" w:themeColor="text1"/>
          <w:szCs w:val="24"/>
        </w:rPr>
        <w:t xml:space="preserve"> NGOs and others aiming to put pressure</w:t>
      </w:r>
      <w:r w:rsidR="00D11919" w:rsidRPr="004A0323">
        <w:rPr>
          <w:rFonts w:asciiTheme="majorBidi" w:hAnsiTheme="majorBidi" w:cstheme="majorBidi"/>
          <w:color w:val="000000" w:themeColor="text1"/>
          <w:szCs w:val="24"/>
        </w:rPr>
        <w:t xml:space="preserve"> </w:t>
      </w:r>
      <w:r w:rsidRPr="004A0323">
        <w:rPr>
          <w:rFonts w:asciiTheme="majorBidi" w:hAnsiTheme="majorBidi" w:cstheme="majorBidi"/>
          <w:color w:val="000000" w:themeColor="text1"/>
          <w:szCs w:val="24"/>
        </w:rPr>
        <w:t>on companies pointing to what remains to be achieved, can refer to the white space in the Index graphs (measuring the distance between overall company performance and a score of five) in order to put claims on any company and the industry as a whole. In other words, in combining relative and absolute ranking the Index methodology and the work of its analysts effectively mediate between the ability of the Index to work as a tool for competition and as a tool for advocacy and stakeholder accountability</w:t>
      </w:r>
      <w:r w:rsidR="00443FF5" w:rsidRPr="004A0323">
        <w:rPr>
          <w:rFonts w:asciiTheme="majorBidi" w:hAnsiTheme="majorBidi" w:cstheme="majorBidi"/>
          <w:color w:val="000000" w:themeColor="text1"/>
          <w:szCs w:val="24"/>
        </w:rPr>
        <w:t xml:space="preserve">, </w:t>
      </w:r>
      <w:r w:rsidR="00951B51" w:rsidRPr="004A0323">
        <w:rPr>
          <w:rFonts w:asciiTheme="majorBidi" w:hAnsiTheme="majorBidi" w:cstheme="majorBidi"/>
          <w:color w:val="000000" w:themeColor="text1"/>
          <w:szCs w:val="24"/>
        </w:rPr>
        <w:t>also enhancing</w:t>
      </w:r>
      <w:r w:rsidR="00443FF5" w:rsidRPr="004A0323">
        <w:rPr>
          <w:rFonts w:asciiTheme="majorBidi" w:hAnsiTheme="majorBidi" w:cstheme="majorBidi"/>
          <w:color w:val="000000" w:themeColor="text1"/>
          <w:szCs w:val="24"/>
        </w:rPr>
        <w:t xml:space="preserve"> the flexibility of this multi-stakeholder initiative</w:t>
      </w:r>
      <w:r w:rsidR="00951B51" w:rsidRPr="004A0323">
        <w:rPr>
          <w:rFonts w:asciiTheme="majorBidi" w:hAnsiTheme="majorBidi" w:cstheme="majorBidi"/>
          <w:color w:val="000000" w:themeColor="text1"/>
          <w:szCs w:val="24"/>
        </w:rPr>
        <w:t xml:space="preserve"> vis-a`-vis the needs of its various constituencies its ability to sustain input legitimacy over time</w:t>
      </w:r>
      <w:r w:rsidR="00443FF5" w:rsidRPr="004A0323">
        <w:rPr>
          <w:rFonts w:asciiTheme="majorBidi" w:hAnsiTheme="majorBidi" w:cstheme="majorBidi"/>
          <w:color w:val="000000" w:themeColor="text1"/>
          <w:szCs w:val="24"/>
        </w:rPr>
        <w:t>.</w:t>
      </w:r>
    </w:p>
    <w:p w14:paraId="6A246D91" w14:textId="6950A148" w:rsidR="00954433" w:rsidRPr="004A0323" w:rsidRDefault="00F35E94" w:rsidP="00513F10">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A third </w:t>
      </w:r>
      <w:r w:rsidR="00954433" w:rsidRPr="004A0323">
        <w:rPr>
          <w:rFonts w:asciiTheme="majorBidi" w:hAnsiTheme="majorBidi" w:cstheme="majorBidi"/>
          <w:color w:val="000000" w:themeColor="text1"/>
          <w:szCs w:val="24"/>
        </w:rPr>
        <w:t xml:space="preserve">process the Foundation mobilized to achieve compliance was highlighting best practices and “star performers” to motivate a “race to the top” through mimicking and learning </w:t>
      </w:r>
      <w:r w:rsidR="00954433" w:rsidRPr="004A0323">
        <w:rPr>
          <w:rFonts w:asciiTheme="majorBidi" w:hAnsiTheme="majorBidi" w:cstheme="majorBidi"/>
          <w:color w:val="000000" w:themeColor="text1"/>
          <w:szCs w:val="24"/>
        </w:rPr>
        <w:lastRenderedPageBreak/>
        <w:t>by other companies</w:t>
      </w:r>
      <w:r w:rsidR="00581E9A" w:rsidRPr="004A0323">
        <w:rPr>
          <w:rFonts w:asciiTheme="majorBidi" w:hAnsiTheme="majorBidi" w:cstheme="majorBidi"/>
          <w:color w:val="000000" w:themeColor="text1"/>
          <w:szCs w:val="24"/>
        </w:rPr>
        <w:t xml:space="preserve"> (similar to Global Compact where learning is central to efforts </w:t>
      </w:r>
      <w:r w:rsidR="00296406" w:rsidRPr="004A0323">
        <w:rPr>
          <w:rFonts w:asciiTheme="majorBidi" w:hAnsiTheme="majorBidi" w:cstheme="majorBidi"/>
          <w:color w:val="000000" w:themeColor="text1"/>
          <w:szCs w:val="24"/>
        </w:rPr>
        <w:t xml:space="preserve">directed </w:t>
      </w:r>
      <w:r w:rsidR="00581E9A" w:rsidRPr="004A0323">
        <w:rPr>
          <w:rFonts w:asciiTheme="majorBidi" w:hAnsiTheme="majorBidi" w:cstheme="majorBidi"/>
          <w:color w:val="000000" w:themeColor="text1"/>
          <w:szCs w:val="24"/>
        </w:rPr>
        <w:t>at enticing compliance – see Ruggie (2001))</w:t>
      </w:r>
      <w:r w:rsidR="00954433" w:rsidRPr="004A0323">
        <w:rPr>
          <w:rFonts w:asciiTheme="majorBidi" w:hAnsiTheme="majorBidi" w:cstheme="majorBidi"/>
          <w:color w:val="000000" w:themeColor="text1"/>
          <w:szCs w:val="24"/>
        </w:rPr>
        <w:t xml:space="preserve">. Compared to the aim of inducing competition, which demands a good distribution of scores, identifying “stars” and best practices requires making certain companies and/or practices stand out. The analysts were responsible to detail outstanding practices in each technical area. These were included separately at the end of each chapter of the report, and illustrated in narrative form. The Foundation further planned a related project to document and detail outstanding practices through a peer reviewed process to ensure their potential for improving access. </w:t>
      </w:r>
    </w:p>
    <w:p w14:paraId="128C4DBD" w14:textId="613865F6" w:rsidR="00954433" w:rsidRPr="004A0323" w:rsidRDefault="00954433" w:rsidP="00513F10">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The analysts’ attempts to obtain details about </w:t>
      </w:r>
      <w:r w:rsidR="00D11919" w:rsidRPr="004A0323">
        <w:rPr>
          <w:rFonts w:asciiTheme="majorBidi" w:hAnsiTheme="majorBidi" w:cstheme="majorBidi"/>
          <w:color w:val="000000" w:themeColor="text1"/>
          <w:szCs w:val="24"/>
        </w:rPr>
        <w:t xml:space="preserve">outstanding </w:t>
      </w:r>
      <w:r w:rsidRPr="004A0323">
        <w:rPr>
          <w:rFonts w:asciiTheme="majorBidi" w:hAnsiTheme="majorBidi" w:cstheme="majorBidi"/>
          <w:color w:val="000000" w:themeColor="text1"/>
          <w:szCs w:val="24"/>
        </w:rPr>
        <w:t>initiatives</w:t>
      </w:r>
      <w:r w:rsidR="00806FC3" w:rsidRPr="004A0323">
        <w:rPr>
          <w:rFonts w:asciiTheme="majorBidi" w:hAnsiTheme="majorBidi" w:cstheme="majorBidi"/>
          <w:color w:val="000000" w:themeColor="text1"/>
          <w:szCs w:val="24"/>
        </w:rPr>
        <w:t xml:space="preserve"> (such as sales volume for medicines, prices, </w:t>
      </w:r>
      <w:r w:rsidR="001E6644" w:rsidRPr="004A0323">
        <w:rPr>
          <w:rFonts w:asciiTheme="majorBidi" w:hAnsiTheme="majorBidi" w:cstheme="majorBidi"/>
          <w:color w:val="000000" w:themeColor="text1"/>
          <w:szCs w:val="24"/>
        </w:rPr>
        <w:t xml:space="preserve">performance targets, and </w:t>
      </w:r>
      <w:r w:rsidR="00151790" w:rsidRPr="004A0323">
        <w:rPr>
          <w:rFonts w:asciiTheme="majorBidi" w:hAnsiTheme="majorBidi" w:cstheme="majorBidi"/>
          <w:color w:val="000000" w:themeColor="text1"/>
          <w:szCs w:val="24"/>
        </w:rPr>
        <w:t xml:space="preserve">market </w:t>
      </w:r>
      <w:r w:rsidR="001E6644" w:rsidRPr="004A0323">
        <w:rPr>
          <w:rFonts w:asciiTheme="majorBidi" w:hAnsiTheme="majorBidi" w:cstheme="majorBidi"/>
          <w:color w:val="000000" w:themeColor="text1"/>
          <w:szCs w:val="24"/>
        </w:rPr>
        <w:t>strategies)</w:t>
      </w:r>
      <w:r w:rsidRPr="004A0323">
        <w:rPr>
          <w:rFonts w:asciiTheme="majorBidi" w:hAnsiTheme="majorBidi" w:cstheme="majorBidi"/>
          <w:color w:val="000000" w:themeColor="text1"/>
          <w:szCs w:val="24"/>
        </w:rPr>
        <w:t xml:space="preserve"> were however frequently challenged by companies’ reluctance to provide such detail, presumably because of the sensitive nature of some of this information and related confidentiality issues. In other words, while stakeholder accountability and learning through best practices require detailed public disclosure, the competitive dimension of the industry and related data confidentiality</w:t>
      </w:r>
      <w:r w:rsidR="003752A5" w:rsidRPr="004A0323">
        <w:rPr>
          <w:rFonts w:asciiTheme="majorBidi" w:hAnsiTheme="majorBidi" w:cstheme="majorBidi"/>
          <w:color w:val="000000" w:themeColor="text1"/>
          <w:szCs w:val="24"/>
        </w:rPr>
        <w:t xml:space="preserve"> issues</w:t>
      </w:r>
      <w:r w:rsidRPr="004A0323">
        <w:rPr>
          <w:rFonts w:asciiTheme="majorBidi" w:hAnsiTheme="majorBidi" w:cstheme="majorBidi"/>
          <w:color w:val="000000" w:themeColor="text1"/>
          <w:szCs w:val="24"/>
        </w:rPr>
        <w:t xml:space="preserve"> limit such public disclosure. The Foundation use</w:t>
      </w:r>
      <w:r w:rsidR="00523C65" w:rsidRPr="004A0323">
        <w:rPr>
          <w:rFonts w:asciiTheme="majorBidi" w:hAnsiTheme="majorBidi" w:cstheme="majorBidi"/>
          <w:color w:val="000000" w:themeColor="text1"/>
          <w:szCs w:val="24"/>
        </w:rPr>
        <w:t>s</w:t>
      </w:r>
      <w:r w:rsidRPr="004A0323">
        <w:rPr>
          <w:rFonts w:asciiTheme="majorBidi" w:hAnsiTheme="majorBidi" w:cstheme="majorBidi"/>
          <w:color w:val="000000" w:themeColor="text1"/>
          <w:szCs w:val="24"/>
        </w:rPr>
        <w:t xml:space="preserve"> indicators focused on transparency to pressure companies to cede to public disclosure. </w:t>
      </w:r>
      <w:r w:rsidRPr="004A0323">
        <w:rPr>
          <w:rStyle w:val="CommentReference"/>
          <w:rFonts w:asciiTheme="majorBidi" w:hAnsiTheme="majorBidi" w:cstheme="majorBidi"/>
          <w:color w:val="000000" w:themeColor="text1"/>
          <w:sz w:val="24"/>
          <w:szCs w:val="24"/>
        </w:rPr>
        <w:t>Information disclosed to the Foundation without public disclosure</w:t>
      </w:r>
      <w:r w:rsidRPr="004A0323">
        <w:rPr>
          <w:rFonts w:asciiTheme="majorBidi" w:hAnsiTheme="majorBidi" w:cstheme="majorBidi"/>
          <w:color w:val="000000" w:themeColor="text1"/>
          <w:szCs w:val="24"/>
        </w:rPr>
        <w:t xml:space="preserve"> is useful only for ranking purposes, </w:t>
      </w:r>
      <w:r w:rsidR="003752A5" w:rsidRPr="004A0323">
        <w:rPr>
          <w:rFonts w:asciiTheme="majorBidi" w:hAnsiTheme="majorBidi" w:cstheme="majorBidi"/>
          <w:color w:val="000000" w:themeColor="text1"/>
          <w:szCs w:val="24"/>
        </w:rPr>
        <w:t xml:space="preserve">supporting competition based on the ranking </w:t>
      </w:r>
      <w:r w:rsidRPr="004A0323">
        <w:rPr>
          <w:rFonts w:asciiTheme="majorBidi" w:hAnsiTheme="majorBidi" w:cstheme="majorBidi"/>
          <w:color w:val="000000" w:themeColor="text1"/>
          <w:szCs w:val="24"/>
        </w:rPr>
        <w:t xml:space="preserve">but not learning among the companies. Therefore, these two key compliance mechanisms – competition and learning from best practice – remained somewhat </w:t>
      </w:r>
      <w:r w:rsidR="00EB35F6" w:rsidRPr="004A0323">
        <w:rPr>
          <w:rFonts w:asciiTheme="majorBidi" w:hAnsiTheme="majorBidi" w:cstheme="majorBidi"/>
          <w:color w:val="000000" w:themeColor="text1"/>
          <w:szCs w:val="24"/>
        </w:rPr>
        <w:t>in tension</w:t>
      </w:r>
      <w:r w:rsidRPr="004A0323">
        <w:rPr>
          <w:rFonts w:asciiTheme="majorBidi" w:hAnsiTheme="majorBidi" w:cstheme="majorBidi"/>
          <w:color w:val="000000" w:themeColor="text1"/>
          <w:szCs w:val="24"/>
        </w:rPr>
        <w:t xml:space="preserve">. Intermediation, in this context, meant </w:t>
      </w:r>
      <w:r w:rsidR="00A800C2" w:rsidRPr="004A0323">
        <w:rPr>
          <w:rFonts w:asciiTheme="majorBidi" w:hAnsiTheme="majorBidi" w:cstheme="majorBidi"/>
          <w:color w:val="000000" w:themeColor="text1"/>
          <w:szCs w:val="24"/>
        </w:rPr>
        <w:t xml:space="preserve">enticing </w:t>
      </w:r>
      <w:r w:rsidRPr="004A0323">
        <w:rPr>
          <w:rFonts w:asciiTheme="majorBidi" w:hAnsiTheme="majorBidi" w:cstheme="majorBidi"/>
          <w:color w:val="000000" w:themeColor="text1"/>
          <w:szCs w:val="24"/>
        </w:rPr>
        <w:t>disclosure and transparency by means of specific transparency indicators, while at the same time allowing for data protection in all those instances in which transparency was perceived by targets as a threat to the competitive game.</w:t>
      </w:r>
    </w:p>
    <w:p w14:paraId="7F2BD473" w14:textId="7189F781" w:rsidR="001A5FEF" w:rsidRPr="004A0323" w:rsidRDefault="00954433" w:rsidP="00F07D2A">
      <w:pPr>
        <w:pStyle w:val="Body"/>
        <w:spacing w:after="120"/>
        <w:ind w:firstLine="567"/>
        <w:rPr>
          <w:b/>
          <w:color w:val="000000" w:themeColor="text1"/>
        </w:rPr>
      </w:pPr>
      <w:r w:rsidRPr="004A0323">
        <w:rPr>
          <w:rFonts w:asciiTheme="majorBidi" w:hAnsiTheme="majorBidi" w:cstheme="majorBidi"/>
          <w:color w:val="000000" w:themeColor="text1"/>
          <w:szCs w:val="24"/>
        </w:rPr>
        <w:t>Thus, all three compliance mechanisms at play were supported by the performance measurement</w:t>
      </w:r>
      <w:r w:rsidR="00C31B08" w:rsidRPr="004A0323">
        <w:rPr>
          <w:rFonts w:asciiTheme="majorBidi" w:hAnsiTheme="majorBidi" w:cstheme="majorBidi"/>
          <w:color w:val="000000" w:themeColor="text1"/>
          <w:szCs w:val="24"/>
        </w:rPr>
        <w:t xml:space="preserve"> </w:t>
      </w:r>
      <w:r w:rsidR="009052D6" w:rsidRPr="004A0323">
        <w:rPr>
          <w:rFonts w:asciiTheme="majorBidi" w:hAnsiTheme="majorBidi" w:cstheme="majorBidi"/>
          <w:color w:val="000000" w:themeColor="text1"/>
          <w:szCs w:val="24"/>
        </w:rPr>
        <w:t>work of analysts</w:t>
      </w:r>
      <w:r w:rsidR="00C31B08" w:rsidRPr="004A0323">
        <w:rPr>
          <w:rFonts w:asciiTheme="majorBidi" w:hAnsiTheme="majorBidi" w:cstheme="majorBidi"/>
          <w:color w:val="000000" w:themeColor="text1"/>
          <w:szCs w:val="24"/>
        </w:rPr>
        <w:t xml:space="preserve">. </w:t>
      </w:r>
      <w:r w:rsidR="009052D6" w:rsidRPr="004A0323">
        <w:rPr>
          <w:rFonts w:asciiTheme="majorBidi" w:hAnsiTheme="majorBidi" w:cstheme="majorBidi"/>
          <w:color w:val="000000" w:themeColor="text1"/>
          <w:szCs w:val="24"/>
        </w:rPr>
        <w:t xml:space="preserve">These </w:t>
      </w:r>
      <w:r w:rsidR="00151790" w:rsidRPr="004A0323">
        <w:rPr>
          <w:rFonts w:asciiTheme="majorBidi" w:hAnsiTheme="majorBidi" w:cstheme="majorBidi"/>
          <w:color w:val="000000" w:themeColor="text1"/>
          <w:szCs w:val="24"/>
        </w:rPr>
        <w:t xml:space="preserve">were at times complementary </w:t>
      </w:r>
      <w:r w:rsidRPr="004A0323">
        <w:rPr>
          <w:rFonts w:asciiTheme="majorBidi" w:hAnsiTheme="majorBidi" w:cstheme="majorBidi"/>
          <w:color w:val="000000" w:themeColor="text1"/>
          <w:szCs w:val="24"/>
        </w:rPr>
        <w:t xml:space="preserve">but </w:t>
      </w:r>
      <w:r w:rsidR="00151790" w:rsidRPr="004A0323">
        <w:rPr>
          <w:rFonts w:asciiTheme="majorBidi" w:hAnsiTheme="majorBidi" w:cstheme="majorBidi"/>
          <w:color w:val="000000" w:themeColor="text1"/>
          <w:szCs w:val="24"/>
        </w:rPr>
        <w:t xml:space="preserve">also </w:t>
      </w:r>
      <w:r w:rsidRPr="004A0323">
        <w:rPr>
          <w:rFonts w:asciiTheme="majorBidi" w:hAnsiTheme="majorBidi" w:cstheme="majorBidi"/>
          <w:color w:val="000000" w:themeColor="text1"/>
          <w:szCs w:val="24"/>
        </w:rPr>
        <w:t xml:space="preserve">tended to partly </w:t>
      </w:r>
      <w:r w:rsidRPr="004A0323">
        <w:rPr>
          <w:rFonts w:asciiTheme="majorBidi" w:hAnsiTheme="majorBidi" w:cstheme="majorBidi"/>
          <w:color w:val="000000" w:themeColor="text1"/>
          <w:szCs w:val="24"/>
        </w:rPr>
        <w:lastRenderedPageBreak/>
        <w:t xml:space="preserve">conflict. Performance indicators were used to promote each of these mechanisms and to some extent allowed to mediate between them. </w:t>
      </w:r>
    </w:p>
    <w:p w14:paraId="67BD0011" w14:textId="6F3320B0" w:rsidR="00A30E5D" w:rsidRPr="004A0323" w:rsidRDefault="00A30E5D" w:rsidP="00F07D2A">
      <w:pPr>
        <w:pStyle w:val="Body"/>
        <w:numPr>
          <w:ilvl w:val="0"/>
          <w:numId w:val="1"/>
        </w:numPr>
        <w:rPr>
          <w:b/>
          <w:color w:val="000000" w:themeColor="text1"/>
        </w:rPr>
      </w:pPr>
      <w:r w:rsidRPr="004A0323">
        <w:rPr>
          <w:b/>
          <w:color w:val="000000" w:themeColor="text1"/>
        </w:rPr>
        <w:t>Discussion</w:t>
      </w:r>
    </w:p>
    <w:p w14:paraId="4EC14D3B" w14:textId="69674146" w:rsidR="00A30E5D" w:rsidRPr="004A0323" w:rsidRDefault="00A30E5D" w:rsidP="00F07D2A">
      <w:pPr>
        <w:spacing w:line="480" w:lineRule="auto"/>
        <w:ind w:firstLine="567"/>
        <w:jc w:val="both"/>
        <w:rPr>
          <w:rFonts w:eastAsia="Arial Unicode MS"/>
          <w:bdr w:val="nil"/>
          <w:lang w:val="en-US"/>
        </w:rPr>
      </w:pPr>
      <w:r w:rsidRPr="004A0323">
        <w:rPr>
          <w:rFonts w:ascii="Times New Roman" w:eastAsia="Arial Unicode MS" w:hAnsi="Times New Roman" w:cs="Arial Unicode MS"/>
          <w:szCs w:val="23"/>
          <w:bdr w:val="nil"/>
          <w:lang w:val="en-US"/>
        </w:rPr>
        <w:t xml:space="preserve">The Access to Medicine Foundation provides an interesting example of an emergent “unofficial” intermediary (Mena </w:t>
      </w:r>
      <w:r w:rsidRPr="004A0323">
        <w:rPr>
          <w:rFonts w:eastAsia="Arial Unicode MS"/>
          <w:i/>
          <w:szCs w:val="23"/>
          <w:bdr w:val="nil"/>
          <w:lang w:val="en-US"/>
        </w:rPr>
        <w:t>et al.</w:t>
      </w:r>
      <w:r w:rsidRPr="004A0323">
        <w:rPr>
          <w:rFonts w:ascii="Times New Roman" w:eastAsia="Arial Unicode MS" w:hAnsi="Times New Roman" w:cs="Arial Unicode MS"/>
          <w:szCs w:val="23"/>
          <w:bdr w:val="nil"/>
          <w:lang w:val="en-US"/>
        </w:rPr>
        <w:t xml:space="preserve"> this issue) combinin</w:t>
      </w:r>
      <w:r w:rsidR="006F5E8D" w:rsidRPr="004A0323">
        <w:rPr>
          <w:rFonts w:ascii="Times New Roman" w:eastAsia="Arial Unicode MS" w:hAnsi="Times New Roman" w:cs="Arial Unicode MS"/>
          <w:szCs w:val="23"/>
          <w:bdr w:val="nil"/>
          <w:lang w:val="en-US"/>
        </w:rPr>
        <w:t xml:space="preserve">g second </w:t>
      </w:r>
      <w:r w:rsidRPr="004A0323">
        <w:rPr>
          <w:rFonts w:ascii="Times New Roman" w:eastAsia="Arial Unicode MS" w:hAnsi="Times New Roman" w:cs="Arial Unicode MS"/>
          <w:szCs w:val="23"/>
          <w:bdr w:val="nil"/>
          <w:lang w:val="en-US"/>
        </w:rPr>
        <w:t xml:space="preserve">order rule-making in the guise of stakeholder consultation and </w:t>
      </w:r>
      <w:r w:rsidR="00F35E94" w:rsidRPr="004A0323">
        <w:rPr>
          <w:rFonts w:ascii="Times New Roman" w:eastAsia="Arial Unicode MS" w:hAnsi="Times New Roman" w:cs="Arial Unicode MS"/>
          <w:szCs w:val="23"/>
          <w:bdr w:val="nil"/>
          <w:lang w:val="en-US"/>
        </w:rPr>
        <w:t xml:space="preserve">indicator </w:t>
      </w:r>
      <w:r w:rsidRPr="004A0323">
        <w:rPr>
          <w:rFonts w:ascii="Times New Roman" w:eastAsia="Arial Unicode MS" w:hAnsi="Times New Roman" w:cs="Arial Unicode MS"/>
          <w:szCs w:val="23"/>
          <w:bdr w:val="nil"/>
          <w:lang w:val="en-US"/>
        </w:rPr>
        <w:t>design with regulatory intermediation through monitorin</w:t>
      </w:r>
      <w:r w:rsidR="00F35E94" w:rsidRPr="004A0323">
        <w:rPr>
          <w:rFonts w:ascii="Times New Roman" w:eastAsia="Arial Unicode MS" w:hAnsi="Times New Roman" w:cs="Arial Unicode MS"/>
          <w:szCs w:val="23"/>
          <w:bdr w:val="nil"/>
          <w:lang w:val="en-US"/>
        </w:rPr>
        <w:t>g</w:t>
      </w:r>
      <w:r w:rsidRPr="004A0323">
        <w:rPr>
          <w:rFonts w:ascii="Times New Roman" w:eastAsia="Arial Unicode MS" w:hAnsi="Times New Roman" w:cs="Arial Unicode MS"/>
          <w:szCs w:val="23"/>
          <w:bdr w:val="nil"/>
          <w:lang w:val="en-US"/>
        </w:rPr>
        <w:t xml:space="preserve"> targets and enticing compliance by means of performance measurement and ranking. </w:t>
      </w:r>
      <w:r w:rsidR="00F35E94" w:rsidRPr="004A0323">
        <w:rPr>
          <w:rFonts w:ascii="Times New Roman" w:eastAsia="Arial Unicode MS" w:hAnsi="Times New Roman" w:cs="Arial Unicode MS"/>
          <w:szCs w:val="23"/>
          <w:bdr w:val="nil"/>
          <w:lang w:val="en-US"/>
        </w:rPr>
        <w:t xml:space="preserve">This initiative </w:t>
      </w:r>
      <w:r w:rsidRPr="004A0323">
        <w:rPr>
          <w:rFonts w:ascii="Times New Roman" w:eastAsia="Arial Unicode MS" w:hAnsi="Times New Roman" w:cs="Arial Unicode MS"/>
          <w:szCs w:val="23"/>
          <w:bdr w:val="nil"/>
          <w:lang w:val="en-US"/>
        </w:rPr>
        <w:t>was launched without delegation or mandate from neither the regulator(s) nor the targets (Marx &amp; Wouters 2017). It rose in a field rampant with conflict, wherein fragmented and polarized attempts at setting the rules for the pharmaceutical companies vis-à-vis the access to medicine problem were made on the one hand by various NGOs and Souther</w:t>
      </w:r>
      <w:r w:rsidR="000A2D51" w:rsidRPr="004A0323">
        <w:rPr>
          <w:rFonts w:ascii="Times New Roman" w:eastAsia="Arial Unicode MS" w:hAnsi="Times New Roman" w:cs="Arial Unicode MS"/>
          <w:szCs w:val="23"/>
          <w:bdr w:val="nil"/>
          <w:lang w:val="en-US"/>
        </w:rPr>
        <w:t xml:space="preserve">n </w:t>
      </w:r>
      <w:r w:rsidRPr="004A0323">
        <w:rPr>
          <w:rFonts w:ascii="Times New Roman" w:eastAsia="Arial Unicode MS" w:hAnsi="Times New Roman" w:cs="Arial Unicode MS"/>
          <w:szCs w:val="23"/>
          <w:bdr w:val="nil"/>
          <w:lang w:val="en-US"/>
        </w:rPr>
        <w:t>governments and on the other by the industry itself</w:t>
      </w:r>
      <w:r w:rsidR="009052D6" w:rsidRPr="004A0323">
        <w:rPr>
          <w:rFonts w:ascii="Times New Roman" w:eastAsia="Arial Unicode MS" w:hAnsi="Times New Roman" w:cs="Arial Unicode MS"/>
          <w:szCs w:val="23"/>
          <w:bdr w:val="nil"/>
          <w:lang w:val="en-US"/>
        </w:rPr>
        <w:t xml:space="preserve">, </w:t>
      </w:r>
      <w:r w:rsidR="003A5455" w:rsidRPr="004A0323">
        <w:rPr>
          <w:rFonts w:ascii="Times New Roman" w:eastAsia="Arial Unicode MS" w:hAnsi="Times New Roman" w:cs="Arial Unicode MS"/>
          <w:szCs w:val="23"/>
          <w:bdr w:val="nil"/>
          <w:lang w:val="en-US"/>
        </w:rPr>
        <w:t>with</w:t>
      </w:r>
      <w:r w:rsidR="009052D6" w:rsidRPr="004A0323">
        <w:rPr>
          <w:rFonts w:ascii="Times New Roman" w:eastAsia="Arial Unicode MS" w:hAnsi="Times New Roman" w:cs="Arial Unicode MS"/>
          <w:szCs w:val="23"/>
          <w:bdr w:val="nil"/>
          <w:lang w:val="en-US"/>
        </w:rPr>
        <w:t xml:space="preserve"> the WHO and United Nations p</w:t>
      </w:r>
      <w:r w:rsidR="003A5455" w:rsidRPr="004A0323">
        <w:rPr>
          <w:rFonts w:ascii="Times New Roman" w:eastAsia="Arial Unicode MS" w:hAnsi="Times New Roman" w:cs="Arial Unicode MS"/>
          <w:szCs w:val="23"/>
          <w:bdr w:val="nil"/>
          <w:lang w:val="en-US"/>
        </w:rPr>
        <w:t>romoting</w:t>
      </w:r>
      <w:r w:rsidR="009052D6" w:rsidRPr="004A0323">
        <w:rPr>
          <w:rFonts w:ascii="Times New Roman" w:eastAsia="Arial Unicode MS" w:hAnsi="Times New Roman" w:cs="Arial Unicode MS"/>
          <w:szCs w:val="23"/>
          <w:bdr w:val="nil"/>
          <w:lang w:val="en-US"/>
        </w:rPr>
        <w:t xml:space="preserve"> </w:t>
      </w:r>
      <w:r w:rsidR="007E20D8" w:rsidRPr="004A0323">
        <w:rPr>
          <w:rFonts w:ascii="Times New Roman" w:eastAsia="Arial Unicode MS" w:hAnsi="Times New Roman" w:cs="Arial Unicode MS"/>
          <w:szCs w:val="23"/>
          <w:bdr w:val="nil"/>
          <w:lang w:val="en-US"/>
        </w:rPr>
        <w:t xml:space="preserve">broader health policy standards and </w:t>
      </w:r>
      <w:r w:rsidR="009052D6" w:rsidRPr="004A0323">
        <w:rPr>
          <w:rFonts w:ascii="Times New Roman" w:eastAsia="Arial Unicode MS" w:hAnsi="Times New Roman" w:cs="Arial Unicode MS"/>
          <w:szCs w:val="23"/>
          <w:bdr w:val="nil"/>
          <w:lang w:val="en-US"/>
        </w:rPr>
        <w:t>awareness of the problem</w:t>
      </w:r>
      <w:r w:rsidR="000A2D51" w:rsidRPr="004A0323">
        <w:rPr>
          <w:rFonts w:ascii="Times New Roman" w:eastAsia="Arial Unicode MS" w:hAnsi="Times New Roman" w:cs="Arial Unicode MS"/>
          <w:szCs w:val="23"/>
          <w:bdr w:val="nil"/>
          <w:lang w:val="en-US"/>
        </w:rPr>
        <w:t>.</w:t>
      </w:r>
    </w:p>
    <w:p w14:paraId="063E1560" w14:textId="61F19DFB" w:rsidR="0039217E" w:rsidRPr="004A0323" w:rsidRDefault="00A30E5D" w:rsidP="0039217E">
      <w:pPr>
        <w:spacing w:line="480" w:lineRule="auto"/>
        <w:ind w:firstLine="567"/>
        <w:jc w:val="both"/>
        <w:rPr>
          <w:rFonts w:ascii="Times New Roman" w:eastAsia="Arial Unicode MS" w:hAnsi="Times New Roman" w:cs="Arial Unicode MS"/>
          <w:szCs w:val="23"/>
          <w:bdr w:val="nil"/>
          <w:lang w:val="en-US"/>
        </w:rPr>
      </w:pPr>
      <w:r w:rsidRPr="004A0323">
        <w:rPr>
          <w:rFonts w:ascii="Times New Roman" w:eastAsia="Arial Unicode MS" w:hAnsi="Times New Roman" w:cs="Arial Unicode MS"/>
          <w:szCs w:val="23"/>
          <w:bdr w:val="nil"/>
          <w:lang w:val="en-US"/>
        </w:rPr>
        <w:t>The intermediation studied here, with performance measurement and benchmarking as its cornerstones, is part and parcel of the broader trend of “trust in numbers” in public life (Porter 1996) as a basis for monitoring, audit and accountability (Garsten &amp; De Montoya 2008</w:t>
      </w:r>
      <w:r w:rsidR="00F35E94" w:rsidRPr="004A0323">
        <w:rPr>
          <w:rFonts w:ascii="Times New Roman" w:eastAsia="Arial Unicode MS" w:hAnsi="Times New Roman" w:cs="Arial Unicode MS"/>
          <w:szCs w:val="23"/>
          <w:bdr w:val="nil"/>
          <w:lang w:val="en-US"/>
        </w:rPr>
        <w:t>; Power 1999</w:t>
      </w:r>
      <w:r w:rsidRPr="004A0323">
        <w:rPr>
          <w:rFonts w:ascii="Times New Roman" w:eastAsia="Arial Unicode MS" w:hAnsi="Times New Roman" w:cs="Arial Unicode MS"/>
          <w:szCs w:val="23"/>
          <w:bdr w:val="nil"/>
          <w:lang w:val="en-US"/>
        </w:rPr>
        <w:t xml:space="preserve">). This reliance on transparency based on numbers organized in various devices such as indicators, ratings and rankings (Merry </w:t>
      </w:r>
      <w:r w:rsidRPr="004A0323">
        <w:rPr>
          <w:rFonts w:ascii="Times New Roman" w:eastAsia="Arial Unicode MS" w:hAnsi="Times New Roman" w:cs="Arial Unicode MS"/>
          <w:i/>
          <w:szCs w:val="23"/>
          <w:bdr w:val="nil"/>
          <w:lang w:val="en-US"/>
        </w:rPr>
        <w:t xml:space="preserve">et al. </w:t>
      </w:r>
      <w:r w:rsidRPr="004A0323">
        <w:rPr>
          <w:rFonts w:ascii="Times New Roman" w:eastAsia="Arial Unicode MS" w:hAnsi="Times New Roman" w:cs="Arial Unicode MS"/>
          <w:szCs w:val="23"/>
          <w:bdr w:val="nil"/>
          <w:lang w:val="en-US"/>
        </w:rPr>
        <w:t xml:space="preserve">2012; Rottenburg </w:t>
      </w:r>
      <w:r w:rsidRPr="004A0323">
        <w:rPr>
          <w:rFonts w:eastAsia="Arial Unicode MS"/>
          <w:i/>
          <w:szCs w:val="23"/>
          <w:bdr w:val="nil"/>
          <w:lang w:val="en-US"/>
        </w:rPr>
        <w:t xml:space="preserve">et al. </w:t>
      </w:r>
      <w:r w:rsidRPr="004A0323">
        <w:rPr>
          <w:rFonts w:ascii="Times New Roman" w:eastAsia="Arial Unicode MS" w:hAnsi="Times New Roman" w:cs="Arial Unicode MS"/>
          <w:szCs w:val="23"/>
          <w:bdr w:val="nil"/>
          <w:lang w:val="en-US"/>
        </w:rPr>
        <w:t xml:space="preserve">2015) </w:t>
      </w:r>
      <w:r w:rsidR="00F35E94" w:rsidRPr="004A0323">
        <w:rPr>
          <w:rFonts w:ascii="Times New Roman" w:eastAsia="Arial Unicode MS" w:hAnsi="Times New Roman" w:cs="Arial Unicode MS"/>
          <w:szCs w:val="23"/>
          <w:bdr w:val="nil"/>
          <w:lang w:val="en-US"/>
        </w:rPr>
        <w:t>speak</w:t>
      </w:r>
      <w:r w:rsidRPr="004A0323">
        <w:rPr>
          <w:rFonts w:ascii="Times New Roman" w:eastAsia="Arial Unicode MS" w:hAnsi="Times New Roman" w:cs="Arial Unicode MS"/>
          <w:szCs w:val="23"/>
          <w:bdr w:val="nil"/>
          <w:lang w:val="en-US"/>
        </w:rPr>
        <w:t>s</w:t>
      </w:r>
      <w:r w:rsidR="00F35E94" w:rsidRPr="004A0323">
        <w:rPr>
          <w:rFonts w:ascii="Times New Roman" w:eastAsia="Arial Unicode MS" w:hAnsi="Times New Roman" w:cs="Arial Unicode MS"/>
          <w:szCs w:val="23"/>
          <w:bdr w:val="nil"/>
          <w:lang w:val="en-US"/>
        </w:rPr>
        <w:t xml:space="preserve"> of</w:t>
      </w:r>
      <w:r w:rsidRPr="004A0323">
        <w:rPr>
          <w:rFonts w:ascii="Times New Roman" w:eastAsia="Arial Unicode MS" w:hAnsi="Times New Roman" w:cs="Arial Unicode MS"/>
          <w:szCs w:val="23"/>
          <w:bdr w:val="nil"/>
          <w:lang w:val="en-US"/>
        </w:rPr>
        <w:t xml:space="preserve"> a </w:t>
      </w:r>
      <w:r w:rsidR="00271247" w:rsidRPr="004A0323">
        <w:rPr>
          <w:rFonts w:ascii="Times New Roman" w:eastAsia="Arial Unicode MS" w:hAnsi="Times New Roman" w:cs="Arial Unicode MS"/>
          <w:szCs w:val="23"/>
          <w:bdr w:val="nil"/>
          <w:lang w:val="en-US"/>
        </w:rPr>
        <w:t>calculative turn in regulation and governance</w:t>
      </w:r>
      <w:r w:rsidR="00F35E94" w:rsidRPr="004A0323">
        <w:rPr>
          <w:rFonts w:ascii="Times New Roman" w:eastAsia="Arial Unicode MS" w:hAnsi="Times New Roman" w:cs="Arial Unicode MS"/>
          <w:szCs w:val="23"/>
          <w:bdr w:val="nil"/>
          <w:lang w:val="en-US"/>
        </w:rPr>
        <w:t>, especially evident at the transnational level</w:t>
      </w:r>
      <w:r w:rsidR="00271247" w:rsidRPr="004A0323">
        <w:rPr>
          <w:rFonts w:ascii="Times New Roman" w:eastAsia="Arial Unicode MS" w:hAnsi="Times New Roman" w:cs="Arial Unicode MS"/>
          <w:szCs w:val="23"/>
          <w:bdr w:val="nil"/>
          <w:lang w:val="en-US"/>
        </w:rPr>
        <w:t xml:space="preserve"> (Malito </w:t>
      </w:r>
      <w:r w:rsidR="00271247" w:rsidRPr="004A0323">
        <w:rPr>
          <w:rFonts w:ascii="Times New Roman" w:eastAsia="Arial Unicode MS" w:hAnsi="Times New Roman" w:cs="Arial Unicode MS"/>
          <w:i/>
          <w:szCs w:val="23"/>
          <w:bdr w:val="nil"/>
          <w:lang w:val="en-US"/>
        </w:rPr>
        <w:t>et al.</w:t>
      </w:r>
      <w:r w:rsidR="00271247" w:rsidRPr="004A0323">
        <w:rPr>
          <w:rFonts w:ascii="Times New Roman" w:eastAsia="Arial Unicode MS" w:hAnsi="Times New Roman" w:cs="Arial Unicode MS"/>
          <w:szCs w:val="23"/>
          <w:bdr w:val="nil"/>
          <w:lang w:val="en-US"/>
        </w:rPr>
        <w:t xml:space="preserve"> 2018)</w:t>
      </w:r>
      <w:r w:rsidRPr="004A0323">
        <w:rPr>
          <w:rFonts w:ascii="Times New Roman" w:eastAsia="Arial Unicode MS" w:hAnsi="Times New Roman" w:cs="Arial Unicode MS"/>
          <w:szCs w:val="23"/>
          <w:bdr w:val="nil"/>
          <w:lang w:val="en-US"/>
        </w:rPr>
        <w:t xml:space="preserve">. </w:t>
      </w:r>
      <w:r w:rsidR="00887D73" w:rsidRPr="004A0323">
        <w:rPr>
          <w:rFonts w:ascii="Times New Roman" w:eastAsia="Arial Unicode MS" w:hAnsi="Times New Roman" w:cs="Arial Unicode MS"/>
          <w:szCs w:val="23"/>
          <w:bdr w:val="nil"/>
          <w:lang w:val="en-US"/>
        </w:rPr>
        <w:t>Our case foregrounds several ways in which performance measurement</w:t>
      </w:r>
      <w:r w:rsidR="007E20D8" w:rsidRPr="004A0323">
        <w:rPr>
          <w:rFonts w:ascii="Times New Roman" w:eastAsia="Arial Unicode MS" w:hAnsi="Times New Roman" w:cs="Arial Unicode MS"/>
          <w:szCs w:val="23"/>
          <w:bdr w:val="nil"/>
          <w:lang w:val="en-US"/>
        </w:rPr>
        <w:t xml:space="preserve"> can work as a form of regulatory intermediation,</w:t>
      </w:r>
      <w:r w:rsidR="00887D73" w:rsidRPr="004A0323">
        <w:rPr>
          <w:rFonts w:ascii="Times New Roman" w:eastAsia="Arial Unicode MS" w:hAnsi="Times New Roman" w:cs="Arial Unicode MS"/>
          <w:szCs w:val="23"/>
          <w:bdr w:val="nil"/>
          <w:lang w:val="en-US"/>
        </w:rPr>
        <w:t xml:space="preserve"> </w:t>
      </w:r>
      <w:r w:rsidR="007E20D8" w:rsidRPr="004A0323">
        <w:rPr>
          <w:rFonts w:ascii="Times New Roman" w:eastAsia="Arial Unicode MS" w:hAnsi="Times New Roman" w:cs="Arial Unicode MS"/>
          <w:szCs w:val="23"/>
          <w:bdr w:val="nil"/>
          <w:lang w:val="en-US"/>
        </w:rPr>
        <w:t>variously</w:t>
      </w:r>
      <w:r w:rsidR="00887D73" w:rsidRPr="004A0323">
        <w:rPr>
          <w:rFonts w:ascii="Times New Roman" w:eastAsia="Arial Unicode MS" w:hAnsi="Times New Roman" w:cs="Arial Unicode MS"/>
          <w:szCs w:val="23"/>
          <w:bdr w:val="nil"/>
          <w:lang w:val="en-US"/>
        </w:rPr>
        <w:t xml:space="preserve"> </w:t>
      </w:r>
      <w:r w:rsidR="007E20D8" w:rsidRPr="004A0323">
        <w:rPr>
          <w:rFonts w:ascii="Times New Roman" w:eastAsia="Arial Unicode MS" w:hAnsi="Times New Roman" w:cs="Arial Unicode MS"/>
          <w:szCs w:val="23"/>
          <w:bdr w:val="nil"/>
          <w:lang w:val="en-US"/>
        </w:rPr>
        <w:t>supporting</w:t>
      </w:r>
      <w:r w:rsidR="00887D73" w:rsidRPr="004A0323">
        <w:rPr>
          <w:rFonts w:ascii="Times New Roman" w:eastAsia="Arial Unicode MS" w:hAnsi="Times New Roman" w:cs="Arial Unicode MS"/>
          <w:szCs w:val="23"/>
          <w:bdr w:val="nil"/>
          <w:lang w:val="en-US"/>
        </w:rPr>
        <w:t xml:space="preserve"> </w:t>
      </w:r>
      <w:r w:rsidR="007E20D8" w:rsidRPr="004A0323">
        <w:rPr>
          <w:rFonts w:ascii="Times New Roman" w:eastAsia="Arial Unicode MS" w:hAnsi="Times New Roman" w:cs="Arial Unicode MS"/>
          <w:szCs w:val="23"/>
          <w:bdr w:val="nil"/>
          <w:lang w:val="en-US"/>
        </w:rPr>
        <w:t xml:space="preserve">a multi-stakeholder </w:t>
      </w:r>
      <w:r w:rsidR="00887D73" w:rsidRPr="004A0323">
        <w:rPr>
          <w:rFonts w:ascii="Times New Roman" w:eastAsia="Arial Unicode MS" w:hAnsi="Times New Roman" w:cs="Arial Unicode MS"/>
          <w:szCs w:val="23"/>
          <w:bdr w:val="nil"/>
          <w:lang w:val="en-US"/>
        </w:rPr>
        <w:t xml:space="preserve">intermediary’s </w:t>
      </w:r>
      <w:r w:rsidR="007E20D8" w:rsidRPr="004A0323">
        <w:rPr>
          <w:rFonts w:ascii="Times New Roman" w:eastAsia="Arial Unicode MS" w:hAnsi="Times New Roman" w:cs="Arial Unicode MS"/>
          <w:szCs w:val="23"/>
          <w:bdr w:val="nil"/>
          <w:lang w:val="en-US"/>
        </w:rPr>
        <w:t xml:space="preserve">efforts to achieve and sustain </w:t>
      </w:r>
      <w:r w:rsidR="00887D73" w:rsidRPr="004A0323">
        <w:rPr>
          <w:rFonts w:ascii="Times New Roman" w:eastAsia="Arial Unicode MS" w:hAnsi="Times New Roman" w:cs="Arial Unicode MS"/>
          <w:szCs w:val="23"/>
          <w:bdr w:val="nil"/>
          <w:lang w:val="en-US"/>
        </w:rPr>
        <w:t>input and output legitimacy and its attempts at enticing compliance among targets,</w:t>
      </w:r>
      <w:r w:rsidR="00BF28AE" w:rsidRPr="004A0323">
        <w:rPr>
          <w:rFonts w:ascii="Times New Roman" w:eastAsia="Arial Unicode MS" w:hAnsi="Times New Roman" w:cs="Arial Unicode MS"/>
          <w:szCs w:val="23"/>
          <w:bdr w:val="nil"/>
          <w:lang w:val="en-US"/>
        </w:rPr>
        <w:t xml:space="preserve"> detailed</w:t>
      </w:r>
      <w:r w:rsidR="0088048C" w:rsidRPr="004A0323">
        <w:rPr>
          <w:rFonts w:ascii="Times New Roman" w:eastAsia="Arial Unicode MS" w:hAnsi="Times New Roman" w:cs="Arial Unicode MS"/>
          <w:szCs w:val="23"/>
          <w:bdr w:val="nil"/>
          <w:lang w:val="en-US"/>
        </w:rPr>
        <w:t xml:space="preserve"> in table 1. (below) and</w:t>
      </w:r>
      <w:r w:rsidR="00BF28AE" w:rsidRPr="004A0323">
        <w:rPr>
          <w:rFonts w:ascii="Times New Roman" w:eastAsia="Arial Unicode MS" w:hAnsi="Times New Roman" w:cs="Arial Unicode MS"/>
          <w:szCs w:val="23"/>
          <w:bdr w:val="nil"/>
          <w:lang w:val="en-US"/>
        </w:rPr>
        <w:t xml:space="preserve"> in the remainder of this section</w:t>
      </w:r>
      <w:r w:rsidR="00887D73" w:rsidRPr="004A0323">
        <w:rPr>
          <w:rFonts w:ascii="Times New Roman" w:eastAsia="Arial Unicode MS" w:hAnsi="Times New Roman" w:cs="Arial Unicode MS"/>
          <w:szCs w:val="23"/>
          <w:bdr w:val="nil"/>
          <w:lang w:val="en-US"/>
        </w:rPr>
        <w:t>.</w:t>
      </w:r>
    </w:p>
    <w:p w14:paraId="29E155C7" w14:textId="08BAF0DA" w:rsidR="0039217E" w:rsidRPr="004A0323" w:rsidRDefault="00042BF5" w:rsidP="0039217E">
      <w:pPr>
        <w:spacing w:line="480" w:lineRule="auto"/>
        <w:ind w:firstLine="567"/>
        <w:jc w:val="center"/>
        <w:rPr>
          <w:rFonts w:eastAsia="Arial Unicode MS"/>
          <w:b/>
          <w:bCs/>
          <w:bdr w:val="nil"/>
          <w:lang w:val="en-US"/>
        </w:rPr>
      </w:pPr>
      <w:r w:rsidRPr="004A0323">
        <w:rPr>
          <w:rFonts w:eastAsia="Arial Unicode MS"/>
          <w:b/>
          <w:bCs/>
          <w:bdr w:val="nil"/>
          <w:lang w:val="en-US"/>
        </w:rPr>
        <w:t xml:space="preserve"> [</w:t>
      </w:r>
      <w:r w:rsidR="0039217E" w:rsidRPr="004A0323">
        <w:rPr>
          <w:rFonts w:eastAsia="Arial Unicode MS"/>
          <w:b/>
          <w:bCs/>
          <w:bdr w:val="nil"/>
          <w:lang w:val="en-US"/>
        </w:rPr>
        <w:t>Please insert table 1. about here.</w:t>
      </w:r>
      <w:r w:rsidRPr="004A0323">
        <w:rPr>
          <w:rFonts w:eastAsia="Arial Unicode MS"/>
          <w:b/>
          <w:bCs/>
          <w:bdr w:val="nil"/>
          <w:lang w:val="en-US"/>
        </w:rPr>
        <w:t>]</w:t>
      </w:r>
    </w:p>
    <w:p w14:paraId="06B695CB" w14:textId="77777777" w:rsidR="00042BF5" w:rsidRPr="004A0323" w:rsidRDefault="00042BF5" w:rsidP="0039217E">
      <w:pPr>
        <w:spacing w:line="480" w:lineRule="auto"/>
        <w:ind w:firstLine="567"/>
        <w:jc w:val="center"/>
        <w:rPr>
          <w:rFonts w:eastAsia="Arial Unicode MS"/>
          <w:b/>
          <w:bCs/>
          <w:bdr w:val="nil"/>
          <w:lang w:val="en-US"/>
        </w:rPr>
      </w:pPr>
    </w:p>
    <w:p w14:paraId="66BA7202" w14:textId="2CB3C7A6" w:rsidR="00A30E5D" w:rsidRPr="004A0323" w:rsidRDefault="00A30E5D" w:rsidP="00513F10">
      <w:pPr>
        <w:spacing w:line="480" w:lineRule="auto"/>
        <w:ind w:firstLine="567"/>
        <w:jc w:val="both"/>
        <w:rPr>
          <w:rFonts w:eastAsia="Arial Unicode MS"/>
          <w:i/>
          <w:bdr w:val="nil"/>
          <w:lang w:val="en-US"/>
        </w:rPr>
      </w:pPr>
      <w:r w:rsidRPr="004A0323">
        <w:rPr>
          <w:rFonts w:eastAsia="Arial Unicode MS"/>
          <w:i/>
          <w:bdr w:val="nil"/>
          <w:lang w:val="en-US"/>
        </w:rPr>
        <w:t>6.</w:t>
      </w:r>
      <w:r w:rsidR="00025BEE" w:rsidRPr="004A0323">
        <w:rPr>
          <w:rFonts w:eastAsia="Arial Unicode MS"/>
          <w:i/>
          <w:bdr w:val="nil"/>
          <w:lang w:val="en-US"/>
        </w:rPr>
        <w:t>1</w:t>
      </w:r>
      <w:r w:rsidRPr="004A0323">
        <w:rPr>
          <w:rFonts w:eastAsia="Arial Unicode MS"/>
          <w:i/>
          <w:bdr w:val="nil"/>
          <w:lang w:val="en-US"/>
        </w:rPr>
        <w:t xml:space="preserve"> Performance measurement, input legitimacy and formalization</w:t>
      </w:r>
    </w:p>
    <w:p w14:paraId="35BE2717" w14:textId="7EB7F1A5" w:rsidR="003A5455" w:rsidRPr="004A0323" w:rsidRDefault="00887D73" w:rsidP="00887D73">
      <w:pPr>
        <w:spacing w:line="480" w:lineRule="auto"/>
        <w:ind w:firstLine="567"/>
        <w:jc w:val="both"/>
        <w:rPr>
          <w:rFonts w:ascii="Times New Roman" w:eastAsia="Arial Unicode MS" w:hAnsi="Times New Roman" w:cs="Arial Unicode MS"/>
          <w:szCs w:val="23"/>
          <w:bdr w:val="nil"/>
          <w:lang w:val="en-US"/>
        </w:rPr>
      </w:pPr>
      <w:r w:rsidRPr="004A0323">
        <w:rPr>
          <w:rFonts w:ascii="Times New Roman" w:eastAsia="Arial Unicode MS" w:hAnsi="Times New Roman" w:cs="Arial Unicode MS"/>
          <w:szCs w:val="23"/>
          <w:bdr w:val="nil"/>
          <w:lang w:val="en-US"/>
        </w:rPr>
        <w:t>The Foundation’s extensive focus on input legitimacy through stakeholder consultation in the early years of the Index was aimed at establishing a stakeholder mandate based on a consensus that would in a way emulate the missing official mandate</w:t>
      </w:r>
      <w:r w:rsidR="007E20D8" w:rsidRPr="004A0323">
        <w:rPr>
          <w:rFonts w:ascii="Times New Roman" w:eastAsia="Arial Unicode MS" w:hAnsi="Times New Roman" w:cs="Arial Unicode MS"/>
          <w:szCs w:val="23"/>
          <w:bdr w:val="nil"/>
          <w:lang w:val="en-US"/>
        </w:rPr>
        <w:t xml:space="preserve"> for its intermediation efforts</w:t>
      </w:r>
      <w:r w:rsidRPr="004A0323">
        <w:rPr>
          <w:rFonts w:ascii="Times New Roman" w:eastAsia="Arial Unicode MS" w:hAnsi="Times New Roman" w:cs="Arial Unicode MS"/>
          <w:szCs w:val="23"/>
          <w:bdr w:val="nil"/>
          <w:lang w:val="en-US"/>
        </w:rPr>
        <w:t>.  The Foundation had to construct and maintain this somewhat fragile mandate through “officialization struggles” aimed at mediating between, and reconciling demands from, several powerful constituencies with more or less formalized claims on the pharmaceutical industry. Through its consensus-building work, the Foundation essentially engage</w:t>
      </w:r>
      <w:r w:rsidR="003A5455" w:rsidRPr="004A0323">
        <w:rPr>
          <w:rFonts w:ascii="Times New Roman" w:eastAsia="Arial Unicode MS" w:hAnsi="Times New Roman" w:cs="Arial Unicode MS"/>
          <w:szCs w:val="23"/>
          <w:bdr w:val="nil"/>
          <w:lang w:val="en-US"/>
        </w:rPr>
        <w:t>d</w:t>
      </w:r>
      <w:r w:rsidRPr="004A0323">
        <w:rPr>
          <w:rFonts w:ascii="Times New Roman" w:eastAsia="Arial Unicode MS" w:hAnsi="Times New Roman" w:cs="Arial Unicode MS"/>
          <w:szCs w:val="23"/>
          <w:bdr w:val="nil"/>
          <w:lang w:val="en-US"/>
        </w:rPr>
        <w:t xml:space="preserve"> in “second order rule-making” to reconcile the fragmented rules different stakeholders would like to impose on the industry, and to come up with a consensual agenda </w:t>
      </w:r>
      <w:r w:rsidR="00891F52" w:rsidRPr="004A0323">
        <w:rPr>
          <w:rFonts w:ascii="Times New Roman" w:eastAsia="Arial Unicode MS" w:hAnsi="Times New Roman" w:cs="Arial Unicode MS"/>
          <w:szCs w:val="23"/>
          <w:bdr w:val="nil"/>
          <w:lang w:val="en-US"/>
        </w:rPr>
        <w:t>or</w:t>
      </w:r>
      <w:r w:rsidR="00E8781B" w:rsidRPr="004A0323">
        <w:rPr>
          <w:rFonts w:ascii="Times New Roman" w:eastAsia="Arial Unicode MS" w:hAnsi="Times New Roman" w:cs="Arial Unicode MS"/>
          <w:szCs w:val="23"/>
          <w:bdr w:val="nil"/>
          <w:lang w:val="en-US"/>
        </w:rPr>
        <w:t xml:space="preserve"> at least a</w:t>
      </w:r>
      <w:r w:rsidR="00891F52" w:rsidRPr="004A0323">
        <w:rPr>
          <w:rFonts w:ascii="Times New Roman" w:eastAsia="Arial Unicode MS" w:hAnsi="Times New Roman" w:cs="Arial Unicode MS"/>
          <w:szCs w:val="23"/>
          <w:bdr w:val="nil"/>
          <w:lang w:val="en-US"/>
        </w:rPr>
        <w:t xml:space="preserve"> “reasonable disagreement” (Mena &amp; Palazzo 2012)</w:t>
      </w:r>
      <w:r w:rsidRPr="004A0323">
        <w:rPr>
          <w:rFonts w:ascii="Times New Roman" w:eastAsia="Arial Unicode MS" w:hAnsi="Times New Roman" w:cs="Arial Unicode MS"/>
          <w:szCs w:val="23"/>
          <w:bdr w:val="nil"/>
          <w:lang w:val="en-US"/>
        </w:rPr>
        <w:t xml:space="preserve">. </w:t>
      </w:r>
    </w:p>
    <w:p w14:paraId="6C66CC00" w14:textId="58093940" w:rsidR="00887D73" w:rsidRPr="004A0323" w:rsidRDefault="00887D73" w:rsidP="00887D73">
      <w:pPr>
        <w:spacing w:line="480" w:lineRule="auto"/>
        <w:ind w:firstLine="567"/>
        <w:jc w:val="both"/>
        <w:rPr>
          <w:rFonts w:eastAsia="Arial Unicode MS"/>
          <w:bdr w:val="nil"/>
          <w:lang w:val="en-US"/>
        </w:rPr>
      </w:pPr>
      <w:r w:rsidRPr="004A0323">
        <w:rPr>
          <w:rFonts w:ascii="Times New Roman" w:eastAsia="Arial Unicode MS" w:hAnsi="Times New Roman" w:cs="Arial Unicode MS"/>
          <w:szCs w:val="23"/>
          <w:bdr w:val="nil"/>
          <w:lang w:val="en-US"/>
        </w:rPr>
        <w:t xml:space="preserve">This case shows that rule-making and intermediation can occur in layers and within multiple and complementary arenas. The WHO sets broad rules regarding the areas of access to medicine need and recommends broad </w:t>
      </w:r>
      <w:r w:rsidR="003A5455" w:rsidRPr="004A0323">
        <w:rPr>
          <w:rFonts w:ascii="Times New Roman" w:eastAsia="Arial Unicode MS" w:hAnsi="Times New Roman" w:cs="Arial Unicode MS"/>
          <w:szCs w:val="23"/>
          <w:bdr w:val="nil"/>
          <w:lang w:val="en-US"/>
        </w:rPr>
        <w:t xml:space="preserve">health </w:t>
      </w:r>
      <w:r w:rsidRPr="004A0323">
        <w:rPr>
          <w:rFonts w:ascii="Times New Roman" w:eastAsia="Arial Unicode MS" w:hAnsi="Times New Roman" w:cs="Arial Unicode MS"/>
          <w:szCs w:val="23"/>
          <w:bdr w:val="nil"/>
          <w:lang w:val="en-US"/>
        </w:rPr>
        <w:t>policies; the NGOs set rules more aligned with more specific societal expectations, aimed primarily at exercising public accountability pressures on companies; the industry sets its own self-regulatory norms and standards. In this context, the Foundation acts both as an intermediary and as a second order rule-maker trying to reconcile different implicit and explicit rules produced by others for the pharmaceutical industry.</w:t>
      </w:r>
    </w:p>
    <w:p w14:paraId="3EAD117D" w14:textId="30D31C12" w:rsidR="00887D73" w:rsidRPr="004A0323" w:rsidRDefault="00887D73" w:rsidP="00887D73">
      <w:pPr>
        <w:spacing w:line="480" w:lineRule="auto"/>
        <w:ind w:firstLine="567"/>
        <w:jc w:val="both"/>
        <w:rPr>
          <w:rFonts w:ascii="Times New Roman" w:eastAsia="Arial Unicode MS" w:hAnsi="Times New Roman" w:cs="Arial Unicode MS"/>
          <w:szCs w:val="23"/>
          <w:bdr w:val="nil"/>
          <w:lang w:val="en-US"/>
        </w:rPr>
      </w:pPr>
      <w:r w:rsidRPr="004A0323">
        <w:rPr>
          <w:rFonts w:ascii="Times New Roman" w:eastAsia="Arial Unicode MS" w:hAnsi="Times New Roman" w:cs="Arial Unicode MS"/>
          <w:szCs w:val="23"/>
          <w:bdr w:val="nil"/>
          <w:lang w:val="en-US"/>
        </w:rPr>
        <w:t xml:space="preserve">This </w:t>
      </w:r>
      <w:r w:rsidR="003A5455" w:rsidRPr="004A0323">
        <w:rPr>
          <w:rFonts w:ascii="Times New Roman" w:eastAsia="Arial Unicode MS" w:hAnsi="Times New Roman" w:cs="Arial Unicode MS"/>
          <w:szCs w:val="23"/>
          <w:bdr w:val="nil"/>
          <w:lang w:val="en-US"/>
        </w:rPr>
        <w:t xml:space="preserve">composite picture </w:t>
      </w:r>
      <w:r w:rsidRPr="004A0323">
        <w:rPr>
          <w:rFonts w:ascii="Times New Roman" w:eastAsia="Arial Unicode MS" w:hAnsi="Times New Roman" w:cs="Arial Unicode MS"/>
          <w:szCs w:val="23"/>
          <w:bdr w:val="nil"/>
          <w:lang w:val="en-US"/>
        </w:rPr>
        <w:t xml:space="preserve">points to the need to question the notion of rule-maker as a stable category in the R-I-T model (Abbott et al., 2017b; Abbott, Levi-Faur, &amp; Snidal, 2017a). Especially in the context of multi-stakeholder regulatory processes </w:t>
      </w:r>
      <w:r w:rsidRPr="004A0323">
        <w:rPr>
          <w:rFonts w:ascii="Times New Roman" w:eastAsia="Times New Roman" w:hAnsi="Times New Roman" w:cs="Arial Unicode MS"/>
          <w:szCs w:val="23"/>
          <w:bdr w:val="nil"/>
          <w:lang w:val="en-US"/>
        </w:rPr>
        <w:t>(Fransen 2012; Mena &amp; Palazzo 2012; Tamm Hallström &amp; Boström 2010)</w:t>
      </w:r>
      <w:r w:rsidRPr="004A0323">
        <w:rPr>
          <w:rFonts w:ascii="Times New Roman" w:eastAsia="Arial Unicode MS" w:hAnsi="Times New Roman" w:cs="Arial Unicode MS"/>
          <w:szCs w:val="23"/>
          <w:bdr w:val="nil"/>
          <w:lang w:val="en-US"/>
        </w:rPr>
        <w:t>, focusing on processes of “officialization” rather than taking rule-making as given bring</w:t>
      </w:r>
      <w:r w:rsidR="00BF28AE" w:rsidRPr="004A0323">
        <w:rPr>
          <w:rFonts w:ascii="Times New Roman" w:eastAsia="Arial Unicode MS" w:hAnsi="Times New Roman" w:cs="Arial Unicode MS"/>
          <w:szCs w:val="23"/>
          <w:bdr w:val="nil"/>
          <w:lang w:val="en-US"/>
        </w:rPr>
        <w:t>s</w:t>
      </w:r>
      <w:r w:rsidRPr="004A0323">
        <w:rPr>
          <w:rFonts w:ascii="Times New Roman" w:eastAsia="Arial Unicode MS" w:hAnsi="Times New Roman" w:cs="Arial Unicode MS"/>
          <w:szCs w:val="23"/>
          <w:bdr w:val="nil"/>
          <w:lang w:val="en-US"/>
        </w:rPr>
        <w:t xml:space="preserve"> to fore the multiple and shifting locations where </w:t>
      </w:r>
      <w:r w:rsidRPr="004A0323">
        <w:rPr>
          <w:rFonts w:ascii="Times New Roman" w:eastAsia="Arial Unicode MS" w:hAnsi="Times New Roman" w:cs="Arial Unicode MS"/>
          <w:szCs w:val="23"/>
          <w:bdr w:val="nil"/>
          <w:lang w:val="en-US"/>
        </w:rPr>
        <w:lastRenderedPageBreak/>
        <w:t>the rules of the game emerge and take hold</w:t>
      </w:r>
      <w:r w:rsidR="00E8781B" w:rsidRPr="004A0323">
        <w:rPr>
          <w:rFonts w:ascii="Times New Roman" w:eastAsia="Arial Unicode MS" w:hAnsi="Times New Roman" w:cs="Arial Unicode MS"/>
          <w:szCs w:val="23"/>
          <w:bdr w:val="nil"/>
          <w:lang w:val="en-US"/>
        </w:rPr>
        <w:t xml:space="preserve"> within the broad apparatus of regulatory governance</w:t>
      </w:r>
      <w:r w:rsidRPr="004A0323">
        <w:rPr>
          <w:rFonts w:ascii="Times New Roman" w:eastAsia="Arial Unicode MS" w:hAnsi="Times New Roman" w:cs="Arial Unicode MS"/>
          <w:szCs w:val="23"/>
          <w:bdr w:val="nil"/>
          <w:lang w:val="en-US"/>
        </w:rPr>
        <w:t xml:space="preserve">. </w:t>
      </w:r>
      <w:r w:rsidR="00BF28AE" w:rsidRPr="004A0323">
        <w:rPr>
          <w:rFonts w:ascii="Times New Roman" w:eastAsia="Arial Unicode MS" w:hAnsi="Times New Roman" w:cs="Arial Unicode MS"/>
          <w:szCs w:val="23"/>
          <w:bdr w:val="nil"/>
          <w:lang w:val="en-US"/>
        </w:rPr>
        <w:t>I</w:t>
      </w:r>
      <w:r w:rsidRPr="004A0323">
        <w:rPr>
          <w:rFonts w:ascii="Times New Roman" w:eastAsia="Arial Unicode MS" w:hAnsi="Times New Roman" w:cs="Arial Unicode MS"/>
          <w:szCs w:val="23"/>
          <w:bdr w:val="nil"/>
          <w:lang w:val="en-US"/>
        </w:rPr>
        <w:t xml:space="preserve">ntermediaries </w:t>
      </w:r>
      <w:r w:rsidR="00BF28AE" w:rsidRPr="004A0323">
        <w:rPr>
          <w:rFonts w:ascii="Times New Roman" w:eastAsia="Arial Unicode MS" w:hAnsi="Times New Roman" w:cs="Arial Unicode MS"/>
          <w:szCs w:val="23"/>
          <w:bdr w:val="nil"/>
          <w:lang w:val="en-US"/>
        </w:rPr>
        <w:t xml:space="preserve">can </w:t>
      </w:r>
      <w:r w:rsidRPr="004A0323">
        <w:rPr>
          <w:rFonts w:ascii="Times New Roman" w:eastAsia="Arial Unicode MS" w:hAnsi="Times New Roman" w:cs="Arial Unicode MS"/>
          <w:szCs w:val="23"/>
          <w:bdr w:val="nil"/>
          <w:lang w:val="en-US"/>
        </w:rPr>
        <w:t xml:space="preserve">negotiate their mandate with multiple more or less official rule-makers (such as IGOs, NGOs, and even the targets themselves), each involved in producing more or less formalized rules. As the intermediary strengthens its mandate, rules can surface and “solidify”. Intermediation and rule-making thus </w:t>
      </w:r>
      <w:r w:rsidR="00087467" w:rsidRPr="004A0323">
        <w:rPr>
          <w:rFonts w:ascii="Times New Roman" w:eastAsia="Arial Unicode MS" w:hAnsi="Times New Roman" w:cs="Arial Unicode MS"/>
          <w:szCs w:val="23"/>
          <w:bdr w:val="nil"/>
          <w:lang w:val="en-US"/>
        </w:rPr>
        <w:t xml:space="preserve">emerge as </w:t>
      </w:r>
      <w:r w:rsidRPr="004A0323">
        <w:rPr>
          <w:rFonts w:ascii="Times New Roman" w:eastAsia="Arial Unicode MS" w:hAnsi="Times New Roman" w:cs="Arial Unicode MS"/>
          <w:szCs w:val="23"/>
          <w:bdr w:val="nil"/>
          <w:lang w:val="en-US"/>
        </w:rPr>
        <w:t>mutually constitutive processes which become hard to disentangle empirically. Rule-makers, in turn, face their own officialization challenges, with their mandates shifting in content and strength. In the brave new world of regulatory capitalism (Levi-Faur 2005</w:t>
      </w:r>
      <w:r w:rsidR="000571BD" w:rsidRPr="004A0323">
        <w:rPr>
          <w:rFonts w:ascii="Times New Roman" w:eastAsia="Arial Unicode MS" w:hAnsi="Times New Roman" w:cs="Arial Unicode MS"/>
          <w:szCs w:val="23"/>
          <w:bdr w:val="nil"/>
          <w:lang w:val="en-US"/>
        </w:rPr>
        <w:t xml:space="preserve">; </w:t>
      </w:r>
      <w:r w:rsidR="000571BD" w:rsidRPr="004A0323">
        <w:rPr>
          <w:lang w:val="en-US"/>
        </w:rPr>
        <w:t>Levi-Faur &amp; Jordana 2005</w:t>
      </w:r>
      <w:r w:rsidRPr="004A0323">
        <w:rPr>
          <w:rFonts w:ascii="Times New Roman" w:eastAsia="Arial Unicode MS" w:hAnsi="Times New Roman" w:cs="Arial Unicode MS"/>
          <w:szCs w:val="23"/>
          <w:bdr w:val="nil"/>
          <w:lang w:val="en-US"/>
        </w:rPr>
        <w:t>)</w:t>
      </w:r>
      <w:r w:rsidRPr="004A0323">
        <w:rPr>
          <w:rFonts w:eastAsia="Arial Unicode MS"/>
          <w:szCs w:val="23"/>
          <w:bdr w:val="nil"/>
          <w:lang w:val="en-US"/>
        </w:rPr>
        <w:t>,</w:t>
      </w:r>
      <w:r w:rsidRPr="004A0323">
        <w:rPr>
          <w:rFonts w:ascii="Times New Roman" w:eastAsia="Arial Unicode MS" w:hAnsi="Times New Roman" w:cs="Arial Unicode MS"/>
          <w:szCs w:val="23"/>
          <w:bdr w:val="nil"/>
          <w:lang w:val="en-US"/>
        </w:rPr>
        <w:t xml:space="preserve"> in other words, the polity comprises of a pool of organizations with fragile mandates, mutually relying on each other</w:t>
      </w:r>
      <w:r w:rsidR="00087467" w:rsidRPr="004A0323">
        <w:rPr>
          <w:rFonts w:ascii="Times New Roman" w:eastAsia="Arial Unicode MS" w:hAnsi="Times New Roman" w:cs="Arial Unicode MS"/>
          <w:szCs w:val="23"/>
          <w:bdr w:val="nil"/>
          <w:lang w:val="en-US"/>
        </w:rPr>
        <w:t>’s rule making and intermediation roles</w:t>
      </w:r>
      <w:r w:rsidRPr="004A0323">
        <w:rPr>
          <w:rFonts w:ascii="Times New Roman" w:eastAsia="Arial Unicode MS" w:hAnsi="Times New Roman" w:cs="Arial Unicode MS"/>
          <w:szCs w:val="23"/>
          <w:bdr w:val="nil"/>
          <w:lang w:val="en-US"/>
        </w:rPr>
        <w:t xml:space="preserve"> to emulate the states’ public mandate and to stabilize their positioning.</w:t>
      </w:r>
    </w:p>
    <w:p w14:paraId="1084BB0F" w14:textId="04B32B4D" w:rsidR="00887D73" w:rsidRPr="004A0323" w:rsidRDefault="00887D73" w:rsidP="00887D73">
      <w:pPr>
        <w:spacing w:line="480" w:lineRule="auto"/>
        <w:ind w:firstLine="567"/>
        <w:jc w:val="both"/>
        <w:rPr>
          <w:rFonts w:eastAsia="Arial Unicode MS"/>
          <w:bdr w:val="nil"/>
          <w:lang w:val="en-US"/>
        </w:rPr>
      </w:pPr>
      <w:r w:rsidRPr="004A0323">
        <w:rPr>
          <w:rFonts w:ascii="Times New Roman" w:eastAsia="Arial Unicode MS" w:hAnsi="Times New Roman" w:cs="Arial Unicode MS"/>
          <w:szCs w:val="23"/>
          <w:bdr w:val="nil"/>
          <w:lang w:val="en-US"/>
        </w:rPr>
        <w:t xml:space="preserve">Input legitimacy </w:t>
      </w:r>
      <w:r w:rsidR="00E8781B" w:rsidRPr="004A0323">
        <w:rPr>
          <w:rFonts w:ascii="Times New Roman" w:eastAsia="Arial Unicode MS" w:hAnsi="Times New Roman" w:cs="Arial Unicode MS"/>
          <w:szCs w:val="23"/>
          <w:bdr w:val="nil"/>
          <w:lang w:val="en-US"/>
        </w:rPr>
        <w:t xml:space="preserve">has emerged in our case as </w:t>
      </w:r>
      <w:r w:rsidRPr="004A0323">
        <w:rPr>
          <w:rFonts w:ascii="Times New Roman" w:eastAsia="Arial Unicode MS" w:hAnsi="Times New Roman" w:cs="Arial Unicode MS"/>
          <w:szCs w:val="23"/>
          <w:bdr w:val="nil"/>
          <w:lang w:val="en-US"/>
        </w:rPr>
        <w:t xml:space="preserve">a crucial part of such “officialization struggles”. It entailed establishing and sustaining the multi-stakeholder consultation processes, </w:t>
      </w:r>
      <w:r w:rsidRPr="004A0323">
        <w:rPr>
          <w:rFonts w:ascii="Times New Roman" w:eastAsia="Times New Roman" w:hAnsi="Times New Roman" w:cs="Arial Unicode MS"/>
          <w:szCs w:val="23"/>
          <w:bdr w:val="nil"/>
          <w:lang w:val="en-US"/>
        </w:rPr>
        <w:t>as found in the case of other informal intermediaries (Fransen 2012; Gulbrandsen 2008; Mena &amp; Palazzo 2012; Tamm Hallström &amp; Boström 2010)</w:t>
      </w:r>
      <w:r w:rsidR="00321061" w:rsidRPr="004A0323">
        <w:rPr>
          <w:rFonts w:ascii="Times New Roman" w:eastAsia="Arial Unicode MS" w:hAnsi="Times New Roman" w:cs="Arial Unicode MS"/>
          <w:szCs w:val="23"/>
          <w:bdr w:val="nil"/>
          <w:lang w:val="en-US"/>
        </w:rPr>
        <w:t xml:space="preserve">. </w:t>
      </w:r>
      <w:r w:rsidRPr="004A0323">
        <w:rPr>
          <w:rFonts w:ascii="Times New Roman" w:eastAsia="Arial Unicode MS" w:hAnsi="Times New Roman" w:cs="Arial Unicode MS"/>
          <w:szCs w:val="23"/>
          <w:bdr w:val="nil"/>
          <w:lang w:val="en-US"/>
        </w:rPr>
        <w:t xml:space="preserve">It also required a constant focus on political neutrality and to project the Foundation as a purely “technical” intermediary with no values of its own. </w:t>
      </w:r>
    </w:p>
    <w:p w14:paraId="4F08EF56" w14:textId="68D7DF8A" w:rsidR="00887D73" w:rsidRPr="004A0323" w:rsidRDefault="00887D73" w:rsidP="00887D73">
      <w:pPr>
        <w:spacing w:line="480" w:lineRule="auto"/>
        <w:ind w:firstLine="567"/>
        <w:jc w:val="both"/>
        <w:rPr>
          <w:rFonts w:eastAsia="Arial Unicode MS"/>
          <w:bdr w:val="nil"/>
          <w:lang w:val="en-US"/>
        </w:rPr>
      </w:pPr>
      <w:r w:rsidRPr="004A0323">
        <w:rPr>
          <w:rFonts w:eastAsia="Arial Unicode MS"/>
          <w:bdr w:val="nil"/>
          <w:lang w:val="en-US"/>
        </w:rPr>
        <w:t>However, the absence of consensus on contentious issues frequently led to transposing those unresolved issues to the</w:t>
      </w:r>
      <w:r w:rsidR="00087467" w:rsidRPr="004A0323">
        <w:rPr>
          <w:rFonts w:ascii="Times New Roman" w:eastAsia="Arial Unicode MS" w:hAnsi="Times New Roman" w:cs="Arial Unicode MS"/>
          <w:bCs/>
          <w:szCs w:val="23"/>
          <w:bdr w:val="nil"/>
          <w:lang w:val="en-US"/>
        </w:rPr>
        <w:t xml:space="preserve"> informal or not-yet-formalized backstage of company analysis</w:t>
      </w:r>
      <w:r w:rsidRPr="004A0323">
        <w:rPr>
          <w:rFonts w:eastAsia="Arial Unicode MS"/>
          <w:bdr w:val="nil"/>
          <w:lang w:val="en-US"/>
        </w:rPr>
        <w:t xml:space="preserve">. In this way, analysts had to perform their formalized role as intermediaries, conducting analysis and scoring based on </w:t>
      </w:r>
      <w:r w:rsidR="00087467" w:rsidRPr="004A0323">
        <w:rPr>
          <w:rFonts w:eastAsia="Arial Unicode MS"/>
          <w:bdr w:val="nil"/>
          <w:lang w:val="en-US"/>
        </w:rPr>
        <w:t xml:space="preserve">the </w:t>
      </w:r>
      <w:r w:rsidRPr="004A0323">
        <w:rPr>
          <w:rFonts w:eastAsia="Arial Unicode MS"/>
          <w:bdr w:val="nil"/>
          <w:lang w:val="en-US"/>
        </w:rPr>
        <w:t xml:space="preserve">rules ratified by the ERC, and to simultaneously engage in “ad hoc rule-making” for those contentious issues. This further illustrates how rule-making and regulatory intermediation </w:t>
      </w:r>
      <w:r w:rsidR="00E8781B" w:rsidRPr="004A0323">
        <w:rPr>
          <w:rFonts w:eastAsia="Arial Unicode MS"/>
          <w:bdr w:val="nil"/>
          <w:lang w:val="en-US"/>
        </w:rPr>
        <w:t xml:space="preserve">are </w:t>
      </w:r>
      <w:r w:rsidRPr="004A0323">
        <w:rPr>
          <w:rFonts w:eastAsia="Arial Unicode MS"/>
          <w:bdr w:val="nil"/>
          <w:lang w:val="en-US"/>
        </w:rPr>
        <w:t>frequently intermingled. What we observe in the work of the analysts examined here</w:t>
      </w:r>
      <w:r w:rsidRPr="004A0323" w:rsidDel="00AE280E">
        <w:rPr>
          <w:rFonts w:eastAsia="Arial Unicode MS"/>
          <w:bdr w:val="nil"/>
          <w:lang w:val="en-US"/>
        </w:rPr>
        <w:t xml:space="preserve"> </w:t>
      </w:r>
      <w:r w:rsidRPr="004A0323">
        <w:rPr>
          <w:rFonts w:eastAsia="Arial Unicode MS"/>
          <w:bdr w:val="nil"/>
          <w:lang w:val="en-US"/>
        </w:rPr>
        <w:t xml:space="preserve">is not only chameleonic shifts in roles (Havinga &amp; Verbruggen 2017) </w:t>
      </w:r>
      <w:r w:rsidR="00087467" w:rsidRPr="004A0323">
        <w:rPr>
          <w:lang w:val="en-US"/>
        </w:rPr>
        <w:t xml:space="preserve">which depend on the specific relationships entertained in complex governance architectures </w:t>
      </w:r>
      <w:r w:rsidR="00087467" w:rsidRPr="004A0323">
        <w:rPr>
          <w:lang w:val="en-US"/>
        </w:rPr>
        <w:lastRenderedPageBreak/>
        <w:t>(where a certain intermediary may be a regulator vis-a`-vis certain actors and a target vis-a`-vis others)</w:t>
      </w:r>
      <w:r w:rsidR="00051205" w:rsidRPr="004A0323">
        <w:rPr>
          <w:rFonts w:eastAsia="Arial Unicode MS"/>
          <w:bdr w:val="nil"/>
          <w:lang w:val="en-US"/>
        </w:rPr>
        <w:t>. In contrast, our case points to</w:t>
      </w:r>
      <w:r w:rsidRPr="004A0323">
        <w:rPr>
          <w:rFonts w:eastAsia="Arial Unicode MS"/>
          <w:bdr w:val="nil"/>
          <w:lang w:val="en-US"/>
        </w:rPr>
        <w:t xml:space="preserve"> a deeper, more fundamental and persistent integration and hybridization of those roles. </w:t>
      </w:r>
    </w:p>
    <w:p w14:paraId="4109461B" w14:textId="3EDD45C7" w:rsidR="00A30E5D" w:rsidRPr="004A0323" w:rsidRDefault="00A30E5D" w:rsidP="00EA2682">
      <w:pPr>
        <w:spacing w:line="480" w:lineRule="auto"/>
        <w:ind w:firstLine="567"/>
        <w:jc w:val="both"/>
        <w:rPr>
          <w:rFonts w:ascii="Times New Roman" w:eastAsia="Arial Unicode MS" w:hAnsi="Times New Roman" w:cs="Arial Unicode MS"/>
          <w:bCs/>
          <w:szCs w:val="23"/>
          <w:bdr w:val="nil"/>
          <w:lang w:val="en-US"/>
        </w:rPr>
      </w:pPr>
      <w:r w:rsidRPr="004A0323">
        <w:rPr>
          <w:rFonts w:ascii="Times New Roman" w:eastAsia="Arial Unicode MS" w:hAnsi="Times New Roman" w:cs="Arial Unicode MS"/>
          <w:bCs/>
          <w:szCs w:val="23"/>
          <w:bdr w:val="nil"/>
          <w:lang w:val="en-US"/>
        </w:rPr>
        <w:t xml:space="preserve">The instability </w:t>
      </w:r>
      <w:r w:rsidR="00E8781B" w:rsidRPr="004A0323">
        <w:rPr>
          <w:rFonts w:ascii="Times New Roman" w:eastAsia="Arial Unicode MS" w:hAnsi="Times New Roman" w:cs="Arial Unicode MS"/>
          <w:bCs/>
          <w:szCs w:val="23"/>
          <w:bdr w:val="nil"/>
          <w:lang w:val="en-US"/>
        </w:rPr>
        <w:t xml:space="preserve">and incompleteness </w:t>
      </w:r>
      <w:r w:rsidRPr="004A0323">
        <w:rPr>
          <w:rFonts w:ascii="Times New Roman" w:eastAsia="Arial Unicode MS" w:hAnsi="Times New Roman" w:cs="Arial Unicode MS"/>
          <w:bCs/>
          <w:szCs w:val="23"/>
          <w:bdr w:val="nil"/>
          <w:lang w:val="en-US"/>
        </w:rPr>
        <w:t xml:space="preserve">of </w:t>
      </w:r>
      <w:r w:rsidR="00E8781B" w:rsidRPr="004A0323">
        <w:rPr>
          <w:rFonts w:ascii="Times New Roman" w:eastAsia="Arial Unicode MS" w:hAnsi="Times New Roman" w:cs="Arial Unicode MS"/>
          <w:bCs/>
          <w:szCs w:val="23"/>
          <w:bdr w:val="nil"/>
          <w:lang w:val="en-US"/>
        </w:rPr>
        <w:t xml:space="preserve">the </w:t>
      </w:r>
      <w:r w:rsidRPr="004A0323">
        <w:rPr>
          <w:rFonts w:ascii="Times New Roman" w:eastAsia="Arial Unicode MS" w:hAnsi="Times New Roman" w:cs="Arial Unicode MS"/>
          <w:bCs/>
          <w:szCs w:val="23"/>
          <w:bdr w:val="nil"/>
          <w:lang w:val="en-US"/>
        </w:rPr>
        <w:t xml:space="preserve">stakeholder “consensus” </w:t>
      </w:r>
      <w:r w:rsidR="00E8781B" w:rsidRPr="004A0323">
        <w:rPr>
          <w:rFonts w:ascii="Times New Roman" w:eastAsia="Arial Unicode MS" w:hAnsi="Times New Roman" w:cs="Arial Unicode MS"/>
          <w:bCs/>
          <w:szCs w:val="23"/>
          <w:bdr w:val="nil"/>
          <w:lang w:val="en-US"/>
        </w:rPr>
        <w:t xml:space="preserve">achieved within the ERC </w:t>
      </w:r>
      <w:r w:rsidRPr="004A0323">
        <w:rPr>
          <w:rFonts w:ascii="Times New Roman" w:eastAsia="Arial Unicode MS" w:hAnsi="Times New Roman" w:cs="Arial Unicode MS"/>
          <w:bCs/>
          <w:szCs w:val="23"/>
          <w:bdr w:val="nil"/>
          <w:lang w:val="en-US"/>
        </w:rPr>
        <w:t xml:space="preserve">meant that concerns with input legitimacy were present at every step of the analysis process. As shown, </w:t>
      </w:r>
      <w:r w:rsidR="006E6581" w:rsidRPr="004A0323">
        <w:rPr>
          <w:rFonts w:ascii="Times New Roman" w:eastAsia="Arial Unicode MS" w:hAnsi="Times New Roman" w:cs="Arial Unicode MS"/>
          <w:bCs/>
          <w:szCs w:val="23"/>
          <w:bdr w:val="nil"/>
          <w:lang w:val="en-US"/>
        </w:rPr>
        <w:t xml:space="preserve">especially in the early years, </w:t>
      </w:r>
      <w:r w:rsidRPr="004A0323">
        <w:rPr>
          <w:rFonts w:ascii="Times New Roman" w:eastAsia="Arial Unicode MS" w:hAnsi="Times New Roman" w:cs="Arial Unicode MS"/>
          <w:bCs/>
          <w:szCs w:val="23"/>
          <w:bdr w:val="nil"/>
          <w:lang w:val="en-US"/>
        </w:rPr>
        <w:t>the significant power imbalance between the analyst teams of this informal intermediary and its powerful counterparts, added an element of fear to the work of some, further intensifying attempts to adhere to the principles</w:t>
      </w:r>
      <w:r w:rsidR="00223A76" w:rsidRPr="004A0323">
        <w:rPr>
          <w:rFonts w:ascii="Times New Roman" w:eastAsia="Arial Unicode MS" w:hAnsi="Times New Roman" w:cs="Arial Unicode MS"/>
          <w:bCs/>
          <w:szCs w:val="23"/>
          <w:bdr w:val="nil"/>
          <w:lang w:val="en-US"/>
        </w:rPr>
        <w:t xml:space="preserve"> of evidence,</w:t>
      </w:r>
      <w:r w:rsidRPr="004A0323">
        <w:rPr>
          <w:rFonts w:ascii="Times New Roman" w:eastAsia="Arial Unicode MS" w:hAnsi="Times New Roman" w:cs="Arial Unicode MS"/>
          <w:bCs/>
          <w:szCs w:val="23"/>
          <w:bdr w:val="nil"/>
          <w:lang w:val="en-US"/>
        </w:rPr>
        <w:t xml:space="preserve"> neutrality and objectivity.</w:t>
      </w:r>
      <w:r w:rsidR="00EA2682" w:rsidRPr="004A0323">
        <w:rPr>
          <w:rFonts w:ascii="Times New Roman" w:eastAsia="Arial Unicode MS" w:hAnsi="Times New Roman" w:cs="Arial Unicode MS"/>
          <w:bCs/>
          <w:szCs w:val="23"/>
          <w:bdr w:val="nil"/>
          <w:lang w:val="en-US"/>
        </w:rPr>
        <w:t xml:space="preserve"> </w:t>
      </w:r>
      <w:r w:rsidRPr="004A0323">
        <w:rPr>
          <w:rFonts w:ascii="Times New Roman" w:eastAsia="Arial Unicode MS" w:hAnsi="Times New Roman" w:cs="Arial Unicode MS"/>
          <w:bCs/>
          <w:szCs w:val="23"/>
          <w:bdr w:val="nil"/>
          <w:lang w:val="en-US"/>
        </w:rPr>
        <w:t xml:space="preserve">Quantified information was considered more reliable, replicable, objective and precise. However, as shown, while numbers were the formalized and foregrounded aspects of performance measurement, the challenges of measurement were mostly backgrounded and kept in the informal space of analysis. In addition, some methodological aspects such as the scoring guidelines were formalized and disclosed </w:t>
      </w:r>
      <w:r w:rsidR="00223A76" w:rsidRPr="004A0323">
        <w:rPr>
          <w:rFonts w:ascii="Times New Roman" w:eastAsia="Arial Unicode MS" w:hAnsi="Times New Roman" w:cs="Arial Unicode MS"/>
          <w:bCs/>
          <w:szCs w:val="23"/>
          <w:bdr w:val="nil"/>
          <w:lang w:val="en-US"/>
        </w:rPr>
        <w:t xml:space="preserve">only </w:t>
      </w:r>
      <w:r w:rsidRPr="004A0323">
        <w:rPr>
          <w:rFonts w:ascii="Times New Roman" w:eastAsia="Arial Unicode MS" w:hAnsi="Times New Roman" w:cs="Arial Unicode MS"/>
          <w:bCs/>
          <w:szCs w:val="23"/>
          <w:bdr w:val="nil"/>
          <w:lang w:val="en-US"/>
        </w:rPr>
        <w:t>at the end of each Index’s cycle, so that the intermediary could maintain flexibility in how it could score companies based on the possibilities and limits of the data received from them.</w:t>
      </w:r>
    </w:p>
    <w:p w14:paraId="1BD340EB" w14:textId="58B3CDD0" w:rsidR="00A30E5D" w:rsidRPr="004A0323" w:rsidRDefault="00A30E5D" w:rsidP="00513F10">
      <w:pPr>
        <w:spacing w:line="480" w:lineRule="auto"/>
        <w:ind w:firstLine="567"/>
        <w:jc w:val="both"/>
        <w:rPr>
          <w:rFonts w:eastAsia="Arial Unicode MS"/>
          <w:bCs/>
          <w:bdr w:val="nil"/>
          <w:lang w:val="en-US"/>
        </w:rPr>
      </w:pPr>
      <w:r w:rsidRPr="004A0323">
        <w:rPr>
          <w:rFonts w:ascii="Times New Roman" w:eastAsia="Arial Unicode MS" w:hAnsi="Times New Roman" w:cs="Arial Unicode MS"/>
          <w:bCs/>
          <w:szCs w:val="23"/>
          <w:bdr w:val="nil"/>
          <w:lang w:val="en-US"/>
        </w:rPr>
        <w:t>Analysts had to balance between elements of their work that should and could be projected as solid, reliable and formal, and elements to be kept informal. This selective formalization allowed this unofficial intermediary to deal with contentious issues. Furthermore, this interplay between the formal and the informal and its timing were essential to maintain flexibility in the methodology development process</w:t>
      </w:r>
      <w:r w:rsidR="00BF28AE" w:rsidRPr="004A0323">
        <w:rPr>
          <w:rFonts w:ascii="Times New Roman" w:eastAsia="Arial Unicode MS" w:hAnsi="Times New Roman" w:cs="Arial Unicode MS"/>
          <w:bCs/>
          <w:szCs w:val="23"/>
          <w:bdr w:val="nil"/>
          <w:lang w:val="en-US"/>
        </w:rPr>
        <w:t xml:space="preserve"> and </w:t>
      </w:r>
      <w:r w:rsidR="00AF5564" w:rsidRPr="004A0323">
        <w:rPr>
          <w:rFonts w:ascii="Times New Roman" w:eastAsia="Arial Unicode MS" w:hAnsi="Times New Roman" w:cs="Arial Unicode MS"/>
          <w:bCs/>
          <w:szCs w:val="23"/>
          <w:bdr w:val="nil"/>
          <w:lang w:val="en-US"/>
        </w:rPr>
        <w:t>calibrate</w:t>
      </w:r>
      <w:r w:rsidR="00BF28AE" w:rsidRPr="004A0323">
        <w:rPr>
          <w:rFonts w:ascii="Times New Roman" w:eastAsia="Arial Unicode MS" w:hAnsi="Times New Roman" w:cs="Arial Unicode MS"/>
          <w:bCs/>
          <w:szCs w:val="23"/>
          <w:bdr w:val="nil"/>
          <w:lang w:val="en-US"/>
        </w:rPr>
        <w:t xml:space="preserve"> the Index </w:t>
      </w:r>
      <w:r w:rsidR="00AF5564" w:rsidRPr="004A0323">
        <w:rPr>
          <w:rFonts w:ascii="Times New Roman" w:eastAsia="Arial Unicode MS" w:hAnsi="Times New Roman" w:cs="Arial Unicode MS"/>
          <w:bCs/>
          <w:szCs w:val="23"/>
          <w:bdr w:val="nil"/>
          <w:lang w:val="en-US"/>
        </w:rPr>
        <w:t>a</w:t>
      </w:r>
      <w:r w:rsidR="00BF28AE" w:rsidRPr="004A0323">
        <w:rPr>
          <w:rFonts w:ascii="Times New Roman" w:eastAsia="Arial Unicode MS" w:hAnsi="Times New Roman" w:cs="Arial Unicode MS"/>
          <w:bCs/>
          <w:szCs w:val="23"/>
          <w:bdr w:val="nil"/>
          <w:lang w:val="en-US"/>
        </w:rPr>
        <w:t>s a regulatory tool</w:t>
      </w:r>
      <w:r w:rsidRPr="004A0323">
        <w:rPr>
          <w:rFonts w:ascii="Times New Roman" w:eastAsia="Arial Unicode MS" w:hAnsi="Times New Roman" w:cs="Arial Unicode MS"/>
          <w:bCs/>
          <w:szCs w:val="23"/>
          <w:bdr w:val="nil"/>
          <w:lang w:val="en-US"/>
        </w:rPr>
        <w:t xml:space="preserve">. </w:t>
      </w:r>
      <w:r w:rsidRPr="004A0323">
        <w:rPr>
          <w:rFonts w:ascii="Times New Roman" w:eastAsia="Arial Unicode MS" w:hAnsi="Times New Roman" w:cs="Arial Unicode MS"/>
          <w:bCs/>
          <w:szCs w:val="23"/>
          <w:bdr w:val="nil"/>
          <w:lang w:val="en-US"/>
        </w:rPr>
        <w:tab/>
      </w:r>
    </w:p>
    <w:p w14:paraId="126E3950" w14:textId="26FB899E" w:rsidR="00A30E5D" w:rsidRPr="004A0323" w:rsidRDefault="00A30E5D" w:rsidP="00513F10">
      <w:pPr>
        <w:spacing w:line="480" w:lineRule="auto"/>
        <w:ind w:firstLine="567"/>
        <w:jc w:val="both"/>
        <w:rPr>
          <w:rFonts w:eastAsia="Arial Unicode MS"/>
          <w:bCs/>
          <w:bdr w:val="nil"/>
          <w:lang w:val="en-US"/>
        </w:rPr>
      </w:pPr>
      <w:r w:rsidRPr="004A0323">
        <w:rPr>
          <w:rFonts w:ascii="Times New Roman" w:eastAsia="Arial Unicode MS" w:hAnsi="Times New Roman" w:cs="Arial Unicode MS"/>
          <w:bCs/>
          <w:szCs w:val="23"/>
          <w:bdr w:val="nil"/>
          <w:lang w:val="en-US"/>
        </w:rPr>
        <w:t xml:space="preserve">Several other studies have shown how ambiguity and lack of formalization are important to ease the adoption of standards </w:t>
      </w:r>
      <w:r w:rsidRPr="004A0323">
        <w:rPr>
          <w:rFonts w:ascii="Times New Roman" w:eastAsia="Times New Roman" w:hAnsi="Times New Roman" w:cs="Arial Unicode MS"/>
          <w:szCs w:val="23"/>
          <w:bdr w:val="nil"/>
          <w:lang w:val="en-US"/>
        </w:rPr>
        <w:t>(Rasche 2009; Thérien &amp; Pouliot 2006)</w:t>
      </w:r>
      <w:r w:rsidRPr="004A0323">
        <w:rPr>
          <w:rFonts w:ascii="Times New Roman" w:eastAsia="Arial Unicode MS" w:hAnsi="Times New Roman" w:cs="Arial Unicode MS"/>
          <w:bCs/>
          <w:szCs w:val="23"/>
          <w:bdr w:val="nil"/>
          <w:lang w:val="en-US"/>
        </w:rPr>
        <w:t xml:space="preserve"> in contested </w:t>
      </w:r>
      <w:r w:rsidR="00BF28AE" w:rsidRPr="004A0323">
        <w:rPr>
          <w:rFonts w:ascii="Times New Roman" w:eastAsia="Arial Unicode MS" w:hAnsi="Times New Roman" w:cs="Arial Unicode MS"/>
          <w:bCs/>
          <w:szCs w:val="23"/>
          <w:bdr w:val="nil"/>
          <w:lang w:val="en-US"/>
        </w:rPr>
        <w:t xml:space="preserve">policy </w:t>
      </w:r>
      <w:r w:rsidR="00AF5564" w:rsidRPr="004A0323">
        <w:rPr>
          <w:rFonts w:ascii="Times New Roman" w:eastAsia="Arial Unicode MS" w:hAnsi="Times New Roman" w:cs="Arial Unicode MS"/>
          <w:bCs/>
          <w:szCs w:val="23"/>
          <w:bdr w:val="nil"/>
          <w:lang w:val="en-US"/>
        </w:rPr>
        <w:t>fields</w:t>
      </w:r>
      <w:r w:rsidR="00BF28AE" w:rsidRPr="004A0323">
        <w:rPr>
          <w:rFonts w:ascii="Times New Roman" w:eastAsia="Arial Unicode MS" w:hAnsi="Times New Roman" w:cs="Arial Unicode MS"/>
          <w:bCs/>
          <w:szCs w:val="23"/>
          <w:bdr w:val="nil"/>
          <w:lang w:val="en-US"/>
        </w:rPr>
        <w:t xml:space="preserve"> </w:t>
      </w:r>
      <w:r w:rsidRPr="004A0323">
        <w:rPr>
          <w:rFonts w:ascii="Times New Roman" w:eastAsia="Arial Unicode MS" w:hAnsi="Times New Roman" w:cs="Arial Unicode MS"/>
          <w:bCs/>
          <w:szCs w:val="23"/>
          <w:bdr w:val="nil"/>
          <w:lang w:val="en-US"/>
        </w:rPr>
        <w:t xml:space="preserve">(Best 2005). Our work further contributes to this line of scholarship by foregrounding the importance of attending to the dynamics of formalization (and, by extension, of </w:t>
      </w:r>
      <w:r w:rsidRPr="004A0323">
        <w:rPr>
          <w:rFonts w:ascii="Times New Roman" w:eastAsia="Arial Unicode MS" w:hAnsi="Times New Roman" w:cs="Arial Unicode MS"/>
          <w:bCs/>
          <w:szCs w:val="23"/>
          <w:bdr w:val="nil"/>
          <w:lang w:val="en-US"/>
        </w:rPr>
        <w:lastRenderedPageBreak/>
        <w:t xml:space="preserve">backgrounding what needs to be not (yet) formalized (see Mena </w:t>
      </w:r>
      <w:r w:rsidRPr="004A0323">
        <w:rPr>
          <w:rFonts w:ascii="Times New Roman" w:eastAsia="Arial Unicode MS" w:hAnsi="Times New Roman" w:cs="Arial Unicode MS"/>
          <w:bCs/>
          <w:i/>
          <w:szCs w:val="23"/>
          <w:bdr w:val="nil"/>
          <w:lang w:val="en-US"/>
        </w:rPr>
        <w:t>et al.</w:t>
      </w:r>
      <w:r w:rsidRPr="004A0323">
        <w:rPr>
          <w:rFonts w:ascii="Times New Roman" w:eastAsia="Arial Unicode MS" w:hAnsi="Times New Roman" w:cs="Arial Unicode MS"/>
          <w:bCs/>
          <w:szCs w:val="23"/>
          <w:bdr w:val="nil"/>
          <w:lang w:val="en-US"/>
        </w:rPr>
        <w:t xml:space="preserve"> in this issue)) in the work of unofficial intermediaries operating in highly contentious fields of governance. Wh</w:t>
      </w:r>
      <w:r w:rsidR="00223A76" w:rsidRPr="004A0323">
        <w:rPr>
          <w:rFonts w:ascii="Times New Roman" w:eastAsia="Arial Unicode MS" w:hAnsi="Times New Roman" w:cs="Arial Unicode MS"/>
          <w:bCs/>
          <w:szCs w:val="23"/>
          <w:bdr w:val="nil"/>
          <w:lang w:val="en-US"/>
        </w:rPr>
        <w:t>ich</w:t>
      </w:r>
      <w:r w:rsidRPr="004A0323">
        <w:rPr>
          <w:rFonts w:ascii="Times New Roman" w:eastAsia="Arial Unicode MS" w:hAnsi="Times New Roman" w:cs="Arial Unicode MS"/>
          <w:bCs/>
          <w:szCs w:val="23"/>
          <w:bdr w:val="nil"/>
          <w:lang w:val="en-US"/>
        </w:rPr>
        <w:t xml:space="preserve"> parts of the intermediation process are formalized and when such formalization occurs i</w:t>
      </w:r>
      <w:r w:rsidR="00223A76" w:rsidRPr="004A0323">
        <w:rPr>
          <w:rFonts w:ascii="Times New Roman" w:eastAsia="Arial Unicode MS" w:hAnsi="Times New Roman" w:cs="Arial Unicode MS"/>
          <w:bCs/>
          <w:szCs w:val="23"/>
          <w:bdr w:val="nil"/>
          <w:lang w:val="en-US"/>
        </w:rPr>
        <w:t>s</w:t>
      </w:r>
      <w:r w:rsidRPr="004A0323">
        <w:rPr>
          <w:rFonts w:ascii="Times New Roman" w:eastAsia="Arial Unicode MS" w:hAnsi="Times New Roman" w:cs="Arial Unicode MS"/>
          <w:bCs/>
          <w:szCs w:val="23"/>
          <w:bdr w:val="nil"/>
          <w:lang w:val="en-US"/>
        </w:rPr>
        <w:t xml:space="preserve"> a constant process of backgrounding and foregrounding which is central to sustaining input and procedural legitimacy. Our </w:t>
      </w:r>
      <w:r w:rsidR="00BF28AE" w:rsidRPr="004A0323">
        <w:rPr>
          <w:rFonts w:ascii="Times New Roman" w:eastAsia="Arial Unicode MS" w:hAnsi="Times New Roman" w:cs="Arial Unicode MS"/>
          <w:bCs/>
          <w:szCs w:val="23"/>
          <w:bdr w:val="nil"/>
          <w:lang w:val="en-US"/>
        </w:rPr>
        <w:t>case</w:t>
      </w:r>
      <w:r w:rsidRPr="004A0323">
        <w:rPr>
          <w:rFonts w:ascii="Times New Roman" w:eastAsia="Arial Unicode MS" w:hAnsi="Times New Roman" w:cs="Arial Unicode MS"/>
          <w:bCs/>
          <w:szCs w:val="23"/>
          <w:bdr w:val="nil"/>
          <w:lang w:val="en-US"/>
        </w:rPr>
        <w:t xml:space="preserve"> highlight</w:t>
      </w:r>
      <w:r w:rsidR="00BF28AE" w:rsidRPr="004A0323">
        <w:rPr>
          <w:rFonts w:ascii="Times New Roman" w:eastAsia="Arial Unicode MS" w:hAnsi="Times New Roman" w:cs="Arial Unicode MS"/>
          <w:bCs/>
          <w:szCs w:val="23"/>
          <w:bdr w:val="nil"/>
          <w:lang w:val="en-US"/>
        </w:rPr>
        <w:t>s</w:t>
      </w:r>
      <w:r w:rsidRPr="004A0323">
        <w:rPr>
          <w:rFonts w:ascii="Times New Roman" w:eastAsia="Arial Unicode MS" w:hAnsi="Times New Roman" w:cs="Arial Unicode MS"/>
          <w:bCs/>
          <w:szCs w:val="23"/>
          <w:bdr w:val="nil"/>
          <w:lang w:val="en-US"/>
        </w:rPr>
        <w:t xml:space="preserve"> how the formal and informal side of intermediaries’ work are not so much stages in a sequence</w:t>
      </w:r>
      <w:r w:rsidR="00D935C0" w:rsidRPr="004A0323">
        <w:rPr>
          <w:rFonts w:ascii="Times New Roman" w:eastAsia="Arial Unicode MS" w:hAnsi="Times New Roman" w:cs="Arial Unicode MS"/>
          <w:bCs/>
          <w:szCs w:val="23"/>
          <w:bdr w:val="nil"/>
          <w:lang w:val="en-US"/>
        </w:rPr>
        <w:t xml:space="preserve"> which ends with </w:t>
      </w:r>
      <w:r w:rsidR="00381163" w:rsidRPr="004A0323">
        <w:rPr>
          <w:rFonts w:ascii="Times New Roman" w:eastAsia="Arial Unicode MS" w:hAnsi="Times New Roman" w:cs="Arial Unicode MS"/>
          <w:bCs/>
          <w:szCs w:val="23"/>
          <w:bdr w:val="nil"/>
          <w:lang w:val="en-US"/>
        </w:rPr>
        <w:t>full</w:t>
      </w:r>
      <w:r w:rsidR="00D935C0" w:rsidRPr="004A0323">
        <w:rPr>
          <w:rFonts w:ascii="Times New Roman" w:eastAsia="Arial Unicode MS" w:hAnsi="Times New Roman" w:cs="Arial Unicode MS"/>
          <w:bCs/>
          <w:szCs w:val="23"/>
          <w:bdr w:val="nil"/>
          <w:lang w:val="en-US"/>
        </w:rPr>
        <w:t xml:space="preserve"> formalization</w:t>
      </w:r>
      <w:r w:rsidRPr="004A0323">
        <w:rPr>
          <w:rFonts w:ascii="Times New Roman" w:eastAsia="Arial Unicode MS" w:hAnsi="Times New Roman" w:cs="Arial Unicode MS"/>
          <w:bCs/>
          <w:szCs w:val="23"/>
          <w:bdr w:val="nil"/>
          <w:lang w:val="en-US"/>
        </w:rPr>
        <w:t xml:space="preserve">, but rather constantly co-emerging </w:t>
      </w:r>
      <w:r w:rsidR="00D935C0" w:rsidRPr="004A0323">
        <w:rPr>
          <w:rFonts w:ascii="Times New Roman" w:eastAsia="Arial Unicode MS" w:hAnsi="Times New Roman" w:cs="Arial Unicode MS"/>
          <w:bCs/>
          <w:szCs w:val="23"/>
          <w:bdr w:val="nil"/>
          <w:lang w:val="en-US"/>
        </w:rPr>
        <w:t xml:space="preserve">processes supporting </w:t>
      </w:r>
      <w:r w:rsidRPr="004A0323">
        <w:rPr>
          <w:rFonts w:ascii="Times New Roman" w:eastAsia="Arial Unicode MS" w:hAnsi="Times New Roman" w:cs="Arial Unicode MS"/>
          <w:bCs/>
          <w:szCs w:val="23"/>
          <w:bdr w:val="nil"/>
          <w:lang w:val="en-US"/>
        </w:rPr>
        <w:t>attempts to operationalize measurement conventions descending from a fra</w:t>
      </w:r>
      <w:r w:rsidR="00BD4641" w:rsidRPr="004A0323">
        <w:rPr>
          <w:rFonts w:ascii="Times New Roman" w:eastAsia="Arial Unicode MS" w:hAnsi="Times New Roman" w:cs="Arial Unicode MS"/>
          <w:bCs/>
          <w:szCs w:val="23"/>
          <w:bdr w:val="nil"/>
          <w:lang w:val="en-US"/>
        </w:rPr>
        <w:t>gile</w:t>
      </w:r>
      <w:r w:rsidRPr="004A0323">
        <w:rPr>
          <w:rFonts w:ascii="Times New Roman" w:eastAsia="Arial Unicode MS" w:hAnsi="Times New Roman" w:cs="Arial Unicode MS"/>
          <w:bCs/>
          <w:szCs w:val="23"/>
          <w:bdr w:val="nil"/>
          <w:lang w:val="en-US"/>
        </w:rPr>
        <w:t xml:space="preserve"> stakeholder mandate.</w:t>
      </w:r>
    </w:p>
    <w:p w14:paraId="29995F8C" w14:textId="77777777" w:rsidR="00A30E5D" w:rsidRPr="004A0323" w:rsidRDefault="00A30E5D" w:rsidP="00513F10">
      <w:pPr>
        <w:jc w:val="both"/>
        <w:rPr>
          <w:rFonts w:eastAsia="Arial Unicode MS"/>
          <w:bCs/>
          <w:bdr w:val="nil"/>
          <w:lang w:val="en-US"/>
        </w:rPr>
      </w:pPr>
    </w:p>
    <w:p w14:paraId="7BF33B26" w14:textId="25200CB2" w:rsidR="00A30E5D" w:rsidRPr="004A0323" w:rsidRDefault="00A30E5D" w:rsidP="00513F10">
      <w:pPr>
        <w:spacing w:line="480" w:lineRule="auto"/>
        <w:ind w:firstLine="567"/>
        <w:jc w:val="both"/>
        <w:rPr>
          <w:rFonts w:eastAsia="Arial Unicode MS"/>
          <w:bCs/>
          <w:i/>
          <w:iCs/>
          <w:bdr w:val="nil"/>
          <w:lang w:val="en-US"/>
        </w:rPr>
      </w:pPr>
      <w:r w:rsidRPr="004A0323">
        <w:rPr>
          <w:rFonts w:eastAsia="Arial Unicode MS"/>
          <w:bCs/>
          <w:i/>
          <w:iCs/>
          <w:bdr w:val="nil"/>
          <w:lang w:val="en-US"/>
        </w:rPr>
        <w:t>6.</w:t>
      </w:r>
      <w:r w:rsidR="00025BEE" w:rsidRPr="004A0323">
        <w:rPr>
          <w:rFonts w:eastAsia="Arial Unicode MS"/>
          <w:bCs/>
          <w:i/>
          <w:iCs/>
          <w:bdr w:val="nil"/>
          <w:lang w:val="en-US"/>
        </w:rPr>
        <w:t>2</w:t>
      </w:r>
      <w:r w:rsidRPr="004A0323">
        <w:rPr>
          <w:rFonts w:eastAsia="Arial Unicode MS"/>
          <w:bCs/>
          <w:i/>
          <w:iCs/>
          <w:bdr w:val="nil"/>
          <w:lang w:val="en-US"/>
        </w:rPr>
        <w:t xml:space="preserve"> Performance measurement and the relation between input</w:t>
      </w:r>
      <w:r w:rsidR="00B97560" w:rsidRPr="004A0323">
        <w:rPr>
          <w:rFonts w:eastAsia="Arial Unicode MS"/>
          <w:bCs/>
          <w:i/>
          <w:iCs/>
          <w:bdr w:val="nil"/>
          <w:lang w:val="en-US"/>
        </w:rPr>
        <w:t>,</w:t>
      </w:r>
      <w:r w:rsidRPr="004A0323">
        <w:rPr>
          <w:rFonts w:eastAsia="Arial Unicode MS"/>
          <w:bCs/>
          <w:i/>
          <w:iCs/>
          <w:bdr w:val="nil"/>
          <w:lang w:val="en-US"/>
        </w:rPr>
        <w:t xml:space="preserve"> output legitimacy</w:t>
      </w:r>
      <w:r w:rsidR="00B97560" w:rsidRPr="004A0323">
        <w:rPr>
          <w:rFonts w:eastAsia="Arial Unicode MS"/>
          <w:bCs/>
          <w:i/>
          <w:iCs/>
          <w:bdr w:val="nil"/>
          <w:lang w:val="en-US"/>
        </w:rPr>
        <w:t xml:space="preserve"> and compliance</w:t>
      </w:r>
    </w:p>
    <w:p w14:paraId="3D3110F9" w14:textId="6E191042" w:rsidR="00A30E5D" w:rsidRPr="004A0323" w:rsidRDefault="00A30E5D" w:rsidP="00513F10">
      <w:pPr>
        <w:spacing w:line="480" w:lineRule="auto"/>
        <w:ind w:firstLine="567"/>
        <w:jc w:val="both"/>
        <w:rPr>
          <w:rFonts w:eastAsia="Arial Unicode MS"/>
          <w:bCs/>
          <w:bdr w:val="nil"/>
          <w:lang w:val="en-US"/>
        </w:rPr>
      </w:pPr>
      <w:r w:rsidRPr="004A0323">
        <w:rPr>
          <w:rFonts w:ascii="Times New Roman" w:eastAsia="Arial Unicode MS" w:hAnsi="Times New Roman" w:cs="Arial Unicode MS"/>
          <w:bCs/>
          <w:szCs w:val="23"/>
          <w:bdr w:val="nil"/>
          <w:lang w:val="en-US"/>
        </w:rPr>
        <w:t xml:space="preserve">Botzem and Dobusch (2012) point to the circularity of the relationship between input and output legitimacy. They discuss how input legitimacy (stakeholder participation to standard-setting) can initially hamper output legitimacy (adoption of standards), but also how at later stages, as standards take hold, their adoption can be helped by the wide participation base of early stages. They also observe input legitimacy concerns progressively giving way to output legitimacy concerns. </w:t>
      </w:r>
    </w:p>
    <w:p w14:paraId="1E64F727" w14:textId="68CBE265" w:rsidR="00A30E5D" w:rsidRPr="004A0323" w:rsidRDefault="00A30E5D" w:rsidP="00BD4641">
      <w:pPr>
        <w:spacing w:line="480" w:lineRule="auto"/>
        <w:ind w:firstLine="567"/>
        <w:jc w:val="both"/>
        <w:rPr>
          <w:rFonts w:ascii="Times New Roman" w:eastAsia="Arial Unicode MS" w:hAnsi="Times New Roman" w:cs="Arial Unicode MS"/>
          <w:bCs/>
          <w:szCs w:val="23"/>
          <w:bdr w:val="nil"/>
          <w:lang w:val="en-US"/>
        </w:rPr>
      </w:pPr>
      <w:r w:rsidRPr="004A0323">
        <w:rPr>
          <w:rFonts w:ascii="Times New Roman" w:eastAsia="Arial Unicode MS" w:hAnsi="Times New Roman" w:cs="Arial Unicode MS"/>
          <w:bCs/>
          <w:szCs w:val="23"/>
          <w:bdr w:val="nil"/>
          <w:lang w:val="en-US"/>
        </w:rPr>
        <w:t>We identify similar dynamics in our case. As the Foundation becomes more established, its focus on output legitimacy increases and input legitimacy becomes progressively less problematic</w:t>
      </w:r>
      <w:r w:rsidR="00223A76" w:rsidRPr="004A0323">
        <w:rPr>
          <w:rFonts w:ascii="Times New Roman" w:eastAsia="Arial Unicode MS" w:hAnsi="Times New Roman" w:cs="Arial Unicode MS"/>
          <w:bCs/>
          <w:szCs w:val="23"/>
          <w:bdr w:val="nil"/>
          <w:lang w:val="en-US"/>
        </w:rPr>
        <w:t xml:space="preserve"> especially vis-a`-vis companies</w:t>
      </w:r>
      <w:r w:rsidRPr="004A0323">
        <w:rPr>
          <w:rFonts w:ascii="Times New Roman" w:eastAsia="Arial Unicode MS" w:hAnsi="Times New Roman" w:cs="Arial Unicode MS"/>
          <w:bCs/>
          <w:szCs w:val="23"/>
          <w:bdr w:val="nil"/>
          <w:lang w:val="en-US"/>
        </w:rPr>
        <w:t xml:space="preserve">. However, unlike the IASB studied by Botzem &amp; Dobusch, which moved from direct stakeholder participation to mere consultation, thus radically changing its basis for input legitimacy from a mix of democratic participation and expertise to pure (private sector) expertise, in our case stakeholder consultation exercises, and dedicated communications with powerful stakeholders such as investors, NGOs, Southern governments and the WHO have continued extensively, even if threats in terms of contestations from such actors have decreased over time. </w:t>
      </w:r>
    </w:p>
    <w:p w14:paraId="226A4CB7" w14:textId="695035DC" w:rsidR="00A30E5D" w:rsidRPr="004A0323" w:rsidRDefault="00A30E5D" w:rsidP="00381163">
      <w:pPr>
        <w:spacing w:line="480" w:lineRule="auto"/>
        <w:ind w:firstLine="567"/>
        <w:jc w:val="both"/>
        <w:rPr>
          <w:rFonts w:eastAsia="Arial Unicode MS"/>
          <w:bCs/>
          <w:bdr w:val="nil"/>
          <w:lang w:val="en-US"/>
        </w:rPr>
      </w:pPr>
      <w:r w:rsidRPr="004A0323">
        <w:rPr>
          <w:rFonts w:ascii="Times New Roman" w:eastAsia="Arial Unicode MS" w:hAnsi="Times New Roman" w:cs="Arial Unicode MS"/>
          <w:bCs/>
          <w:szCs w:val="23"/>
          <w:bdr w:val="nil"/>
          <w:lang w:val="en-US"/>
        </w:rPr>
        <w:lastRenderedPageBreak/>
        <w:t xml:space="preserve">For companies to care about the Index and to comply with the best practices it promotes, powerful constituencies need to utilize the Index in their decision making and advocacy work. Enforcement can only happen by means of third party pressures. </w:t>
      </w:r>
      <w:r w:rsidR="00B3127E" w:rsidRPr="004A0323">
        <w:rPr>
          <w:rFonts w:ascii="Times New Roman" w:eastAsia="Arial Unicode MS" w:hAnsi="Times New Roman" w:cs="Arial Unicode MS"/>
          <w:bCs/>
          <w:szCs w:val="23"/>
          <w:bdr w:val="nil"/>
          <w:lang w:val="en-US"/>
        </w:rPr>
        <w:t>Here stakeholders able to exercise pressure on companies become de-facto intermediaries, further pointing to the constant blurring or roles in the R-I-T model. As a result</w:t>
      </w:r>
      <w:r w:rsidRPr="004A0323">
        <w:rPr>
          <w:rFonts w:ascii="Times New Roman" w:eastAsia="Arial Unicode MS" w:hAnsi="Times New Roman" w:cs="Arial Unicode MS"/>
          <w:bCs/>
          <w:szCs w:val="23"/>
          <w:bdr w:val="nil"/>
          <w:lang w:val="en-US"/>
        </w:rPr>
        <w:t xml:space="preserve">, stakeholders continue to matter to the Foundation as enablers of compliance. The adoption of the Index as a source of rules for the industry, in other words, can only be on-going and as a result the Foundation needs to reach out to stakeholders on a continuous basis. Conversely, in the case of the IASB studied by Botzem and Dobusch once IFRS are adopted by means of “hard law” endorsement, adoption can be said to have happened once and for all, or for </w:t>
      </w:r>
      <w:r w:rsidR="001759E8" w:rsidRPr="004A0323">
        <w:rPr>
          <w:rFonts w:ascii="Times New Roman" w:eastAsia="Arial Unicode MS" w:hAnsi="Times New Roman" w:cs="Arial Unicode MS"/>
          <w:bCs/>
          <w:szCs w:val="23"/>
          <w:bdr w:val="nil"/>
          <w:lang w:val="en-US"/>
        </w:rPr>
        <w:t>the foreseeable future</w:t>
      </w:r>
      <w:r w:rsidRPr="004A0323">
        <w:rPr>
          <w:rFonts w:ascii="Times New Roman" w:eastAsia="Arial Unicode MS" w:hAnsi="Times New Roman" w:cs="Arial Unicode MS"/>
          <w:bCs/>
          <w:szCs w:val="23"/>
          <w:bdr w:val="nil"/>
          <w:lang w:val="en-US"/>
        </w:rPr>
        <w:t>. In our case input legitimacy and output legitimacy appear to be linked at a fundamental level</w:t>
      </w:r>
      <w:r w:rsidR="00381163" w:rsidRPr="004A0323">
        <w:rPr>
          <w:rFonts w:ascii="Times New Roman" w:eastAsia="Arial Unicode MS" w:hAnsi="Times New Roman" w:cs="Arial Unicode MS"/>
          <w:bCs/>
          <w:szCs w:val="23"/>
          <w:bdr w:val="nil"/>
          <w:lang w:val="en-US"/>
        </w:rPr>
        <w:t>, as</w:t>
      </w:r>
      <w:r w:rsidRPr="004A0323">
        <w:rPr>
          <w:rFonts w:ascii="Times New Roman" w:eastAsia="Arial Unicode MS" w:hAnsi="Times New Roman" w:cs="Arial Unicode MS"/>
          <w:bCs/>
          <w:szCs w:val="23"/>
          <w:bdr w:val="nil"/>
          <w:lang w:val="en-US"/>
        </w:rPr>
        <w:t xml:space="preserve"> </w:t>
      </w:r>
      <w:r w:rsidR="00381163" w:rsidRPr="004A0323">
        <w:rPr>
          <w:rFonts w:ascii="Times New Roman" w:eastAsia="Arial Unicode MS" w:hAnsi="Times New Roman" w:cs="Arial Unicode MS"/>
          <w:bCs/>
          <w:szCs w:val="23"/>
          <w:bdr w:val="nil"/>
          <w:lang w:val="en-US"/>
        </w:rPr>
        <w:t>i</w:t>
      </w:r>
      <w:r w:rsidRPr="004A0323">
        <w:rPr>
          <w:rFonts w:ascii="Times New Roman" w:eastAsia="Arial Unicode MS" w:hAnsi="Times New Roman" w:cs="Arial Unicode MS"/>
          <w:bCs/>
          <w:szCs w:val="23"/>
          <w:bdr w:val="nil"/>
          <w:lang w:val="en-US"/>
        </w:rPr>
        <w:t xml:space="preserve">nput legitimacy </w:t>
      </w:r>
      <w:r w:rsidR="00381163" w:rsidRPr="004A0323">
        <w:rPr>
          <w:rFonts w:ascii="Times New Roman" w:eastAsia="Arial Unicode MS" w:hAnsi="Times New Roman" w:cs="Arial Unicode MS"/>
          <w:bCs/>
          <w:szCs w:val="23"/>
          <w:bdr w:val="nil"/>
          <w:lang w:val="en-US"/>
        </w:rPr>
        <w:t xml:space="preserve">not only facilitates output legitimacy but becomes </w:t>
      </w:r>
      <w:r w:rsidRPr="004A0323">
        <w:rPr>
          <w:rFonts w:ascii="Times New Roman" w:eastAsia="Arial Unicode MS" w:hAnsi="Times New Roman" w:cs="Arial Unicode MS"/>
          <w:bCs/>
          <w:szCs w:val="23"/>
          <w:bdr w:val="nil"/>
          <w:lang w:val="en-US"/>
        </w:rPr>
        <w:t xml:space="preserve">the </w:t>
      </w:r>
      <w:r w:rsidR="00381163" w:rsidRPr="004A0323">
        <w:rPr>
          <w:rFonts w:ascii="Times New Roman" w:eastAsia="Arial Unicode MS" w:hAnsi="Times New Roman" w:cs="Arial Unicode MS"/>
          <w:bCs/>
          <w:szCs w:val="23"/>
          <w:bdr w:val="nil"/>
          <w:lang w:val="en-US"/>
        </w:rPr>
        <w:t xml:space="preserve">key </w:t>
      </w:r>
      <w:r w:rsidRPr="004A0323">
        <w:rPr>
          <w:rFonts w:ascii="Times New Roman" w:eastAsia="Arial Unicode MS" w:hAnsi="Times New Roman" w:cs="Arial Unicode MS"/>
          <w:bCs/>
          <w:szCs w:val="23"/>
          <w:bdr w:val="nil"/>
          <w:lang w:val="en-US"/>
        </w:rPr>
        <w:t xml:space="preserve">mechanism through which </w:t>
      </w:r>
      <w:r w:rsidR="00AF5564" w:rsidRPr="004A0323">
        <w:rPr>
          <w:rFonts w:ascii="Times New Roman" w:eastAsia="Arial Unicode MS" w:hAnsi="Times New Roman" w:cs="Arial Unicode MS"/>
          <w:bCs/>
          <w:szCs w:val="23"/>
          <w:bdr w:val="nil"/>
          <w:lang w:val="en-US"/>
        </w:rPr>
        <w:t>the latter</w:t>
      </w:r>
      <w:r w:rsidRPr="004A0323">
        <w:rPr>
          <w:rFonts w:ascii="Times New Roman" w:eastAsia="Arial Unicode MS" w:hAnsi="Times New Roman" w:cs="Arial Unicode MS"/>
          <w:bCs/>
          <w:szCs w:val="23"/>
          <w:bdr w:val="nil"/>
          <w:lang w:val="en-US"/>
        </w:rPr>
        <w:t xml:space="preserve"> is achieved. </w:t>
      </w:r>
      <w:r w:rsidR="00381163" w:rsidRPr="004A0323">
        <w:rPr>
          <w:rFonts w:ascii="Times New Roman" w:eastAsia="Arial Unicode MS" w:hAnsi="Times New Roman" w:cs="Arial Unicode MS"/>
          <w:bCs/>
          <w:szCs w:val="23"/>
          <w:bdr w:val="nil"/>
          <w:lang w:val="en-US"/>
        </w:rPr>
        <w:t xml:space="preserve">Intermediaries relying on the use of the knowledge they produce about targets by a wide set of constituencies to increase the possibility of compliance by targets cannot much reduce their input legitimacy efforts even when they are well-established in the field. </w:t>
      </w:r>
      <w:r w:rsidR="00381163" w:rsidRPr="004A0323">
        <w:rPr>
          <w:rFonts w:eastAsia="Arial Unicode MS"/>
          <w:bCs/>
          <w:i/>
          <w:iCs/>
          <w:bdr w:val="nil"/>
          <w:lang w:val="en-US"/>
        </w:rPr>
        <w:t xml:space="preserve"> </w:t>
      </w:r>
    </w:p>
    <w:p w14:paraId="6702A3B1" w14:textId="3BB42A08" w:rsidR="007E7551" w:rsidRPr="004A0323" w:rsidRDefault="001D28E2" w:rsidP="00F07D2A">
      <w:pPr>
        <w:pStyle w:val="Body"/>
        <w:spacing w:after="120"/>
        <w:ind w:firstLine="567"/>
        <w:rPr>
          <w:rFonts w:asciiTheme="majorBidi" w:hAnsiTheme="majorBidi" w:cstheme="majorBidi"/>
          <w:b/>
          <w:bCs/>
          <w:color w:val="000000" w:themeColor="text1"/>
          <w:szCs w:val="24"/>
        </w:rPr>
      </w:pPr>
      <w:r w:rsidRPr="004A0323">
        <w:rPr>
          <w:bCs/>
          <w:color w:val="000000" w:themeColor="text1"/>
        </w:rPr>
        <w:t xml:space="preserve">Thus, our case raises an important point in response to Mayntz’ (2010) reflections on the relationship between legitimacy and compliance. Maytnz bases her argument of the overstatement of legitimacy as a condition for compliance on the analysis of European regulation, which is largely official. Our case </w:t>
      </w:r>
      <w:r w:rsidR="00AF5564" w:rsidRPr="004A0323">
        <w:rPr>
          <w:bCs/>
          <w:color w:val="000000" w:themeColor="text1"/>
        </w:rPr>
        <w:t>illustrates</w:t>
      </w:r>
      <w:r w:rsidRPr="004A0323">
        <w:rPr>
          <w:bCs/>
          <w:color w:val="000000" w:themeColor="text1"/>
        </w:rPr>
        <w:t xml:space="preserve"> the continued importance of input legitimacy in the absence of an official mandate in the case of multi-stakeholder regulation, when the compliance possibilities anticipated by the intermediary are maximized if stakeholders use the knowledge it produces about targets. We agree with Mayntz that compliance by companies may not fundamentally depend on the formal legitimacy of the intermediary, and that it may simply be a function of the extent to which companies feel threatened (e.g. in their reputation) by the actions of the intermediary. However, the type and </w:t>
      </w:r>
      <w:r w:rsidRPr="004A0323">
        <w:rPr>
          <w:bCs/>
          <w:color w:val="000000" w:themeColor="text1"/>
        </w:rPr>
        <w:lastRenderedPageBreak/>
        <w:t>dynamics of the “mandate” an intermediary receives</w:t>
      </w:r>
      <w:r w:rsidR="00314153" w:rsidRPr="004A0323">
        <w:rPr>
          <w:bCs/>
          <w:color w:val="000000" w:themeColor="text1"/>
        </w:rPr>
        <w:t>, as our case shows,</w:t>
      </w:r>
      <w:r w:rsidRPr="004A0323">
        <w:rPr>
          <w:bCs/>
          <w:color w:val="000000" w:themeColor="text1"/>
        </w:rPr>
        <w:t xml:space="preserve"> will have consequences in terms of the path through which compliance is pursued, and the role of legitimacy in this, and need to be scrutinized. To be able to influence the targets, the intermediary we study can only work indirectly, via the the recognition and use of its performance information by other stakeholders, and thus legitimacy and compliance remain intimately linked. </w:t>
      </w:r>
    </w:p>
    <w:p w14:paraId="3AB2FDEE" w14:textId="31F65662" w:rsidR="007E7551" w:rsidRPr="004A0323" w:rsidRDefault="007E7551" w:rsidP="00F07D2A">
      <w:pPr>
        <w:pStyle w:val="Body"/>
        <w:numPr>
          <w:ilvl w:val="0"/>
          <w:numId w:val="1"/>
        </w:numPr>
        <w:ind w:right="-8"/>
        <w:rPr>
          <w:rFonts w:asciiTheme="majorBidi" w:hAnsiTheme="majorBidi" w:cstheme="majorBidi"/>
          <w:b/>
          <w:bCs/>
          <w:color w:val="000000" w:themeColor="text1"/>
          <w:szCs w:val="24"/>
        </w:rPr>
      </w:pPr>
      <w:r w:rsidRPr="004A0323">
        <w:rPr>
          <w:rFonts w:asciiTheme="majorBidi" w:hAnsiTheme="majorBidi" w:cstheme="majorBidi"/>
          <w:b/>
          <w:bCs/>
          <w:color w:val="000000" w:themeColor="text1"/>
          <w:szCs w:val="24"/>
        </w:rPr>
        <w:t>Concluding Remarks</w:t>
      </w:r>
    </w:p>
    <w:p w14:paraId="59201EFB" w14:textId="69F86CBA" w:rsidR="00AF5564" w:rsidRPr="004A0323" w:rsidRDefault="001B6B81" w:rsidP="00FA1B04">
      <w:pPr>
        <w:pStyle w:val="Body"/>
        <w:ind w:right="-8" w:firstLine="567"/>
        <w:rPr>
          <w:bCs/>
          <w:color w:val="000000" w:themeColor="text1"/>
        </w:rPr>
      </w:pPr>
      <w:r w:rsidRPr="004A0323">
        <w:rPr>
          <w:bCs/>
          <w:color w:val="000000" w:themeColor="text1"/>
        </w:rPr>
        <w:t xml:space="preserve">Our </w:t>
      </w:r>
      <w:r w:rsidR="00434A55" w:rsidRPr="004A0323">
        <w:rPr>
          <w:bCs/>
          <w:color w:val="000000" w:themeColor="text1"/>
        </w:rPr>
        <w:t>study of the Access to Medicine Index has helped us bring to the fore several aspects of unofficial intermediation based on performance measurement in a multi-stakeholder setting.</w:t>
      </w:r>
      <w:r w:rsidR="00314153" w:rsidRPr="004A0323">
        <w:rPr>
          <w:bCs/>
          <w:color w:val="000000" w:themeColor="text1"/>
        </w:rPr>
        <w:t xml:space="preserve"> </w:t>
      </w:r>
      <w:r w:rsidR="00434A55" w:rsidRPr="004A0323">
        <w:rPr>
          <w:bCs/>
          <w:color w:val="000000" w:themeColor="text1"/>
        </w:rPr>
        <w:t xml:space="preserve">By seeing </w:t>
      </w:r>
      <w:r w:rsidR="00137D20" w:rsidRPr="004A0323">
        <w:rPr>
          <w:bCs/>
          <w:color w:val="000000" w:themeColor="text1"/>
        </w:rPr>
        <w:t>this type of</w:t>
      </w:r>
      <w:r w:rsidR="00434A55" w:rsidRPr="004A0323">
        <w:rPr>
          <w:bCs/>
          <w:color w:val="000000" w:themeColor="text1"/>
        </w:rPr>
        <w:t xml:space="preserve"> intermediation as a process of officialization in which “second order rule-making” by the intermediary contributes to building a stakeholder mandate, we have </w:t>
      </w:r>
      <w:r w:rsidR="00CD52A1" w:rsidRPr="004A0323">
        <w:rPr>
          <w:bCs/>
          <w:color w:val="000000" w:themeColor="text1"/>
        </w:rPr>
        <w:t>drawn attention to</w:t>
      </w:r>
      <w:r w:rsidR="00434A55" w:rsidRPr="004A0323">
        <w:rPr>
          <w:bCs/>
          <w:color w:val="000000" w:themeColor="text1"/>
        </w:rPr>
        <w:t xml:space="preserve"> rule-making and intermediation </w:t>
      </w:r>
      <w:r w:rsidR="00CD52A1" w:rsidRPr="004A0323">
        <w:rPr>
          <w:bCs/>
          <w:color w:val="000000" w:themeColor="text1"/>
        </w:rPr>
        <w:t>as mutually constitutive processes</w:t>
      </w:r>
      <w:r w:rsidR="00AF5564" w:rsidRPr="004A0323">
        <w:rPr>
          <w:bCs/>
          <w:color w:val="000000" w:themeColor="text1"/>
        </w:rPr>
        <w:t>, which are more widely distributed and pervasive than a</w:t>
      </w:r>
      <w:r w:rsidR="00C35FBE" w:rsidRPr="004A0323">
        <w:rPr>
          <w:bCs/>
          <w:color w:val="000000" w:themeColor="text1"/>
        </w:rPr>
        <w:t>n exclusive</w:t>
      </w:r>
      <w:r w:rsidR="00AF5564" w:rsidRPr="004A0323">
        <w:rPr>
          <w:bCs/>
          <w:color w:val="000000" w:themeColor="text1"/>
        </w:rPr>
        <w:t xml:space="preserve"> focus on official forms of intermediation would allow to grasp</w:t>
      </w:r>
      <w:r w:rsidR="00CD52A1" w:rsidRPr="004A0323">
        <w:rPr>
          <w:bCs/>
          <w:color w:val="000000" w:themeColor="text1"/>
        </w:rPr>
        <w:t xml:space="preserve">. </w:t>
      </w:r>
    </w:p>
    <w:p w14:paraId="20AF2471" w14:textId="544E8B1A" w:rsidR="00FA1B04" w:rsidRPr="004A0323" w:rsidRDefault="0099176E" w:rsidP="00FA1B04">
      <w:pPr>
        <w:pStyle w:val="Body"/>
        <w:ind w:right="-8" w:firstLine="567"/>
        <w:rPr>
          <w:bCs/>
          <w:color w:val="000000" w:themeColor="text1"/>
        </w:rPr>
      </w:pPr>
      <w:r w:rsidRPr="004A0323">
        <w:rPr>
          <w:bCs/>
          <w:color w:val="000000" w:themeColor="text1"/>
        </w:rPr>
        <w:t>Secondly</w:t>
      </w:r>
      <w:r w:rsidR="00CD52A1" w:rsidRPr="004A0323">
        <w:rPr>
          <w:bCs/>
          <w:color w:val="000000" w:themeColor="text1"/>
        </w:rPr>
        <w:t xml:space="preserve">, we have highlighted the importance of the selective formalization of the performance measurement process for sustaining legitimacy and enticing compliance, where the latter remain more intimately connected than often posited by the literature. As discussed, this is </w:t>
      </w:r>
      <w:r w:rsidR="00AF5564" w:rsidRPr="004A0323">
        <w:rPr>
          <w:bCs/>
          <w:color w:val="000000" w:themeColor="text1"/>
        </w:rPr>
        <w:t>because</w:t>
      </w:r>
      <w:r w:rsidR="00CD52A1" w:rsidRPr="004A0323">
        <w:rPr>
          <w:bCs/>
          <w:color w:val="000000" w:themeColor="text1"/>
        </w:rPr>
        <w:t xml:space="preserve"> in our multi-stakeholder initiative based on performance measurement compliance heavily depend</w:t>
      </w:r>
      <w:r w:rsidRPr="004A0323">
        <w:rPr>
          <w:bCs/>
          <w:color w:val="000000" w:themeColor="text1"/>
        </w:rPr>
        <w:t>s</w:t>
      </w:r>
      <w:r w:rsidR="00CD52A1" w:rsidRPr="004A0323">
        <w:rPr>
          <w:bCs/>
          <w:color w:val="000000" w:themeColor="text1"/>
        </w:rPr>
        <w:t xml:space="preserve"> on the uptake and use of the performance information by powerful constituencies.</w:t>
      </w:r>
      <w:r w:rsidR="00434A55" w:rsidRPr="004A0323">
        <w:rPr>
          <w:bCs/>
          <w:color w:val="000000" w:themeColor="text1"/>
        </w:rPr>
        <w:t xml:space="preserve"> </w:t>
      </w:r>
      <w:r w:rsidR="00CD52A1" w:rsidRPr="004A0323">
        <w:rPr>
          <w:bCs/>
          <w:color w:val="000000" w:themeColor="text1"/>
        </w:rPr>
        <w:t xml:space="preserve">Our case ultimately illustrates that </w:t>
      </w:r>
      <w:r w:rsidR="001B6B81" w:rsidRPr="004A0323">
        <w:rPr>
          <w:bCs/>
          <w:color w:val="000000" w:themeColor="text1"/>
        </w:rPr>
        <w:t>addressing legitimacy concerns and developing the potential of rules</w:t>
      </w:r>
      <w:r w:rsidR="0050211A" w:rsidRPr="004A0323">
        <w:rPr>
          <w:bCs/>
          <w:color w:val="000000" w:themeColor="text1"/>
        </w:rPr>
        <w:t xml:space="preserve">, </w:t>
      </w:r>
      <w:r w:rsidR="001B6B81" w:rsidRPr="004A0323">
        <w:rPr>
          <w:bCs/>
          <w:color w:val="000000" w:themeColor="text1"/>
        </w:rPr>
        <w:t>in our case best practices captured by performance indicators</w:t>
      </w:r>
      <w:r w:rsidR="0050211A" w:rsidRPr="004A0323">
        <w:rPr>
          <w:bCs/>
          <w:color w:val="000000" w:themeColor="text1"/>
        </w:rPr>
        <w:t>,</w:t>
      </w:r>
      <w:r w:rsidR="001B6B81" w:rsidRPr="004A0323">
        <w:rPr>
          <w:bCs/>
          <w:color w:val="000000" w:themeColor="text1"/>
        </w:rPr>
        <w:t xml:space="preserve"> for achieving compliance </w:t>
      </w:r>
      <w:r w:rsidR="00137D20" w:rsidRPr="004A0323">
        <w:rPr>
          <w:bCs/>
          <w:color w:val="000000" w:themeColor="text1"/>
        </w:rPr>
        <w:t>should be</w:t>
      </w:r>
      <w:r w:rsidR="00CD52A1" w:rsidRPr="004A0323">
        <w:rPr>
          <w:bCs/>
          <w:color w:val="000000" w:themeColor="text1"/>
        </w:rPr>
        <w:t xml:space="preserve"> investigated as </w:t>
      </w:r>
      <w:r w:rsidR="001B6B81" w:rsidRPr="004A0323">
        <w:rPr>
          <w:bCs/>
          <w:color w:val="000000" w:themeColor="text1"/>
        </w:rPr>
        <w:t>co-emerging processe</w:t>
      </w:r>
      <w:r w:rsidR="0010341E" w:rsidRPr="004A0323">
        <w:rPr>
          <w:bCs/>
          <w:color w:val="000000" w:themeColor="text1"/>
        </w:rPr>
        <w:t xml:space="preserve">s. </w:t>
      </w:r>
    </w:p>
    <w:p w14:paraId="17BEDCB0" w14:textId="1CF4D989" w:rsidR="0099176E" w:rsidRPr="004A0323" w:rsidRDefault="0099176E" w:rsidP="0099176E">
      <w:pPr>
        <w:pStyle w:val="Body"/>
        <w:ind w:firstLine="567"/>
        <w:rPr>
          <w:rFonts w:asciiTheme="majorBidi" w:hAnsiTheme="majorBidi" w:cstheme="majorBidi"/>
          <w:color w:val="000000" w:themeColor="text1"/>
          <w:szCs w:val="24"/>
        </w:rPr>
      </w:pPr>
      <w:r w:rsidRPr="004A0323">
        <w:rPr>
          <w:rFonts w:asciiTheme="majorBidi" w:hAnsiTheme="majorBidi" w:cstheme="majorBidi"/>
          <w:color w:val="000000" w:themeColor="text1"/>
          <w:szCs w:val="24"/>
        </w:rPr>
        <w:t xml:space="preserve">Finally, our focus on performance measurement is evocative of the role of material artefacts – such as written texts, hardware and software, graphs, scorecards, and the like – </w:t>
      </w:r>
      <w:r w:rsidR="00137D20" w:rsidRPr="004A0323">
        <w:rPr>
          <w:rFonts w:asciiTheme="majorBidi" w:hAnsiTheme="majorBidi" w:cstheme="majorBidi"/>
          <w:color w:val="000000" w:themeColor="text1"/>
          <w:szCs w:val="24"/>
        </w:rPr>
        <w:t>in</w:t>
      </w:r>
      <w:r w:rsidRPr="004A0323">
        <w:rPr>
          <w:rFonts w:asciiTheme="majorBidi" w:hAnsiTheme="majorBidi" w:cstheme="majorBidi"/>
          <w:color w:val="000000" w:themeColor="text1"/>
          <w:szCs w:val="24"/>
        </w:rPr>
        <w:t xml:space="preserve"> regulatory intermediation, so far largely overlooked (Mena </w:t>
      </w:r>
      <w:r w:rsidRPr="004A0323">
        <w:rPr>
          <w:rFonts w:asciiTheme="majorBidi" w:hAnsiTheme="majorBidi" w:cstheme="majorBidi"/>
          <w:i/>
          <w:color w:val="000000" w:themeColor="text1"/>
          <w:szCs w:val="24"/>
        </w:rPr>
        <w:t>et al</w:t>
      </w:r>
      <w:r w:rsidRPr="004A0323">
        <w:rPr>
          <w:rFonts w:asciiTheme="majorBidi" w:hAnsiTheme="majorBidi" w:cstheme="majorBidi"/>
          <w:color w:val="000000" w:themeColor="text1"/>
          <w:szCs w:val="24"/>
        </w:rPr>
        <w:t xml:space="preserve">. this issue). Our illustration of </w:t>
      </w:r>
      <w:r w:rsidRPr="004A0323">
        <w:rPr>
          <w:rFonts w:asciiTheme="majorBidi" w:hAnsiTheme="majorBidi" w:cstheme="majorBidi"/>
          <w:color w:val="000000" w:themeColor="text1"/>
          <w:szCs w:val="24"/>
        </w:rPr>
        <w:lastRenderedPageBreak/>
        <w:t xml:space="preserve">performance measurement as a form of regulatory intermediation, where marginal differences on the zero-five performance scale are used as levers for </w:t>
      </w:r>
      <w:r w:rsidR="000571BD" w:rsidRPr="004A0323">
        <w:rPr>
          <w:rFonts w:asciiTheme="majorBidi" w:hAnsiTheme="majorBidi" w:cstheme="majorBidi"/>
          <w:color w:val="000000" w:themeColor="text1"/>
          <w:szCs w:val="24"/>
        </w:rPr>
        <w:t>moving powerful global companies towards compliance</w:t>
      </w:r>
      <w:r w:rsidRPr="004A0323">
        <w:rPr>
          <w:rFonts w:asciiTheme="majorBidi" w:hAnsiTheme="majorBidi" w:cstheme="majorBidi"/>
          <w:color w:val="000000" w:themeColor="text1"/>
          <w:szCs w:val="24"/>
        </w:rPr>
        <w:t xml:space="preserve">, points to the need to </w:t>
      </w:r>
      <w:r w:rsidR="00137D20" w:rsidRPr="004A0323">
        <w:rPr>
          <w:rFonts w:asciiTheme="majorBidi" w:hAnsiTheme="majorBidi" w:cstheme="majorBidi"/>
          <w:color w:val="000000" w:themeColor="text1"/>
          <w:szCs w:val="24"/>
        </w:rPr>
        <w:t>trace</w:t>
      </w:r>
      <w:r w:rsidRPr="004A0323">
        <w:rPr>
          <w:rFonts w:asciiTheme="majorBidi" w:hAnsiTheme="majorBidi" w:cstheme="majorBidi"/>
          <w:color w:val="000000" w:themeColor="text1"/>
          <w:szCs w:val="24"/>
        </w:rPr>
        <w:t xml:space="preserve"> </w:t>
      </w:r>
      <w:r w:rsidR="00137D20" w:rsidRPr="004A0323">
        <w:rPr>
          <w:rFonts w:asciiTheme="majorBidi" w:hAnsiTheme="majorBidi" w:cstheme="majorBidi"/>
          <w:color w:val="000000" w:themeColor="text1"/>
          <w:szCs w:val="24"/>
        </w:rPr>
        <w:t>these more mundane sites and mechanisms of regulatory intermediation beyond the role of human actors</w:t>
      </w:r>
      <w:r w:rsidR="00042BF5" w:rsidRPr="004A0323">
        <w:rPr>
          <w:rFonts w:asciiTheme="majorBidi" w:hAnsiTheme="majorBidi" w:cstheme="majorBidi"/>
          <w:color w:val="000000" w:themeColor="text1"/>
          <w:szCs w:val="24"/>
        </w:rPr>
        <w:t>,</w:t>
      </w:r>
      <w:r w:rsidRPr="004A0323">
        <w:rPr>
          <w:rFonts w:asciiTheme="majorBidi" w:hAnsiTheme="majorBidi" w:cstheme="majorBidi"/>
          <w:color w:val="000000" w:themeColor="text1"/>
          <w:szCs w:val="24"/>
        </w:rPr>
        <w:t xml:space="preserve"> </w:t>
      </w:r>
      <w:r w:rsidR="00137D20" w:rsidRPr="004A0323">
        <w:rPr>
          <w:rFonts w:asciiTheme="majorBidi" w:hAnsiTheme="majorBidi" w:cstheme="majorBidi"/>
          <w:color w:val="000000" w:themeColor="text1"/>
          <w:szCs w:val="24"/>
        </w:rPr>
        <w:t>attending to</w:t>
      </w:r>
      <w:r w:rsidRPr="004A0323">
        <w:rPr>
          <w:rFonts w:asciiTheme="majorBidi" w:hAnsiTheme="majorBidi" w:cstheme="majorBidi"/>
          <w:color w:val="000000" w:themeColor="text1"/>
          <w:szCs w:val="24"/>
        </w:rPr>
        <w:t xml:space="preserve"> the technological side of regulatory capitalism</w:t>
      </w:r>
      <w:r w:rsidR="000571BD" w:rsidRPr="004A0323">
        <w:rPr>
          <w:rFonts w:asciiTheme="majorBidi" w:hAnsiTheme="majorBidi" w:cstheme="majorBidi"/>
          <w:color w:val="000000" w:themeColor="text1"/>
          <w:szCs w:val="24"/>
        </w:rPr>
        <w:t>.</w:t>
      </w:r>
      <w:r w:rsidRPr="004A0323">
        <w:rPr>
          <w:rFonts w:asciiTheme="majorBidi" w:hAnsiTheme="majorBidi" w:cstheme="majorBidi"/>
          <w:color w:val="000000" w:themeColor="text1"/>
          <w:szCs w:val="24"/>
        </w:rPr>
        <w:t xml:space="preserve"> </w:t>
      </w:r>
    </w:p>
    <w:p w14:paraId="126EA7C8" w14:textId="38AD6146" w:rsidR="00114289" w:rsidRPr="004A0323" w:rsidRDefault="00114289">
      <w:pPr>
        <w:pBdr>
          <w:top w:val="none" w:sz="0" w:space="0" w:color="auto"/>
          <w:left w:val="none" w:sz="0" w:space="0" w:color="auto"/>
          <w:bottom w:val="none" w:sz="0" w:space="0" w:color="auto"/>
          <w:right w:val="none" w:sz="0" w:space="0" w:color="auto"/>
          <w:between w:val="none" w:sz="0" w:space="0" w:color="auto"/>
          <w:bar w:val="none" w:sz="0" w:color="auto"/>
        </w:pBdr>
        <w:rPr>
          <w:rFonts w:eastAsia="Arial Unicode MS"/>
          <w:bdr w:val="nil"/>
          <w:lang w:val="en-US"/>
        </w:rPr>
      </w:pPr>
      <w:r w:rsidRPr="004A0323">
        <w:rPr>
          <w:rFonts w:eastAsia="Arial Unicode MS"/>
          <w:bdr w:val="nil"/>
          <w:lang w:val="en-US"/>
        </w:rPr>
        <w:br w:type="page"/>
      </w:r>
    </w:p>
    <w:p w14:paraId="7B5DECF9" w14:textId="66492405" w:rsidR="00CA267F" w:rsidRPr="004A0323" w:rsidRDefault="0049279F" w:rsidP="00513F10">
      <w:pPr>
        <w:pBdr>
          <w:top w:val="none" w:sz="0" w:space="0" w:color="auto"/>
          <w:left w:val="none" w:sz="0" w:space="0" w:color="auto"/>
          <w:bottom w:val="none" w:sz="0" w:space="0" w:color="auto"/>
          <w:right w:val="none" w:sz="0" w:space="0" w:color="auto"/>
          <w:between w:val="none" w:sz="0" w:space="0" w:color="auto"/>
          <w:bar w:val="none" w:sz="0" w:color="auto"/>
        </w:pBdr>
        <w:rPr>
          <w:b/>
          <w:lang w:val="en-US"/>
        </w:rPr>
      </w:pPr>
      <w:r w:rsidRPr="004A0323">
        <w:rPr>
          <w:b/>
          <w:lang w:val="en-US"/>
        </w:rPr>
        <w:lastRenderedPageBreak/>
        <w:t>R</w:t>
      </w:r>
      <w:r w:rsidR="00E447DF" w:rsidRPr="004A0323">
        <w:rPr>
          <w:b/>
          <w:lang w:val="en-US"/>
        </w:rPr>
        <w:t>eferences</w:t>
      </w:r>
    </w:p>
    <w:p w14:paraId="209F6D5F" w14:textId="77777777" w:rsidR="00891B93" w:rsidRPr="004A0323" w:rsidRDefault="00891B93" w:rsidP="00513F10">
      <w:pPr>
        <w:rPr>
          <w:b/>
          <w:lang w:val="en-US"/>
        </w:rPr>
      </w:pPr>
    </w:p>
    <w:p w14:paraId="31FA0CCA" w14:textId="77777777" w:rsidR="002E1CBE" w:rsidRPr="004A0323" w:rsidRDefault="002E1CBE" w:rsidP="004A0323">
      <w:pPr>
        <w:spacing w:line="480" w:lineRule="auto"/>
        <w:ind w:left="567" w:hanging="567"/>
      </w:pPr>
      <w:r w:rsidRPr="004A0323">
        <w:t xml:space="preserve">Abbott, K. W., &amp; Snidal, D. (2009). The governance triangle: regulatory standards institutions and the shadow of the state. In W. Mattli &amp; N. Woods, (Eds.), </w:t>
      </w:r>
      <w:r w:rsidRPr="004A0323">
        <w:rPr>
          <w:i/>
        </w:rPr>
        <w:t>The Politics of Global Regulation</w:t>
      </w:r>
      <w:r w:rsidRPr="004A0323">
        <w:t>, Princeton, US: Princeton University Press.</w:t>
      </w:r>
    </w:p>
    <w:p w14:paraId="60C97E5E" w14:textId="77777777" w:rsidR="002E1CBE" w:rsidRPr="004A0323" w:rsidRDefault="002E1CBE" w:rsidP="004A0323">
      <w:pPr>
        <w:spacing w:line="480" w:lineRule="auto"/>
        <w:ind w:left="567" w:hanging="567"/>
      </w:pPr>
      <w:r w:rsidRPr="004A0323">
        <w:t xml:space="preserve">Abbott, K. W., Genschel, P., Snidal, D., &amp; Zangl, B. (2014). Two logics of indirect governance: delegation and orchestration. </w:t>
      </w:r>
      <w:r w:rsidRPr="004A0323">
        <w:rPr>
          <w:i/>
        </w:rPr>
        <w:t>British Journal of Political Science</w:t>
      </w:r>
      <w:r w:rsidRPr="004A0323">
        <w:t>, 46(4), 1–11.</w:t>
      </w:r>
    </w:p>
    <w:p w14:paraId="2D01C5F3" w14:textId="77777777" w:rsidR="002E1CBE" w:rsidRPr="004A0323" w:rsidRDefault="002E1CBE" w:rsidP="004A0323">
      <w:pPr>
        <w:spacing w:line="480" w:lineRule="auto"/>
        <w:ind w:left="567" w:hanging="567"/>
      </w:pPr>
      <w:r w:rsidRPr="004A0323">
        <w:t xml:space="preserve">Abbott, K. W., Levi-Faur, D., &amp; Snidal, D. (2017a). Enriching the RIT Framework. </w:t>
      </w:r>
      <w:r w:rsidRPr="004A0323">
        <w:rPr>
          <w:i/>
        </w:rPr>
        <w:t>The ANNALS of the American Academy of Political and Social Science</w:t>
      </w:r>
      <w:r w:rsidRPr="004A0323">
        <w:t>, 670(1), 280–288.</w:t>
      </w:r>
    </w:p>
    <w:p w14:paraId="3813C109" w14:textId="77777777" w:rsidR="002E1CBE" w:rsidRPr="004A0323" w:rsidRDefault="002E1CBE" w:rsidP="004A0323">
      <w:pPr>
        <w:spacing w:line="480" w:lineRule="auto"/>
        <w:ind w:left="567" w:hanging="567"/>
      </w:pPr>
      <w:r w:rsidRPr="004A0323">
        <w:t xml:space="preserve">Abbott, K. W., Levi-Faur, D., &amp; Snidal, D. (2017b). Theorizing regulatory intermediaries: The RIT model. </w:t>
      </w:r>
      <w:r w:rsidRPr="004A0323">
        <w:rPr>
          <w:i/>
        </w:rPr>
        <w:t>The ANNALS of the American Academy of Political and Social Science</w:t>
      </w:r>
      <w:r w:rsidRPr="004A0323">
        <w:t>, 670(1), 14–35.</w:t>
      </w:r>
    </w:p>
    <w:p w14:paraId="68E1543A" w14:textId="77777777" w:rsidR="002E1CBE" w:rsidRPr="004A0323" w:rsidRDefault="002E1CBE" w:rsidP="004A0323">
      <w:pPr>
        <w:spacing w:line="480" w:lineRule="auto"/>
        <w:ind w:left="567" w:hanging="567"/>
      </w:pPr>
      <w:r w:rsidRPr="004A0323">
        <w:t xml:space="preserve">ATMF. (2016). </w:t>
      </w:r>
      <w:r w:rsidRPr="004A0323">
        <w:rPr>
          <w:i/>
        </w:rPr>
        <w:t>Investor Statement Access to Medicine Index</w:t>
      </w:r>
      <w:r w:rsidRPr="004A0323">
        <w:t>. Retrieved from http://www.accesstomedicineindex.org/sites/2015.atmindex.org/files/160126atm_investorsstatement.pdf</w:t>
      </w:r>
    </w:p>
    <w:p w14:paraId="27692CBC" w14:textId="77777777" w:rsidR="002E1CBE" w:rsidRPr="004A0323" w:rsidRDefault="002E1CBE" w:rsidP="004A0323">
      <w:pPr>
        <w:spacing w:line="480" w:lineRule="auto"/>
        <w:ind w:left="567" w:hanging="567"/>
      </w:pPr>
      <w:r w:rsidRPr="004A0323">
        <w:t xml:space="preserve">ATMI. (2016). </w:t>
      </w:r>
      <w:r w:rsidRPr="004A0323">
        <w:rPr>
          <w:i/>
        </w:rPr>
        <w:t>Access to Medicine Index 2016</w:t>
      </w:r>
      <w:r w:rsidRPr="004A0323">
        <w:t>. Retrieved from http://accesstomedicineindex.org/media/atmi/Access-to-Medicine-Index-2016.pdf</w:t>
      </w:r>
    </w:p>
    <w:p w14:paraId="08E5DED9" w14:textId="77777777" w:rsidR="002E1CBE" w:rsidRPr="004A0323" w:rsidRDefault="002E1CBE" w:rsidP="004A0323">
      <w:pPr>
        <w:spacing w:line="480" w:lineRule="auto"/>
        <w:ind w:left="567" w:hanging="567"/>
      </w:pPr>
      <w:r w:rsidRPr="004A0323">
        <w:t xml:space="preserve">Auld, G., &amp; Renckens, S. (2017). Rule-making feedbacks through intermediation and evaluation in transnational private governance. </w:t>
      </w:r>
      <w:r w:rsidRPr="004A0323">
        <w:rPr>
          <w:i/>
        </w:rPr>
        <w:t>The ANNALS of the American Academy of Political and Social Science</w:t>
      </w:r>
      <w:r w:rsidRPr="004A0323">
        <w:t>, 670(1), 93–111.</w:t>
      </w:r>
    </w:p>
    <w:p w14:paraId="75A2E74C" w14:textId="77777777" w:rsidR="002E1CBE" w:rsidRPr="004A0323" w:rsidRDefault="002E1CBE" w:rsidP="004A0323">
      <w:pPr>
        <w:spacing w:line="480" w:lineRule="auto"/>
        <w:ind w:left="567" w:hanging="567"/>
      </w:pPr>
      <w:r w:rsidRPr="004A0323">
        <w:t xml:space="preserve">Bartley, T. (2007). Institutional Emergence in an Era of Globalization: The Rise of Transnational Private Regulation of Labor and Environmental Conditions. </w:t>
      </w:r>
      <w:r w:rsidRPr="004A0323">
        <w:rPr>
          <w:i/>
        </w:rPr>
        <w:t>American Journal of Sociology</w:t>
      </w:r>
      <w:r w:rsidRPr="004A0323">
        <w:t>, 113(2), 297–351.</w:t>
      </w:r>
    </w:p>
    <w:p w14:paraId="05903EDB" w14:textId="77777777" w:rsidR="002E1CBE" w:rsidRPr="004A0323" w:rsidRDefault="002E1CBE" w:rsidP="004A0323">
      <w:pPr>
        <w:spacing w:line="480" w:lineRule="auto"/>
        <w:ind w:left="567" w:hanging="567"/>
      </w:pPr>
      <w:r w:rsidRPr="004A0323">
        <w:t xml:space="preserve">Best, J. (2005). </w:t>
      </w:r>
      <w:r w:rsidRPr="004A0323">
        <w:rPr>
          <w:i/>
        </w:rPr>
        <w:t>The limits of transparency: Ambiguity and the history of international finance</w:t>
      </w:r>
      <w:r w:rsidRPr="004A0323">
        <w:t>. Ithaca, US: Cornell University Press.</w:t>
      </w:r>
    </w:p>
    <w:p w14:paraId="09C80EEF" w14:textId="77777777" w:rsidR="002E1CBE" w:rsidRPr="004A0323" w:rsidRDefault="002E1CBE" w:rsidP="004A0323">
      <w:pPr>
        <w:spacing w:line="480" w:lineRule="auto"/>
        <w:ind w:left="567" w:hanging="567"/>
      </w:pPr>
      <w:r w:rsidRPr="004A0323">
        <w:lastRenderedPageBreak/>
        <w:t xml:space="preserve">Botzem, S., &amp; Dobusch, L. (2012). Standardization cycles: A process perspective on the formation and diffusion of transnational standards. </w:t>
      </w:r>
      <w:r w:rsidRPr="004A0323">
        <w:rPr>
          <w:i/>
        </w:rPr>
        <w:t>Organization Studies</w:t>
      </w:r>
      <w:r w:rsidRPr="004A0323">
        <w:t>, 33(5–6), 737–762.</w:t>
      </w:r>
    </w:p>
    <w:p w14:paraId="5AF1A337" w14:textId="77777777" w:rsidR="002E1CBE" w:rsidRPr="004A0323" w:rsidRDefault="002E1CBE" w:rsidP="004A0323">
      <w:pPr>
        <w:spacing w:line="480" w:lineRule="auto"/>
        <w:ind w:left="567" w:hanging="567"/>
      </w:pPr>
      <w:r w:rsidRPr="004A0323">
        <w:t xml:space="preserve">Buthe, T. (2010). Special Issue: Private Regulation in the Global Economy. </w:t>
      </w:r>
      <w:r w:rsidRPr="004A0323">
        <w:rPr>
          <w:i/>
        </w:rPr>
        <w:t>Business and Politics</w:t>
      </w:r>
      <w:r w:rsidRPr="004A0323">
        <w:t>, 12(3).</w:t>
      </w:r>
    </w:p>
    <w:p w14:paraId="030F5E42" w14:textId="77777777" w:rsidR="002E1CBE" w:rsidRPr="004A0323" w:rsidRDefault="002E1CBE" w:rsidP="004A0323">
      <w:pPr>
        <w:spacing w:line="480" w:lineRule="auto"/>
        <w:ind w:left="567" w:hanging="567"/>
      </w:pPr>
      <w:r w:rsidRPr="004A0323">
        <w:t xml:space="preserve">Davis, K. E., Kingsbury, B., &amp; Merry, S. E. (2012). Indicators as a technology of global governance. </w:t>
      </w:r>
      <w:r w:rsidRPr="004A0323">
        <w:rPr>
          <w:i/>
        </w:rPr>
        <w:t>Law &amp; Society Review</w:t>
      </w:r>
      <w:r w:rsidRPr="004A0323">
        <w:t>, 46(1), 71–104.</w:t>
      </w:r>
    </w:p>
    <w:p w14:paraId="7F9FC551" w14:textId="77777777" w:rsidR="002E1CBE" w:rsidRPr="004A0323" w:rsidRDefault="002E1CBE" w:rsidP="004A0323">
      <w:pPr>
        <w:spacing w:line="480" w:lineRule="auto"/>
        <w:ind w:left="567" w:hanging="567"/>
      </w:pPr>
      <w:r w:rsidRPr="004A0323">
        <w:t xml:space="preserve">DFID. (2013). </w:t>
      </w:r>
      <w:r w:rsidRPr="004A0323">
        <w:rPr>
          <w:i/>
        </w:rPr>
        <w:t>DFID Logical Framework for ATMF</w:t>
      </w:r>
      <w:r w:rsidRPr="004A0323">
        <w:t>. Retrieved from http://projects.dfid.gov.uk/iati/Project/201055</w:t>
      </w:r>
    </w:p>
    <w:p w14:paraId="2F61AF3D" w14:textId="77777777" w:rsidR="002E1CBE" w:rsidRPr="004A0323" w:rsidRDefault="002E1CBE" w:rsidP="004A0323">
      <w:pPr>
        <w:spacing w:line="480" w:lineRule="auto"/>
        <w:ind w:left="567" w:hanging="567"/>
      </w:pPr>
      <w:r w:rsidRPr="004A0323">
        <w:t xml:space="preserve">Djelic, M. L., &amp; Quack, S. (2010). </w:t>
      </w:r>
      <w:r w:rsidRPr="004A0323">
        <w:rPr>
          <w:i/>
        </w:rPr>
        <w:t>Transnational Communities: Shaping Global Economic Governance</w:t>
      </w:r>
      <w:r w:rsidRPr="004A0323">
        <w:t>. Cambridge, UK: Cambridge University Press.</w:t>
      </w:r>
    </w:p>
    <w:p w14:paraId="518C7679" w14:textId="77777777" w:rsidR="002E1CBE" w:rsidRPr="004A0323" w:rsidRDefault="002E1CBE" w:rsidP="004A0323">
      <w:pPr>
        <w:spacing w:line="480" w:lineRule="auto"/>
        <w:ind w:left="567" w:hanging="567"/>
      </w:pPr>
      <w:r w:rsidRPr="004A0323">
        <w:t xml:space="preserve">Drori, G. S., Meyer, J. W., &amp; Hwang, H. (Eds.). (2006). </w:t>
      </w:r>
      <w:r w:rsidRPr="004A0323">
        <w:rPr>
          <w:i/>
        </w:rPr>
        <w:t>Globalization and Organization: World Society and Organizational Change</w:t>
      </w:r>
      <w:r w:rsidRPr="004A0323">
        <w:t>. Oxford: Oxford University Press.</w:t>
      </w:r>
    </w:p>
    <w:p w14:paraId="14A9EC75" w14:textId="77777777" w:rsidR="002E1CBE" w:rsidRPr="004A0323" w:rsidRDefault="002E1CBE" w:rsidP="004A0323">
      <w:pPr>
        <w:spacing w:line="480" w:lineRule="auto"/>
        <w:ind w:left="567" w:hanging="567"/>
      </w:pPr>
      <w:r w:rsidRPr="004A0323">
        <w:t>Espeland, W. (2015). Narrating numbers. In R. Rottenburg (Eds.) The World of Indicators: The Making of Governmental Knowledge through Quantification, 56–75. Cambridge, UK: Cambridge University Press.</w:t>
      </w:r>
    </w:p>
    <w:p w14:paraId="55E0F894" w14:textId="77777777" w:rsidR="002E1CBE" w:rsidRPr="004A0323" w:rsidRDefault="002E1CBE" w:rsidP="004A0323">
      <w:pPr>
        <w:spacing w:line="480" w:lineRule="auto"/>
        <w:ind w:left="567" w:hanging="567"/>
      </w:pPr>
      <w:r w:rsidRPr="004A0323">
        <w:t xml:space="preserve">Espeland, W. N., &amp; Sauder, M. (2007). Rankings and reactivity: How public measures recreate social worlds. </w:t>
      </w:r>
      <w:r w:rsidRPr="004A0323">
        <w:rPr>
          <w:i/>
        </w:rPr>
        <w:t>The American Journal of Sociology</w:t>
      </w:r>
      <w:r w:rsidRPr="004A0323">
        <w:t>, 113(1), 1–40.</w:t>
      </w:r>
      <w:r w:rsidRPr="004A0323">
        <w:rPr>
          <w:rFonts w:ascii="MS Mincho" w:eastAsia="MS Mincho" w:hAnsi="MS Mincho" w:cs="MS Mincho"/>
        </w:rPr>
        <w:t> </w:t>
      </w:r>
    </w:p>
    <w:p w14:paraId="32AD28D2" w14:textId="77777777" w:rsidR="002E1CBE" w:rsidRPr="004A0323" w:rsidRDefault="002E1CBE" w:rsidP="004A0323">
      <w:pPr>
        <w:spacing w:line="480" w:lineRule="auto"/>
        <w:ind w:left="567" w:hanging="567"/>
      </w:pPr>
      <w:r w:rsidRPr="004A0323">
        <w:t xml:space="preserve">Espeland, W. N., &amp; Stevens, M. L. (1998). Commensuration as a social process. </w:t>
      </w:r>
      <w:r w:rsidRPr="004A0323">
        <w:rPr>
          <w:i/>
        </w:rPr>
        <w:t>Annual Review of Sociology</w:t>
      </w:r>
      <w:r w:rsidRPr="004A0323">
        <w:t>, 24, 313–343.</w:t>
      </w:r>
    </w:p>
    <w:p w14:paraId="3803DF13" w14:textId="77777777" w:rsidR="002E1CBE" w:rsidRPr="004A0323" w:rsidRDefault="002E1CBE" w:rsidP="004A0323">
      <w:pPr>
        <w:spacing w:line="480" w:lineRule="auto"/>
        <w:ind w:left="567" w:hanging="567"/>
      </w:pPr>
      <w:r w:rsidRPr="004A0323">
        <w:t xml:space="preserve">Fransen, L. (2012). Multi-stakeholder governance and voluntary programme interactions: legitimation politics in the institutional design of Corporate Social Responsibility. </w:t>
      </w:r>
      <w:r w:rsidRPr="004A0323">
        <w:rPr>
          <w:i/>
        </w:rPr>
        <w:t>Socio-Economic Review</w:t>
      </w:r>
      <w:r w:rsidRPr="004A0323">
        <w:t>, 10(1), 163–192.</w:t>
      </w:r>
    </w:p>
    <w:p w14:paraId="0791AD21" w14:textId="77777777" w:rsidR="002E1CBE" w:rsidRPr="004A0323" w:rsidRDefault="002E1CBE" w:rsidP="004A0323">
      <w:pPr>
        <w:spacing w:line="480" w:lineRule="auto"/>
        <w:ind w:left="567" w:hanging="567"/>
      </w:pPr>
      <w:r w:rsidRPr="004A0323">
        <w:t xml:space="preserve">Garsten, C., &amp; De Montoya, M. L. (2008). </w:t>
      </w:r>
      <w:r w:rsidRPr="004A0323">
        <w:rPr>
          <w:i/>
        </w:rPr>
        <w:t>Transparency in a new global order: unveiling organizational visions.</w:t>
      </w:r>
      <w:r w:rsidRPr="004A0323">
        <w:t xml:space="preserve"> London, UK: Edward Elgar Publishing.</w:t>
      </w:r>
    </w:p>
    <w:p w14:paraId="7AAB7A91" w14:textId="77777777" w:rsidR="002E1CBE" w:rsidRPr="004A0323" w:rsidRDefault="002E1CBE" w:rsidP="004A0323">
      <w:pPr>
        <w:spacing w:line="480" w:lineRule="auto"/>
        <w:ind w:left="567" w:hanging="567"/>
      </w:pPr>
      <w:r w:rsidRPr="004A0323">
        <w:lastRenderedPageBreak/>
        <w:t xml:space="preserve">Grace, C. (2004). </w:t>
      </w:r>
      <w:r w:rsidRPr="004A0323">
        <w:rPr>
          <w:i/>
        </w:rPr>
        <w:t>The effect of changing intellectual property on pharmaceutical industry prospects in India and China</w:t>
      </w:r>
      <w:r w:rsidRPr="004A0323">
        <w:t>. UK Department for International Development Health Systems Resource Centre, London.</w:t>
      </w:r>
    </w:p>
    <w:p w14:paraId="1F89F3A1" w14:textId="77777777" w:rsidR="002E1CBE" w:rsidRPr="004A0323" w:rsidRDefault="002E1CBE" w:rsidP="004A0323">
      <w:pPr>
        <w:spacing w:line="480" w:lineRule="auto"/>
        <w:ind w:left="567" w:hanging="567"/>
      </w:pPr>
      <w:r w:rsidRPr="004A0323">
        <w:t xml:space="preserve">Greene, J. A. (2011). Making medicines essential: The emergent centrality of pharmaceuticals in global health. </w:t>
      </w:r>
      <w:r w:rsidRPr="004A0323">
        <w:rPr>
          <w:i/>
        </w:rPr>
        <w:t>BioSocieties</w:t>
      </w:r>
      <w:r w:rsidRPr="004A0323">
        <w:t>, 6(1), 10–33.</w:t>
      </w:r>
    </w:p>
    <w:p w14:paraId="0A543125" w14:textId="77777777" w:rsidR="002E1CBE" w:rsidRPr="004A0323" w:rsidRDefault="002E1CBE" w:rsidP="004A0323">
      <w:pPr>
        <w:spacing w:line="480" w:lineRule="auto"/>
        <w:ind w:left="567" w:hanging="567"/>
      </w:pPr>
      <w:r w:rsidRPr="004A0323">
        <w:t xml:space="preserve">Gulbrandsen, L. H. (2008). Accountability arrangements in non-state standards organizations: instrumental design and imitation. </w:t>
      </w:r>
      <w:r w:rsidRPr="004A0323">
        <w:rPr>
          <w:i/>
        </w:rPr>
        <w:t>Organization</w:t>
      </w:r>
      <w:r w:rsidRPr="004A0323">
        <w:t>, 15(4), 563–583.</w:t>
      </w:r>
    </w:p>
    <w:p w14:paraId="5AEE211F" w14:textId="77777777" w:rsidR="002E1CBE" w:rsidRPr="004A0323" w:rsidRDefault="002E1CBE" w:rsidP="004A0323">
      <w:pPr>
        <w:spacing w:line="480" w:lineRule="auto"/>
        <w:ind w:left="567" w:hanging="567"/>
      </w:pPr>
      <w:r w:rsidRPr="004A0323">
        <w:t xml:space="preserve">Havinga, T., &amp; Verbruggen, P. (2017). Understanding complex governance relationships in food safety regulation: The RIT model as a theoretical lens. </w:t>
      </w:r>
      <w:r w:rsidRPr="004A0323">
        <w:rPr>
          <w:i/>
        </w:rPr>
        <w:t>The ANNALS of the American Academy of Political and Social Science</w:t>
      </w:r>
      <w:r w:rsidRPr="004A0323">
        <w:t>, 670(1), 58–77.</w:t>
      </w:r>
    </w:p>
    <w:p w14:paraId="7C798371" w14:textId="77777777" w:rsidR="002E1CBE" w:rsidRPr="004A0323" w:rsidRDefault="002E1CBE" w:rsidP="00A40101">
      <w:pPr>
        <w:pStyle w:val="Bibliography"/>
        <w:ind w:left="567" w:hanging="567"/>
        <w:rPr>
          <w:rFonts w:ascii="Times New Roman" w:hAnsi="Times New Roman" w:cs="Times New Roman"/>
        </w:rPr>
      </w:pPr>
      <w:r w:rsidRPr="004A0323">
        <w:rPr>
          <w:rFonts w:ascii="Times New Roman" w:hAnsi="Times New Roman" w:cs="Times New Roman"/>
        </w:rPr>
        <w:t xml:space="preserve">Jang, Y. S. (2006). Transparent Accounting as a World Societal Rule. In G. S. Drori, J. W. Meyer &amp; H. Hwang (Eds.), </w:t>
      </w:r>
      <w:r w:rsidRPr="004A0323">
        <w:rPr>
          <w:rFonts w:ascii="Times New Roman" w:hAnsi="Times New Roman" w:cs="Times New Roman"/>
          <w:i/>
        </w:rPr>
        <w:t>Globalization and Organization: World Society and Organizational Change</w:t>
      </w:r>
      <w:r w:rsidRPr="004A0323">
        <w:rPr>
          <w:rFonts w:ascii="Times New Roman" w:hAnsi="Times New Roman" w:cs="Times New Roman"/>
        </w:rPr>
        <w:t xml:space="preserve">. Oxford: Oxford University Press. </w:t>
      </w:r>
    </w:p>
    <w:p w14:paraId="5CB47671" w14:textId="77777777" w:rsidR="002E1CBE" w:rsidRPr="004A0323" w:rsidRDefault="002E1CBE" w:rsidP="004A0323">
      <w:pPr>
        <w:spacing w:line="480" w:lineRule="auto"/>
        <w:ind w:left="567" w:hanging="567"/>
      </w:pPr>
      <w:r w:rsidRPr="004A0323">
        <w:t xml:space="preserve">Jorgensen, D. L. (1989). </w:t>
      </w:r>
      <w:r w:rsidRPr="004A0323">
        <w:rPr>
          <w:i/>
        </w:rPr>
        <w:t>Participant observation: A Methodology for Human Studies.</w:t>
      </w:r>
      <w:r w:rsidRPr="004A0323">
        <w:t xml:space="preserve"> London, UK: Sage Publications.</w:t>
      </w:r>
    </w:p>
    <w:p w14:paraId="1230B893" w14:textId="77777777" w:rsidR="002E1CBE" w:rsidRPr="004A0323" w:rsidRDefault="002E1CBE" w:rsidP="004A0323">
      <w:pPr>
        <w:spacing w:line="480" w:lineRule="auto"/>
        <w:ind w:left="567" w:hanging="567"/>
      </w:pPr>
      <w:r w:rsidRPr="004A0323">
        <w:t xml:space="preserve">Kalfagianni, A., &amp; Pattberg, P. (2014). Exploring the Output Legitimacy of Transnational Fisheries Governance. </w:t>
      </w:r>
      <w:r w:rsidRPr="004A0323">
        <w:rPr>
          <w:i/>
        </w:rPr>
        <w:t>Globalizations</w:t>
      </w:r>
      <w:r w:rsidRPr="004A0323">
        <w:t>, 11(3), 385–400.</w:t>
      </w:r>
    </w:p>
    <w:p w14:paraId="7225ABFA" w14:textId="77777777" w:rsidR="002E1CBE" w:rsidRPr="004A0323" w:rsidRDefault="002E1CBE" w:rsidP="004A0323">
      <w:pPr>
        <w:spacing w:line="480" w:lineRule="auto"/>
        <w:ind w:left="567" w:hanging="567"/>
      </w:pPr>
      <w:r w:rsidRPr="004A0323">
        <w:t xml:space="preserve">Levi-Faur, D. (2005). The global diffusion of regulatory capitalism. </w:t>
      </w:r>
      <w:r w:rsidRPr="004A0323">
        <w:rPr>
          <w:i/>
        </w:rPr>
        <w:t>The Annals of the American Academy of Political and Social Science</w:t>
      </w:r>
      <w:r w:rsidRPr="004A0323">
        <w:t>, 598(1), 12–32.</w:t>
      </w:r>
    </w:p>
    <w:p w14:paraId="2A438816" w14:textId="77777777" w:rsidR="002E1CBE" w:rsidRPr="004A0323" w:rsidRDefault="002E1CBE" w:rsidP="004A0323">
      <w:pPr>
        <w:spacing w:line="480" w:lineRule="auto"/>
        <w:ind w:left="567" w:hanging="567"/>
      </w:pPr>
      <w:r w:rsidRPr="004A0323">
        <w:t xml:space="preserve">Levi-Faur, D., &amp; Jordana, J. (2005). The rise of regulatory capitalism: The global diffusion of a new order. </w:t>
      </w:r>
      <w:r w:rsidRPr="004A0323">
        <w:rPr>
          <w:i/>
        </w:rPr>
        <w:t>The Annals of the American Academy of Political and Social Science</w:t>
      </w:r>
      <w:r w:rsidRPr="004A0323">
        <w:t xml:space="preserve">, 598(1), 200-217. </w:t>
      </w:r>
    </w:p>
    <w:p w14:paraId="7BC88DFA" w14:textId="77777777" w:rsidR="002E1CBE" w:rsidRPr="004A0323" w:rsidRDefault="002E1CBE" w:rsidP="004A0323">
      <w:pPr>
        <w:spacing w:line="480" w:lineRule="auto"/>
        <w:ind w:left="567" w:hanging="567"/>
      </w:pPr>
      <w:r w:rsidRPr="004A0323">
        <w:t xml:space="preserve">Mailto, D. V., Umbach, G., &amp; Bhuta, N. (eds) (2018). </w:t>
      </w:r>
      <w:r w:rsidRPr="004A0323">
        <w:rPr>
          <w:i/>
        </w:rPr>
        <w:t>The Palgrave Handbook of Indicators in Global Governance</w:t>
      </w:r>
      <w:r w:rsidRPr="004A0323">
        <w:t>. Palgrave Macmillan.</w:t>
      </w:r>
    </w:p>
    <w:p w14:paraId="57FBB5CA" w14:textId="77777777" w:rsidR="002E1CBE" w:rsidRPr="004A0323" w:rsidRDefault="002E1CBE" w:rsidP="004A0323">
      <w:pPr>
        <w:spacing w:line="480" w:lineRule="auto"/>
        <w:ind w:left="567" w:hanging="567"/>
      </w:pPr>
      <w:r w:rsidRPr="004A0323">
        <w:lastRenderedPageBreak/>
        <w:t xml:space="preserve">Marx, A., &amp; Wouters, J. (2017). Rule intermediaries in global labor governance. </w:t>
      </w:r>
      <w:r w:rsidRPr="004A0323">
        <w:rPr>
          <w:i/>
        </w:rPr>
        <w:t>The ANNALS of the American Academy of Political and Social Science</w:t>
      </w:r>
      <w:r w:rsidRPr="004A0323">
        <w:t>, 670(1), 189–206.</w:t>
      </w:r>
    </w:p>
    <w:p w14:paraId="6E79FDE4" w14:textId="77777777" w:rsidR="002E1CBE" w:rsidRPr="004A0323" w:rsidRDefault="002E1CBE" w:rsidP="004A0323">
      <w:pPr>
        <w:spacing w:line="480" w:lineRule="auto"/>
        <w:ind w:left="567" w:hanging="567"/>
      </w:pPr>
      <w:r w:rsidRPr="004A0323">
        <w:t xml:space="preserve">Mayntz, R. (2010). Legitimacy and Compliance in Transnational Governance. </w:t>
      </w:r>
      <w:r w:rsidRPr="004A0323">
        <w:rPr>
          <w:i/>
        </w:rPr>
        <w:t xml:space="preserve">MPIfG Working Paper </w:t>
      </w:r>
      <w:r w:rsidRPr="004A0323">
        <w:t>10/5. Max-Planck-Institut Für Gesellschaftsforschung: Köln.</w:t>
      </w:r>
    </w:p>
    <w:p w14:paraId="590E092A" w14:textId="77777777" w:rsidR="002E1CBE" w:rsidRPr="004A0323" w:rsidRDefault="002E1CBE" w:rsidP="004A0323">
      <w:pPr>
        <w:spacing w:line="480" w:lineRule="auto"/>
        <w:ind w:left="567" w:hanging="567"/>
      </w:pPr>
      <w:r w:rsidRPr="004A0323">
        <w:t xml:space="preserve">Mehrpouya, A., &amp; Samiolo, R. (2016). Performance measurement in global governance: Ranking and the politics of variability. </w:t>
      </w:r>
      <w:r w:rsidRPr="004A0323">
        <w:rPr>
          <w:i/>
        </w:rPr>
        <w:t>Accounting, Organizations and Society</w:t>
      </w:r>
      <w:r w:rsidRPr="004A0323">
        <w:t>, 55, 12–31.</w:t>
      </w:r>
    </w:p>
    <w:p w14:paraId="0A827B7C" w14:textId="77777777" w:rsidR="002E1CBE" w:rsidRPr="004A0323" w:rsidRDefault="002E1CBE" w:rsidP="004A0323">
      <w:pPr>
        <w:spacing w:line="480" w:lineRule="auto"/>
        <w:ind w:left="567" w:hanging="567"/>
      </w:pPr>
      <w:r w:rsidRPr="004A0323">
        <w:t xml:space="preserve">Mena, S., &amp; Palazzo, G. (2012). Input and output legitimacy of multi-stakeholder initiatives. </w:t>
      </w:r>
      <w:r w:rsidRPr="004A0323">
        <w:rPr>
          <w:i/>
        </w:rPr>
        <w:t>Business Ethics Quarterly</w:t>
      </w:r>
      <w:r w:rsidRPr="004A0323">
        <w:t>, 22(3), 527–556.</w:t>
      </w:r>
    </w:p>
    <w:p w14:paraId="4AC7F4C0" w14:textId="77777777" w:rsidR="002E1CBE" w:rsidRPr="004A0323" w:rsidRDefault="002E1CBE" w:rsidP="004A0323">
      <w:pPr>
        <w:spacing w:line="480" w:lineRule="auto"/>
        <w:ind w:left="567" w:hanging="567"/>
      </w:pPr>
      <w:r w:rsidRPr="004A0323">
        <w:t xml:space="preserve">Menon, A. &amp; Weatherill, S. (2008). Transnational Legitimacy in a Globalising World: How the European Union Rescues Its States. </w:t>
      </w:r>
      <w:r w:rsidRPr="004A0323">
        <w:rPr>
          <w:i/>
        </w:rPr>
        <w:t>West European Politics</w:t>
      </w:r>
      <w:r w:rsidRPr="004A0323">
        <w:t xml:space="preserve"> 31(3), 397–416.</w:t>
      </w:r>
    </w:p>
    <w:p w14:paraId="74054622" w14:textId="77777777" w:rsidR="002E1CBE" w:rsidRPr="004A0323" w:rsidRDefault="002E1CBE" w:rsidP="004A0323">
      <w:pPr>
        <w:spacing w:line="480" w:lineRule="auto"/>
        <w:ind w:left="567" w:hanging="567"/>
      </w:pPr>
      <w:r w:rsidRPr="004A0323">
        <w:t xml:space="preserve">Meyer, J. W. (1986). Social environments and organizational accounting. </w:t>
      </w:r>
      <w:r w:rsidRPr="004A0323">
        <w:rPr>
          <w:i/>
        </w:rPr>
        <w:t>Accounting, Organizations and Society</w:t>
      </w:r>
      <w:r w:rsidRPr="004A0323">
        <w:t>, 11(4-5), 345-356.</w:t>
      </w:r>
    </w:p>
    <w:p w14:paraId="09608522" w14:textId="77777777" w:rsidR="002E1CBE" w:rsidRPr="004A0323" w:rsidRDefault="002E1CBE" w:rsidP="004A0323">
      <w:pPr>
        <w:spacing w:line="480" w:lineRule="auto"/>
        <w:ind w:left="567" w:hanging="567"/>
      </w:pPr>
      <w:r w:rsidRPr="004A0323">
        <w:t xml:space="preserve">Miller, P. (2008). Calculating economic life. </w:t>
      </w:r>
      <w:r w:rsidRPr="004A0323">
        <w:rPr>
          <w:i/>
        </w:rPr>
        <w:t>Journal of Cultural Economy</w:t>
      </w:r>
      <w:r w:rsidRPr="004A0323">
        <w:t>, 1(1), 51-64.</w:t>
      </w:r>
    </w:p>
    <w:p w14:paraId="56E029B7" w14:textId="77777777" w:rsidR="002E1CBE" w:rsidRPr="004A0323" w:rsidRDefault="002E1CBE" w:rsidP="004A0323">
      <w:pPr>
        <w:spacing w:line="480" w:lineRule="auto"/>
        <w:ind w:left="567" w:hanging="567"/>
      </w:pPr>
      <w:r w:rsidRPr="004A0323">
        <w:t xml:space="preserve">Morris, K. (2010). Bridging the gap in access to medicines. </w:t>
      </w:r>
      <w:r w:rsidRPr="004A0323">
        <w:rPr>
          <w:i/>
        </w:rPr>
        <w:t>Lancet</w:t>
      </w:r>
      <w:r w:rsidRPr="004A0323">
        <w:t>, 10. Retrieved from http://www.who.int/medicines/areas/human_rights/Lancet_Inf_Dis_2010_8_514_515.pdf</w:t>
      </w:r>
    </w:p>
    <w:p w14:paraId="70AD2C71" w14:textId="77777777" w:rsidR="002E1CBE" w:rsidRPr="004A0323" w:rsidRDefault="002E1CBE" w:rsidP="004A0323">
      <w:pPr>
        <w:spacing w:line="480" w:lineRule="auto"/>
        <w:ind w:left="567" w:hanging="567"/>
      </w:pPr>
      <w:r w:rsidRPr="004A0323">
        <w:t xml:space="preserve">Overdevest, C. (2010). Comparing forest certification schemes: the case of ratcheting standards in the forest sector. </w:t>
      </w:r>
      <w:r w:rsidRPr="004A0323">
        <w:rPr>
          <w:i/>
        </w:rPr>
        <w:t>Socio-Economic Review</w:t>
      </w:r>
      <w:r w:rsidRPr="004A0323">
        <w:t>, 8(1), 47–76.</w:t>
      </w:r>
    </w:p>
    <w:p w14:paraId="3E8ED885" w14:textId="77777777" w:rsidR="002E1CBE" w:rsidRPr="004A0323" w:rsidRDefault="002E1CBE" w:rsidP="004A0323">
      <w:pPr>
        <w:spacing w:line="480" w:lineRule="auto"/>
        <w:ind w:left="567" w:hanging="567"/>
      </w:pPr>
      <w:r w:rsidRPr="004A0323">
        <w:t xml:space="preserve">Porter, T. M. (1996). </w:t>
      </w:r>
      <w:r w:rsidRPr="004A0323">
        <w:rPr>
          <w:i/>
        </w:rPr>
        <w:t>Trust in numbers: The pursuit of objectivity in science and public life.</w:t>
      </w:r>
      <w:r w:rsidRPr="004A0323">
        <w:t xml:space="preserve"> Princeton, US: Princeton University Press.</w:t>
      </w:r>
    </w:p>
    <w:p w14:paraId="09154EB2" w14:textId="77777777" w:rsidR="002E1CBE" w:rsidRPr="004A0323" w:rsidRDefault="002E1CBE" w:rsidP="004A0323">
      <w:pPr>
        <w:spacing w:line="480" w:lineRule="auto"/>
        <w:ind w:left="567" w:hanging="567"/>
      </w:pPr>
      <w:r w:rsidRPr="004A0323">
        <w:t xml:space="preserve">Quack, S. (2010). Law, expertise and legitimacy in transnational economic governance: an introduction. </w:t>
      </w:r>
      <w:r w:rsidRPr="004A0323">
        <w:rPr>
          <w:i/>
        </w:rPr>
        <w:t>Socio-Economic Review</w:t>
      </w:r>
      <w:r w:rsidRPr="004A0323">
        <w:t>, 8(1), 3–16</w:t>
      </w:r>
    </w:p>
    <w:p w14:paraId="1178B71E" w14:textId="77777777" w:rsidR="002E1CBE" w:rsidRPr="004A0323" w:rsidRDefault="002E1CBE" w:rsidP="004A0323">
      <w:pPr>
        <w:spacing w:line="480" w:lineRule="auto"/>
        <w:ind w:left="567" w:hanging="567"/>
      </w:pPr>
      <w:r w:rsidRPr="004A0323">
        <w:t xml:space="preserve">Rasche, A. (2009). “A Necessary Supplement” What the United Nations Global Compact Is and Is Not. </w:t>
      </w:r>
      <w:r w:rsidRPr="004A0323">
        <w:rPr>
          <w:i/>
        </w:rPr>
        <w:t>Business &amp; Society</w:t>
      </w:r>
      <w:r w:rsidRPr="004A0323">
        <w:t>, 48(4), 511–537.</w:t>
      </w:r>
    </w:p>
    <w:p w14:paraId="5F15B311" w14:textId="77777777" w:rsidR="002E1CBE" w:rsidRPr="004A0323" w:rsidRDefault="002E1CBE" w:rsidP="004A0323">
      <w:pPr>
        <w:spacing w:line="480" w:lineRule="auto"/>
        <w:ind w:left="567" w:hanging="567"/>
      </w:pPr>
      <w:r w:rsidRPr="004A0323">
        <w:lastRenderedPageBreak/>
        <w:t xml:space="preserve">Reed, T. (2008). The new Access to Medicine Index. </w:t>
      </w:r>
      <w:r w:rsidRPr="004A0323">
        <w:rPr>
          <w:i/>
        </w:rPr>
        <w:t>The Lancet,</w:t>
      </w:r>
      <w:r w:rsidRPr="004A0323">
        <w:t xml:space="preserve"> 372(9642), 890–891.</w:t>
      </w:r>
    </w:p>
    <w:p w14:paraId="5E8383B7" w14:textId="77777777" w:rsidR="002E1CBE" w:rsidRPr="004A0323" w:rsidRDefault="002E1CBE" w:rsidP="004A0323">
      <w:pPr>
        <w:spacing w:line="480" w:lineRule="auto"/>
        <w:ind w:left="567" w:hanging="567"/>
      </w:pPr>
      <w:r w:rsidRPr="004A0323">
        <w:t xml:space="preserve">Rose, N. (1991). Governing by numbers: Figuring out democracy. </w:t>
      </w:r>
      <w:r w:rsidRPr="004A0323">
        <w:rPr>
          <w:i/>
        </w:rPr>
        <w:t>Accounting, Organizations and Society</w:t>
      </w:r>
      <w:r w:rsidRPr="004A0323">
        <w:t xml:space="preserve">, 16(7), 673–692. </w:t>
      </w:r>
    </w:p>
    <w:p w14:paraId="7660FCF0" w14:textId="77777777" w:rsidR="002E1CBE" w:rsidRPr="004A0323" w:rsidRDefault="002E1CBE" w:rsidP="004A0323">
      <w:pPr>
        <w:spacing w:line="480" w:lineRule="auto"/>
        <w:ind w:left="567" w:hanging="567"/>
      </w:pPr>
      <w:r w:rsidRPr="004A0323">
        <w:t xml:space="preserve">Rose, N., &amp; Miller, P. (1992). Political power beyond the state: Problematics of government. </w:t>
      </w:r>
      <w:r w:rsidRPr="004A0323">
        <w:rPr>
          <w:i/>
        </w:rPr>
        <w:t>British Journal of Sociology</w:t>
      </w:r>
      <w:r w:rsidRPr="004A0323">
        <w:t xml:space="preserve">, 43(2), 173–205. </w:t>
      </w:r>
    </w:p>
    <w:p w14:paraId="01D46DE4" w14:textId="77777777" w:rsidR="002E1CBE" w:rsidRPr="004A0323" w:rsidRDefault="002E1CBE" w:rsidP="004A0323">
      <w:pPr>
        <w:spacing w:line="480" w:lineRule="auto"/>
        <w:ind w:left="567" w:hanging="567"/>
      </w:pPr>
      <w:r w:rsidRPr="004A0323">
        <w:t xml:space="preserve">Rottenburg, R., Merry, S. E., Park, S.-J., &amp; Mugler, J. (2015). </w:t>
      </w:r>
      <w:r w:rsidRPr="004A0323">
        <w:rPr>
          <w:i/>
        </w:rPr>
        <w:t>The World of Indicators: The Making of Governmental Knowledge Through Quantification</w:t>
      </w:r>
      <w:r w:rsidRPr="004A0323">
        <w:t>. Cambridge, UK: Cambridge University Press.</w:t>
      </w:r>
    </w:p>
    <w:p w14:paraId="4D886A1E" w14:textId="77777777" w:rsidR="002E1CBE" w:rsidRPr="004A0323" w:rsidRDefault="002E1CBE" w:rsidP="004A0323">
      <w:pPr>
        <w:spacing w:line="480" w:lineRule="auto"/>
        <w:ind w:left="567" w:hanging="567"/>
      </w:pPr>
      <w:r w:rsidRPr="004A0323">
        <w:t xml:space="preserve">Ruggie, J. G. (2001). Global governance.net: The Global Compact as learning network. </w:t>
      </w:r>
      <w:r w:rsidRPr="004A0323">
        <w:rPr>
          <w:i/>
        </w:rPr>
        <w:t>Global Governance</w:t>
      </w:r>
      <w:r w:rsidRPr="004A0323">
        <w:t>, 7(4), 371–378.</w:t>
      </w:r>
    </w:p>
    <w:p w14:paraId="055BD3C6" w14:textId="77777777" w:rsidR="002E1CBE" w:rsidRPr="004A0323" w:rsidRDefault="002E1CBE" w:rsidP="004A0323">
      <w:pPr>
        <w:spacing w:line="480" w:lineRule="auto"/>
        <w:ind w:left="567" w:hanging="567"/>
      </w:pPr>
      <w:r w:rsidRPr="004A0323">
        <w:t xml:space="preserve">Scharpf, F. (1999). </w:t>
      </w:r>
      <w:r w:rsidRPr="004A0323">
        <w:rPr>
          <w:i/>
        </w:rPr>
        <w:t>Governing in Europe: Effective and Democratic</w:t>
      </w:r>
      <w:r w:rsidRPr="004A0323">
        <w:t>? Oxford: Oxford University Press.</w:t>
      </w:r>
    </w:p>
    <w:p w14:paraId="2ED8195D" w14:textId="77777777" w:rsidR="002E1CBE" w:rsidRPr="004A0323" w:rsidRDefault="002E1CBE" w:rsidP="004A0323">
      <w:pPr>
        <w:spacing w:line="480" w:lineRule="auto"/>
        <w:ind w:left="567" w:hanging="567"/>
      </w:pPr>
      <w:r w:rsidRPr="004A0323">
        <w:t>SustainAbility. (2014). Rate the Raters – Projects | SustainAbility. Retrieved April 20, 2014, from http://www.sustainability.com/projects/rate-the-raters</w:t>
      </w:r>
    </w:p>
    <w:p w14:paraId="3351D4BC" w14:textId="77777777" w:rsidR="002E1CBE" w:rsidRPr="004A0323" w:rsidRDefault="002E1CBE" w:rsidP="004A0323">
      <w:pPr>
        <w:spacing w:line="480" w:lineRule="auto"/>
        <w:ind w:left="567" w:hanging="567"/>
      </w:pPr>
      <w:r w:rsidRPr="004A0323">
        <w:t>t Hoen, E., Moatti, J., Coriat, B., Souteyrand, Y., Barnett, T., Dumoulin, J., &amp; Flori, Y. (2003). TRIPS, pharmaceutical patents and access to essential medicines: Seattle, Doha and beyond. Economics of AIDS and Access to HIV/AIDS Care in Developing Countries: Issues and Challenges. Paris: Agence Nationale de Recherches Sur Le Sida, 39–67.</w:t>
      </w:r>
    </w:p>
    <w:p w14:paraId="655B02DE" w14:textId="77777777" w:rsidR="002E1CBE" w:rsidRPr="004A0323" w:rsidRDefault="002E1CBE" w:rsidP="004A0323">
      <w:pPr>
        <w:spacing w:line="480" w:lineRule="auto"/>
        <w:ind w:left="567" w:hanging="567"/>
      </w:pPr>
      <w:r w:rsidRPr="004A0323">
        <w:t xml:space="preserve">Tamm Hallström, K., &amp; Boström, M. (2010). </w:t>
      </w:r>
      <w:r w:rsidRPr="004A0323">
        <w:rPr>
          <w:i/>
        </w:rPr>
        <w:t>Transnational multi-stakeholder standardization: Organizing fragile non-state authority</w:t>
      </w:r>
      <w:r w:rsidRPr="004A0323">
        <w:t>. Cheltenham, United Kingdom: Edward Elgar Publishing.</w:t>
      </w:r>
    </w:p>
    <w:p w14:paraId="6F89DEEE" w14:textId="77777777" w:rsidR="002E1CBE" w:rsidRPr="004A0323" w:rsidRDefault="002E1CBE" w:rsidP="004A0323">
      <w:pPr>
        <w:spacing w:line="480" w:lineRule="auto"/>
        <w:ind w:left="567" w:hanging="567"/>
      </w:pPr>
      <w:r w:rsidRPr="004A0323">
        <w:t xml:space="preserve">Thérien, J.-P., &amp; Pouliot, V. (2006). The global compact: shifting the politics of international development? </w:t>
      </w:r>
      <w:r w:rsidRPr="004A0323">
        <w:rPr>
          <w:i/>
        </w:rPr>
        <w:t>Global Governance: A Review of Multilateralism and International Organizations</w:t>
      </w:r>
      <w:r w:rsidRPr="004A0323">
        <w:t>, 12(1), 55–75.</w:t>
      </w:r>
    </w:p>
    <w:p w14:paraId="173A39F6" w14:textId="77777777" w:rsidR="002E1CBE" w:rsidRPr="004A0323" w:rsidRDefault="002E1CBE" w:rsidP="004A0323">
      <w:pPr>
        <w:spacing w:line="480" w:lineRule="auto"/>
        <w:ind w:left="567" w:hanging="567"/>
      </w:pPr>
      <w:r w:rsidRPr="004A0323">
        <w:lastRenderedPageBreak/>
        <w:t>Van der Heijden, J. (2017). Brighter and darker sides of intermediation: Target-oriented and self-interested intermediaries in the regulatory governance of buildings</w:t>
      </w:r>
      <w:r w:rsidRPr="004A0323">
        <w:rPr>
          <w:i/>
        </w:rPr>
        <w:t>. The ANNALS of the American Academy of Political and Social Science,</w:t>
      </w:r>
      <w:r w:rsidRPr="004A0323">
        <w:t xml:space="preserve"> 670(1), 207–224.</w:t>
      </w:r>
    </w:p>
    <w:p w14:paraId="62454407" w14:textId="3F6D1C8A" w:rsidR="002E1CBE" w:rsidRPr="004A0323" w:rsidRDefault="002E1CBE" w:rsidP="004A0323">
      <w:pPr>
        <w:spacing w:line="480" w:lineRule="auto"/>
        <w:ind w:left="567" w:hanging="567"/>
      </w:pPr>
      <w:r w:rsidRPr="004A0323">
        <w:t xml:space="preserve">Vogel, D. (2008). Private global business regulation. </w:t>
      </w:r>
      <w:r w:rsidRPr="004A0323">
        <w:rPr>
          <w:i/>
        </w:rPr>
        <w:t>Annual Review of Political Science</w:t>
      </w:r>
      <w:r w:rsidRPr="004A0323">
        <w:t>, 11, 261–282.</w:t>
      </w:r>
    </w:p>
    <w:p w14:paraId="2FCE629E" w14:textId="164FBD87" w:rsidR="002E1CBE" w:rsidRPr="004A0323" w:rsidRDefault="002E1CBE" w:rsidP="004A0323">
      <w:pPr>
        <w:spacing w:line="480" w:lineRule="auto"/>
        <w:ind w:left="567" w:hanging="567"/>
      </w:pPr>
      <w:r w:rsidRPr="004A0323">
        <w:t>WHO. (2014). Essential medicines | TRACKING SUPPORT FOR THE MDGS. Retrieved March 1, 2015, from http://iif.un.org/content/essential-medicines</w:t>
      </w:r>
    </w:p>
    <w:p w14:paraId="42D58F00" w14:textId="77777777" w:rsidR="00A40101" w:rsidRPr="004A0323" w:rsidRDefault="00A40101" w:rsidP="004A0323">
      <w:pPr>
        <w:spacing w:line="480" w:lineRule="auto"/>
        <w:ind w:left="567" w:hanging="567"/>
      </w:pPr>
    </w:p>
    <w:p w14:paraId="4DEB52A8" w14:textId="4BEFBC17" w:rsidR="00EB374B" w:rsidRPr="004A0323" w:rsidRDefault="00EB374B" w:rsidP="00513F10">
      <w:pPr>
        <w:rPr>
          <w:b/>
          <w:lang w:val="en-US"/>
        </w:rPr>
      </w:pPr>
    </w:p>
    <w:p w14:paraId="1EC8478A" w14:textId="046D4603" w:rsidR="006108EA" w:rsidRPr="004A0323" w:rsidRDefault="006108EA" w:rsidP="00513F10">
      <w:pPr>
        <w:pBdr>
          <w:top w:val="none" w:sz="0" w:space="0" w:color="auto"/>
          <w:left w:val="none" w:sz="0" w:space="0" w:color="auto"/>
          <w:bottom w:val="none" w:sz="0" w:space="0" w:color="auto"/>
          <w:right w:val="none" w:sz="0" w:space="0" w:color="auto"/>
          <w:between w:val="none" w:sz="0" w:space="0" w:color="auto"/>
          <w:bar w:val="none" w:sz="0" w:color="auto"/>
        </w:pBdr>
        <w:rPr>
          <w:b/>
          <w:lang w:val="en-US"/>
        </w:rPr>
      </w:pPr>
      <w:r w:rsidRPr="004A0323">
        <w:rPr>
          <w:b/>
          <w:lang w:val="en-US"/>
        </w:rPr>
        <w:br w:type="page"/>
      </w:r>
    </w:p>
    <w:p w14:paraId="0C60E2B8" w14:textId="44F93B1A" w:rsidR="00EB374B" w:rsidRPr="004A0323" w:rsidRDefault="00FC6351" w:rsidP="00513F10">
      <w:pPr>
        <w:pStyle w:val="Bibliography"/>
        <w:spacing w:after="240" w:line="240" w:lineRule="auto"/>
        <w:jc w:val="both"/>
        <w:rPr>
          <w:b/>
          <w:lang w:val="en-US"/>
        </w:rPr>
      </w:pPr>
      <w:r w:rsidRPr="004A0323">
        <w:rPr>
          <w:b/>
          <w:lang w:val="en-US"/>
        </w:rPr>
        <w:lastRenderedPageBreak/>
        <w:t>Appendix 1 –</w:t>
      </w:r>
      <w:r w:rsidR="00EB374B" w:rsidRPr="004A0323">
        <w:rPr>
          <w:b/>
          <w:lang w:val="en-US"/>
        </w:rPr>
        <w:t xml:space="preserve"> List</w:t>
      </w:r>
      <w:r w:rsidRPr="004A0323">
        <w:rPr>
          <w:b/>
          <w:lang w:val="en-US"/>
        </w:rPr>
        <w:t xml:space="preserve"> </w:t>
      </w:r>
      <w:r w:rsidR="00EB374B" w:rsidRPr="004A0323">
        <w:rPr>
          <w:b/>
          <w:lang w:val="en-US"/>
        </w:rPr>
        <w:t>of interviewees</w:t>
      </w:r>
    </w:p>
    <w:tbl>
      <w:tblPr>
        <w:tblW w:w="928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7"/>
        <w:gridCol w:w="2658"/>
        <w:gridCol w:w="4320"/>
      </w:tblGrid>
      <w:tr w:rsidR="004A0323" w:rsidRPr="004A0323" w14:paraId="67DD4365" w14:textId="77777777" w:rsidTr="00650027">
        <w:trPr>
          <w:trHeight w:val="300"/>
        </w:trPr>
        <w:tc>
          <w:tcPr>
            <w:tcW w:w="2307" w:type="dxa"/>
            <w:shd w:val="clear" w:color="auto" w:fill="auto"/>
            <w:vAlign w:val="center"/>
            <w:hideMark/>
          </w:tcPr>
          <w:p w14:paraId="7BE66E7A" w14:textId="77777777" w:rsidR="00EB374B" w:rsidRPr="004A0323" w:rsidRDefault="00EB374B" w:rsidP="00513F10">
            <w:pPr>
              <w:spacing w:after="240"/>
              <w:jc w:val="both"/>
              <w:rPr>
                <w:rFonts w:eastAsia="Times New Roman"/>
                <w:b/>
                <w:bCs/>
                <w:lang w:val="en-US"/>
              </w:rPr>
            </w:pPr>
            <w:r w:rsidRPr="004A0323">
              <w:rPr>
                <w:rFonts w:eastAsia="Times New Roman"/>
                <w:b/>
                <w:bCs/>
                <w:lang w:val="en-US"/>
              </w:rPr>
              <w:t>Organization</w:t>
            </w:r>
          </w:p>
        </w:tc>
        <w:tc>
          <w:tcPr>
            <w:tcW w:w="2658" w:type="dxa"/>
            <w:shd w:val="clear" w:color="auto" w:fill="auto"/>
            <w:vAlign w:val="center"/>
            <w:hideMark/>
          </w:tcPr>
          <w:p w14:paraId="52294304" w14:textId="77777777" w:rsidR="00EB374B" w:rsidRPr="004A0323" w:rsidRDefault="00EB374B" w:rsidP="00513F10">
            <w:pPr>
              <w:spacing w:after="240"/>
              <w:jc w:val="both"/>
              <w:rPr>
                <w:rFonts w:eastAsia="Times New Roman"/>
                <w:b/>
                <w:bCs/>
                <w:lang w:val="en-US"/>
              </w:rPr>
            </w:pPr>
            <w:r w:rsidRPr="004A0323">
              <w:rPr>
                <w:rFonts w:eastAsia="Times New Roman"/>
                <w:b/>
                <w:bCs/>
                <w:lang w:val="en-US"/>
              </w:rPr>
              <w:t>Position held</w:t>
            </w:r>
          </w:p>
        </w:tc>
        <w:tc>
          <w:tcPr>
            <w:tcW w:w="4320" w:type="dxa"/>
            <w:vAlign w:val="center"/>
          </w:tcPr>
          <w:p w14:paraId="13FCE4AB" w14:textId="77777777" w:rsidR="00EB374B" w:rsidRPr="004A0323" w:rsidRDefault="00EB374B" w:rsidP="00513F10">
            <w:pPr>
              <w:spacing w:after="240"/>
              <w:jc w:val="both"/>
              <w:rPr>
                <w:rFonts w:eastAsia="Times New Roman"/>
                <w:b/>
                <w:bCs/>
                <w:lang w:val="en-US"/>
              </w:rPr>
            </w:pPr>
            <w:r w:rsidRPr="004A0323">
              <w:rPr>
                <w:rFonts w:eastAsia="Times New Roman"/>
                <w:b/>
                <w:bCs/>
                <w:lang w:val="en-US"/>
              </w:rPr>
              <w:t>Role at the Foundation</w:t>
            </w:r>
          </w:p>
        </w:tc>
      </w:tr>
      <w:tr w:rsidR="004A0323" w:rsidRPr="004A0323" w14:paraId="19884F82" w14:textId="77777777" w:rsidTr="00650027">
        <w:trPr>
          <w:trHeight w:val="300"/>
        </w:trPr>
        <w:tc>
          <w:tcPr>
            <w:tcW w:w="2307" w:type="dxa"/>
            <w:vMerge w:val="restart"/>
            <w:shd w:val="clear" w:color="auto" w:fill="auto"/>
            <w:vAlign w:val="center"/>
            <w:hideMark/>
          </w:tcPr>
          <w:p w14:paraId="2E6F5A46" w14:textId="77777777" w:rsidR="00EB374B" w:rsidRPr="004A0323" w:rsidRDefault="00EB374B" w:rsidP="00513F10">
            <w:pPr>
              <w:spacing w:after="240"/>
              <w:jc w:val="both"/>
              <w:rPr>
                <w:rFonts w:eastAsia="Times New Roman"/>
                <w:lang w:val="en-US"/>
              </w:rPr>
            </w:pPr>
            <w:r w:rsidRPr="004A0323">
              <w:rPr>
                <w:rFonts w:eastAsia="Times New Roman"/>
                <w:lang w:val="en-US"/>
              </w:rPr>
              <w:t>Access to Medicine Foundation</w:t>
            </w:r>
          </w:p>
        </w:tc>
        <w:tc>
          <w:tcPr>
            <w:tcW w:w="2658" w:type="dxa"/>
            <w:shd w:val="clear" w:color="auto" w:fill="auto"/>
            <w:vAlign w:val="center"/>
            <w:hideMark/>
          </w:tcPr>
          <w:p w14:paraId="00E70E71" w14:textId="77777777" w:rsidR="00EB374B" w:rsidRPr="004A0323" w:rsidRDefault="00EB374B" w:rsidP="00513F10">
            <w:pPr>
              <w:spacing w:after="240"/>
              <w:jc w:val="both"/>
              <w:rPr>
                <w:rFonts w:eastAsia="Times New Roman"/>
                <w:lang w:val="en-US"/>
              </w:rPr>
            </w:pPr>
            <w:r w:rsidRPr="004A0323">
              <w:rPr>
                <w:rFonts w:eastAsia="Times New Roman"/>
                <w:lang w:val="en-US"/>
              </w:rPr>
              <w:t>Founder and CEO</w:t>
            </w:r>
          </w:p>
        </w:tc>
        <w:tc>
          <w:tcPr>
            <w:tcW w:w="4320" w:type="dxa"/>
            <w:vAlign w:val="center"/>
          </w:tcPr>
          <w:p w14:paraId="3B21C4D1" w14:textId="77777777" w:rsidR="00EB374B" w:rsidRPr="004A0323" w:rsidRDefault="00EB374B" w:rsidP="00513F10">
            <w:pPr>
              <w:spacing w:after="240"/>
              <w:jc w:val="both"/>
              <w:rPr>
                <w:rFonts w:eastAsia="Times New Roman"/>
                <w:lang w:val="en-US"/>
              </w:rPr>
            </w:pPr>
            <w:r w:rsidRPr="004A0323">
              <w:rPr>
                <w:rFonts w:eastAsia="Times New Roman"/>
                <w:lang w:val="en-US"/>
              </w:rPr>
              <w:t>Founded the Foundation in 2005 and since has been involved in various executive and chair positions at the Foundation</w:t>
            </w:r>
          </w:p>
        </w:tc>
      </w:tr>
      <w:tr w:rsidR="004A0323" w:rsidRPr="004A0323" w14:paraId="6BF7B9AA" w14:textId="77777777" w:rsidTr="00650027">
        <w:trPr>
          <w:trHeight w:val="300"/>
        </w:trPr>
        <w:tc>
          <w:tcPr>
            <w:tcW w:w="2307" w:type="dxa"/>
            <w:vMerge/>
            <w:shd w:val="clear" w:color="auto" w:fill="auto"/>
            <w:vAlign w:val="center"/>
            <w:hideMark/>
          </w:tcPr>
          <w:p w14:paraId="1D5EFB68" w14:textId="77777777" w:rsidR="00EB374B" w:rsidRPr="004A0323" w:rsidRDefault="00EB374B" w:rsidP="00513F10">
            <w:pPr>
              <w:spacing w:after="240"/>
              <w:ind w:left="567" w:right="567"/>
              <w:jc w:val="both"/>
              <w:rPr>
                <w:rFonts w:eastAsia="Times New Roman"/>
                <w:lang w:val="en-US"/>
              </w:rPr>
            </w:pPr>
          </w:p>
        </w:tc>
        <w:tc>
          <w:tcPr>
            <w:tcW w:w="2658" w:type="dxa"/>
            <w:shd w:val="clear" w:color="auto" w:fill="auto"/>
            <w:vAlign w:val="center"/>
            <w:hideMark/>
          </w:tcPr>
          <w:p w14:paraId="5FDF7BB4" w14:textId="77777777" w:rsidR="00EB374B" w:rsidRPr="004A0323" w:rsidRDefault="00EB374B" w:rsidP="00513F10">
            <w:pPr>
              <w:spacing w:after="240"/>
              <w:jc w:val="both"/>
              <w:rPr>
                <w:rFonts w:eastAsia="Times New Roman"/>
                <w:lang w:val="en-US"/>
              </w:rPr>
            </w:pPr>
            <w:r w:rsidRPr="004A0323">
              <w:rPr>
                <w:rFonts w:eastAsia="Times New Roman"/>
                <w:lang w:val="en-US"/>
              </w:rPr>
              <w:t>Chief Operating Officer since 2011</w:t>
            </w:r>
          </w:p>
        </w:tc>
        <w:tc>
          <w:tcPr>
            <w:tcW w:w="4320" w:type="dxa"/>
            <w:vAlign w:val="center"/>
          </w:tcPr>
          <w:p w14:paraId="1B9987B4" w14:textId="77777777" w:rsidR="00EB374B" w:rsidRPr="004A0323" w:rsidRDefault="00EB374B" w:rsidP="00513F10">
            <w:pPr>
              <w:spacing w:after="240"/>
              <w:jc w:val="both"/>
              <w:rPr>
                <w:rFonts w:eastAsia="Times New Roman"/>
                <w:lang w:val="en-US"/>
              </w:rPr>
            </w:pPr>
            <w:r w:rsidRPr="004A0323">
              <w:rPr>
                <w:rFonts w:eastAsia="Times New Roman"/>
                <w:lang w:val="en-US"/>
              </w:rPr>
              <w:t>Supervised the production of Index 2012 and 2014 and other operations of the Foundation</w:t>
            </w:r>
          </w:p>
        </w:tc>
      </w:tr>
      <w:tr w:rsidR="004A0323" w:rsidRPr="004A0323" w14:paraId="26ECC194" w14:textId="77777777" w:rsidTr="00650027">
        <w:trPr>
          <w:trHeight w:val="300"/>
        </w:trPr>
        <w:tc>
          <w:tcPr>
            <w:tcW w:w="2307" w:type="dxa"/>
            <w:vMerge/>
            <w:shd w:val="clear" w:color="auto" w:fill="auto"/>
            <w:vAlign w:val="center"/>
            <w:hideMark/>
          </w:tcPr>
          <w:p w14:paraId="199A8E38" w14:textId="77777777" w:rsidR="00EB374B" w:rsidRPr="004A0323" w:rsidRDefault="00EB374B" w:rsidP="00513F10">
            <w:pPr>
              <w:spacing w:after="240"/>
              <w:ind w:left="567" w:right="567"/>
              <w:jc w:val="both"/>
              <w:rPr>
                <w:rFonts w:eastAsia="Times New Roman"/>
                <w:lang w:val="en-US"/>
              </w:rPr>
            </w:pPr>
          </w:p>
        </w:tc>
        <w:tc>
          <w:tcPr>
            <w:tcW w:w="2658" w:type="dxa"/>
            <w:shd w:val="clear" w:color="auto" w:fill="auto"/>
            <w:vAlign w:val="center"/>
            <w:hideMark/>
          </w:tcPr>
          <w:p w14:paraId="594EBDB4" w14:textId="77777777" w:rsidR="00EB374B" w:rsidRPr="004A0323" w:rsidRDefault="00EB374B" w:rsidP="00513F10">
            <w:pPr>
              <w:spacing w:after="240"/>
              <w:jc w:val="both"/>
              <w:rPr>
                <w:rFonts w:eastAsia="Times New Roman"/>
                <w:lang w:val="en-US"/>
              </w:rPr>
            </w:pPr>
            <w:r w:rsidRPr="004A0323">
              <w:rPr>
                <w:rFonts w:eastAsia="Times New Roman"/>
                <w:lang w:val="en-US"/>
              </w:rPr>
              <w:t>Head of Research since 2012</w:t>
            </w:r>
          </w:p>
        </w:tc>
        <w:tc>
          <w:tcPr>
            <w:tcW w:w="4320" w:type="dxa"/>
            <w:vAlign w:val="center"/>
          </w:tcPr>
          <w:p w14:paraId="3CD0878B" w14:textId="77777777" w:rsidR="00EB374B" w:rsidRPr="004A0323" w:rsidRDefault="00EB374B" w:rsidP="00513F10">
            <w:pPr>
              <w:spacing w:after="240"/>
              <w:jc w:val="both"/>
              <w:rPr>
                <w:rFonts w:eastAsia="Times New Roman"/>
                <w:lang w:val="en-US"/>
              </w:rPr>
            </w:pPr>
            <w:r w:rsidRPr="004A0323">
              <w:rPr>
                <w:rFonts w:eastAsia="Times New Roman"/>
                <w:lang w:val="en-US"/>
              </w:rPr>
              <w:t>In charge of managing analyst team and production of Index 2012 and 2014</w:t>
            </w:r>
          </w:p>
        </w:tc>
      </w:tr>
      <w:tr w:rsidR="004A0323" w:rsidRPr="004A0323" w14:paraId="6505C280" w14:textId="77777777" w:rsidTr="00650027">
        <w:trPr>
          <w:trHeight w:val="600"/>
        </w:trPr>
        <w:tc>
          <w:tcPr>
            <w:tcW w:w="2307" w:type="dxa"/>
            <w:vMerge/>
            <w:shd w:val="clear" w:color="auto" w:fill="auto"/>
            <w:vAlign w:val="center"/>
            <w:hideMark/>
          </w:tcPr>
          <w:p w14:paraId="63CB1BB0" w14:textId="77777777" w:rsidR="00EB374B" w:rsidRPr="004A0323" w:rsidRDefault="00EB374B" w:rsidP="00513F10">
            <w:pPr>
              <w:spacing w:after="240"/>
              <w:ind w:left="567" w:right="567"/>
              <w:jc w:val="both"/>
              <w:rPr>
                <w:rFonts w:eastAsia="Times New Roman"/>
                <w:lang w:val="en-US"/>
              </w:rPr>
            </w:pPr>
          </w:p>
        </w:tc>
        <w:tc>
          <w:tcPr>
            <w:tcW w:w="2658" w:type="dxa"/>
            <w:shd w:val="clear" w:color="auto" w:fill="auto"/>
            <w:vAlign w:val="center"/>
            <w:hideMark/>
          </w:tcPr>
          <w:p w14:paraId="01F20F60" w14:textId="77777777" w:rsidR="00EB374B" w:rsidRPr="004A0323" w:rsidRDefault="00EB374B" w:rsidP="00513F10">
            <w:pPr>
              <w:spacing w:after="240"/>
              <w:jc w:val="both"/>
              <w:rPr>
                <w:rFonts w:eastAsia="Times New Roman"/>
                <w:lang w:val="en-US"/>
              </w:rPr>
            </w:pPr>
            <w:r w:rsidRPr="004A0323">
              <w:rPr>
                <w:rFonts w:eastAsia="Times New Roman"/>
                <w:lang w:val="en-US"/>
              </w:rPr>
              <w:t>CEO from November 2008 to December 2010</w:t>
            </w:r>
          </w:p>
        </w:tc>
        <w:tc>
          <w:tcPr>
            <w:tcW w:w="4320" w:type="dxa"/>
            <w:vAlign w:val="center"/>
          </w:tcPr>
          <w:p w14:paraId="3E448096" w14:textId="77777777" w:rsidR="00EB374B" w:rsidRPr="004A0323" w:rsidRDefault="00EB374B" w:rsidP="00513F10">
            <w:pPr>
              <w:spacing w:after="240"/>
              <w:jc w:val="both"/>
              <w:rPr>
                <w:rFonts w:eastAsia="Times New Roman"/>
                <w:lang w:val="en-US"/>
              </w:rPr>
            </w:pPr>
            <w:r w:rsidRPr="004A0323">
              <w:rPr>
                <w:rFonts w:eastAsia="Times New Roman"/>
                <w:lang w:val="en-US"/>
              </w:rPr>
              <w:t>Supervised Foundation operations during the development of Index 2010</w:t>
            </w:r>
          </w:p>
        </w:tc>
      </w:tr>
      <w:tr w:rsidR="004A0323" w:rsidRPr="004A0323" w14:paraId="6AA0CF85" w14:textId="77777777" w:rsidTr="00650027">
        <w:trPr>
          <w:trHeight w:val="600"/>
        </w:trPr>
        <w:tc>
          <w:tcPr>
            <w:tcW w:w="2307" w:type="dxa"/>
            <w:vMerge/>
            <w:shd w:val="clear" w:color="auto" w:fill="auto"/>
            <w:vAlign w:val="center"/>
          </w:tcPr>
          <w:p w14:paraId="29038856" w14:textId="77777777" w:rsidR="00EB374B" w:rsidRPr="004A0323" w:rsidRDefault="00EB374B" w:rsidP="00513F10">
            <w:pPr>
              <w:spacing w:after="240"/>
              <w:ind w:left="567" w:right="567"/>
              <w:jc w:val="both"/>
              <w:rPr>
                <w:rFonts w:eastAsia="Times New Roman"/>
                <w:lang w:val="en-US"/>
              </w:rPr>
            </w:pPr>
          </w:p>
        </w:tc>
        <w:tc>
          <w:tcPr>
            <w:tcW w:w="2658" w:type="dxa"/>
            <w:shd w:val="clear" w:color="auto" w:fill="auto"/>
            <w:vAlign w:val="center"/>
          </w:tcPr>
          <w:p w14:paraId="07920AEF" w14:textId="77777777" w:rsidR="00EB374B" w:rsidRPr="004A0323" w:rsidRDefault="00EB374B" w:rsidP="00513F10">
            <w:pPr>
              <w:spacing w:after="240"/>
              <w:jc w:val="both"/>
              <w:rPr>
                <w:rFonts w:eastAsia="Times New Roman"/>
                <w:lang w:val="en-US"/>
              </w:rPr>
            </w:pPr>
            <w:r w:rsidRPr="004A0323">
              <w:rPr>
                <w:rFonts w:eastAsia="Times New Roman"/>
                <w:lang w:val="en-US"/>
              </w:rPr>
              <w:t>Deputy Director of Strategy – 2015 to present</w:t>
            </w:r>
          </w:p>
        </w:tc>
        <w:tc>
          <w:tcPr>
            <w:tcW w:w="4320" w:type="dxa"/>
            <w:vAlign w:val="center"/>
          </w:tcPr>
          <w:p w14:paraId="08BA3570" w14:textId="77777777" w:rsidR="00EB374B" w:rsidRPr="004A0323" w:rsidRDefault="00EB374B" w:rsidP="00513F10">
            <w:pPr>
              <w:spacing w:after="240"/>
              <w:jc w:val="both"/>
              <w:rPr>
                <w:rFonts w:eastAsia="Times New Roman"/>
                <w:lang w:val="en-US"/>
              </w:rPr>
            </w:pPr>
            <w:r w:rsidRPr="004A0323">
              <w:rPr>
                <w:rFonts w:eastAsia="Times New Roman"/>
                <w:lang w:val="en-US"/>
              </w:rPr>
              <w:t>Involved in external facing and strategy setting at the Foundation.</w:t>
            </w:r>
          </w:p>
        </w:tc>
      </w:tr>
      <w:tr w:rsidR="004A0323" w:rsidRPr="004A0323" w14:paraId="257FF4F8" w14:textId="77777777" w:rsidTr="00650027">
        <w:trPr>
          <w:trHeight w:val="548"/>
        </w:trPr>
        <w:tc>
          <w:tcPr>
            <w:tcW w:w="2307" w:type="dxa"/>
            <w:vMerge w:val="restart"/>
            <w:shd w:val="clear" w:color="auto" w:fill="auto"/>
            <w:vAlign w:val="center"/>
            <w:hideMark/>
          </w:tcPr>
          <w:p w14:paraId="3646063F" w14:textId="77777777" w:rsidR="00EB374B" w:rsidRPr="004A0323" w:rsidRDefault="00EB374B" w:rsidP="00513F10">
            <w:pPr>
              <w:spacing w:after="240"/>
              <w:jc w:val="both"/>
              <w:rPr>
                <w:rFonts w:eastAsia="Times New Roman"/>
                <w:lang w:val="en-US"/>
              </w:rPr>
            </w:pPr>
            <w:r w:rsidRPr="004A0323">
              <w:rPr>
                <w:rFonts w:eastAsia="Times New Roman"/>
                <w:lang w:val="en-US"/>
              </w:rPr>
              <w:t>MSCI Group</w:t>
            </w:r>
          </w:p>
        </w:tc>
        <w:tc>
          <w:tcPr>
            <w:tcW w:w="2658" w:type="dxa"/>
            <w:shd w:val="clear" w:color="auto" w:fill="auto"/>
            <w:vAlign w:val="center"/>
            <w:hideMark/>
          </w:tcPr>
          <w:p w14:paraId="376A6C10" w14:textId="77777777" w:rsidR="00EB374B" w:rsidRPr="004A0323" w:rsidRDefault="00EB374B" w:rsidP="00513F10">
            <w:pPr>
              <w:spacing w:after="240"/>
              <w:jc w:val="both"/>
              <w:rPr>
                <w:rFonts w:eastAsia="Times New Roman"/>
                <w:lang w:val="en-US"/>
              </w:rPr>
            </w:pPr>
            <w:r w:rsidRPr="004A0323">
              <w:rPr>
                <w:rFonts w:eastAsia="Times New Roman"/>
                <w:lang w:val="en-US"/>
              </w:rPr>
              <w:t>Analyst I for Index 2010</w:t>
            </w:r>
          </w:p>
        </w:tc>
        <w:tc>
          <w:tcPr>
            <w:tcW w:w="4320" w:type="dxa"/>
            <w:vMerge w:val="restart"/>
            <w:vAlign w:val="center"/>
          </w:tcPr>
          <w:p w14:paraId="08C07F1A" w14:textId="77777777" w:rsidR="00EB374B" w:rsidRPr="004A0323" w:rsidRDefault="00EB374B" w:rsidP="00513F10">
            <w:pPr>
              <w:spacing w:after="240"/>
              <w:jc w:val="both"/>
              <w:rPr>
                <w:rFonts w:eastAsia="Times New Roman"/>
                <w:lang w:val="en-US"/>
              </w:rPr>
            </w:pPr>
            <w:r w:rsidRPr="004A0323">
              <w:rPr>
                <w:rFonts w:eastAsia="Times New Roman"/>
                <w:lang w:val="en-US"/>
              </w:rPr>
              <w:t>Were hired following the finalization of methodology for the analysis/ranking phase for Index 2010 – from November 2009 to May 2010</w:t>
            </w:r>
          </w:p>
          <w:p w14:paraId="5BD8C164" w14:textId="77777777" w:rsidR="00EB374B" w:rsidRPr="004A0323" w:rsidRDefault="00EB374B" w:rsidP="00513F10">
            <w:pPr>
              <w:spacing w:after="240"/>
              <w:jc w:val="both"/>
              <w:rPr>
                <w:rFonts w:eastAsia="Times New Roman"/>
                <w:lang w:val="en-US"/>
              </w:rPr>
            </w:pPr>
            <w:r w:rsidRPr="004A0323">
              <w:rPr>
                <w:rFonts w:eastAsia="Times New Roman"/>
                <w:lang w:val="en-US"/>
              </w:rPr>
              <w:t xml:space="preserve">Each analyst was responsible for </w:t>
            </w:r>
            <w:r w:rsidRPr="004A0323">
              <w:rPr>
                <w:rFonts w:eastAsia="Times New Roman"/>
                <w:lang w:val="en-US"/>
              </w:rPr>
              <w:pgNum/>
            </w:r>
            <w:r w:rsidRPr="004A0323">
              <w:rPr>
                <w:rFonts w:eastAsia="Times New Roman"/>
                <w:lang w:val="en-US"/>
              </w:rPr>
              <w:t xml:space="preserve">nalyzing and scoring five companies and also to specialize in 1-2 technical areas to check the quality of the other analysts’ work in this areas. </w:t>
            </w:r>
          </w:p>
        </w:tc>
      </w:tr>
      <w:tr w:rsidR="004A0323" w:rsidRPr="004A0323" w14:paraId="5A9452A8" w14:textId="77777777" w:rsidTr="00650027">
        <w:trPr>
          <w:trHeight w:val="602"/>
        </w:trPr>
        <w:tc>
          <w:tcPr>
            <w:tcW w:w="2307" w:type="dxa"/>
            <w:vMerge/>
            <w:shd w:val="clear" w:color="auto" w:fill="auto"/>
            <w:vAlign w:val="center"/>
          </w:tcPr>
          <w:p w14:paraId="38E58731" w14:textId="77777777" w:rsidR="00EB374B" w:rsidRPr="004A0323" w:rsidRDefault="00EB374B" w:rsidP="00513F10">
            <w:pPr>
              <w:spacing w:after="240"/>
              <w:ind w:left="567" w:right="567"/>
              <w:jc w:val="both"/>
              <w:rPr>
                <w:rFonts w:eastAsia="Times New Roman"/>
                <w:lang w:val="en-US"/>
              </w:rPr>
            </w:pPr>
          </w:p>
        </w:tc>
        <w:tc>
          <w:tcPr>
            <w:tcW w:w="2658" w:type="dxa"/>
            <w:shd w:val="clear" w:color="auto" w:fill="auto"/>
            <w:vAlign w:val="center"/>
          </w:tcPr>
          <w:p w14:paraId="58802603" w14:textId="77777777" w:rsidR="00EB374B" w:rsidRPr="004A0323" w:rsidRDefault="00EB374B" w:rsidP="00513F10">
            <w:pPr>
              <w:spacing w:after="240"/>
              <w:jc w:val="both"/>
              <w:rPr>
                <w:rFonts w:eastAsia="Times New Roman"/>
                <w:lang w:val="en-US"/>
              </w:rPr>
            </w:pPr>
            <w:r w:rsidRPr="004A0323">
              <w:rPr>
                <w:rFonts w:eastAsia="Times New Roman"/>
                <w:lang w:val="en-US"/>
              </w:rPr>
              <w:t>Analyst II for Index 2010</w:t>
            </w:r>
          </w:p>
        </w:tc>
        <w:tc>
          <w:tcPr>
            <w:tcW w:w="4320" w:type="dxa"/>
            <w:vMerge/>
            <w:vAlign w:val="center"/>
          </w:tcPr>
          <w:p w14:paraId="473F184E" w14:textId="77777777" w:rsidR="00EB374B" w:rsidRPr="004A0323" w:rsidRDefault="00EB374B" w:rsidP="00513F10">
            <w:pPr>
              <w:spacing w:after="240"/>
              <w:ind w:left="567" w:right="567"/>
              <w:jc w:val="both"/>
              <w:rPr>
                <w:rFonts w:eastAsia="Times New Roman"/>
                <w:lang w:val="en-US"/>
              </w:rPr>
            </w:pPr>
          </w:p>
        </w:tc>
      </w:tr>
      <w:tr w:rsidR="004A0323" w:rsidRPr="004A0323" w14:paraId="0057859F" w14:textId="77777777" w:rsidTr="00650027">
        <w:trPr>
          <w:trHeight w:val="701"/>
        </w:trPr>
        <w:tc>
          <w:tcPr>
            <w:tcW w:w="2307" w:type="dxa"/>
            <w:vMerge/>
            <w:shd w:val="clear" w:color="auto" w:fill="auto"/>
            <w:vAlign w:val="center"/>
          </w:tcPr>
          <w:p w14:paraId="0733ED92" w14:textId="77777777" w:rsidR="00EB374B" w:rsidRPr="004A0323" w:rsidRDefault="00EB374B" w:rsidP="00513F10">
            <w:pPr>
              <w:spacing w:after="240"/>
              <w:ind w:left="567" w:right="567"/>
              <w:jc w:val="both"/>
              <w:rPr>
                <w:rFonts w:eastAsia="Times New Roman"/>
                <w:lang w:val="en-US"/>
              </w:rPr>
            </w:pPr>
          </w:p>
        </w:tc>
        <w:tc>
          <w:tcPr>
            <w:tcW w:w="2658" w:type="dxa"/>
            <w:shd w:val="clear" w:color="auto" w:fill="auto"/>
            <w:vAlign w:val="center"/>
          </w:tcPr>
          <w:p w14:paraId="6E2DBB26" w14:textId="77777777" w:rsidR="00EB374B" w:rsidRPr="004A0323" w:rsidRDefault="00EB374B" w:rsidP="00513F10">
            <w:pPr>
              <w:spacing w:after="240"/>
              <w:jc w:val="both"/>
              <w:rPr>
                <w:rFonts w:eastAsia="Times New Roman"/>
                <w:lang w:val="en-US"/>
              </w:rPr>
            </w:pPr>
            <w:r w:rsidRPr="004A0323">
              <w:rPr>
                <w:rFonts w:eastAsia="Times New Roman"/>
                <w:lang w:val="en-US"/>
              </w:rPr>
              <w:t>Analyst III for Index 2010</w:t>
            </w:r>
          </w:p>
        </w:tc>
        <w:tc>
          <w:tcPr>
            <w:tcW w:w="4320" w:type="dxa"/>
            <w:vMerge/>
            <w:vAlign w:val="center"/>
          </w:tcPr>
          <w:p w14:paraId="6B719B16" w14:textId="77777777" w:rsidR="00EB374B" w:rsidRPr="004A0323" w:rsidRDefault="00EB374B" w:rsidP="00513F10">
            <w:pPr>
              <w:spacing w:after="240"/>
              <w:ind w:left="567" w:right="567"/>
              <w:jc w:val="both"/>
              <w:rPr>
                <w:rFonts w:eastAsia="Times New Roman"/>
                <w:lang w:val="en-US"/>
              </w:rPr>
            </w:pPr>
          </w:p>
        </w:tc>
      </w:tr>
      <w:tr w:rsidR="004A0323" w:rsidRPr="004A0323" w14:paraId="670D0DB1" w14:textId="77777777" w:rsidTr="00650027">
        <w:trPr>
          <w:trHeight w:val="687"/>
        </w:trPr>
        <w:tc>
          <w:tcPr>
            <w:tcW w:w="2307" w:type="dxa"/>
            <w:vMerge/>
            <w:shd w:val="clear" w:color="auto" w:fill="auto"/>
            <w:vAlign w:val="center"/>
          </w:tcPr>
          <w:p w14:paraId="38ADC428" w14:textId="77777777" w:rsidR="00EB374B" w:rsidRPr="004A0323" w:rsidRDefault="00EB374B" w:rsidP="00513F10">
            <w:pPr>
              <w:spacing w:after="240"/>
              <w:ind w:left="567" w:right="567"/>
              <w:jc w:val="both"/>
              <w:rPr>
                <w:rFonts w:eastAsia="Times New Roman"/>
                <w:lang w:val="en-US"/>
              </w:rPr>
            </w:pPr>
          </w:p>
        </w:tc>
        <w:tc>
          <w:tcPr>
            <w:tcW w:w="2658" w:type="dxa"/>
            <w:shd w:val="clear" w:color="auto" w:fill="auto"/>
            <w:vAlign w:val="center"/>
          </w:tcPr>
          <w:p w14:paraId="7D4B107D" w14:textId="77777777" w:rsidR="00EB374B" w:rsidRPr="004A0323" w:rsidRDefault="00EB374B" w:rsidP="00513F10">
            <w:pPr>
              <w:spacing w:after="240"/>
              <w:jc w:val="both"/>
              <w:rPr>
                <w:rFonts w:eastAsia="Times New Roman"/>
                <w:lang w:val="en-US"/>
              </w:rPr>
            </w:pPr>
            <w:r w:rsidRPr="004A0323">
              <w:rPr>
                <w:rFonts w:eastAsia="Times New Roman"/>
                <w:lang w:val="en-US"/>
              </w:rPr>
              <w:t>Analyst IV for Index 2010</w:t>
            </w:r>
          </w:p>
        </w:tc>
        <w:tc>
          <w:tcPr>
            <w:tcW w:w="4320" w:type="dxa"/>
            <w:vMerge/>
            <w:vAlign w:val="center"/>
          </w:tcPr>
          <w:p w14:paraId="43C49175" w14:textId="77777777" w:rsidR="00EB374B" w:rsidRPr="004A0323" w:rsidRDefault="00EB374B" w:rsidP="00513F10">
            <w:pPr>
              <w:spacing w:after="240"/>
              <w:ind w:left="567" w:right="567"/>
              <w:jc w:val="both"/>
              <w:rPr>
                <w:rFonts w:eastAsia="Times New Roman"/>
                <w:lang w:val="en-US"/>
              </w:rPr>
            </w:pPr>
          </w:p>
        </w:tc>
      </w:tr>
      <w:tr w:rsidR="004A0323" w:rsidRPr="004A0323" w14:paraId="485A9B4B" w14:textId="77777777" w:rsidTr="00650027">
        <w:trPr>
          <w:trHeight w:val="300"/>
        </w:trPr>
        <w:tc>
          <w:tcPr>
            <w:tcW w:w="2307" w:type="dxa"/>
            <w:vMerge/>
            <w:shd w:val="clear" w:color="auto" w:fill="auto"/>
            <w:vAlign w:val="center"/>
            <w:hideMark/>
          </w:tcPr>
          <w:p w14:paraId="7AD3377C" w14:textId="77777777" w:rsidR="00EB374B" w:rsidRPr="004A0323" w:rsidRDefault="00EB374B" w:rsidP="00513F10">
            <w:pPr>
              <w:spacing w:after="240"/>
              <w:ind w:left="567" w:right="567"/>
              <w:jc w:val="both"/>
              <w:rPr>
                <w:rFonts w:eastAsia="Times New Roman"/>
                <w:lang w:val="en-US"/>
              </w:rPr>
            </w:pPr>
          </w:p>
        </w:tc>
        <w:tc>
          <w:tcPr>
            <w:tcW w:w="2658" w:type="dxa"/>
            <w:shd w:val="clear" w:color="auto" w:fill="auto"/>
            <w:vAlign w:val="center"/>
            <w:hideMark/>
          </w:tcPr>
          <w:p w14:paraId="14047760" w14:textId="77777777" w:rsidR="00EB374B" w:rsidRPr="004A0323" w:rsidRDefault="00EB374B" w:rsidP="00513F10">
            <w:pPr>
              <w:spacing w:after="240"/>
              <w:jc w:val="both"/>
              <w:rPr>
                <w:rFonts w:eastAsia="Times New Roman"/>
                <w:lang w:val="en-US"/>
              </w:rPr>
            </w:pPr>
            <w:r w:rsidRPr="004A0323">
              <w:rPr>
                <w:rFonts w:eastAsia="Times New Roman"/>
                <w:lang w:val="en-US"/>
              </w:rPr>
              <w:t>Senior analyst</w:t>
            </w:r>
          </w:p>
        </w:tc>
        <w:tc>
          <w:tcPr>
            <w:tcW w:w="4320" w:type="dxa"/>
            <w:vAlign w:val="center"/>
          </w:tcPr>
          <w:p w14:paraId="0A6463F0" w14:textId="77777777" w:rsidR="00EB374B" w:rsidRPr="004A0323" w:rsidRDefault="00EB374B" w:rsidP="00513F10">
            <w:pPr>
              <w:spacing w:after="240"/>
              <w:jc w:val="both"/>
              <w:rPr>
                <w:rFonts w:eastAsia="Times New Roman"/>
                <w:lang w:val="en-US"/>
              </w:rPr>
            </w:pPr>
            <w:r w:rsidRPr="004A0323">
              <w:rPr>
                <w:rFonts w:eastAsia="Times New Roman"/>
                <w:lang w:val="en-US"/>
              </w:rPr>
              <w:t>Headed the analyst team at MSCI for Index 2012</w:t>
            </w:r>
          </w:p>
        </w:tc>
      </w:tr>
      <w:tr w:rsidR="004A0323" w:rsidRPr="004A0323" w14:paraId="70362E1F" w14:textId="77777777" w:rsidTr="00650027">
        <w:trPr>
          <w:trHeight w:val="300"/>
        </w:trPr>
        <w:tc>
          <w:tcPr>
            <w:tcW w:w="2307" w:type="dxa"/>
            <w:shd w:val="clear" w:color="auto" w:fill="auto"/>
            <w:vAlign w:val="center"/>
            <w:hideMark/>
          </w:tcPr>
          <w:p w14:paraId="5704736C" w14:textId="77777777" w:rsidR="00EB374B" w:rsidRPr="004A0323" w:rsidRDefault="00EB374B" w:rsidP="00513F10">
            <w:pPr>
              <w:spacing w:after="240"/>
              <w:jc w:val="both"/>
              <w:rPr>
                <w:rFonts w:eastAsia="Times New Roman"/>
                <w:lang w:val="en-US"/>
              </w:rPr>
            </w:pPr>
            <w:r w:rsidRPr="004A0323">
              <w:rPr>
                <w:rFonts w:eastAsia="Times New Roman"/>
                <w:lang w:val="en-US"/>
              </w:rPr>
              <w:t>MSCI Group – Access to Medicine Foundation</w:t>
            </w:r>
          </w:p>
        </w:tc>
        <w:tc>
          <w:tcPr>
            <w:tcW w:w="2658" w:type="dxa"/>
            <w:shd w:val="clear" w:color="auto" w:fill="auto"/>
            <w:vAlign w:val="center"/>
            <w:hideMark/>
          </w:tcPr>
          <w:p w14:paraId="60CCD4A4" w14:textId="77777777" w:rsidR="00EB374B" w:rsidRPr="004A0323" w:rsidRDefault="00EB374B" w:rsidP="00513F10">
            <w:pPr>
              <w:spacing w:after="240"/>
              <w:jc w:val="both"/>
              <w:rPr>
                <w:rFonts w:eastAsia="Times New Roman"/>
                <w:lang w:val="en-US"/>
              </w:rPr>
            </w:pPr>
            <w:r w:rsidRPr="004A0323">
              <w:rPr>
                <w:rFonts w:eastAsia="Times New Roman"/>
                <w:lang w:val="en-US"/>
              </w:rPr>
              <w:t xml:space="preserve">Former analyst at MSCI Group for ATMI 2012 – Analyst at the Foundation since 2012 </w:t>
            </w:r>
          </w:p>
        </w:tc>
        <w:tc>
          <w:tcPr>
            <w:tcW w:w="4320" w:type="dxa"/>
            <w:vAlign w:val="center"/>
          </w:tcPr>
          <w:p w14:paraId="2D0692B0" w14:textId="77777777" w:rsidR="00EB374B" w:rsidRPr="004A0323" w:rsidRDefault="00EB374B" w:rsidP="00513F10">
            <w:pPr>
              <w:spacing w:after="240"/>
              <w:jc w:val="both"/>
              <w:rPr>
                <w:rFonts w:eastAsia="Times New Roman"/>
                <w:lang w:val="en-US"/>
              </w:rPr>
            </w:pPr>
            <w:r w:rsidRPr="004A0323">
              <w:rPr>
                <w:rFonts w:eastAsia="Times New Roman"/>
                <w:lang w:val="en-US"/>
              </w:rPr>
              <w:t>Analyst for Index 2012 and 2014</w:t>
            </w:r>
          </w:p>
        </w:tc>
      </w:tr>
      <w:tr w:rsidR="004A0323" w:rsidRPr="004A0323" w14:paraId="08F9FD6B" w14:textId="77777777" w:rsidTr="00650027">
        <w:trPr>
          <w:trHeight w:val="300"/>
        </w:trPr>
        <w:tc>
          <w:tcPr>
            <w:tcW w:w="2307" w:type="dxa"/>
            <w:vMerge w:val="restart"/>
            <w:shd w:val="clear" w:color="auto" w:fill="auto"/>
            <w:vAlign w:val="center"/>
          </w:tcPr>
          <w:p w14:paraId="69944056" w14:textId="77777777" w:rsidR="00EB374B" w:rsidRPr="004A0323" w:rsidRDefault="00EB374B" w:rsidP="00513F10">
            <w:pPr>
              <w:spacing w:after="240"/>
              <w:jc w:val="both"/>
              <w:rPr>
                <w:rFonts w:eastAsia="Times New Roman"/>
                <w:lang w:val="en-US"/>
              </w:rPr>
            </w:pPr>
            <w:r w:rsidRPr="004A0323">
              <w:rPr>
                <w:rFonts w:eastAsia="Times New Roman"/>
                <w:lang w:val="en-US"/>
              </w:rPr>
              <w:t>Innovest Strategic Value Advisors (later acquired by MSCI Group)</w:t>
            </w:r>
          </w:p>
        </w:tc>
        <w:tc>
          <w:tcPr>
            <w:tcW w:w="2658" w:type="dxa"/>
            <w:shd w:val="clear" w:color="auto" w:fill="auto"/>
            <w:vAlign w:val="center"/>
          </w:tcPr>
          <w:p w14:paraId="777524CA" w14:textId="77777777" w:rsidR="00EB374B" w:rsidRPr="004A0323" w:rsidRDefault="00EB374B" w:rsidP="00513F10">
            <w:pPr>
              <w:spacing w:after="240"/>
              <w:jc w:val="both"/>
              <w:rPr>
                <w:rFonts w:eastAsia="Times New Roman"/>
                <w:lang w:val="en-US"/>
              </w:rPr>
            </w:pPr>
            <w:r w:rsidRPr="004A0323">
              <w:rPr>
                <w:rFonts w:eastAsia="Times New Roman"/>
                <w:lang w:val="en-US"/>
              </w:rPr>
              <w:t>Senior analyst</w:t>
            </w:r>
          </w:p>
        </w:tc>
        <w:tc>
          <w:tcPr>
            <w:tcW w:w="4320" w:type="dxa"/>
            <w:vAlign w:val="center"/>
          </w:tcPr>
          <w:p w14:paraId="64115BC2" w14:textId="77777777" w:rsidR="00EB374B" w:rsidRPr="004A0323" w:rsidRDefault="00EB374B" w:rsidP="00513F10">
            <w:pPr>
              <w:spacing w:after="240"/>
              <w:jc w:val="both"/>
              <w:rPr>
                <w:rFonts w:eastAsia="Times New Roman"/>
                <w:lang w:val="en-US"/>
              </w:rPr>
            </w:pPr>
            <w:r w:rsidRPr="004A0323">
              <w:rPr>
                <w:rFonts w:eastAsia="Times New Roman"/>
                <w:lang w:val="en-US"/>
              </w:rPr>
              <w:t>Project  manager and head of analyst team Index 2008</w:t>
            </w:r>
          </w:p>
        </w:tc>
      </w:tr>
      <w:tr w:rsidR="004A0323" w:rsidRPr="004A0323" w14:paraId="6CC28107" w14:textId="77777777" w:rsidTr="00650027">
        <w:trPr>
          <w:trHeight w:val="300"/>
        </w:trPr>
        <w:tc>
          <w:tcPr>
            <w:tcW w:w="2307" w:type="dxa"/>
            <w:vMerge/>
            <w:shd w:val="clear" w:color="auto" w:fill="auto"/>
            <w:vAlign w:val="center"/>
          </w:tcPr>
          <w:p w14:paraId="797BA079" w14:textId="77777777" w:rsidR="00EB374B" w:rsidRPr="004A0323" w:rsidRDefault="00EB374B" w:rsidP="00513F10">
            <w:pPr>
              <w:spacing w:after="240"/>
              <w:ind w:left="567" w:right="567"/>
              <w:jc w:val="both"/>
              <w:rPr>
                <w:rFonts w:eastAsia="Times New Roman"/>
                <w:lang w:val="en-US"/>
              </w:rPr>
            </w:pPr>
          </w:p>
        </w:tc>
        <w:tc>
          <w:tcPr>
            <w:tcW w:w="2658" w:type="dxa"/>
            <w:shd w:val="clear" w:color="auto" w:fill="auto"/>
            <w:vAlign w:val="center"/>
          </w:tcPr>
          <w:p w14:paraId="16C8416A" w14:textId="77777777" w:rsidR="00EB374B" w:rsidRPr="004A0323" w:rsidRDefault="00EB374B" w:rsidP="00513F10">
            <w:pPr>
              <w:spacing w:after="240"/>
              <w:jc w:val="both"/>
              <w:rPr>
                <w:rFonts w:eastAsia="Times New Roman"/>
                <w:lang w:val="en-US"/>
              </w:rPr>
            </w:pPr>
            <w:r w:rsidRPr="004A0323">
              <w:rPr>
                <w:rFonts w:eastAsia="Times New Roman"/>
                <w:lang w:val="en-US"/>
              </w:rPr>
              <w:t>Former CEO</w:t>
            </w:r>
          </w:p>
        </w:tc>
        <w:tc>
          <w:tcPr>
            <w:tcW w:w="4320" w:type="dxa"/>
            <w:vAlign w:val="center"/>
          </w:tcPr>
          <w:p w14:paraId="1B8231F0" w14:textId="77777777" w:rsidR="00EB374B" w:rsidRPr="004A0323" w:rsidRDefault="00EB374B" w:rsidP="00513F10">
            <w:pPr>
              <w:spacing w:after="240"/>
              <w:jc w:val="both"/>
              <w:rPr>
                <w:rFonts w:eastAsia="Times New Roman"/>
                <w:lang w:val="en-US"/>
              </w:rPr>
            </w:pPr>
            <w:r w:rsidRPr="004A0323">
              <w:rPr>
                <w:rFonts w:eastAsia="Times New Roman"/>
                <w:lang w:val="en-US"/>
              </w:rPr>
              <w:t>Involved in discussion leading to the development of Index 2008 and 2010</w:t>
            </w:r>
          </w:p>
        </w:tc>
      </w:tr>
      <w:tr w:rsidR="004A0323" w:rsidRPr="004A0323" w14:paraId="0E4FD960" w14:textId="77777777" w:rsidTr="00650027">
        <w:trPr>
          <w:trHeight w:val="300"/>
        </w:trPr>
        <w:tc>
          <w:tcPr>
            <w:tcW w:w="2307" w:type="dxa"/>
            <w:vMerge/>
            <w:shd w:val="clear" w:color="auto" w:fill="auto"/>
            <w:vAlign w:val="center"/>
          </w:tcPr>
          <w:p w14:paraId="7CDCD643" w14:textId="77777777" w:rsidR="00EB374B" w:rsidRPr="004A0323" w:rsidRDefault="00EB374B" w:rsidP="00513F10">
            <w:pPr>
              <w:spacing w:after="240"/>
              <w:ind w:left="567" w:right="567"/>
              <w:jc w:val="both"/>
              <w:rPr>
                <w:rFonts w:eastAsia="Times New Roman"/>
                <w:lang w:val="en-US"/>
              </w:rPr>
            </w:pPr>
          </w:p>
        </w:tc>
        <w:tc>
          <w:tcPr>
            <w:tcW w:w="2658" w:type="dxa"/>
            <w:shd w:val="clear" w:color="auto" w:fill="auto"/>
            <w:vAlign w:val="center"/>
          </w:tcPr>
          <w:p w14:paraId="3F14B7C2" w14:textId="77777777" w:rsidR="00EB374B" w:rsidRPr="004A0323" w:rsidRDefault="00EB374B" w:rsidP="00513F10">
            <w:pPr>
              <w:spacing w:after="240"/>
              <w:jc w:val="both"/>
              <w:rPr>
                <w:rFonts w:eastAsia="Times New Roman"/>
                <w:lang w:val="en-US"/>
              </w:rPr>
            </w:pPr>
            <w:r w:rsidRPr="004A0323">
              <w:rPr>
                <w:rFonts w:eastAsia="Times New Roman"/>
                <w:lang w:val="en-US"/>
              </w:rPr>
              <w:t xml:space="preserve">Former research Director – 2011-2013 consultant at the Foundation </w:t>
            </w:r>
          </w:p>
        </w:tc>
        <w:tc>
          <w:tcPr>
            <w:tcW w:w="4320" w:type="dxa"/>
            <w:vAlign w:val="center"/>
          </w:tcPr>
          <w:p w14:paraId="18DA6B37" w14:textId="77777777" w:rsidR="00EB374B" w:rsidRPr="004A0323" w:rsidRDefault="00EB374B" w:rsidP="00513F10">
            <w:pPr>
              <w:spacing w:after="240"/>
              <w:jc w:val="both"/>
              <w:rPr>
                <w:rFonts w:eastAsia="Times New Roman"/>
                <w:lang w:val="en-US"/>
              </w:rPr>
            </w:pPr>
            <w:r w:rsidRPr="004A0323">
              <w:rPr>
                <w:rFonts w:eastAsia="Times New Roman"/>
                <w:lang w:val="en-US"/>
              </w:rPr>
              <w:t xml:space="preserve">Liaised with the Foundation and other stakeholders and supervised the development of Index 2008 – from 2010 to </w:t>
            </w:r>
            <w:r w:rsidRPr="004A0323">
              <w:rPr>
                <w:rFonts w:eastAsia="Times New Roman"/>
                <w:lang w:val="en-US"/>
              </w:rPr>
              <w:lastRenderedPageBreak/>
              <w:t>2012 – responsible for investor advocacy at the Foundation</w:t>
            </w:r>
          </w:p>
        </w:tc>
      </w:tr>
      <w:tr w:rsidR="004A0323" w:rsidRPr="004A0323" w14:paraId="4240AE21" w14:textId="77777777" w:rsidTr="00650027">
        <w:trPr>
          <w:trHeight w:val="300"/>
        </w:trPr>
        <w:tc>
          <w:tcPr>
            <w:tcW w:w="2307" w:type="dxa"/>
            <w:shd w:val="clear" w:color="auto" w:fill="auto"/>
            <w:vAlign w:val="center"/>
            <w:hideMark/>
          </w:tcPr>
          <w:p w14:paraId="2852FACA" w14:textId="77777777" w:rsidR="00EB374B" w:rsidRPr="004A0323" w:rsidRDefault="00EB374B" w:rsidP="00513F10">
            <w:pPr>
              <w:spacing w:after="240"/>
              <w:jc w:val="both"/>
              <w:rPr>
                <w:rFonts w:eastAsia="Times New Roman"/>
                <w:lang w:val="en-US"/>
              </w:rPr>
            </w:pPr>
            <w:r w:rsidRPr="004A0323">
              <w:rPr>
                <w:rFonts w:eastAsia="Times New Roman"/>
                <w:lang w:val="en-US"/>
              </w:rPr>
              <w:lastRenderedPageBreak/>
              <w:t>Health Action International</w:t>
            </w:r>
          </w:p>
        </w:tc>
        <w:tc>
          <w:tcPr>
            <w:tcW w:w="2658" w:type="dxa"/>
            <w:shd w:val="clear" w:color="auto" w:fill="auto"/>
            <w:vAlign w:val="center"/>
            <w:hideMark/>
          </w:tcPr>
          <w:p w14:paraId="126BD2BB" w14:textId="77777777" w:rsidR="00EB374B" w:rsidRPr="004A0323" w:rsidRDefault="00EB374B" w:rsidP="00513F10">
            <w:pPr>
              <w:spacing w:after="240"/>
              <w:jc w:val="both"/>
              <w:rPr>
                <w:rFonts w:eastAsia="Times New Roman"/>
                <w:lang w:val="en-US"/>
              </w:rPr>
            </w:pPr>
            <w:r w:rsidRPr="004A0323">
              <w:rPr>
                <w:rFonts w:eastAsia="Times New Roman"/>
                <w:lang w:val="en-US"/>
              </w:rPr>
              <w:t>Executive director</w:t>
            </w:r>
          </w:p>
        </w:tc>
        <w:tc>
          <w:tcPr>
            <w:tcW w:w="4320" w:type="dxa"/>
            <w:vAlign w:val="center"/>
          </w:tcPr>
          <w:p w14:paraId="4D7FFE04" w14:textId="77777777" w:rsidR="00EB374B" w:rsidRPr="004A0323" w:rsidRDefault="00EB374B" w:rsidP="00513F10">
            <w:pPr>
              <w:spacing w:after="240"/>
              <w:jc w:val="both"/>
              <w:rPr>
                <w:rFonts w:eastAsia="Times New Roman"/>
                <w:lang w:val="en-US"/>
              </w:rPr>
            </w:pPr>
            <w:r w:rsidRPr="004A0323">
              <w:rPr>
                <w:rFonts w:eastAsia="Times New Roman"/>
                <w:lang w:val="en-US"/>
              </w:rPr>
              <w:t>ERC member for ATMI 2012 representing NGOS</w:t>
            </w:r>
          </w:p>
        </w:tc>
      </w:tr>
      <w:tr w:rsidR="004A0323" w:rsidRPr="004A0323" w14:paraId="3CFB67F3" w14:textId="77777777" w:rsidTr="00650027">
        <w:trPr>
          <w:trHeight w:val="300"/>
        </w:trPr>
        <w:tc>
          <w:tcPr>
            <w:tcW w:w="2307" w:type="dxa"/>
            <w:tcBorders>
              <w:bottom w:val="single" w:sz="4" w:space="0" w:color="auto"/>
            </w:tcBorders>
            <w:shd w:val="clear" w:color="auto" w:fill="auto"/>
            <w:vAlign w:val="center"/>
            <w:hideMark/>
          </w:tcPr>
          <w:p w14:paraId="4664F730" w14:textId="77777777" w:rsidR="00EB374B" w:rsidRPr="004A0323" w:rsidRDefault="00EB374B" w:rsidP="00513F10">
            <w:pPr>
              <w:spacing w:after="240"/>
              <w:jc w:val="both"/>
              <w:rPr>
                <w:rFonts w:eastAsia="Times New Roman"/>
                <w:lang w:val="en-US"/>
              </w:rPr>
            </w:pPr>
            <w:r w:rsidRPr="004A0323">
              <w:rPr>
                <w:rFonts w:eastAsia="Times New Roman"/>
                <w:lang w:val="en-US"/>
              </w:rPr>
              <w:t xml:space="preserve">HiVOS </w:t>
            </w:r>
          </w:p>
        </w:tc>
        <w:tc>
          <w:tcPr>
            <w:tcW w:w="2658" w:type="dxa"/>
            <w:tcBorders>
              <w:bottom w:val="single" w:sz="4" w:space="0" w:color="auto"/>
            </w:tcBorders>
            <w:shd w:val="clear" w:color="auto" w:fill="auto"/>
            <w:vAlign w:val="center"/>
            <w:hideMark/>
          </w:tcPr>
          <w:p w14:paraId="2A6BC60E" w14:textId="77777777" w:rsidR="00EB374B" w:rsidRPr="004A0323" w:rsidRDefault="00EB374B" w:rsidP="00513F10">
            <w:pPr>
              <w:spacing w:after="240"/>
              <w:jc w:val="both"/>
              <w:rPr>
                <w:rFonts w:eastAsia="Times New Roman"/>
                <w:lang w:val="en-US"/>
              </w:rPr>
            </w:pPr>
            <w:r w:rsidRPr="004A0323">
              <w:rPr>
                <w:rFonts w:eastAsia="Times New Roman"/>
                <w:lang w:val="en-US"/>
              </w:rPr>
              <w:t>Former Program Manager</w:t>
            </w:r>
          </w:p>
        </w:tc>
        <w:tc>
          <w:tcPr>
            <w:tcW w:w="4320" w:type="dxa"/>
            <w:tcBorders>
              <w:bottom w:val="single" w:sz="4" w:space="0" w:color="auto"/>
            </w:tcBorders>
            <w:vAlign w:val="center"/>
          </w:tcPr>
          <w:p w14:paraId="0399C3DB" w14:textId="77777777" w:rsidR="00EB374B" w:rsidRPr="004A0323" w:rsidRDefault="00EB374B" w:rsidP="00513F10">
            <w:pPr>
              <w:spacing w:after="240"/>
              <w:jc w:val="both"/>
              <w:rPr>
                <w:rFonts w:eastAsia="Times New Roman"/>
                <w:lang w:val="en-US"/>
              </w:rPr>
            </w:pPr>
            <w:r w:rsidRPr="004A0323">
              <w:rPr>
                <w:rFonts w:eastAsia="Times New Roman"/>
                <w:lang w:val="en-US"/>
              </w:rPr>
              <w:t>NGO involved in funding of Index 2008 and 2010 and present in stakeholder meetings for those</w:t>
            </w:r>
          </w:p>
        </w:tc>
      </w:tr>
      <w:tr w:rsidR="004A0323" w:rsidRPr="004A0323" w14:paraId="0717D4B8" w14:textId="77777777" w:rsidTr="00650027">
        <w:trPr>
          <w:trHeight w:val="260"/>
        </w:trPr>
        <w:tc>
          <w:tcPr>
            <w:tcW w:w="2307" w:type="dxa"/>
            <w:shd w:val="clear" w:color="auto" w:fill="auto"/>
            <w:vAlign w:val="center"/>
            <w:hideMark/>
          </w:tcPr>
          <w:p w14:paraId="13CFA262" w14:textId="77777777" w:rsidR="00EB374B" w:rsidRPr="004A0323" w:rsidRDefault="00EB374B" w:rsidP="00513F10">
            <w:pPr>
              <w:spacing w:after="240"/>
              <w:jc w:val="both"/>
              <w:rPr>
                <w:rFonts w:eastAsia="Times New Roman"/>
                <w:lang w:val="en-US"/>
              </w:rPr>
            </w:pPr>
            <w:r w:rsidRPr="004A0323">
              <w:rPr>
                <w:rFonts w:eastAsia="Times New Roman"/>
                <w:lang w:val="en-US"/>
              </w:rPr>
              <w:t>Department for International Development  (DFID)</w:t>
            </w:r>
          </w:p>
        </w:tc>
        <w:tc>
          <w:tcPr>
            <w:tcW w:w="2658" w:type="dxa"/>
            <w:shd w:val="clear" w:color="auto" w:fill="auto"/>
            <w:vAlign w:val="center"/>
            <w:hideMark/>
          </w:tcPr>
          <w:p w14:paraId="1F95398F" w14:textId="77777777" w:rsidR="00EB374B" w:rsidRPr="004A0323" w:rsidRDefault="00EB374B" w:rsidP="00513F10">
            <w:pPr>
              <w:spacing w:after="240"/>
              <w:jc w:val="both"/>
              <w:rPr>
                <w:rFonts w:eastAsia="Times New Roman"/>
                <w:lang w:val="en-US"/>
              </w:rPr>
            </w:pPr>
            <w:r w:rsidRPr="004A0323">
              <w:rPr>
                <w:rFonts w:eastAsia="Times New Roman"/>
                <w:lang w:val="en-US"/>
              </w:rPr>
              <w:t>Consultant for the Foundation in 2012 and then Program Manager at DFID</w:t>
            </w:r>
          </w:p>
        </w:tc>
        <w:tc>
          <w:tcPr>
            <w:tcW w:w="4320" w:type="dxa"/>
            <w:vAlign w:val="center"/>
          </w:tcPr>
          <w:p w14:paraId="3ACDE004" w14:textId="77777777" w:rsidR="00EB374B" w:rsidRPr="004A0323" w:rsidRDefault="00EB374B" w:rsidP="00513F10">
            <w:pPr>
              <w:spacing w:after="240"/>
              <w:jc w:val="both"/>
              <w:rPr>
                <w:rFonts w:eastAsia="Times New Roman"/>
                <w:lang w:val="en-US"/>
              </w:rPr>
            </w:pPr>
            <w:r w:rsidRPr="004A0323">
              <w:rPr>
                <w:rFonts w:eastAsia="Times New Roman"/>
                <w:lang w:val="en-US"/>
              </w:rPr>
              <w:t>Consultant for  Index 2012 at Foundation in charge of leading the Foundation’s inhouse team and the write-up of the report  -  in charge of managing relationship/reporting with the Foundation at DFID since 2013</w:t>
            </w:r>
          </w:p>
        </w:tc>
      </w:tr>
      <w:tr w:rsidR="004A0323" w:rsidRPr="004A0323" w14:paraId="159AF7F1" w14:textId="77777777" w:rsidTr="00650027">
        <w:trPr>
          <w:trHeight w:val="300"/>
        </w:trPr>
        <w:tc>
          <w:tcPr>
            <w:tcW w:w="2307" w:type="dxa"/>
            <w:shd w:val="clear" w:color="auto" w:fill="auto"/>
            <w:vAlign w:val="center"/>
            <w:hideMark/>
          </w:tcPr>
          <w:p w14:paraId="38485376" w14:textId="77777777" w:rsidR="00EB374B" w:rsidRPr="004A0323" w:rsidRDefault="00EB374B" w:rsidP="00513F10">
            <w:pPr>
              <w:spacing w:after="240"/>
              <w:jc w:val="both"/>
              <w:rPr>
                <w:rFonts w:eastAsia="Times New Roman"/>
                <w:lang w:val="en-US"/>
              </w:rPr>
            </w:pPr>
            <w:r w:rsidRPr="004A0323">
              <w:rPr>
                <w:rFonts w:eastAsia="Times New Roman"/>
                <w:lang w:val="en-US"/>
              </w:rPr>
              <w:t>Novartis</w:t>
            </w:r>
          </w:p>
        </w:tc>
        <w:tc>
          <w:tcPr>
            <w:tcW w:w="2658" w:type="dxa"/>
            <w:shd w:val="clear" w:color="auto" w:fill="auto"/>
            <w:vAlign w:val="center"/>
            <w:hideMark/>
          </w:tcPr>
          <w:p w14:paraId="49B6ADAF" w14:textId="77777777" w:rsidR="00EB374B" w:rsidRPr="004A0323" w:rsidRDefault="00EB374B" w:rsidP="00513F10">
            <w:pPr>
              <w:spacing w:after="240"/>
              <w:jc w:val="both"/>
              <w:rPr>
                <w:rFonts w:eastAsia="Times New Roman"/>
                <w:lang w:val="en-US"/>
              </w:rPr>
            </w:pPr>
            <w:r w:rsidRPr="004A0323">
              <w:rPr>
                <w:rFonts w:eastAsia="Times New Roman"/>
                <w:lang w:val="en-US"/>
              </w:rPr>
              <w:t>Head of Global Policy</w:t>
            </w:r>
          </w:p>
        </w:tc>
        <w:tc>
          <w:tcPr>
            <w:tcW w:w="4320" w:type="dxa"/>
            <w:vAlign w:val="center"/>
          </w:tcPr>
          <w:p w14:paraId="0031E7EC" w14:textId="77777777" w:rsidR="00EB374B" w:rsidRPr="004A0323" w:rsidRDefault="00EB374B" w:rsidP="00513F10">
            <w:pPr>
              <w:spacing w:after="240"/>
              <w:jc w:val="both"/>
              <w:rPr>
                <w:rFonts w:eastAsia="Times New Roman"/>
                <w:lang w:val="en-US"/>
              </w:rPr>
            </w:pPr>
            <w:r w:rsidRPr="004A0323">
              <w:rPr>
                <w:rFonts w:eastAsia="Times New Roman"/>
                <w:lang w:val="en-US"/>
              </w:rPr>
              <w:t>In charge of company response to Index data request and present in the Foundation’s company events.</w:t>
            </w:r>
          </w:p>
        </w:tc>
      </w:tr>
      <w:tr w:rsidR="004A0323" w:rsidRPr="004A0323" w14:paraId="7087651F" w14:textId="77777777" w:rsidTr="00650027">
        <w:trPr>
          <w:trHeight w:val="580"/>
        </w:trPr>
        <w:tc>
          <w:tcPr>
            <w:tcW w:w="2307" w:type="dxa"/>
            <w:shd w:val="clear" w:color="auto" w:fill="auto"/>
            <w:vAlign w:val="center"/>
            <w:hideMark/>
          </w:tcPr>
          <w:p w14:paraId="75269CA9" w14:textId="77777777" w:rsidR="00EB374B" w:rsidRPr="004A0323" w:rsidRDefault="00EB374B" w:rsidP="00513F10">
            <w:pPr>
              <w:spacing w:after="240"/>
              <w:jc w:val="both"/>
              <w:rPr>
                <w:rFonts w:eastAsia="Times New Roman"/>
                <w:lang w:val="en-US"/>
              </w:rPr>
            </w:pPr>
            <w:r w:rsidRPr="004A0323">
              <w:rPr>
                <w:rFonts w:eastAsia="Times New Roman"/>
                <w:lang w:val="en-US"/>
              </w:rPr>
              <w:t>Merck</w:t>
            </w:r>
          </w:p>
        </w:tc>
        <w:tc>
          <w:tcPr>
            <w:tcW w:w="2658" w:type="dxa"/>
            <w:shd w:val="clear" w:color="auto" w:fill="auto"/>
            <w:vAlign w:val="center"/>
            <w:hideMark/>
          </w:tcPr>
          <w:p w14:paraId="6554EBDF" w14:textId="77777777" w:rsidR="00EB374B" w:rsidRPr="004A0323" w:rsidRDefault="00EB374B" w:rsidP="00513F10">
            <w:pPr>
              <w:spacing w:after="240"/>
              <w:jc w:val="both"/>
              <w:rPr>
                <w:rFonts w:eastAsia="Times New Roman"/>
                <w:lang w:val="en-US"/>
              </w:rPr>
            </w:pPr>
            <w:r w:rsidRPr="004A0323">
              <w:rPr>
                <w:rFonts w:eastAsia="Times New Roman"/>
                <w:lang w:val="en-US"/>
              </w:rPr>
              <w:t xml:space="preserve">Former Head of CSR </w:t>
            </w:r>
          </w:p>
        </w:tc>
        <w:tc>
          <w:tcPr>
            <w:tcW w:w="4320" w:type="dxa"/>
            <w:vAlign w:val="center"/>
          </w:tcPr>
          <w:p w14:paraId="05E9AC65" w14:textId="77777777" w:rsidR="00EB374B" w:rsidRPr="004A0323" w:rsidRDefault="00EB374B" w:rsidP="00513F10">
            <w:pPr>
              <w:spacing w:after="240"/>
              <w:jc w:val="both"/>
              <w:rPr>
                <w:rFonts w:eastAsia="Times New Roman"/>
                <w:lang w:val="en-US"/>
              </w:rPr>
            </w:pPr>
            <w:r w:rsidRPr="004A0323">
              <w:rPr>
                <w:rFonts w:eastAsia="Times New Roman"/>
                <w:lang w:val="en-US"/>
              </w:rPr>
              <w:t>Member of stakeholder roundtable for Index 2008 and ERC for Index 2010</w:t>
            </w:r>
          </w:p>
        </w:tc>
      </w:tr>
      <w:tr w:rsidR="004A0323" w:rsidRPr="004A0323" w14:paraId="4EF8F30D" w14:textId="77777777" w:rsidTr="00650027">
        <w:trPr>
          <w:trHeight w:val="600"/>
        </w:trPr>
        <w:tc>
          <w:tcPr>
            <w:tcW w:w="2307" w:type="dxa"/>
            <w:shd w:val="clear" w:color="auto" w:fill="auto"/>
            <w:vAlign w:val="center"/>
            <w:hideMark/>
          </w:tcPr>
          <w:p w14:paraId="153F4C94" w14:textId="77777777" w:rsidR="00EB374B" w:rsidRPr="004A0323" w:rsidRDefault="00EB374B" w:rsidP="00513F10">
            <w:pPr>
              <w:spacing w:after="240"/>
              <w:jc w:val="both"/>
              <w:rPr>
                <w:rFonts w:eastAsia="Times New Roman"/>
                <w:lang w:val="en-US"/>
              </w:rPr>
            </w:pPr>
            <w:r w:rsidRPr="004A0323">
              <w:rPr>
                <w:rFonts w:eastAsia="Times New Roman"/>
                <w:lang w:val="en-US"/>
              </w:rPr>
              <w:t>World Health Organization</w:t>
            </w:r>
          </w:p>
        </w:tc>
        <w:tc>
          <w:tcPr>
            <w:tcW w:w="2658" w:type="dxa"/>
            <w:shd w:val="clear" w:color="auto" w:fill="auto"/>
            <w:vAlign w:val="center"/>
            <w:hideMark/>
          </w:tcPr>
          <w:p w14:paraId="3869760D" w14:textId="77777777" w:rsidR="00EB374B" w:rsidRPr="004A0323" w:rsidRDefault="00EB374B" w:rsidP="00513F10">
            <w:pPr>
              <w:spacing w:after="240"/>
              <w:jc w:val="both"/>
              <w:rPr>
                <w:rFonts w:eastAsia="Times New Roman"/>
                <w:lang w:val="en-US"/>
              </w:rPr>
            </w:pPr>
            <w:r w:rsidRPr="004A0323">
              <w:rPr>
                <w:rFonts w:eastAsia="Times New Roman"/>
                <w:lang w:val="en-US"/>
              </w:rPr>
              <w:t>Former Team Coordinator</w:t>
            </w:r>
            <w:r w:rsidRPr="004A0323" w:rsidDel="00D11500">
              <w:rPr>
                <w:rFonts w:eastAsia="Times New Roman"/>
                <w:lang w:val="en-US"/>
              </w:rPr>
              <w:t xml:space="preserve"> </w:t>
            </w:r>
            <w:r w:rsidRPr="004A0323">
              <w:rPr>
                <w:rFonts w:eastAsia="Times New Roman"/>
                <w:lang w:val="en-US"/>
              </w:rPr>
              <w:t>– Medicines Information and Evidence for Policy Unit</w:t>
            </w:r>
            <w:r w:rsidRPr="004A0323" w:rsidDel="00D11500">
              <w:rPr>
                <w:rFonts w:eastAsia="Times New Roman"/>
                <w:lang w:val="en-US"/>
              </w:rPr>
              <w:t xml:space="preserve"> </w:t>
            </w:r>
          </w:p>
        </w:tc>
        <w:tc>
          <w:tcPr>
            <w:tcW w:w="4320" w:type="dxa"/>
            <w:vAlign w:val="center"/>
          </w:tcPr>
          <w:p w14:paraId="40E2919C" w14:textId="77777777" w:rsidR="00EB374B" w:rsidRPr="004A0323" w:rsidRDefault="00EB374B" w:rsidP="00513F10">
            <w:pPr>
              <w:spacing w:after="240"/>
              <w:jc w:val="both"/>
              <w:rPr>
                <w:rFonts w:eastAsia="Times New Roman"/>
                <w:lang w:val="en-US"/>
              </w:rPr>
            </w:pPr>
            <w:r w:rsidRPr="004A0323">
              <w:rPr>
                <w:rFonts w:eastAsia="Times New Roman"/>
                <w:lang w:val="en-US"/>
              </w:rPr>
              <w:t>Member of ERC for Index 2008, 2010, 2012 and 2014 – reviewer for Index 2010, 2012 and 2014</w:t>
            </w:r>
          </w:p>
        </w:tc>
      </w:tr>
      <w:tr w:rsidR="004A0323" w:rsidRPr="004A0323" w14:paraId="35509479" w14:textId="77777777" w:rsidTr="00650027">
        <w:trPr>
          <w:trHeight w:val="600"/>
        </w:trPr>
        <w:tc>
          <w:tcPr>
            <w:tcW w:w="2307" w:type="dxa"/>
            <w:shd w:val="clear" w:color="auto" w:fill="auto"/>
            <w:vAlign w:val="center"/>
            <w:hideMark/>
          </w:tcPr>
          <w:p w14:paraId="3F910A59" w14:textId="77777777" w:rsidR="00EB374B" w:rsidRPr="004A0323" w:rsidRDefault="00EB374B" w:rsidP="00513F10">
            <w:pPr>
              <w:spacing w:after="240"/>
              <w:jc w:val="both"/>
              <w:rPr>
                <w:rFonts w:eastAsia="Times New Roman"/>
                <w:lang w:val="en-US"/>
              </w:rPr>
            </w:pPr>
            <w:r w:rsidRPr="004A0323">
              <w:rPr>
                <w:rFonts w:eastAsia="Times New Roman"/>
                <w:lang w:val="en-US"/>
              </w:rPr>
              <w:t>DFID</w:t>
            </w:r>
          </w:p>
        </w:tc>
        <w:tc>
          <w:tcPr>
            <w:tcW w:w="2658" w:type="dxa"/>
            <w:shd w:val="clear" w:color="auto" w:fill="auto"/>
            <w:vAlign w:val="center"/>
            <w:hideMark/>
          </w:tcPr>
          <w:p w14:paraId="3A46BCE4" w14:textId="77777777" w:rsidR="00EB374B" w:rsidRPr="004A0323" w:rsidRDefault="00EB374B" w:rsidP="00513F10">
            <w:pPr>
              <w:spacing w:after="240"/>
              <w:jc w:val="both"/>
              <w:rPr>
                <w:rFonts w:eastAsia="Times New Roman"/>
                <w:lang w:val="en-US"/>
              </w:rPr>
            </w:pPr>
            <w:r w:rsidRPr="004A0323">
              <w:rPr>
                <w:rFonts w:eastAsia="Times New Roman"/>
                <w:lang w:val="en-US"/>
              </w:rPr>
              <w:t xml:space="preserve">Former economic adviser </w:t>
            </w:r>
          </w:p>
        </w:tc>
        <w:tc>
          <w:tcPr>
            <w:tcW w:w="4320" w:type="dxa"/>
            <w:vAlign w:val="center"/>
          </w:tcPr>
          <w:p w14:paraId="46C95862" w14:textId="77777777" w:rsidR="00EB374B" w:rsidRPr="004A0323" w:rsidRDefault="00EB374B" w:rsidP="00513F10">
            <w:pPr>
              <w:spacing w:after="240"/>
              <w:jc w:val="both"/>
              <w:rPr>
                <w:rFonts w:eastAsia="Times New Roman"/>
                <w:lang w:val="en-US"/>
              </w:rPr>
            </w:pPr>
            <w:r w:rsidRPr="004A0323">
              <w:rPr>
                <w:rFonts w:eastAsia="Times New Roman"/>
                <w:lang w:val="en-US"/>
              </w:rPr>
              <w:t>Member of ERC for Index 2008, 2010, 2012</w:t>
            </w:r>
          </w:p>
        </w:tc>
      </w:tr>
      <w:tr w:rsidR="004A0323" w:rsidRPr="004A0323" w14:paraId="1D5B028D" w14:textId="77777777" w:rsidTr="00650027">
        <w:trPr>
          <w:trHeight w:val="900"/>
        </w:trPr>
        <w:tc>
          <w:tcPr>
            <w:tcW w:w="2307" w:type="dxa"/>
            <w:shd w:val="clear" w:color="auto" w:fill="auto"/>
            <w:vAlign w:val="center"/>
            <w:hideMark/>
          </w:tcPr>
          <w:p w14:paraId="6F5CBCDF" w14:textId="77777777" w:rsidR="00EB374B" w:rsidRPr="004A0323" w:rsidRDefault="00EB374B" w:rsidP="00513F10">
            <w:pPr>
              <w:spacing w:after="240"/>
              <w:jc w:val="both"/>
              <w:rPr>
                <w:rFonts w:eastAsia="Times New Roman"/>
                <w:lang w:val="en-US"/>
              </w:rPr>
            </w:pPr>
            <w:r w:rsidRPr="004A0323">
              <w:rPr>
                <w:rFonts w:eastAsia="Times New Roman"/>
                <w:lang w:val="en-US"/>
              </w:rPr>
              <w:t>Meteos</w:t>
            </w:r>
          </w:p>
        </w:tc>
        <w:tc>
          <w:tcPr>
            <w:tcW w:w="2658" w:type="dxa"/>
            <w:shd w:val="clear" w:color="auto" w:fill="auto"/>
            <w:vAlign w:val="center"/>
            <w:hideMark/>
          </w:tcPr>
          <w:p w14:paraId="53C6ABD3" w14:textId="77777777" w:rsidR="00EB374B" w:rsidRPr="004A0323" w:rsidRDefault="00EB374B" w:rsidP="00513F10">
            <w:pPr>
              <w:spacing w:after="240"/>
              <w:jc w:val="both"/>
              <w:rPr>
                <w:rFonts w:eastAsia="Times New Roman"/>
                <w:lang w:val="en-US"/>
              </w:rPr>
            </w:pPr>
            <w:r w:rsidRPr="004A0323">
              <w:rPr>
                <w:rFonts w:eastAsia="Times New Roman"/>
                <w:lang w:val="en-US"/>
              </w:rPr>
              <w:t>Co-founder and partner – formerly SustainAbility</w:t>
            </w:r>
            <w:r w:rsidRPr="004A0323" w:rsidDel="0091131E">
              <w:rPr>
                <w:rFonts w:eastAsia="Times New Roman"/>
                <w:lang w:val="en-US"/>
              </w:rPr>
              <w:t xml:space="preserve"> </w:t>
            </w:r>
          </w:p>
        </w:tc>
        <w:tc>
          <w:tcPr>
            <w:tcW w:w="4320" w:type="dxa"/>
            <w:vAlign w:val="center"/>
          </w:tcPr>
          <w:p w14:paraId="07BA9E63" w14:textId="77777777" w:rsidR="00EB374B" w:rsidRPr="004A0323" w:rsidRDefault="00EB374B" w:rsidP="00513F10">
            <w:pPr>
              <w:spacing w:after="240"/>
              <w:jc w:val="both"/>
              <w:rPr>
                <w:rFonts w:eastAsia="Times New Roman"/>
                <w:lang w:val="en-US"/>
              </w:rPr>
            </w:pPr>
            <w:r w:rsidRPr="004A0323">
              <w:rPr>
                <w:rFonts w:eastAsia="Times New Roman"/>
                <w:lang w:val="en-US"/>
              </w:rPr>
              <w:t>Member of stakeholder roundtable for Index 2008 and ERC Chair for Index 2010 and 2012</w:t>
            </w:r>
          </w:p>
        </w:tc>
      </w:tr>
    </w:tbl>
    <w:p w14:paraId="477D92BF" w14:textId="77777777" w:rsidR="00EB374B" w:rsidRPr="004A0323" w:rsidRDefault="00EB374B" w:rsidP="00513F10">
      <w:pPr>
        <w:spacing w:after="120" w:line="480" w:lineRule="auto"/>
        <w:jc w:val="both"/>
        <w:rPr>
          <w:lang w:val="en-US"/>
        </w:rPr>
      </w:pPr>
    </w:p>
    <w:p w14:paraId="377373B7" w14:textId="77777777" w:rsidR="00EB374B" w:rsidRPr="004A0323" w:rsidRDefault="00EB374B" w:rsidP="00513F10">
      <w:pPr>
        <w:pBdr>
          <w:top w:val="none" w:sz="0" w:space="0" w:color="auto"/>
          <w:left w:val="none" w:sz="0" w:space="0" w:color="auto"/>
          <w:bottom w:val="none" w:sz="0" w:space="0" w:color="auto"/>
          <w:right w:val="none" w:sz="0" w:space="0" w:color="auto"/>
          <w:between w:val="none" w:sz="0" w:space="0" w:color="auto"/>
          <w:bar w:val="none" w:sz="0" w:color="auto"/>
        </w:pBdr>
        <w:rPr>
          <w:lang w:val="en-US"/>
        </w:rPr>
      </w:pPr>
      <w:r w:rsidRPr="004A0323">
        <w:rPr>
          <w:lang w:val="en-US"/>
        </w:rPr>
        <w:br w:type="page"/>
      </w:r>
    </w:p>
    <w:p w14:paraId="632B1483" w14:textId="7C0000A8" w:rsidR="00EB374B" w:rsidRPr="004A0323" w:rsidRDefault="00EB374B" w:rsidP="00513F10">
      <w:pPr>
        <w:spacing w:after="120" w:line="480" w:lineRule="auto"/>
        <w:jc w:val="both"/>
        <w:rPr>
          <w:b/>
          <w:lang w:val="en-US"/>
        </w:rPr>
      </w:pPr>
      <w:r w:rsidRPr="004A0323">
        <w:rPr>
          <w:b/>
          <w:lang w:val="en-US"/>
        </w:rPr>
        <w:lastRenderedPageBreak/>
        <w:t xml:space="preserve">Appendix II – Expert Review Committee for Index </w:t>
      </w:r>
      <w:commentRangeStart w:id="9"/>
      <w:r w:rsidRPr="004A0323">
        <w:rPr>
          <w:b/>
          <w:lang w:val="en-US"/>
        </w:rPr>
        <w:t>201</w:t>
      </w:r>
      <w:commentRangeEnd w:id="9"/>
      <w:r w:rsidR="00A37CDB" w:rsidRPr="004A0323">
        <w:rPr>
          <w:rStyle w:val="CommentReference"/>
        </w:rPr>
        <w:commentReference w:id="9"/>
      </w:r>
      <w:r w:rsidR="000768C0" w:rsidRPr="004A0323">
        <w:rPr>
          <w:b/>
          <w:lang w:val="en-US"/>
        </w:rPr>
        <w:t>6</w:t>
      </w:r>
    </w:p>
    <w:p w14:paraId="02613755" w14:textId="649CFCB2" w:rsidR="00FC6351" w:rsidRPr="004A0323" w:rsidRDefault="00FC6351" w:rsidP="00513F10">
      <w:pPr>
        <w:spacing w:after="120" w:line="276" w:lineRule="auto"/>
        <w:jc w:val="both"/>
        <w:rPr>
          <w:lang w:val="en-US"/>
        </w:rPr>
      </w:pPr>
      <w:r w:rsidRPr="004A0323">
        <w:rPr>
          <w:lang w:val="en-US"/>
        </w:rPr>
        <w:t>One representative for each of the following organizations:</w:t>
      </w:r>
    </w:p>
    <w:p w14:paraId="1591A6FA" w14:textId="7F518094" w:rsidR="000768C0" w:rsidRPr="004A0323" w:rsidRDefault="000768C0" w:rsidP="000768C0">
      <w:pPr>
        <w:pStyle w:val="ListParagraph"/>
        <w:numPr>
          <w:ilvl w:val="0"/>
          <w:numId w:val="8"/>
        </w:numPr>
        <w:spacing w:after="120"/>
        <w:jc w:val="both"/>
        <w:rPr>
          <w:lang w:val="en-US"/>
        </w:rPr>
      </w:pPr>
      <w:r w:rsidRPr="004A0323">
        <w:rPr>
          <w:lang w:val="en-US"/>
        </w:rPr>
        <w:t>World Health Organization (WHO)</w:t>
      </w:r>
    </w:p>
    <w:p w14:paraId="391ABEA6" w14:textId="2869A82B" w:rsidR="00FC6351" w:rsidRPr="004A0323" w:rsidRDefault="00FC6351" w:rsidP="00513F10">
      <w:pPr>
        <w:pStyle w:val="ListParagraph"/>
        <w:numPr>
          <w:ilvl w:val="0"/>
          <w:numId w:val="8"/>
        </w:numPr>
        <w:spacing w:after="120"/>
        <w:jc w:val="both"/>
        <w:rPr>
          <w:lang w:val="en-US"/>
        </w:rPr>
      </w:pPr>
      <w:r w:rsidRPr="004A0323">
        <w:rPr>
          <w:lang w:val="en-US"/>
        </w:rPr>
        <w:t>International Federation of Pharmaceutical Associations (IFPMA)</w:t>
      </w:r>
    </w:p>
    <w:p w14:paraId="6708EE2A" w14:textId="74BE9850" w:rsidR="00FC6351" w:rsidRPr="004A0323" w:rsidRDefault="000768C0" w:rsidP="00513F10">
      <w:pPr>
        <w:pStyle w:val="ListParagraph"/>
        <w:numPr>
          <w:ilvl w:val="0"/>
          <w:numId w:val="8"/>
        </w:numPr>
        <w:spacing w:after="120"/>
        <w:jc w:val="both"/>
        <w:rPr>
          <w:lang w:val="en-US"/>
        </w:rPr>
      </w:pPr>
      <w:r w:rsidRPr="004A0323">
        <w:rPr>
          <w:lang w:val="en-US"/>
        </w:rPr>
        <w:t>The World Bank</w:t>
      </w:r>
    </w:p>
    <w:p w14:paraId="5DDBFEF6" w14:textId="34B1D747" w:rsidR="00FC6351" w:rsidRPr="004A0323" w:rsidRDefault="00FC6351" w:rsidP="00513F10">
      <w:pPr>
        <w:pStyle w:val="ListParagraph"/>
        <w:numPr>
          <w:ilvl w:val="0"/>
          <w:numId w:val="8"/>
        </w:numPr>
        <w:spacing w:after="120"/>
        <w:jc w:val="both"/>
        <w:rPr>
          <w:lang w:val="en-US"/>
        </w:rPr>
      </w:pPr>
      <w:r w:rsidRPr="004A0323">
        <w:rPr>
          <w:lang w:val="en-US"/>
        </w:rPr>
        <w:t>Harvard Medical School</w:t>
      </w:r>
    </w:p>
    <w:p w14:paraId="5A711321" w14:textId="272631CE" w:rsidR="000768C0" w:rsidRPr="004A0323" w:rsidRDefault="000768C0" w:rsidP="00513F10">
      <w:pPr>
        <w:pStyle w:val="ListParagraph"/>
        <w:numPr>
          <w:ilvl w:val="0"/>
          <w:numId w:val="8"/>
        </w:numPr>
        <w:spacing w:after="120"/>
        <w:jc w:val="both"/>
        <w:rPr>
          <w:lang w:val="en-US"/>
        </w:rPr>
      </w:pPr>
      <w:r w:rsidRPr="004A0323">
        <w:rPr>
          <w:rFonts w:ascii="Times New Roman" w:eastAsia="Times New Roman" w:hAnsi="Times New Roman" w:cs="Times New Roman"/>
          <w:lang w:val="en-US"/>
        </w:rPr>
        <w:t>Community Health and Information Network (CHAIN) for Uganda</w:t>
      </w:r>
    </w:p>
    <w:p w14:paraId="29B4D157" w14:textId="77777777" w:rsidR="000768C0" w:rsidRPr="004A0323" w:rsidRDefault="000768C0" w:rsidP="00513F10">
      <w:pPr>
        <w:pStyle w:val="ListParagraph"/>
        <w:numPr>
          <w:ilvl w:val="0"/>
          <w:numId w:val="8"/>
        </w:numPr>
        <w:spacing w:after="120"/>
        <w:jc w:val="both"/>
        <w:rPr>
          <w:lang w:val="en-US"/>
        </w:rPr>
      </w:pPr>
      <w:r w:rsidRPr="004A0323">
        <w:rPr>
          <w:rFonts w:ascii="Times New Roman" w:eastAsia="Times New Roman" w:hAnsi="Times New Roman" w:cs="Times New Roman"/>
          <w:lang w:val="en-US"/>
        </w:rPr>
        <w:t>Indian Pharmaceutical Alliance</w:t>
      </w:r>
      <w:r w:rsidRPr="004A0323" w:rsidDel="000768C0">
        <w:rPr>
          <w:lang w:val="en-US"/>
        </w:rPr>
        <w:t xml:space="preserve"> </w:t>
      </w:r>
    </w:p>
    <w:p w14:paraId="2F9CF5A5" w14:textId="77777777" w:rsidR="000768C0" w:rsidRPr="004A0323" w:rsidRDefault="000768C0" w:rsidP="00513F10">
      <w:pPr>
        <w:pStyle w:val="ListParagraph"/>
        <w:numPr>
          <w:ilvl w:val="0"/>
          <w:numId w:val="8"/>
        </w:numPr>
        <w:spacing w:after="120"/>
        <w:jc w:val="both"/>
        <w:rPr>
          <w:lang w:val="en-US"/>
        </w:rPr>
      </w:pPr>
      <w:r w:rsidRPr="004A0323">
        <w:rPr>
          <w:rFonts w:ascii="Times New Roman" w:eastAsia="Times New Roman" w:hAnsi="Times New Roman" w:cs="Times New Roman"/>
          <w:lang w:val="en-US"/>
        </w:rPr>
        <w:t>BNP Paribas Investment Partners</w:t>
      </w:r>
      <w:r w:rsidRPr="004A0323" w:rsidDel="000768C0">
        <w:rPr>
          <w:lang w:val="en-US"/>
        </w:rPr>
        <w:t xml:space="preserve"> </w:t>
      </w:r>
    </w:p>
    <w:p w14:paraId="71264D9F" w14:textId="7FF293B7" w:rsidR="00FC6351" w:rsidRPr="004A0323" w:rsidRDefault="00FC6351" w:rsidP="00513F10">
      <w:pPr>
        <w:pStyle w:val="ListParagraph"/>
        <w:numPr>
          <w:ilvl w:val="0"/>
          <w:numId w:val="8"/>
        </w:numPr>
        <w:spacing w:after="120"/>
        <w:jc w:val="both"/>
        <w:rPr>
          <w:lang w:val="en-US"/>
        </w:rPr>
      </w:pPr>
      <w:r w:rsidRPr="004A0323">
        <w:rPr>
          <w:lang w:val="en-US"/>
        </w:rPr>
        <w:t xml:space="preserve">Independent chair (former </w:t>
      </w:r>
      <w:r w:rsidR="000768C0" w:rsidRPr="004A0323">
        <w:rPr>
          <w:lang w:val="en-US"/>
        </w:rPr>
        <w:t>WHO</w:t>
      </w:r>
      <w:r w:rsidRPr="004A0323">
        <w:rPr>
          <w:lang w:val="en-US"/>
        </w:rPr>
        <w:t>)</w:t>
      </w:r>
    </w:p>
    <w:p w14:paraId="6A134EC9" w14:textId="77777777" w:rsidR="00FC6351" w:rsidRPr="004A0323" w:rsidRDefault="00FC6351" w:rsidP="00513F10">
      <w:pPr>
        <w:spacing w:after="120"/>
        <w:jc w:val="both"/>
        <w:rPr>
          <w:lang w:val="en-US"/>
        </w:rPr>
      </w:pPr>
    </w:p>
    <w:p w14:paraId="7865327D" w14:textId="77777777" w:rsidR="00FC6351" w:rsidRPr="004A0323" w:rsidRDefault="00FC6351" w:rsidP="00513F10">
      <w:pPr>
        <w:spacing w:after="120"/>
        <w:jc w:val="both"/>
        <w:rPr>
          <w:lang w:val="en-US"/>
        </w:rPr>
      </w:pPr>
    </w:p>
    <w:p w14:paraId="2418A31F" w14:textId="65F05A03" w:rsidR="00292D87" w:rsidRPr="004A0323" w:rsidRDefault="00292D87" w:rsidP="00513F10">
      <w:pPr>
        <w:pBdr>
          <w:top w:val="none" w:sz="0" w:space="0" w:color="auto"/>
          <w:left w:val="none" w:sz="0" w:space="0" w:color="auto"/>
          <w:bottom w:val="none" w:sz="0" w:space="0" w:color="auto"/>
          <w:right w:val="none" w:sz="0" w:space="0" w:color="auto"/>
          <w:between w:val="none" w:sz="0" w:space="0" w:color="auto"/>
          <w:bar w:val="none" w:sz="0" w:color="auto"/>
        </w:pBdr>
        <w:rPr>
          <w:lang w:val="en-US"/>
        </w:rPr>
      </w:pPr>
    </w:p>
    <w:p w14:paraId="50A13F27" w14:textId="328BA429" w:rsidR="0049279F" w:rsidRPr="004A0323" w:rsidRDefault="00292D87" w:rsidP="00513F10">
      <w:pPr>
        <w:spacing w:after="120"/>
        <w:jc w:val="both"/>
        <w:rPr>
          <w:b/>
          <w:lang w:val="en-US"/>
        </w:rPr>
      </w:pPr>
      <w:r w:rsidRPr="004A0323">
        <w:rPr>
          <w:b/>
          <w:lang w:val="en-US"/>
        </w:rPr>
        <w:t xml:space="preserve">Appendix III – Sample indicator </w:t>
      </w:r>
      <w:r w:rsidR="00731293" w:rsidRPr="004A0323">
        <w:rPr>
          <w:b/>
          <w:lang w:val="en-US"/>
        </w:rPr>
        <w:t>followed by</w:t>
      </w:r>
      <w:r w:rsidR="00FC6351" w:rsidRPr="004A0323">
        <w:rPr>
          <w:b/>
          <w:lang w:val="en-US"/>
        </w:rPr>
        <w:t xml:space="preserve"> its scoring guidelines</w:t>
      </w:r>
      <w:r w:rsidRPr="004A0323">
        <w:rPr>
          <w:b/>
          <w:lang w:val="en-US"/>
        </w:rPr>
        <w:t xml:space="preserve"> </w:t>
      </w:r>
      <w:r w:rsidR="00FC6351" w:rsidRPr="004A0323">
        <w:rPr>
          <w:b/>
          <w:lang w:val="en-US"/>
        </w:rPr>
        <w:t>(</w:t>
      </w:r>
      <w:r w:rsidRPr="004A0323">
        <w:rPr>
          <w:b/>
          <w:lang w:val="en-US"/>
        </w:rPr>
        <w:t>Index 2016 final report</w:t>
      </w:r>
      <w:r w:rsidR="009F45B4" w:rsidRPr="004A0323">
        <w:rPr>
          <w:b/>
          <w:lang w:val="en-US"/>
        </w:rPr>
        <w:t xml:space="preserve"> p. 179)</w:t>
      </w:r>
    </w:p>
    <w:p w14:paraId="5EAA722F" w14:textId="44BFFA00" w:rsidR="00292D87" w:rsidRPr="004A0323" w:rsidRDefault="009F45B4" w:rsidP="00513F10">
      <w:pPr>
        <w:pBdr>
          <w:top w:val="none" w:sz="0" w:space="0" w:color="auto"/>
          <w:left w:val="none" w:sz="0" w:space="0" w:color="auto"/>
          <w:bottom w:val="none" w:sz="0" w:space="0" w:color="auto"/>
          <w:right w:val="none" w:sz="0" w:space="0" w:color="auto"/>
          <w:between w:val="none" w:sz="0" w:space="0" w:color="auto"/>
          <w:bar w:val="none" w:sz="0" w:color="auto"/>
        </w:pBdr>
        <w:rPr>
          <w:lang w:val="en-US"/>
        </w:rPr>
      </w:pPr>
      <w:r w:rsidRPr="004A0323">
        <w:rPr>
          <w:noProof/>
          <w:lang w:eastAsia="en-GB"/>
        </w:rPr>
        <w:drawing>
          <wp:inline distT="0" distB="0" distL="0" distR="0" wp14:anchorId="13E6AD0A" wp14:editId="3088D0EA">
            <wp:extent cx="4369435" cy="4923327"/>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369435" cy="4923327"/>
                    </a:xfrm>
                    <a:prstGeom prst="rect">
                      <a:avLst/>
                    </a:prstGeom>
                  </pic:spPr>
                </pic:pic>
              </a:graphicData>
            </a:graphic>
          </wp:inline>
        </w:drawing>
      </w:r>
    </w:p>
    <w:bookmarkEnd w:id="0"/>
    <w:sectPr w:rsidR="00292D87" w:rsidRPr="004A0323" w:rsidSect="00513F10">
      <w:headerReference w:type="even" r:id="rId15"/>
      <w:headerReference w:type="default" r:id="rId16"/>
      <w:pgSz w:w="11900" w:h="16840" w:code="9"/>
      <w:pgMar w:top="1440" w:right="1440" w:bottom="1440" w:left="1440" w:header="709" w:footer="709" w:gutter="0"/>
      <w:cols w:space="708"/>
      <w:titlePg/>
      <w:docGrid w:linePitch="360"/>
    </w:sectPr>
  </w:body>
</w:document>
</file>

<file path=word/comments.xml><?xml version="1.0" encoding="utf-8"?>
<w:comment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Damiano de Felice" w:date="2018-08-17T22:30:00Z" w:initials="DdF">
    <w:p w14:paraId="11A4008D" w14:textId="399ED5E5" w:rsidR="000A63EE" w:rsidRDefault="000A63EE">
      <w:pPr>
        <w:pStyle w:val="CommentText"/>
      </w:pPr>
      <w:r>
        <w:rPr>
          <w:rStyle w:val="CommentReference"/>
        </w:rPr>
        <w:annotationRef/>
      </w:r>
      <w:r>
        <w:t>Indicators are now 69. I suggest that you pick one Index (2016?) and use information related to it (number of indicators, number of countries within scope, etc.).</w:t>
      </w:r>
    </w:p>
  </w:comment>
  <w:comment w:id="2" w:author="Damiano de Felice" w:date="2018-08-17T22:03:00Z" w:initials="DdF">
    <w:p w14:paraId="51B9CB69" w14:textId="4FC20326" w:rsidR="00353CC6" w:rsidRDefault="00353CC6">
      <w:pPr>
        <w:pStyle w:val="CommentText"/>
      </w:pPr>
      <w:r>
        <w:rPr>
          <w:rStyle w:val="CommentReference"/>
        </w:rPr>
        <w:annotationRef/>
      </w:r>
      <w:r>
        <w:t>twenty of the largest</w:t>
      </w:r>
    </w:p>
  </w:comment>
  <w:comment w:id="3" w:author="Damiano de Felice" w:date="2018-08-17T22:04:00Z" w:initials="DdF">
    <w:p w14:paraId="65204D61" w14:textId="3B25A201" w:rsidR="00353CC6" w:rsidRDefault="00353CC6">
      <w:pPr>
        <w:pStyle w:val="CommentText"/>
      </w:pPr>
      <w:r>
        <w:rPr>
          <w:rStyle w:val="CommentReference"/>
        </w:rPr>
        <w:annotationRef/>
      </w:r>
      <w:r>
        <w:t xml:space="preserve">The Index is not voluntary. We pick companies. They can voluntarily submit data or not, but they cannot voluntarily decide whether they are included or not. </w:t>
      </w:r>
    </w:p>
  </w:comment>
  <w:comment w:id="4" w:author="Damiano de Felice" w:date="2018-08-17T22:08:00Z" w:initials="DdF">
    <w:p w14:paraId="57CCBF0E" w14:textId="25B89457" w:rsidR="003E2B05" w:rsidRDefault="003E2B05">
      <w:pPr>
        <w:pStyle w:val="CommentText"/>
      </w:pPr>
      <w:r>
        <w:rPr>
          <w:rStyle w:val="CommentReference"/>
        </w:rPr>
        <w:annotationRef/>
      </w:r>
      <w:r>
        <w:t>Corporate Human Rights Benchmark</w:t>
      </w:r>
    </w:p>
  </w:comment>
  <w:comment w:id="5" w:author="Damiano de Felice" w:date="2018-08-17T22:11:00Z" w:initials="DdF">
    <w:p w14:paraId="7E583D2F" w14:textId="07A8EFAA" w:rsidR="00F542A8" w:rsidRDefault="00F542A8">
      <w:pPr>
        <w:pStyle w:val="CommentText"/>
      </w:pPr>
      <w:r>
        <w:rPr>
          <w:rStyle w:val="CommentReference"/>
        </w:rPr>
        <w:annotationRef/>
      </w:r>
      <w:r>
        <w:t xml:space="preserve">I suggest that you pick one Index (2016) and related methodology. Names and numbers of indicators have changed from Index to Index. </w:t>
      </w:r>
    </w:p>
  </w:comment>
  <w:comment w:id="7" w:author="Damiano de Felice" w:date="2018-08-17T22:20:00Z" w:initials="DdF">
    <w:p w14:paraId="76843194" w14:textId="0DDBA172" w:rsidR="00377B32" w:rsidRDefault="00377B32">
      <w:pPr>
        <w:pStyle w:val="CommentText"/>
      </w:pPr>
      <w:r>
        <w:rPr>
          <w:rStyle w:val="CommentReference"/>
        </w:rPr>
        <w:annotationRef/>
      </w:r>
      <w:r>
        <w:t>Pick one of the Indices (2016) and use methodology report. There are more countries…</w:t>
      </w:r>
    </w:p>
  </w:comment>
  <w:comment w:id="8" w:author="Rita Samiolo" w:date="2018-08-28T10:20:00Z" w:initials="RS">
    <w:p w14:paraId="0AFFA600" w14:textId="7881522B" w:rsidR="00895944" w:rsidRDefault="00895944">
      <w:pPr>
        <w:pStyle w:val="CommentText"/>
      </w:pPr>
      <w:r>
        <w:rPr>
          <w:rStyle w:val="CommentReference"/>
        </w:rPr>
        <w:annotationRef/>
      </w:r>
      <w:r>
        <w:t>Can we delete the whole sentence? We illustrate the nature of scoring below…</w:t>
      </w:r>
    </w:p>
  </w:comment>
  <w:comment w:id="9" w:author="Rita Samiolo" w:date="2018-08-28T11:45:00Z" w:initials="RS">
    <w:p w14:paraId="756D202E" w14:textId="620C8107" w:rsidR="00517F2D" w:rsidRDefault="00A37CDB" w:rsidP="00A37CDB">
      <w:pPr>
        <w:spacing w:after="120"/>
        <w:jc w:val="both"/>
        <w:rPr>
          <w:lang w:val="en-US"/>
        </w:rPr>
      </w:pPr>
      <w:r>
        <w:rPr>
          <w:rStyle w:val="CommentReference"/>
        </w:rPr>
        <w:annotationRef/>
      </w:r>
      <w:r w:rsidR="00517F2D">
        <w:rPr>
          <w:lang w:val="en-US"/>
        </w:rPr>
        <w:t xml:space="preserve">The ERC for Index 2016 </w:t>
      </w:r>
      <w:r w:rsidR="00745C53">
        <w:rPr>
          <w:lang w:val="en-US"/>
        </w:rPr>
        <w:t>consists of</w:t>
      </w:r>
      <w:r w:rsidR="00517F2D">
        <w:rPr>
          <w:lang w:val="en-US"/>
        </w:rPr>
        <w:t>:</w:t>
      </w:r>
    </w:p>
    <w:p w14:paraId="14BEE45A" w14:textId="77777777" w:rsidR="00745C53" w:rsidRDefault="00745C53" w:rsidP="00A37CDB">
      <w:pPr>
        <w:spacing w:after="120"/>
        <w:jc w:val="both"/>
        <w:rPr>
          <w:lang w:val="en-US"/>
        </w:rPr>
      </w:pPr>
    </w:p>
    <w:p w14:paraId="6BD68858" w14:textId="77777777" w:rsidR="00517F2D" w:rsidRDefault="00517F2D" w:rsidP="00517F2D">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240"/>
        <w:rPr>
          <w:rFonts w:ascii="Times" w:hAnsi="Times" w:cs="Times"/>
          <w:i/>
          <w:iCs/>
          <w:color w:val="auto"/>
          <w:sz w:val="18"/>
          <w:szCs w:val="18"/>
          <w:lang w:val="en-US"/>
        </w:rPr>
      </w:pPr>
      <w:r>
        <w:rPr>
          <w:rFonts w:ascii="Times" w:hAnsi="Times" w:cs="Times"/>
          <w:color w:val="auto"/>
          <w:sz w:val="18"/>
          <w:szCs w:val="18"/>
          <w:lang w:val="en-US"/>
        </w:rPr>
        <w:t xml:space="preserve">Hans Hogerzeil - </w:t>
      </w:r>
      <w:r>
        <w:rPr>
          <w:rFonts w:ascii="Times" w:hAnsi="Times" w:cs="Times"/>
          <w:i/>
          <w:iCs/>
          <w:color w:val="auto"/>
          <w:sz w:val="18"/>
          <w:szCs w:val="18"/>
          <w:lang w:val="en-US"/>
        </w:rPr>
        <w:t xml:space="preserve">Chair </w:t>
      </w:r>
    </w:p>
    <w:p w14:paraId="59314887" w14:textId="77777777" w:rsidR="00517F2D" w:rsidRDefault="00517F2D" w:rsidP="00517F2D">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240"/>
        <w:rPr>
          <w:rFonts w:ascii="Times" w:hAnsi="Times" w:cs="Times"/>
          <w:color w:val="auto"/>
          <w:sz w:val="18"/>
          <w:szCs w:val="18"/>
          <w:lang w:val="en-US"/>
        </w:rPr>
      </w:pPr>
      <w:r>
        <w:rPr>
          <w:rFonts w:ascii="Times" w:hAnsi="Times" w:cs="Times"/>
          <w:color w:val="auto"/>
          <w:sz w:val="18"/>
          <w:szCs w:val="18"/>
          <w:lang w:val="en-US"/>
        </w:rPr>
        <w:t xml:space="preserve">Sanne Frost Helt </w:t>
      </w:r>
    </w:p>
    <w:p w14:paraId="034C0186" w14:textId="77777777" w:rsidR="00517F2D" w:rsidRDefault="00517F2D" w:rsidP="00517F2D">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240"/>
        <w:rPr>
          <w:rFonts w:ascii="MS Mincho" w:eastAsia="MS Mincho" w:hAnsi="MS Mincho" w:cs="MS Mincho"/>
          <w:color w:val="auto"/>
          <w:sz w:val="18"/>
          <w:szCs w:val="18"/>
          <w:lang w:val="en-US"/>
        </w:rPr>
      </w:pPr>
      <w:r>
        <w:rPr>
          <w:rFonts w:ascii="Times" w:hAnsi="Times" w:cs="Times"/>
          <w:color w:val="auto"/>
          <w:sz w:val="18"/>
          <w:szCs w:val="18"/>
          <w:lang w:val="en-US"/>
        </w:rPr>
        <w:t>Suzanne Hill</w:t>
      </w:r>
      <w:r>
        <w:rPr>
          <w:rFonts w:ascii="MS Mincho" w:eastAsia="MS Mincho" w:hAnsi="MS Mincho" w:cs="MS Mincho"/>
          <w:color w:val="auto"/>
          <w:sz w:val="18"/>
          <w:szCs w:val="18"/>
          <w:lang w:val="en-US"/>
        </w:rPr>
        <w:t> </w:t>
      </w:r>
    </w:p>
    <w:p w14:paraId="4720952E" w14:textId="77777777" w:rsidR="00517F2D" w:rsidRDefault="00517F2D" w:rsidP="00517F2D">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240"/>
        <w:rPr>
          <w:rFonts w:ascii="Times" w:hAnsi="Times" w:cs="Times"/>
          <w:color w:val="auto"/>
          <w:sz w:val="18"/>
          <w:szCs w:val="18"/>
          <w:lang w:val="en-US"/>
        </w:rPr>
      </w:pPr>
      <w:r>
        <w:rPr>
          <w:rFonts w:ascii="Times" w:hAnsi="Times" w:cs="Times"/>
          <w:color w:val="auto"/>
          <w:sz w:val="18"/>
          <w:szCs w:val="18"/>
          <w:lang w:val="en-US"/>
        </w:rPr>
        <w:t xml:space="preserve">Regina Kamoga </w:t>
      </w:r>
    </w:p>
    <w:p w14:paraId="03C90C22" w14:textId="4807D01D" w:rsidR="00517F2D" w:rsidRDefault="00517F2D" w:rsidP="00517F2D">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240"/>
        <w:rPr>
          <w:rFonts w:ascii="Times" w:hAnsi="Times" w:cs="Times"/>
          <w:color w:val="auto"/>
          <w:lang w:val="en-US"/>
        </w:rPr>
      </w:pPr>
      <w:r>
        <w:rPr>
          <w:rFonts w:ascii="Times" w:hAnsi="Times" w:cs="Times"/>
          <w:color w:val="auto"/>
          <w:sz w:val="18"/>
          <w:szCs w:val="18"/>
          <w:lang w:val="en-US"/>
        </w:rPr>
        <w:t xml:space="preserve">Richard Laing </w:t>
      </w:r>
    </w:p>
    <w:p w14:paraId="6EC7D088" w14:textId="77777777" w:rsidR="00517F2D" w:rsidRDefault="00517F2D" w:rsidP="00517F2D">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240"/>
        <w:rPr>
          <w:rFonts w:ascii="Times" w:hAnsi="Times" w:cs="Times"/>
          <w:color w:val="auto"/>
          <w:sz w:val="18"/>
          <w:szCs w:val="18"/>
          <w:lang w:val="en-US"/>
        </w:rPr>
      </w:pPr>
      <w:r>
        <w:rPr>
          <w:rFonts w:ascii="Times" w:hAnsi="Times" w:cs="Times"/>
          <w:color w:val="auto"/>
          <w:sz w:val="18"/>
          <w:szCs w:val="18"/>
          <w:lang w:val="en-US"/>
        </w:rPr>
        <w:t xml:space="preserve">Aurelia Nguyen </w:t>
      </w:r>
    </w:p>
    <w:p w14:paraId="1AC937A9" w14:textId="77777777" w:rsidR="00517F2D" w:rsidRDefault="00517F2D" w:rsidP="00517F2D">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240"/>
        <w:rPr>
          <w:rFonts w:ascii="Times" w:hAnsi="Times" w:cs="Times"/>
          <w:color w:val="auto"/>
          <w:sz w:val="18"/>
          <w:szCs w:val="18"/>
          <w:lang w:val="en-US"/>
        </w:rPr>
      </w:pPr>
      <w:r>
        <w:rPr>
          <w:rFonts w:ascii="Times" w:hAnsi="Times" w:cs="Times"/>
          <w:color w:val="auto"/>
          <w:sz w:val="18"/>
          <w:szCs w:val="18"/>
          <w:lang w:val="en-US"/>
        </w:rPr>
        <w:t xml:space="preserve">Eduardo Pisani </w:t>
      </w:r>
    </w:p>
    <w:p w14:paraId="3FA420B5" w14:textId="77777777" w:rsidR="00517F2D" w:rsidRDefault="00517F2D" w:rsidP="00517F2D">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240"/>
        <w:rPr>
          <w:rFonts w:ascii="Times" w:hAnsi="Times" w:cs="Times"/>
          <w:color w:val="auto"/>
          <w:sz w:val="18"/>
          <w:szCs w:val="18"/>
          <w:lang w:val="en-US"/>
        </w:rPr>
      </w:pPr>
      <w:r>
        <w:rPr>
          <w:rFonts w:ascii="Times" w:hAnsi="Times" w:cs="Times"/>
          <w:color w:val="auto"/>
          <w:sz w:val="18"/>
          <w:szCs w:val="18"/>
          <w:lang w:val="en-US"/>
        </w:rPr>
        <w:t xml:space="preserve">Dennis Ross-Degnan </w:t>
      </w:r>
    </w:p>
    <w:p w14:paraId="52E32D4C" w14:textId="168795B3" w:rsidR="00517F2D" w:rsidRDefault="00517F2D" w:rsidP="00517F2D">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240"/>
        <w:rPr>
          <w:rFonts w:ascii="Times" w:hAnsi="Times" w:cs="Times"/>
          <w:color w:val="auto"/>
          <w:lang w:val="en-US"/>
        </w:rPr>
      </w:pPr>
      <w:r>
        <w:rPr>
          <w:rFonts w:ascii="Times" w:hAnsi="Times" w:cs="Times"/>
          <w:color w:val="auto"/>
          <w:sz w:val="18"/>
          <w:szCs w:val="18"/>
          <w:lang w:val="en-US"/>
        </w:rPr>
        <w:t xml:space="preserve">Dilip Shah </w:t>
      </w:r>
    </w:p>
    <w:p w14:paraId="704D983E" w14:textId="77777777" w:rsidR="00517F2D" w:rsidRDefault="00517F2D" w:rsidP="00517F2D">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240"/>
        <w:rPr>
          <w:rFonts w:ascii="Times" w:hAnsi="Times" w:cs="Times"/>
          <w:color w:val="auto"/>
          <w:lang w:val="en-US"/>
        </w:rPr>
      </w:pPr>
      <w:r>
        <w:rPr>
          <w:rFonts w:ascii="Times" w:hAnsi="Times" w:cs="Times"/>
          <w:color w:val="auto"/>
          <w:sz w:val="18"/>
          <w:szCs w:val="18"/>
          <w:lang w:val="en-US"/>
        </w:rPr>
        <w:t xml:space="preserve">Helena Viñes-Fiestas </w:t>
      </w:r>
    </w:p>
    <w:p w14:paraId="09E03317" w14:textId="77777777" w:rsidR="00517F2D" w:rsidRDefault="00517F2D" w:rsidP="00A37CDB">
      <w:pPr>
        <w:spacing w:after="120"/>
        <w:jc w:val="both"/>
        <w:rPr>
          <w:lang w:val="en-US"/>
        </w:rPr>
      </w:pPr>
    </w:p>
    <w:p w14:paraId="6A86B49D" w14:textId="4CCBDAE7" w:rsidR="00517F2D" w:rsidRDefault="00517F2D" w:rsidP="00A37CDB">
      <w:pPr>
        <w:spacing w:after="120"/>
        <w:jc w:val="both"/>
        <w:rPr>
          <w:lang w:val="en-US"/>
        </w:rPr>
      </w:pPr>
      <w:r>
        <w:rPr>
          <w:lang w:val="en-US"/>
        </w:rPr>
        <w:t>So the organizations represented are:</w:t>
      </w:r>
    </w:p>
    <w:p w14:paraId="67FA14C8" w14:textId="77777777" w:rsidR="00517F2D" w:rsidRDefault="00517F2D" w:rsidP="00A37CDB">
      <w:pPr>
        <w:spacing w:after="120"/>
        <w:jc w:val="both"/>
        <w:rPr>
          <w:lang w:val="en-US"/>
        </w:rPr>
      </w:pPr>
    </w:p>
    <w:p w14:paraId="6767C12B" w14:textId="1520E1C1" w:rsidR="00A37CDB" w:rsidRPr="00745C53" w:rsidRDefault="00A37CDB" w:rsidP="00745C53">
      <w:pPr>
        <w:pStyle w:val="ListParagraph"/>
        <w:numPr>
          <w:ilvl w:val="0"/>
          <w:numId w:val="12"/>
        </w:numPr>
        <w:spacing w:after="120"/>
        <w:jc w:val="both"/>
        <w:rPr>
          <w:lang w:val="en-US"/>
        </w:rPr>
      </w:pPr>
      <w:r w:rsidRPr="00745C53">
        <w:rPr>
          <w:lang w:val="en-US"/>
        </w:rPr>
        <w:t>World Health Organization (WHO)</w:t>
      </w:r>
    </w:p>
    <w:p w14:paraId="1691DED7" w14:textId="0FB64D0E" w:rsidR="00A37CDB" w:rsidRDefault="00A37CDB" w:rsidP="00745C53">
      <w:pPr>
        <w:pStyle w:val="CommentText"/>
        <w:numPr>
          <w:ilvl w:val="0"/>
          <w:numId w:val="12"/>
        </w:numPr>
      </w:pPr>
      <w:r>
        <w:t>The World Bank</w:t>
      </w:r>
    </w:p>
    <w:p w14:paraId="049C4710" w14:textId="51264534" w:rsidR="00A37CDB" w:rsidRPr="00745C53" w:rsidRDefault="00A37CDB" w:rsidP="00745C53">
      <w:pPr>
        <w:pStyle w:val="ListParagraph"/>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rPr>
          <w:rFonts w:ascii="Times New Roman" w:eastAsia="Times New Roman" w:hAnsi="Times New Roman" w:cs="Times New Roman"/>
          <w:color w:val="auto"/>
          <w:lang w:val="en-US"/>
        </w:rPr>
      </w:pPr>
      <w:r w:rsidRPr="00745C53">
        <w:rPr>
          <w:rFonts w:ascii="Times New Roman" w:eastAsia="Times New Roman" w:hAnsi="Times New Roman" w:cs="Times New Roman"/>
          <w:color w:val="auto"/>
          <w:lang w:val="en-US"/>
        </w:rPr>
        <w:t xml:space="preserve">Community Health and Information Network (CHAIN) </w:t>
      </w:r>
    </w:p>
    <w:p w14:paraId="279D8D66" w14:textId="3F5E3165" w:rsidR="00517F2D" w:rsidRPr="00745C53" w:rsidRDefault="00517F2D" w:rsidP="00745C53">
      <w:pPr>
        <w:pStyle w:val="ListParagraph"/>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rPr>
          <w:rFonts w:ascii="Times New Roman" w:eastAsia="Times New Roman" w:hAnsi="Times New Roman" w:cs="Times New Roman"/>
          <w:color w:val="auto"/>
          <w:lang w:val="en-US"/>
        </w:rPr>
      </w:pPr>
      <w:r w:rsidRPr="00745C53">
        <w:rPr>
          <w:rFonts w:ascii="Times New Roman" w:eastAsia="Times New Roman" w:hAnsi="Times New Roman" w:cs="Times New Roman"/>
          <w:color w:val="auto"/>
          <w:lang w:val="en-US"/>
        </w:rPr>
        <w:t>Gavi – Tha Vaccine Alliance</w:t>
      </w:r>
    </w:p>
    <w:p w14:paraId="1B99CB55" w14:textId="70EB58B0" w:rsidR="00517F2D" w:rsidRPr="00745C53" w:rsidRDefault="00517F2D" w:rsidP="00745C53">
      <w:pPr>
        <w:pStyle w:val="ListParagraph"/>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rPr>
          <w:rFonts w:ascii="Times New Roman" w:eastAsia="Times New Roman" w:hAnsi="Times New Roman" w:cs="Times New Roman"/>
          <w:color w:val="auto"/>
          <w:lang w:val="en-US"/>
        </w:rPr>
      </w:pPr>
      <w:r w:rsidRPr="00745C53">
        <w:rPr>
          <w:rFonts w:ascii="Times New Roman" w:eastAsia="Times New Roman" w:hAnsi="Times New Roman" w:cs="Times New Roman"/>
          <w:color w:val="auto"/>
          <w:lang w:val="en-US"/>
        </w:rPr>
        <w:t>International Federation of Pharmaceutical Manufacturers and Associations (IFPMA)</w:t>
      </w:r>
    </w:p>
    <w:p w14:paraId="704C4E9D" w14:textId="3A70C376" w:rsidR="00517F2D" w:rsidRPr="00745C53" w:rsidRDefault="00517F2D" w:rsidP="00745C53">
      <w:pPr>
        <w:pStyle w:val="ListParagraph"/>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rPr>
          <w:rFonts w:ascii="Times New Roman" w:eastAsia="Times New Roman" w:hAnsi="Times New Roman" w:cs="Times New Roman"/>
          <w:color w:val="auto"/>
          <w:lang w:val="en-US"/>
        </w:rPr>
      </w:pPr>
      <w:r w:rsidRPr="00745C53">
        <w:rPr>
          <w:rFonts w:ascii="Times New Roman" w:eastAsia="Times New Roman" w:hAnsi="Times New Roman" w:cs="Times New Roman"/>
          <w:color w:val="auto"/>
          <w:lang w:val="en-US"/>
        </w:rPr>
        <w:t>Harvard Medical School</w:t>
      </w:r>
    </w:p>
    <w:p w14:paraId="13076B66" w14:textId="45270200" w:rsidR="00517F2D" w:rsidRPr="00745C53" w:rsidRDefault="00517F2D" w:rsidP="00745C53">
      <w:pPr>
        <w:pStyle w:val="ListParagraph"/>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rPr>
          <w:rFonts w:ascii="Times New Roman" w:eastAsia="Times New Roman" w:hAnsi="Times New Roman" w:cs="Times New Roman"/>
          <w:color w:val="auto"/>
          <w:lang w:val="en-US"/>
        </w:rPr>
      </w:pPr>
      <w:r w:rsidRPr="00745C53">
        <w:rPr>
          <w:rFonts w:ascii="Times New Roman" w:eastAsia="Times New Roman" w:hAnsi="Times New Roman" w:cs="Times New Roman"/>
          <w:color w:val="auto"/>
          <w:lang w:val="en-US"/>
        </w:rPr>
        <w:t>Indian Pharmaceutical Alliance</w:t>
      </w:r>
    </w:p>
    <w:p w14:paraId="048489A7" w14:textId="233CA105" w:rsidR="00517F2D" w:rsidRPr="00745C53" w:rsidRDefault="00517F2D" w:rsidP="00745C53">
      <w:pPr>
        <w:pStyle w:val="ListParagraph"/>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rPr>
          <w:rFonts w:ascii="Times New Roman" w:eastAsia="Times New Roman" w:hAnsi="Times New Roman" w:cs="Times New Roman"/>
          <w:color w:val="auto"/>
          <w:lang w:val="en-US"/>
        </w:rPr>
      </w:pPr>
      <w:r w:rsidRPr="00745C53">
        <w:rPr>
          <w:rFonts w:ascii="Times New Roman" w:eastAsia="Times New Roman" w:hAnsi="Times New Roman" w:cs="Times New Roman"/>
          <w:color w:val="auto"/>
          <w:lang w:val="en-US"/>
        </w:rPr>
        <w:t>BNP Paribas Investment Partners</w:t>
      </w:r>
    </w:p>
    <w:p w14:paraId="1D060A19" w14:textId="751E921A" w:rsidR="00A37CDB" w:rsidRDefault="00A37CDB">
      <w:pPr>
        <w:pStyle w:val="CommentText"/>
      </w:pPr>
    </w:p>
  </w:comment>
</w:comments>
</file>

<file path=word/commentsExtended.xml><?xml version="1.0" encoding="utf-8"?>
<w15:commentsEx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1A4008D" w15:done="0"/>
  <w15:commentEx w15:paraId="51B9CB69" w15:done="0"/>
  <w15:commentEx w15:paraId="65204D61" w15:done="0"/>
  <w15:commentEx w15:paraId="57CCBF0E" w15:done="0"/>
  <w15:commentEx w15:paraId="7E583D2F" w15:done="0"/>
  <w15:commentEx w15:paraId="76843194" w15:done="0"/>
  <w15:commentEx w15:paraId="0AFFA600" w15:done="0"/>
  <w15:commentEx w15:paraId="1D060A1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B68AF53" w16cid:durableId="1F099A08"/>
  <w16cid:commentId w16cid:paraId="30EC8EC7" w16cid:durableId="1F099A09"/>
  <w16cid:commentId w16cid:paraId="1018961A" w16cid:durableId="1EF9F365"/>
  <w16cid:commentId w16cid:paraId="5285899C" w16cid:durableId="1EF9F366"/>
  <w16cid:commentId w16cid:paraId="63B58316" w16cid:durableId="1F099A0C"/>
  <w16cid:commentId w16cid:paraId="1DC3722B" w16cid:durableId="1F099A0D"/>
  <w16cid:commentId w16cid:paraId="254518AC" w16cid:durableId="1F099A0E"/>
  <w16cid:commentId w16cid:paraId="10DC4DF2" w16cid:durableId="1EF9F370"/>
  <w16cid:commentId w16cid:paraId="7E3A5C95" w16cid:durableId="1F099A10"/>
  <w16cid:commentId w16cid:paraId="4B2DB2F7" w16cid:durableId="1F099A11"/>
  <w16cid:commentId w16cid:paraId="19A181C6" w16cid:durableId="1F099A12"/>
  <w16cid:commentId w16cid:paraId="736AC48E" w16cid:durableId="1F099A13"/>
  <w16cid:commentId w16cid:paraId="0E25DD19" w16cid:durableId="1F099A14"/>
  <w16cid:commentId w16cid:paraId="6BA000A4" w16cid:durableId="1F099A15"/>
  <w16cid:commentId w16cid:paraId="69952E12" w16cid:durableId="1F099A16"/>
  <w16cid:commentId w16cid:paraId="2B611E9D" w16cid:durableId="1F099A17"/>
  <w16cid:commentId w16cid:paraId="24D29B9F" w16cid:durableId="1F099A18"/>
  <w16cid:commentId w16cid:paraId="728DE185" w16cid:durableId="1F099A19"/>
  <w16cid:commentId w16cid:paraId="1AC089D7" w16cid:durableId="1EF9F379"/>
  <w16cid:commentId w16cid:paraId="0BB1EC5D" w16cid:durableId="1F099A1B"/>
  <w16cid:commentId w16cid:paraId="725BA388" w16cid:durableId="1F099A1C"/>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FAC5C3" w14:textId="77777777" w:rsidR="001D50BB" w:rsidRDefault="001D50BB" w:rsidP="00211B65">
      <w:r>
        <w:separator/>
      </w:r>
    </w:p>
  </w:endnote>
  <w:endnote w:type="continuationSeparator" w:id="0">
    <w:p w14:paraId="59328CC4" w14:textId="77777777" w:rsidR="001D50BB" w:rsidRDefault="001D50BB" w:rsidP="00211B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Unicode MS">
    <w:panose1 w:val="020B0604020202020204"/>
    <w:charset w:val="00"/>
    <w:family w:val="auto"/>
    <w:pitch w:val="variable"/>
    <w:sig w:usb0="F7FFAFFF" w:usb1="E9DFFFFF" w:usb2="0000003F" w:usb3="00000000" w:csb0="003F01FF" w:csb1="00000000"/>
  </w:font>
  <w:font w:name="MS Mincho">
    <w:panose1 w:val="02020609040205080304"/>
    <w:charset w:val="80"/>
    <w:family w:val="auto"/>
    <w:pitch w:val="variable"/>
    <w:sig w:usb0="E00002FF" w:usb1="6AC7FDFB" w:usb2="08000012" w:usb3="00000000" w:csb0="0002009F" w:csb1="00000000"/>
  </w:font>
  <w:font w:name="Times">
    <w:panose1 w:val="00000000000000000000"/>
    <w:charset w:val="4D"/>
    <w:family w:val="roman"/>
    <w:notTrueType/>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libri Light">
    <w:panose1 w:val="020F0302020204030204"/>
    <w:charset w:val="00"/>
    <w:family w:val="auto"/>
    <w:pitch w:val="variable"/>
    <w:sig w:usb0="A00002EF" w:usb1="4000207B" w:usb2="00000000" w:usb3="00000000" w:csb0="0000019F" w:csb1="00000000"/>
  </w:font>
  <w:font w:name="ＭＳ 明朝">
    <w:charset w:val="80"/>
    <w:family w:val="auto"/>
    <w:pitch w:val="variable"/>
    <w:sig w:usb0="E00002FF" w:usb1="6AC7FDFB" w:usb2="08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D719F4" w14:textId="77777777" w:rsidR="001D50BB" w:rsidRDefault="001D50BB" w:rsidP="00211B65">
      <w:r>
        <w:separator/>
      </w:r>
    </w:p>
  </w:footnote>
  <w:footnote w:type="continuationSeparator" w:id="0">
    <w:p w14:paraId="40D7ED4C" w14:textId="77777777" w:rsidR="001D50BB" w:rsidRDefault="001D50BB" w:rsidP="00211B65">
      <w:r>
        <w:continuationSeparator/>
      </w:r>
    </w:p>
  </w:footnote>
  <w:footnote w:id="1">
    <w:p w14:paraId="47EC5C20" w14:textId="10D4EFD1" w:rsidR="001D77E5" w:rsidRPr="00971D96" w:rsidRDefault="001D77E5" w:rsidP="00A1191B">
      <w:pPr>
        <w:pStyle w:val="Body"/>
        <w:spacing w:after="120" w:line="240" w:lineRule="auto"/>
        <w:rPr>
          <w:rFonts w:cs="Times New Roman"/>
          <w:sz w:val="20"/>
          <w:szCs w:val="20"/>
        </w:rPr>
      </w:pPr>
      <w:r w:rsidRPr="00AD3B6A">
        <w:rPr>
          <w:rStyle w:val="FootnoteReference"/>
        </w:rPr>
        <w:footnoteRef/>
      </w:r>
      <w:r w:rsidRPr="00971D96">
        <w:rPr>
          <w:rFonts w:cs="Times New Roman"/>
          <w:sz w:val="20"/>
          <w:szCs w:val="20"/>
        </w:rPr>
        <w:t xml:space="preserve"> Mayntz suggests that “It is the normative philosophical stance of political scientists that makes them enquire into legitimacy, rather than their empirical interest in the sources of compliance”</w:t>
      </w:r>
      <w:r>
        <w:rPr>
          <w:rFonts w:cs="Times New Roman"/>
          <w:sz w:val="20"/>
          <w:szCs w:val="20"/>
        </w:rPr>
        <w:t xml:space="preserve"> </w:t>
      </w:r>
      <w:r w:rsidRPr="00432B88">
        <w:rPr>
          <w:rFonts w:cs="Times New Roman"/>
          <w:sz w:val="20"/>
          <w:szCs w:val="20"/>
        </w:rPr>
        <w:t>(2010</w:t>
      </w:r>
      <w:r>
        <w:rPr>
          <w:rFonts w:cs="Times New Roman"/>
          <w:sz w:val="20"/>
          <w:szCs w:val="20"/>
        </w:rPr>
        <w:t>:</w:t>
      </w:r>
      <w:r w:rsidRPr="00432B88">
        <w:rPr>
          <w:rFonts w:cs="Times New Roman"/>
          <w:sz w:val="20"/>
          <w:szCs w:val="20"/>
        </w:rPr>
        <w:t xml:space="preserve"> 16)</w:t>
      </w:r>
      <w:r w:rsidRPr="00971D96">
        <w:rPr>
          <w:rFonts w:cs="Times New Roman"/>
          <w:sz w:val="20"/>
          <w:szCs w:val="20"/>
        </w:rPr>
        <w:t>.</w:t>
      </w:r>
    </w:p>
    <w:p w14:paraId="6A591FC0" w14:textId="18DD114C" w:rsidR="001D77E5" w:rsidRPr="001F6AEB" w:rsidRDefault="001D77E5" w:rsidP="00A1191B">
      <w:pPr>
        <w:pStyle w:val="FootnoteText"/>
      </w:pPr>
    </w:p>
  </w:footnote>
  <w:footnote w:id="2">
    <w:p w14:paraId="170058C9" w14:textId="5DD314E8" w:rsidR="001D77E5" w:rsidRPr="00AF6539" w:rsidRDefault="001D77E5" w:rsidP="00A1191B">
      <w:pPr>
        <w:pStyle w:val="FootnoteText"/>
      </w:pPr>
      <w:r w:rsidRPr="00AD3B6A">
        <w:rPr>
          <w:rStyle w:val="FootnoteReference"/>
        </w:rPr>
        <w:footnoteRef/>
      </w:r>
      <w:r w:rsidRPr="00AF6539">
        <w:t xml:space="preserve"> </w:t>
      </w:r>
      <w:r w:rsidRPr="00773B86">
        <w:rPr>
          <w:sz w:val="20"/>
          <w:szCs w:val="20"/>
        </w:rPr>
        <w:t>MDG Target 8.E: In cooperation with pharmaceutical companies, provide access to affordable essential drugs in developing countries. SDG Goal 3: To achieve universal health coverage to include access to essential medicines and vaccines.</w:t>
      </w:r>
    </w:p>
  </w:footnote>
  <w:footnote w:id="3">
    <w:p w14:paraId="0B3190CC" w14:textId="7931009A" w:rsidR="001D77E5" w:rsidRPr="00F07D2A" w:rsidRDefault="001D77E5" w:rsidP="00F07D2A">
      <w:pPr>
        <w:pStyle w:val="FootnoteText"/>
        <w:jc w:val="both"/>
        <w:rPr>
          <w:sz w:val="20"/>
          <w:szCs w:val="20"/>
        </w:rPr>
      </w:pPr>
      <w:r w:rsidRPr="00F07D2A">
        <w:rPr>
          <w:rStyle w:val="FootnoteReference"/>
          <w:sz w:val="20"/>
          <w:szCs w:val="20"/>
        </w:rPr>
        <w:footnoteRef/>
      </w:r>
      <w:r w:rsidRPr="00F07D2A">
        <w:rPr>
          <w:sz w:val="20"/>
          <w:szCs w:val="20"/>
        </w:rPr>
        <w:t xml:space="preserve"> </w:t>
      </w:r>
      <w:r>
        <w:rPr>
          <w:sz w:val="20"/>
          <w:szCs w:val="20"/>
        </w:rPr>
        <w:t>Company analysis was</w:t>
      </w:r>
      <w:r w:rsidRPr="00F07D2A">
        <w:rPr>
          <w:sz w:val="20"/>
          <w:szCs w:val="20"/>
        </w:rPr>
        <w:t xml:space="preserve"> originally outsourced by the Foundation</w:t>
      </w:r>
      <w:r>
        <w:rPr>
          <w:sz w:val="20"/>
          <w:szCs w:val="20"/>
        </w:rPr>
        <w:t xml:space="preserve"> to firms like Innovest (later MSCI) and Sustainalytics</w:t>
      </w:r>
      <w:r w:rsidRPr="00F07D2A">
        <w:rPr>
          <w:sz w:val="20"/>
          <w:szCs w:val="20"/>
        </w:rPr>
        <w:t xml:space="preserve">, whilst </w:t>
      </w:r>
      <w:r>
        <w:rPr>
          <w:sz w:val="20"/>
          <w:szCs w:val="20"/>
        </w:rPr>
        <w:t>from 2014 the Foundation has created its own in house analyst team.</w:t>
      </w:r>
    </w:p>
  </w:footnote>
  <w:footnote w:id="4">
    <w:p w14:paraId="70F76918" w14:textId="42D84995" w:rsidR="001D77E5" w:rsidRPr="00F07D2A" w:rsidRDefault="001D77E5" w:rsidP="00F07D2A">
      <w:pPr>
        <w:pStyle w:val="FootnoteText"/>
        <w:jc w:val="both"/>
        <w:rPr>
          <w:sz w:val="20"/>
          <w:szCs w:val="20"/>
        </w:rPr>
      </w:pPr>
      <w:r w:rsidRPr="00665842">
        <w:rPr>
          <w:rStyle w:val="FootnoteReference"/>
        </w:rPr>
        <w:footnoteRef/>
      </w:r>
      <w:r w:rsidRPr="005C2913">
        <w:t xml:space="preserve"> </w:t>
      </w:r>
      <w:r w:rsidRPr="00F07D2A">
        <w:rPr>
          <w:sz w:val="20"/>
          <w:szCs w:val="20"/>
        </w:rPr>
        <w:t xml:space="preserve">The Foundation has also engaged Erasmus University in Rotterdam to set up an on-going impact assessment for the coming </w:t>
      </w:r>
      <w:r>
        <w:rPr>
          <w:sz w:val="20"/>
          <w:szCs w:val="20"/>
        </w:rPr>
        <w:t>five</w:t>
      </w:r>
      <w:r w:rsidRPr="00F07D2A">
        <w:rPr>
          <w:sz w:val="20"/>
          <w:szCs w:val="20"/>
        </w:rPr>
        <w:t xml:space="preserve"> years</w:t>
      </w:r>
      <w:r>
        <w:rPr>
          <w:sz w:val="20"/>
          <w:szCs w:val="20"/>
        </w:rPr>
        <w:t>,</w:t>
      </w:r>
      <w:r w:rsidRPr="00F07D2A">
        <w:rPr>
          <w:sz w:val="20"/>
          <w:szCs w:val="20"/>
        </w:rPr>
        <w:t xml:space="preserve"> but it remains to be seen whether this </w:t>
      </w:r>
      <w:r>
        <w:rPr>
          <w:sz w:val="20"/>
          <w:szCs w:val="20"/>
        </w:rPr>
        <w:t xml:space="preserve">assessment will be </w:t>
      </w:r>
      <w:r w:rsidRPr="00F07D2A">
        <w:rPr>
          <w:sz w:val="20"/>
          <w:szCs w:val="20"/>
        </w:rPr>
        <w:t>more success</w:t>
      </w:r>
      <w:r>
        <w:rPr>
          <w:sz w:val="20"/>
          <w:szCs w:val="20"/>
        </w:rPr>
        <w:t>ful</w:t>
      </w:r>
      <w:r w:rsidRPr="00F07D2A">
        <w:rPr>
          <w:sz w:val="20"/>
          <w:szCs w:val="20"/>
        </w:rPr>
        <w:t xml:space="preserve"> in identifying downstream effectiveness.</w:t>
      </w:r>
    </w:p>
    <w:p w14:paraId="5E87B215" w14:textId="77777777" w:rsidR="001D77E5" w:rsidRDefault="001D77E5" w:rsidP="00A1191B">
      <w:pPr>
        <w:pStyle w:val="FootnoteText"/>
      </w:pP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1CD569" w14:textId="77777777" w:rsidR="001D77E5" w:rsidRDefault="001D77E5" w:rsidP="00BA42D8">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06FCD1E" w14:textId="77777777" w:rsidR="001D77E5" w:rsidRDefault="001D77E5" w:rsidP="003A3E00">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FB563A" w14:textId="39924777" w:rsidR="001D77E5" w:rsidRDefault="001D77E5" w:rsidP="00BA42D8">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A0323">
      <w:rPr>
        <w:rStyle w:val="PageNumber"/>
        <w:noProof/>
      </w:rPr>
      <w:t>35</w:t>
    </w:r>
    <w:r>
      <w:rPr>
        <w:rStyle w:val="PageNumber"/>
      </w:rPr>
      <w:fldChar w:fldCharType="end"/>
    </w:r>
  </w:p>
  <w:p w14:paraId="77CB07E8" w14:textId="77777777" w:rsidR="001D77E5" w:rsidRDefault="001D77E5" w:rsidP="003A3E00">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F53922"/>
    <w:multiLevelType w:val="hybridMultilevel"/>
    <w:tmpl w:val="5866BC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F5E3D40"/>
    <w:multiLevelType w:val="hybridMultilevel"/>
    <w:tmpl w:val="1EB8016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1174FC5"/>
    <w:multiLevelType w:val="hybridMultilevel"/>
    <w:tmpl w:val="2088443A"/>
    <w:lvl w:ilvl="0" w:tplc="6B389E92">
      <w:start w:val="1"/>
      <w:numFmt w:val="bullet"/>
      <w:lvlText w:val=""/>
      <w:lvlJc w:val="left"/>
      <w:pPr>
        <w:ind w:left="567" w:hanging="283"/>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C631613"/>
    <w:multiLevelType w:val="hybridMultilevel"/>
    <w:tmpl w:val="07C6A6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3B2E2541"/>
    <w:multiLevelType w:val="hybridMultilevel"/>
    <w:tmpl w:val="C5DE55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05044E0"/>
    <w:multiLevelType w:val="multilevel"/>
    <w:tmpl w:val="0BF8A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550A176E"/>
    <w:multiLevelType w:val="hybridMultilevel"/>
    <w:tmpl w:val="48D6A1CA"/>
    <w:lvl w:ilvl="0" w:tplc="2D58E508">
      <w:start w:val="6"/>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
    <w:nsid w:val="56787C2C"/>
    <w:multiLevelType w:val="hybridMultilevel"/>
    <w:tmpl w:val="130ACF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750528F"/>
    <w:multiLevelType w:val="multilevel"/>
    <w:tmpl w:val="C5DE55E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nsid w:val="5F68530D"/>
    <w:multiLevelType w:val="hybridMultilevel"/>
    <w:tmpl w:val="E63C1A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6EEC2A29"/>
    <w:multiLevelType w:val="hybridMultilevel"/>
    <w:tmpl w:val="37367826"/>
    <w:lvl w:ilvl="0" w:tplc="7CFC74A4">
      <w:start w:val="1"/>
      <w:numFmt w:val="decimal"/>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1">
    <w:nsid w:val="7C772BF0"/>
    <w:multiLevelType w:val="hybridMultilevel"/>
    <w:tmpl w:val="5866BC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4"/>
  </w:num>
  <w:num w:numId="3">
    <w:abstractNumId w:val="8"/>
  </w:num>
  <w:num w:numId="4">
    <w:abstractNumId w:val="2"/>
  </w:num>
  <w:num w:numId="5">
    <w:abstractNumId w:val="9"/>
  </w:num>
  <w:num w:numId="6">
    <w:abstractNumId w:val="5"/>
  </w:num>
  <w:num w:numId="7">
    <w:abstractNumId w:val="6"/>
  </w:num>
  <w:num w:numId="8">
    <w:abstractNumId w:val="3"/>
  </w:num>
  <w:num w:numId="9">
    <w:abstractNumId w:val="11"/>
  </w:num>
  <w:num w:numId="10">
    <w:abstractNumId w:val="0"/>
  </w:num>
  <w:num w:numId="11">
    <w:abstractNumId w:val="1"/>
  </w:num>
  <w:num w:numId="12">
    <w:abstractNumId w:val="7"/>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amiano de Felice">
    <w15:presenceInfo w15:providerId="Windows Live" w15:userId="2308c93a9c7ce392"/>
  </w15:person>
  <w15:person w15:author="Rita Samiolo">
    <w15:presenceInfo w15:providerId="None" w15:userId="Rita Samiol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visionView w:markup="0"/>
  <w:defaultTabStop w:val="720"/>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60BE"/>
    <w:rsid w:val="000007E8"/>
    <w:rsid w:val="000028EE"/>
    <w:rsid w:val="00002E23"/>
    <w:rsid w:val="000071B7"/>
    <w:rsid w:val="00010895"/>
    <w:rsid w:val="000124E0"/>
    <w:rsid w:val="000133C9"/>
    <w:rsid w:val="00014509"/>
    <w:rsid w:val="0001636C"/>
    <w:rsid w:val="00017088"/>
    <w:rsid w:val="000178FE"/>
    <w:rsid w:val="0002192A"/>
    <w:rsid w:val="000225CB"/>
    <w:rsid w:val="00022658"/>
    <w:rsid w:val="00022C90"/>
    <w:rsid w:val="00025A1C"/>
    <w:rsid w:val="00025BEE"/>
    <w:rsid w:val="00035BC6"/>
    <w:rsid w:val="00040D1D"/>
    <w:rsid w:val="00042323"/>
    <w:rsid w:val="00042BF5"/>
    <w:rsid w:val="00045DC5"/>
    <w:rsid w:val="00051205"/>
    <w:rsid w:val="000571BD"/>
    <w:rsid w:val="00061DFB"/>
    <w:rsid w:val="00063381"/>
    <w:rsid w:val="000655F1"/>
    <w:rsid w:val="00067135"/>
    <w:rsid w:val="000673D8"/>
    <w:rsid w:val="0007086F"/>
    <w:rsid w:val="00070AE6"/>
    <w:rsid w:val="00074B16"/>
    <w:rsid w:val="000768C0"/>
    <w:rsid w:val="000842D4"/>
    <w:rsid w:val="000851D4"/>
    <w:rsid w:val="00087467"/>
    <w:rsid w:val="00092336"/>
    <w:rsid w:val="000938AC"/>
    <w:rsid w:val="00093998"/>
    <w:rsid w:val="00095252"/>
    <w:rsid w:val="00096E1E"/>
    <w:rsid w:val="00097D50"/>
    <w:rsid w:val="000A1B32"/>
    <w:rsid w:val="000A2D51"/>
    <w:rsid w:val="000A2FDF"/>
    <w:rsid w:val="000A614C"/>
    <w:rsid w:val="000A63EE"/>
    <w:rsid w:val="000B1E7A"/>
    <w:rsid w:val="000B258B"/>
    <w:rsid w:val="000B3510"/>
    <w:rsid w:val="000B3AB8"/>
    <w:rsid w:val="000B5FDB"/>
    <w:rsid w:val="000B773D"/>
    <w:rsid w:val="000C4C4C"/>
    <w:rsid w:val="000C5650"/>
    <w:rsid w:val="000C6391"/>
    <w:rsid w:val="000D2D0C"/>
    <w:rsid w:val="000E077D"/>
    <w:rsid w:val="000E118A"/>
    <w:rsid w:val="000E162F"/>
    <w:rsid w:val="000E4E68"/>
    <w:rsid w:val="000E5439"/>
    <w:rsid w:val="000F04ED"/>
    <w:rsid w:val="000F2E89"/>
    <w:rsid w:val="000F3862"/>
    <w:rsid w:val="000F3D0B"/>
    <w:rsid w:val="000F603F"/>
    <w:rsid w:val="00101D21"/>
    <w:rsid w:val="00102986"/>
    <w:rsid w:val="00102D35"/>
    <w:rsid w:val="0010341E"/>
    <w:rsid w:val="001038B2"/>
    <w:rsid w:val="00106523"/>
    <w:rsid w:val="00107D02"/>
    <w:rsid w:val="001101E9"/>
    <w:rsid w:val="001106E9"/>
    <w:rsid w:val="00112359"/>
    <w:rsid w:val="00114289"/>
    <w:rsid w:val="00114C09"/>
    <w:rsid w:val="0011582B"/>
    <w:rsid w:val="00121DC2"/>
    <w:rsid w:val="00122B49"/>
    <w:rsid w:val="00122B64"/>
    <w:rsid w:val="00123D4B"/>
    <w:rsid w:val="00124D75"/>
    <w:rsid w:val="001256C4"/>
    <w:rsid w:val="001267C8"/>
    <w:rsid w:val="001303A4"/>
    <w:rsid w:val="00131299"/>
    <w:rsid w:val="00137D20"/>
    <w:rsid w:val="001412FE"/>
    <w:rsid w:val="00143D4F"/>
    <w:rsid w:val="00150C40"/>
    <w:rsid w:val="00151790"/>
    <w:rsid w:val="00153631"/>
    <w:rsid w:val="00162E11"/>
    <w:rsid w:val="00163761"/>
    <w:rsid w:val="00163D8B"/>
    <w:rsid w:val="001642EA"/>
    <w:rsid w:val="001650B5"/>
    <w:rsid w:val="00167518"/>
    <w:rsid w:val="00171DA4"/>
    <w:rsid w:val="001726EE"/>
    <w:rsid w:val="001759E8"/>
    <w:rsid w:val="00175A13"/>
    <w:rsid w:val="0018194F"/>
    <w:rsid w:val="00181BF1"/>
    <w:rsid w:val="00182D9F"/>
    <w:rsid w:val="00187A14"/>
    <w:rsid w:val="00194F10"/>
    <w:rsid w:val="001963F8"/>
    <w:rsid w:val="001A0D90"/>
    <w:rsid w:val="001A1A06"/>
    <w:rsid w:val="001A5FEF"/>
    <w:rsid w:val="001A7C48"/>
    <w:rsid w:val="001B080F"/>
    <w:rsid w:val="001B0CA9"/>
    <w:rsid w:val="001B1D52"/>
    <w:rsid w:val="001B4537"/>
    <w:rsid w:val="001B4846"/>
    <w:rsid w:val="001B6B81"/>
    <w:rsid w:val="001B6C58"/>
    <w:rsid w:val="001C2C2D"/>
    <w:rsid w:val="001C3626"/>
    <w:rsid w:val="001C6492"/>
    <w:rsid w:val="001D0D90"/>
    <w:rsid w:val="001D14A4"/>
    <w:rsid w:val="001D1F43"/>
    <w:rsid w:val="001D212D"/>
    <w:rsid w:val="001D28E2"/>
    <w:rsid w:val="001D2A99"/>
    <w:rsid w:val="001D50BB"/>
    <w:rsid w:val="001D77E5"/>
    <w:rsid w:val="001E377D"/>
    <w:rsid w:val="001E47C2"/>
    <w:rsid w:val="001E617F"/>
    <w:rsid w:val="001E6644"/>
    <w:rsid w:val="001E7A32"/>
    <w:rsid w:val="001F4191"/>
    <w:rsid w:val="001F5867"/>
    <w:rsid w:val="001F6AEB"/>
    <w:rsid w:val="0020050E"/>
    <w:rsid w:val="00202F6F"/>
    <w:rsid w:val="002060BE"/>
    <w:rsid w:val="00207B79"/>
    <w:rsid w:val="00210A9A"/>
    <w:rsid w:val="00211B65"/>
    <w:rsid w:val="00213528"/>
    <w:rsid w:val="00213CBA"/>
    <w:rsid w:val="00215532"/>
    <w:rsid w:val="002168C5"/>
    <w:rsid w:val="002170DB"/>
    <w:rsid w:val="00217870"/>
    <w:rsid w:val="00220C28"/>
    <w:rsid w:val="00222E7B"/>
    <w:rsid w:val="00223454"/>
    <w:rsid w:val="00223A76"/>
    <w:rsid w:val="002244A4"/>
    <w:rsid w:val="00224A56"/>
    <w:rsid w:val="00224AED"/>
    <w:rsid w:val="00231C29"/>
    <w:rsid w:val="00232E58"/>
    <w:rsid w:val="00235760"/>
    <w:rsid w:val="00235A22"/>
    <w:rsid w:val="002373B5"/>
    <w:rsid w:val="0023796C"/>
    <w:rsid w:val="002402DE"/>
    <w:rsid w:val="0024375E"/>
    <w:rsid w:val="002452B5"/>
    <w:rsid w:val="0025559A"/>
    <w:rsid w:val="002563CF"/>
    <w:rsid w:val="00256897"/>
    <w:rsid w:val="00257D8A"/>
    <w:rsid w:val="0026018D"/>
    <w:rsid w:val="002614B2"/>
    <w:rsid w:val="00271247"/>
    <w:rsid w:val="002725AD"/>
    <w:rsid w:val="002736C0"/>
    <w:rsid w:val="00275304"/>
    <w:rsid w:val="002858E9"/>
    <w:rsid w:val="00287082"/>
    <w:rsid w:val="00287EA1"/>
    <w:rsid w:val="00291317"/>
    <w:rsid w:val="00292D87"/>
    <w:rsid w:val="00295790"/>
    <w:rsid w:val="00296406"/>
    <w:rsid w:val="0029737A"/>
    <w:rsid w:val="002A0345"/>
    <w:rsid w:val="002A3CA8"/>
    <w:rsid w:val="002A5A71"/>
    <w:rsid w:val="002B3FA2"/>
    <w:rsid w:val="002B43F6"/>
    <w:rsid w:val="002B58D2"/>
    <w:rsid w:val="002C4938"/>
    <w:rsid w:val="002D2D8F"/>
    <w:rsid w:val="002D3172"/>
    <w:rsid w:val="002D32C3"/>
    <w:rsid w:val="002D3821"/>
    <w:rsid w:val="002D5829"/>
    <w:rsid w:val="002D59C9"/>
    <w:rsid w:val="002D6E0A"/>
    <w:rsid w:val="002D71CA"/>
    <w:rsid w:val="002E16B7"/>
    <w:rsid w:val="002E1CBE"/>
    <w:rsid w:val="002E2878"/>
    <w:rsid w:val="002E2921"/>
    <w:rsid w:val="002E585B"/>
    <w:rsid w:val="002F0848"/>
    <w:rsid w:val="002F52B9"/>
    <w:rsid w:val="002F58F0"/>
    <w:rsid w:val="002F5A5A"/>
    <w:rsid w:val="002F6A4E"/>
    <w:rsid w:val="00300429"/>
    <w:rsid w:val="00301606"/>
    <w:rsid w:val="0030326F"/>
    <w:rsid w:val="00303426"/>
    <w:rsid w:val="0030459B"/>
    <w:rsid w:val="00304C66"/>
    <w:rsid w:val="00313BA2"/>
    <w:rsid w:val="00314153"/>
    <w:rsid w:val="003173E9"/>
    <w:rsid w:val="00320C2E"/>
    <w:rsid w:val="00321061"/>
    <w:rsid w:val="0032684D"/>
    <w:rsid w:val="003305F3"/>
    <w:rsid w:val="0033091B"/>
    <w:rsid w:val="003432B9"/>
    <w:rsid w:val="00343513"/>
    <w:rsid w:val="0034394D"/>
    <w:rsid w:val="00345A97"/>
    <w:rsid w:val="0035070A"/>
    <w:rsid w:val="00353A24"/>
    <w:rsid w:val="00353CC6"/>
    <w:rsid w:val="00356B0C"/>
    <w:rsid w:val="00364794"/>
    <w:rsid w:val="00372061"/>
    <w:rsid w:val="00373AD1"/>
    <w:rsid w:val="00373B6A"/>
    <w:rsid w:val="003752A5"/>
    <w:rsid w:val="00375502"/>
    <w:rsid w:val="003772BD"/>
    <w:rsid w:val="00377637"/>
    <w:rsid w:val="00377B32"/>
    <w:rsid w:val="00381163"/>
    <w:rsid w:val="00382D93"/>
    <w:rsid w:val="00383656"/>
    <w:rsid w:val="0038443F"/>
    <w:rsid w:val="00384F36"/>
    <w:rsid w:val="00386509"/>
    <w:rsid w:val="00391A2B"/>
    <w:rsid w:val="0039217E"/>
    <w:rsid w:val="0039474D"/>
    <w:rsid w:val="00395285"/>
    <w:rsid w:val="003959A8"/>
    <w:rsid w:val="00396311"/>
    <w:rsid w:val="00396A49"/>
    <w:rsid w:val="003A1C68"/>
    <w:rsid w:val="003A3E00"/>
    <w:rsid w:val="003A3F50"/>
    <w:rsid w:val="003A5455"/>
    <w:rsid w:val="003A6FE7"/>
    <w:rsid w:val="003B0ADB"/>
    <w:rsid w:val="003B390E"/>
    <w:rsid w:val="003B3B86"/>
    <w:rsid w:val="003B6623"/>
    <w:rsid w:val="003B6AAB"/>
    <w:rsid w:val="003B730E"/>
    <w:rsid w:val="003C624A"/>
    <w:rsid w:val="003D30CC"/>
    <w:rsid w:val="003D5AA3"/>
    <w:rsid w:val="003D6436"/>
    <w:rsid w:val="003D7285"/>
    <w:rsid w:val="003E2B05"/>
    <w:rsid w:val="003E30CD"/>
    <w:rsid w:val="003E652E"/>
    <w:rsid w:val="003E6551"/>
    <w:rsid w:val="003F06B6"/>
    <w:rsid w:val="003F4DE5"/>
    <w:rsid w:val="003F532D"/>
    <w:rsid w:val="003F64C1"/>
    <w:rsid w:val="00403151"/>
    <w:rsid w:val="00404CBC"/>
    <w:rsid w:val="00404EA0"/>
    <w:rsid w:val="00405BD9"/>
    <w:rsid w:val="00407C08"/>
    <w:rsid w:val="004119D4"/>
    <w:rsid w:val="004120DA"/>
    <w:rsid w:val="004167AC"/>
    <w:rsid w:val="00420012"/>
    <w:rsid w:val="00420CFB"/>
    <w:rsid w:val="004220BC"/>
    <w:rsid w:val="00422597"/>
    <w:rsid w:val="00424275"/>
    <w:rsid w:val="00424CBA"/>
    <w:rsid w:val="00425D7F"/>
    <w:rsid w:val="0043224C"/>
    <w:rsid w:val="00432276"/>
    <w:rsid w:val="00432E8D"/>
    <w:rsid w:val="00433A23"/>
    <w:rsid w:val="00434A55"/>
    <w:rsid w:val="00435FFC"/>
    <w:rsid w:val="00443555"/>
    <w:rsid w:val="00443641"/>
    <w:rsid w:val="00443FF5"/>
    <w:rsid w:val="004479A5"/>
    <w:rsid w:val="0045270D"/>
    <w:rsid w:val="0045552C"/>
    <w:rsid w:val="00463CA2"/>
    <w:rsid w:val="004663E7"/>
    <w:rsid w:val="004701A9"/>
    <w:rsid w:val="00470DA8"/>
    <w:rsid w:val="00472001"/>
    <w:rsid w:val="004734E5"/>
    <w:rsid w:val="00473F4D"/>
    <w:rsid w:val="004762E4"/>
    <w:rsid w:val="00480847"/>
    <w:rsid w:val="00482979"/>
    <w:rsid w:val="004837B9"/>
    <w:rsid w:val="00485C6D"/>
    <w:rsid w:val="00485DF3"/>
    <w:rsid w:val="004860C1"/>
    <w:rsid w:val="00487EBA"/>
    <w:rsid w:val="00490237"/>
    <w:rsid w:val="0049279F"/>
    <w:rsid w:val="00492807"/>
    <w:rsid w:val="00496966"/>
    <w:rsid w:val="004A0323"/>
    <w:rsid w:val="004A08D2"/>
    <w:rsid w:val="004A08D3"/>
    <w:rsid w:val="004A15E6"/>
    <w:rsid w:val="004A4CC0"/>
    <w:rsid w:val="004A762E"/>
    <w:rsid w:val="004A77A2"/>
    <w:rsid w:val="004A77EF"/>
    <w:rsid w:val="004B1569"/>
    <w:rsid w:val="004B3AC1"/>
    <w:rsid w:val="004B3D6D"/>
    <w:rsid w:val="004B710A"/>
    <w:rsid w:val="004C47A0"/>
    <w:rsid w:val="004C5300"/>
    <w:rsid w:val="004C65B1"/>
    <w:rsid w:val="004D1259"/>
    <w:rsid w:val="004D1314"/>
    <w:rsid w:val="004D2B81"/>
    <w:rsid w:val="004D2F46"/>
    <w:rsid w:val="004E3A82"/>
    <w:rsid w:val="004E5767"/>
    <w:rsid w:val="004E71BC"/>
    <w:rsid w:val="004F5684"/>
    <w:rsid w:val="005004FE"/>
    <w:rsid w:val="0050211A"/>
    <w:rsid w:val="005049F1"/>
    <w:rsid w:val="00506459"/>
    <w:rsid w:val="005076FD"/>
    <w:rsid w:val="00513F10"/>
    <w:rsid w:val="005171F1"/>
    <w:rsid w:val="00517F2D"/>
    <w:rsid w:val="00520B84"/>
    <w:rsid w:val="00520F5E"/>
    <w:rsid w:val="00522674"/>
    <w:rsid w:val="00523C65"/>
    <w:rsid w:val="00523E2E"/>
    <w:rsid w:val="00524049"/>
    <w:rsid w:val="00524068"/>
    <w:rsid w:val="00524719"/>
    <w:rsid w:val="00526F03"/>
    <w:rsid w:val="0052721C"/>
    <w:rsid w:val="0053045C"/>
    <w:rsid w:val="00531E0B"/>
    <w:rsid w:val="0053352D"/>
    <w:rsid w:val="00535DFB"/>
    <w:rsid w:val="005367D8"/>
    <w:rsid w:val="0054053F"/>
    <w:rsid w:val="0054724E"/>
    <w:rsid w:val="005514D2"/>
    <w:rsid w:val="00552450"/>
    <w:rsid w:val="00553884"/>
    <w:rsid w:val="00554634"/>
    <w:rsid w:val="00554B8C"/>
    <w:rsid w:val="00555FEE"/>
    <w:rsid w:val="00557CD0"/>
    <w:rsid w:val="0056645B"/>
    <w:rsid w:val="00567556"/>
    <w:rsid w:val="00570C61"/>
    <w:rsid w:val="00573EEA"/>
    <w:rsid w:val="00581E9A"/>
    <w:rsid w:val="00582CFE"/>
    <w:rsid w:val="005842AF"/>
    <w:rsid w:val="005865C8"/>
    <w:rsid w:val="005918FF"/>
    <w:rsid w:val="00591FF9"/>
    <w:rsid w:val="00595DC6"/>
    <w:rsid w:val="00596AEF"/>
    <w:rsid w:val="00596C5E"/>
    <w:rsid w:val="00596D82"/>
    <w:rsid w:val="0059755D"/>
    <w:rsid w:val="00597A3E"/>
    <w:rsid w:val="005A01A0"/>
    <w:rsid w:val="005A14BE"/>
    <w:rsid w:val="005A3B54"/>
    <w:rsid w:val="005A492E"/>
    <w:rsid w:val="005A667D"/>
    <w:rsid w:val="005B0352"/>
    <w:rsid w:val="005B0549"/>
    <w:rsid w:val="005B2994"/>
    <w:rsid w:val="005B4331"/>
    <w:rsid w:val="005B5FFA"/>
    <w:rsid w:val="005C043A"/>
    <w:rsid w:val="005C09BF"/>
    <w:rsid w:val="005C6B5E"/>
    <w:rsid w:val="005C702A"/>
    <w:rsid w:val="005D68E2"/>
    <w:rsid w:val="005D6F61"/>
    <w:rsid w:val="005E0723"/>
    <w:rsid w:val="005E2181"/>
    <w:rsid w:val="005F2AE1"/>
    <w:rsid w:val="005F4EB2"/>
    <w:rsid w:val="005F5C90"/>
    <w:rsid w:val="005F7300"/>
    <w:rsid w:val="00602F19"/>
    <w:rsid w:val="00606412"/>
    <w:rsid w:val="006108EA"/>
    <w:rsid w:val="0061268E"/>
    <w:rsid w:val="00614136"/>
    <w:rsid w:val="006151BD"/>
    <w:rsid w:val="0061680A"/>
    <w:rsid w:val="00617BE4"/>
    <w:rsid w:val="00624026"/>
    <w:rsid w:val="006317A2"/>
    <w:rsid w:val="00632B74"/>
    <w:rsid w:val="00635E86"/>
    <w:rsid w:val="006362B3"/>
    <w:rsid w:val="006367AE"/>
    <w:rsid w:val="00640131"/>
    <w:rsid w:val="006413BE"/>
    <w:rsid w:val="00645E31"/>
    <w:rsid w:val="00650027"/>
    <w:rsid w:val="0065197B"/>
    <w:rsid w:val="00654C3A"/>
    <w:rsid w:val="0065569C"/>
    <w:rsid w:val="0065621A"/>
    <w:rsid w:val="00656CA9"/>
    <w:rsid w:val="00657AF2"/>
    <w:rsid w:val="00664143"/>
    <w:rsid w:val="006643A0"/>
    <w:rsid w:val="0066504A"/>
    <w:rsid w:val="00665755"/>
    <w:rsid w:val="00665842"/>
    <w:rsid w:val="00665F15"/>
    <w:rsid w:val="006728FE"/>
    <w:rsid w:val="00673E52"/>
    <w:rsid w:val="00673EFD"/>
    <w:rsid w:val="00677BC3"/>
    <w:rsid w:val="00680002"/>
    <w:rsid w:val="00681C7F"/>
    <w:rsid w:val="00681F22"/>
    <w:rsid w:val="00682EEF"/>
    <w:rsid w:val="006876DB"/>
    <w:rsid w:val="0069065D"/>
    <w:rsid w:val="00692385"/>
    <w:rsid w:val="00692863"/>
    <w:rsid w:val="00692E0B"/>
    <w:rsid w:val="00692F11"/>
    <w:rsid w:val="006930FE"/>
    <w:rsid w:val="00694C3D"/>
    <w:rsid w:val="006A1F7D"/>
    <w:rsid w:val="006B0EFE"/>
    <w:rsid w:val="006B2F0F"/>
    <w:rsid w:val="006B66BD"/>
    <w:rsid w:val="006C11EB"/>
    <w:rsid w:val="006C1D02"/>
    <w:rsid w:val="006C4183"/>
    <w:rsid w:val="006C5879"/>
    <w:rsid w:val="006C59FD"/>
    <w:rsid w:val="006C6A5F"/>
    <w:rsid w:val="006C7790"/>
    <w:rsid w:val="006C7B83"/>
    <w:rsid w:val="006D0994"/>
    <w:rsid w:val="006D3B6F"/>
    <w:rsid w:val="006D4219"/>
    <w:rsid w:val="006D48CB"/>
    <w:rsid w:val="006D5A79"/>
    <w:rsid w:val="006D6082"/>
    <w:rsid w:val="006E0AF9"/>
    <w:rsid w:val="006E0D8F"/>
    <w:rsid w:val="006E13CF"/>
    <w:rsid w:val="006E3D94"/>
    <w:rsid w:val="006E516B"/>
    <w:rsid w:val="006E59F0"/>
    <w:rsid w:val="006E6581"/>
    <w:rsid w:val="006F1592"/>
    <w:rsid w:val="006F549F"/>
    <w:rsid w:val="006F5E8D"/>
    <w:rsid w:val="006F671B"/>
    <w:rsid w:val="00704405"/>
    <w:rsid w:val="00705D19"/>
    <w:rsid w:val="007141D7"/>
    <w:rsid w:val="00715A3C"/>
    <w:rsid w:val="00720D52"/>
    <w:rsid w:val="007210E1"/>
    <w:rsid w:val="00721AE3"/>
    <w:rsid w:val="00722E94"/>
    <w:rsid w:val="007244A8"/>
    <w:rsid w:val="0072568F"/>
    <w:rsid w:val="00731293"/>
    <w:rsid w:val="00734896"/>
    <w:rsid w:val="00737F78"/>
    <w:rsid w:val="00740264"/>
    <w:rsid w:val="00742714"/>
    <w:rsid w:val="00745C53"/>
    <w:rsid w:val="007547BB"/>
    <w:rsid w:val="00755B33"/>
    <w:rsid w:val="00757825"/>
    <w:rsid w:val="00757BE6"/>
    <w:rsid w:val="00757C7F"/>
    <w:rsid w:val="00765391"/>
    <w:rsid w:val="0077031F"/>
    <w:rsid w:val="00772F87"/>
    <w:rsid w:val="00773B86"/>
    <w:rsid w:val="00773E5A"/>
    <w:rsid w:val="00775F52"/>
    <w:rsid w:val="007827C8"/>
    <w:rsid w:val="00783F1C"/>
    <w:rsid w:val="00785F8E"/>
    <w:rsid w:val="007954D5"/>
    <w:rsid w:val="007A4C41"/>
    <w:rsid w:val="007A7667"/>
    <w:rsid w:val="007A7A5A"/>
    <w:rsid w:val="007B4D45"/>
    <w:rsid w:val="007B641A"/>
    <w:rsid w:val="007C1C5B"/>
    <w:rsid w:val="007C32C1"/>
    <w:rsid w:val="007C7442"/>
    <w:rsid w:val="007D25C5"/>
    <w:rsid w:val="007E20D8"/>
    <w:rsid w:val="007E3356"/>
    <w:rsid w:val="007E3A96"/>
    <w:rsid w:val="007E64B5"/>
    <w:rsid w:val="007E71D9"/>
    <w:rsid w:val="007E7551"/>
    <w:rsid w:val="007E79D1"/>
    <w:rsid w:val="007F084E"/>
    <w:rsid w:val="007F72DF"/>
    <w:rsid w:val="00801AE1"/>
    <w:rsid w:val="00803F7C"/>
    <w:rsid w:val="00806FC3"/>
    <w:rsid w:val="00810FD6"/>
    <w:rsid w:val="00811308"/>
    <w:rsid w:val="00811361"/>
    <w:rsid w:val="00813E51"/>
    <w:rsid w:val="00815850"/>
    <w:rsid w:val="00821A07"/>
    <w:rsid w:val="0082358F"/>
    <w:rsid w:val="00824F5A"/>
    <w:rsid w:val="00826C53"/>
    <w:rsid w:val="00831DA0"/>
    <w:rsid w:val="008322FF"/>
    <w:rsid w:val="00832C3E"/>
    <w:rsid w:val="0083305A"/>
    <w:rsid w:val="008339B8"/>
    <w:rsid w:val="008351D4"/>
    <w:rsid w:val="0083733C"/>
    <w:rsid w:val="008402F0"/>
    <w:rsid w:val="008421D7"/>
    <w:rsid w:val="00843046"/>
    <w:rsid w:val="00845085"/>
    <w:rsid w:val="008457DA"/>
    <w:rsid w:val="00845FAE"/>
    <w:rsid w:val="0084648E"/>
    <w:rsid w:val="00846E7C"/>
    <w:rsid w:val="00850CBC"/>
    <w:rsid w:val="00853800"/>
    <w:rsid w:val="00854594"/>
    <w:rsid w:val="008568FD"/>
    <w:rsid w:val="008657C2"/>
    <w:rsid w:val="0086604F"/>
    <w:rsid w:val="00874913"/>
    <w:rsid w:val="00875813"/>
    <w:rsid w:val="00875946"/>
    <w:rsid w:val="0088003E"/>
    <w:rsid w:val="0088048C"/>
    <w:rsid w:val="00880975"/>
    <w:rsid w:val="0088165F"/>
    <w:rsid w:val="00881766"/>
    <w:rsid w:val="00881932"/>
    <w:rsid w:val="008853FA"/>
    <w:rsid w:val="00885B08"/>
    <w:rsid w:val="00887D73"/>
    <w:rsid w:val="00891B93"/>
    <w:rsid w:val="00891F52"/>
    <w:rsid w:val="008933AC"/>
    <w:rsid w:val="00895932"/>
    <w:rsid w:val="00895944"/>
    <w:rsid w:val="00897B7D"/>
    <w:rsid w:val="008A061D"/>
    <w:rsid w:val="008A3121"/>
    <w:rsid w:val="008A3B2F"/>
    <w:rsid w:val="008B0A9A"/>
    <w:rsid w:val="008B2EA4"/>
    <w:rsid w:val="008B383F"/>
    <w:rsid w:val="008B69CB"/>
    <w:rsid w:val="008B73C1"/>
    <w:rsid w:val="008B796E"/>
    <w:rsid w:val="008C442F"/>
    <w:rsid w:val="008C49EE"/>
    <w:rsid w:val="008C4D6F"/>
    <w:rsid w:val="008C7F37"/>
    <w:rsid w:val="008D4B27"/>
    <w:rsid w:val="008D7C8F"/>
    <w:rsid w:val="008E3FA9"/>
    <w:rsid w:val="008E6540"/>
    <w:rsid w:val="008E6899"/>
    <w:rsid w:val="008F0E88"/>
    <w:rsid w:val="008F194D"/>
    <w:rsid w:val="008F19E1"/>
    <w:rsid w:val="008F2D92"/>
    <w:rsid w:val="008F3F2B"/>
    <w:rsid w:val="008F4740"/>
    <w:rsid w:val="008F58B0"/>
    <w:rsid w:val="008F7375"/>
    <w:rsid w:val="009052D6"/>
    <w:rsid w:val="00906B4E"/>
    <w:rsid w:val="00920050"/>
    <w:rsid w:val="009301DC"/>
    <w:rsid w:val="009343B2"/>
    <w:rsid w:val="00934CBC"/>
    <w:rsid w:val="00935606"/>
    <w:rsid w:val="009359EA"/>
    <w:rsid w:val="0093675D"/>
    <w:rsid w:val="00936F45"/>
    <w:rsid w:val="00946CB1"/>
    <w:rsid w:val="0095127D"/>
    <w:rsid w:val="009513AB"/>
    <w:rsid w:val="009518A6"/>
    <w:rsid w:val="00951B51"/>
    <w:rsid w:val="00953011"/>
    <w:rsid w:val="009537DE"/>
    <w:rsid w:val="00954433"/>
    <w:rsid w:val="00956F58"/>
    <w:rsid w:val="00957DA9"/>
    <w:rsid w:val="0096788F"/>
    <w:rsid w:val="00971D96"/>
    <w:rsid w:val="009722AF"/>
    <w:rsid w:val="009759E8"/>
    <w:rsid w:val="009773AA"/>
    <w:rsid w:val="00977809"/>
    <w:rsid w:val="009809AF"/>
    <w:rsid w:val="00981D95"/>
    <w:rsid w:val="0098374F"/>
    <w:rsid w:val="0099176E"/>
    <w:rsid w:val="009917B5"/>
    <w:rsid w:val="0099409E"/>
    <w:rsid w:val="00996D7D"/>
    <w:rsid w:val="009A13BC"/>
    <w:rsid w:val="009A3DAB"/>
    <w:rsid w:val="009A4859"/>
    <w:rsid w:val="009A4DFF"/>
    <w:rsid w:val="009B12BC"/>
    <w:rsid w:val="009B32AB"/>
    <w:rsid w:val="009B32F2"/>
    <w:rsid w:val="009C0DAF"/>
    <w:rsid w:val="009C1BBA"/>
    <w:rsid w:val="009C30A8"/>
    <w:rsid w:val="009C3EB8"/>
    <w:rsid w:val="009C4264"/>
    <w:rsid w:val="009D3A63"/>
    <w:rsid w:val="009D4591"/>
    <w:rsid w:val="009D562E"/>
    <w:rsid w:val="009D5828"/>
    <w:rsid w:val="009D5A2B"/>
    <w:rsid w:val="009D6E93"/>
    <w:rsid w:val="009D78D0"/>
    <w:rsid w:val="009E0028"/>
    <w:rsid w:val="009E2B59"/>
    <w:rsid w:val="009E39A1"/>
    <w:rsid w:val="009E451C"/>
    <w:rsid w:val="009E5DA9"/>
    <w:rsid w:val="009E7807"/>
    <w:rsid w:val="009F45B4"/>
    <w:rsid w:val="009F473B"/>
    <w:rsid w:val="009F6521"/>
    <w:rsid w:val="00A00280"/>
    <w:rsid w:val="00A007EB"/>
    <w:rsid w:val="00A02E8B"/>
    <w:rsid w:val="00A03662"/>
    <w:rsid w:val="00A0464E"/>
    <w:rsid w:val="00A05A80"/>
    <w:rsid w:val="00A1191B"/>
    <w:rsid w:val="00A11F9D"/>
    <w:rsid w:val="00A1272A"/>
    <w:rsid w:val="00A147E4"/>
    <w:rsid w:val="00A17C12"/>
    <w:rsid w:val="00A30B4F"/>
    <w:rsid w:val="00A30E5D"/>
    <w:rsid w:val="00A319A7"/>
    <w:rsid w:val="00A31A42"/>
    <w:rsid w:val="00A33646"/>
    <w:rsid w:val="00A33761"/>
    <w:rsid w:val="00A33FA7"/>
    <w:rsid w:val="00A343FE"/>
    <w:rsid w:val="00A37CDB"/>
    <w:rsid w:val="00A40101"/>
    <w:rsid w:val="00A41A39"/>
    <w:rsid w:val="00A515F6"/>
    <w:rsid w:val="00A51AB1"/>
    <w:rsid w:val="00A51D9C"/>
    <w:rsid w:val="00A52D13"/>
    <w:rsid w:val="00A53507"/>
    <w:rsid w:val="00A53AE0"/>
    <w:rsid w:val="00A55381"/>
    <w:rsid w:val="00A56384"/>
    <w:rsid w:val="00A56451"/>
    <w:rsid w:val="00A627B0"/>
    <w:rsid w:val="00A669DB"/>
    <w:rsid w:val="00A75E78"/>
    <w:rsid w:val="00A76221"/>
    <w:rsid w:val="00A76BC6"/>
    <w:rsid w:val="00A77422"/>
    <w:rsid w:val="00A800C2"/>
    <w:rsid w:val="00A8164A"/>
    <w:rsid w:val="00A818D8"/>
    <w:rsid w:val="00A8234A"/>
    <w:rsid w:val="00A83E38"/>
    <w:rsid w:val="00A86418"/>
    <w:rsid w:val="00A868EA"/>
    <w:rsid w:val="00A8697C"/>
    <w:rsid w:val="00A94037"/>
    <w:rsid w:val="00A960E4"/>
    <w:rsid w:val="00A96199"/>
    <w:rsid w:val="00AA0E17"/>
    <w:rsid w:val="00AA276A"/>
    <w:rsid w:val="00AA4BD9"/>
    <w:rsid w:val="00AA64FC"/>
    <w:rsid w:val="00AA7E15"/>
    <w:rsid w:val="00AB1411"/>
    <w:rsid w:val="00AB4113"/>
    <w:rsid w:val="00AB4CE8"/>
    <w:rsid w:val="00AB63B0"/>
    <w:rsid w:val="00AC13AB"/>
    <w:rsid w:val="00AC363F"/>
    <w:rsid w:val="00AC60B3"/>
    <w:rsid w:val="00AD1712"/>
    <w:rsid w:val="00AD1866"/>
    <w:rsid w:val="00AD1D9B"/>
    <w:rsid w:val="00AD1E4B"/>
    <w:rsid w:val="00AD2F00"/>
    <w:rsid w:val="00AD3B6A"/>
    <w:rsid w:val="00AE3482"/>
    <w:rsid w:val="00AE463C"/>
    <w:rsid w:val="00AE6F73"/>
    <w:rsid w:val="00AF2C64"/>
    <w:rsid w:val="00AF5564"/>
    <w:rsid w:val="00AF604B"/>
    <w:rsid w:val="00B00002"/>
    <w:rsid w:val="00B00BB4"/>
    <w:rsid w:val="00B0300D"/>
    <w:rsid w:val="00B04751"/>
    <w:rsid w:val="00B11744"/>
    <w:rsid w:val="00B17EE5"/>
    <w:rsid w:val="00B20E94"/>
    <w:rsid w:val="00B223AB"/>
    <w:rsid w:val="00B22EE3"/>
    <w:rsid w:val="00B240DF"/>
    <w:rsid w:val="00B305E9"/>
    <w:rsid w:val="00B3127E"/>
    <w:rsid w:val="00B36ADB"/>
    <w:rsid w:val="00B36ED2"/>
    <w:rsid w:val="00B37732"/>
    <w:rsid w:val="00B3784C"/>
    <w:rsid w:val="00B42DD2"/>
    <w:rsid w:val="00B4325E"/>
    <w:rsid w:val="00B43E64"/>
    <w:rsid w:val="00B45114"/>
    <w:rsid w:val="00B47FDD"/>
    <w:rsid w:val="00B51C75"/>
    <w:rsid w:val="00B52DC6"/>
    <w:rsid w:val="00B604F8"/>
    <w:rsid w:val="00B6271D"/>
    <w:rsid w:val="00B64C03"/>
    <w:rsid w:val="00B651B9"/>
    <w:rsid w:val="00B65539"/>
    <w:rsid w:val="00B65A84"/>
    <w:rsid w:val="00B65FEB"/>
    <w:rsid w:val="00B726BF"/>
    <w:rsid w:val="00B728AD"/>
    <w:rsid w:val="00B737CB"/>
    <w:rsid w:val="00B77811"/>
    <w:rsid w:val="00B77A68"/>
    <w:rsid w:val="00B8111F"/>
    <w:rsid w:val="00B84A44"/>
    <w:rsid w:val="00B86D76"/>
    <w:rsid w:val="00B916E0"/>
    <w:rsid w:val="00B95BFF"/>
    <w:rsid w:val="00B968F0"/>
    <w:rsid w:val="00B96E87"/>
    <w:rsid w:val="00B97560"/>
    <w:rsid w:val="00B97EFA"/>
    <w:rsid w:val="00BA2DEF"/>
    <w:rsid w:val="00BA42D8"/>
    <w:rsid w:val="00BA70A6"/>
    <w:rsid w:val="00BC0BD2"/>
    <w:rsid w:val="00BC39AB"/>
    <w:rsid w:val="00BC555B"/>
    <w:rsid w:val="00BC616D"/>
    <w:rsid w:val="00BD06B7"/>
    <w:rsid w:val="00BD1B59"/>
    <w:rsid w:val="00BD2671"/>
    <w:rsid w:val="00BD4641"/>
    <w:rsid w:val="00BD53FE"/>
    <w:rsid w:val="00BE11EF"/>
    <w:rsid w:val="00BE2021"/>
    <w:rsid w:val="00BE4720"/>
    <w:rsid w:val="00BE7F87"/>
    <w:rsid w:val="00BF2674"/>
    <w:rsid w:val="00BF28AE"/>
    <w:rsid w:val="00BF3D1C"/>
    <w:rsid w:val="00BF3D57"/>
    <w:rsid w:val="00C01588"/>
    <w:rsid w:val="00C034EC"/>
    <w:rsid w:val="00C10AA3"/>
    <w:rsid w:val="00C12384"/>
    <w:rsid w:val="00C12899"/>
    <w:rsid w:val="00C13E75"/>
    <w:rsid w:val="00C14C3E"/>
    <w:rsid w:val="00C15732"/>
    <w:rsid w:val="00C1711D"/>
    <w:rsid w:val="00C17163"/>
    <w:rsid w:val="00C231ED"/>
    <w:rsid w:val="00C30664"/>
    <w:rsid w:val="00C30E25"/>
    <w:rsid w:val="00C311D2"/>
    <w:rsid w:val="00C31B08"/>
    <w:rsid w:val="00C33719"/>
    <w:rsid w:val="00C35FBE"/>
    <w:rsid w:val="00C362B7"/>
    <w:rsid w:val="00C37444"/>
    <w:rsid w:val="00C4038F"/>
    <w:rsid w:val="00C425EA"/>
    <w:rsid w:val="00C44B71"/>
    <w:rsid w:val="00C52285"/>
    <w:rsid w:val="00C5272A"/>
    <w:rsid w:val="00C5300C"/>
    <w:rsid w:val="00C53A68"/>
    <w:rsid w:val="00C53B33"/>
    <w:rsid w:val="00C615D7"/>
    <w:rsid w:val="00C61C46"/>
    <w:rsid w:val="00C63CFE"/>
    <w:rsid w:val="00C65D8A"/>
    <w:rsid w:val="00C6677C"/>
    <w:rsid w:val="00C7379E"/>
    <w:rsid w:val="00C73BA2"/>
    <w:rsid w:val="00C750D1"/>
    <w:rsid w:val="00C767F2"/>
    <w:rsid w:val="00C76EE1"/>
    <w:rsid w:val="00C81233"/>
    <w:rsid w:val="00C84065"/>
    <w:rsid w:val="00C853EC"/>
    <w:rsid w:val="00C8571E"/>
    <w:rsid w:val="00C92716"/>
    <w:rsid w:val="00C94661"/>
    <w:rsid w:val="00C94EFE"/>
    <w:rsid w:val="00C94FA2"/>
    <w:rsid w:val="00C9632D"/>
    <w:rsid w:val="00C972AA"/>
    <w:rsid w:val="00CA18C2"/>
    <w:rsid w:val="00CA2177"/>
    <w:rsid w:val="00CA267F"/>
    <w:rsid w:val="00CA3EEF"/>
    <w:rsid w:val="00CA5066"/>
    <w:rsid w:val="00CA5277"/>
    <w:rsid w:val="00CB07B8"/>
    <w:rsid w:val="00CB2728"/>
    <w:rsid w:val="00CB4B48"/>
    <w:rsid w:val="00CC0E1C"/>
    <w:rsid w:val="00CC0ED6"/>
    <w:rsid w:val="00CC6195"/>
    <w:rsid w:val="00CC6752"/>
    <w:rsid w:val="00CD2880"/>
    <w:rsid w:val="00CD52A1"/>
    <w:rsid w:val="00CD753C"/>
    <w:rsid w:val="00CE0CF5"/>
    <w:rsid w:val="00CE0FAD"/>
    <w:rsid w:val="00CE4624"/>
    <w:rsid w:val="00CE4D25"/>
    <w:rsid w:val="00CE6515"/>
    <w:rsid w:val="00CE75DA"/>
    <w:rsid w:val="00CE7B9A"/>
    <w:rsid w:val="00D0000D"/>
    <w:rsid w:val="00D005A7"/>
    <w:rsid w:val="00D03750"/>
    <w:rsid w:val="00D03C24"/>
    <w:rsid w:val="00D055AE"/>
    <w:rsid w:val="00D10E12"/>
    <w:rsid w:val="00D11919"/>
    <w:rsid w:val="00D138FE"/>
    <w:rsid w:val="00D13CA7"/>
    <w:rsid w:val="00D14B2E"/>
    <w:rsid w:val="00D1693D"/>
    <w:rsid w:val="00D21D8F"/>
    <w:rsid w:val="00D23F4E"/>
    <w:rsid w:val="00D26360"/>
    <w:rsid w:val="00D34754"/>
    <w:rsid w:val="00D34939"/>
    <w:rsid w:val="00D36DB6"/>
    <w:rsid w:val="00D37185"/>
    <w:rsid w:val="00D3798B"/>
    <w:rsid w:val="00D40703"/>
    <w:rsid w:val="00D407FA"/>
    <w:rsid w:val="00D434C6"/>
    <w:rsid w:val="00D459EC"/>
    <w:rsid w:val="00D46D2F"/>
    <w:rsid w:val="00D474DB"/>
    <w:rsid w:val="00D51596"/>
    <w:rsid w:val="00D51AFA"/>
    <w:rsid w:val="00D5332A"/>
    <w:rsid w:val="00D54182"/>
    <w:rsid w:val="00D548B6"/>
    <w:rsid w:val="00D55A41"/>
    <w:rsid w:val="00D66AB8"/>
    <w:rsid w:val="00D66C16"/>
    <w:rsid w:val="00D7014D"/>
    <w:rsid w:val="00D7408C"/>
    <w:rsid w:val="00D7594B"/>
    <w:rsid w:val="00D76FD8"/>
    <w:rsid w:val="00D80773"/>
    <w:rsid w:val="00D80909"/>
    <w:rsid w:val="00D81981"/>
    <w:rsid w:val="00D81EAF"/>
    <w:rsid w:val="00D833F2"/>
    <w:rsid w:val="00D83B0A"/>
    <w:rsid w:val="00D858F4"/>
    <w:rsid w:val="00D8623E"/>
    <w:rsid w:val="00D87DAB"/>
    <w:rsid w:val="00D91E69"/>
    <w:rsid w:val="00D930B8"/>
    <w:rsid w:val="00D935C0"/>
    <w:rsid w:val="00D95610"/>
    <w:rsid w:val="00DA0241"/>
    <w:rsid w:val="00DA0630"/>
    <w:rsid w:val="00DA424B"/>
    <w:rsid w:val="00DA49F7"/>
    <w:rsid w:val="00DA5393"/>
    <w:rsid w:val="00DB2226"/>
    <w:rsid w:val="00DB639B"/>
    <w:rsid w:val="00DB6546"/>
    <w:rsid w:val="00DB7911"/>
    <w:rsid w:val="00DC1CA2"/>
    <w:rsid w:val="00DC75B3"/>
    <w:rsid w:val="00DD1440"/>
    <w:rsid w:val="00DD1CEE"/>
    <w:rsid w:val="00DD292A"/>
    <w:rsid w:val="00DD5E95"/>
    <w:rsid w:val="00DE3559"/>
    <w:rsid w:val="00DE46FE"/>
    <w:rsid w:val="00DE615F"/>
    <w:rsid w:val="00DE6AAC"/>
    <w:rsid w:val="00DE7EF7"/>
    <w:rsid w:val="00DF5C49"/>
    <w:rsid w:val="00E00B19"/>
    <w:rsid w:val="00E019F0"/>
    <w:rsid w:val="00E06A3F"/>
    <w:rsid w:val="00E11918"/>
    <w:rsid w:val="00E1471D"/>
    <w:rsid w:val="00E17546"/>
    <w:rsid w:val="00E1759F"/>
    <w:rsid w:val="00E212A0"/>
    <w:rsid w:val="00E239C9"/>
    <w:rsid w:val="00E24B99"/>
    <w:rsid w:val="00E268A8"/>
    <w:rsid w:val="00E26C4D"/>
    <w:rsid w:val="00E273B3"/>
    <w:rsid w:val="00E34317"/>
    <w:rsid w:val="00E40762"/>
    <w:rsid w:val="00E40F81"/>
    <w:rsid w:val="00E416E5"/>
    <w:rsid w:val="00E42CCB"/>
    <w:rsid w:val="00E42D2D"/>
    <w:rsid w:val="00E447DF"/>
    <w:rsid w:val="00E44D2E"/>
    <w:rsid w:val="00E45FEF"/>
    <w:rsid w:val="00E52320"/>
    <w:rsid w:val="00E5497B"/>
    <w:rsid w:val="00E56C18"/>
    <w:rsid w:val="00E6337D"/>
    <w:rsid w:val="00E65C18"/>
    <w:rsid w:val="00E67B47"/>
    <w:rsid w:val="00E7123A"/>
    <w:rsid w:val="00E72200"/>
    <w:rsid w:val="00E74F7C"/>
    <w:rsid w:val="00E77868"/>
    <w:rsid w:val="00E86D1C"/>
    <w:rsid w:val="00E8781B"/>
    <w:rsid w:val="00E92754"/>
    <w:rsid w:val="00E9425E"/>
    <w:rsid w:val="00E94324"/>
    <w:rsid w:val="00E96147"/>
    <w:rsid w:val="00E9668C"/>
    <w:rsid w:val="00EA0ADF"/>
    <w:rsid w:val="00EA0B02"/>
    <w:rsid w:val="00EA1B56"/>
    <w:rsid w:val="00EA2682"/>
    <w:rsid w:val="00EA27A4"/>
    <w:rsid w:val="00EA672D"/>
    <w:rsid w:val="00EA75E0"/>
    <w:rsid w:val="00EB1328"/>
    <w:rsid w:val="00EB1DFC"/>
    <w:rsid w:val="00EB21F1"/>
    <w:rsid w:val="00EB23E1"/>
    <w:rsid w:val="00EB258D"/>
    <w:rsid w:val="00EB35F6"/>
    <w:rsid w:val="00EB374B"/>
    <w:rsid w:val="00EC2969"/>
    <w:rsid w:val="00EC790D"/>
    <w:rsid w:val="00ED053B"/>
    <w:rsid w:val="00ED4BB9"/>
    <w:rsid w:val="00ED6804"/>
    <w:rsid w:val="00ED760A"/>
    <w:rsid w:val="00ED7E85"/>
    <w:rsid w:val="00EE1B47"/>
    <w:rsid w:val="00EE1E9C"/>
    <w:rsid w:val="00EE1FD0"/>
    <w:rsid w:val="00EE3361"/>
    <w:rsid w:val="00EE3C97"/>
    <w:rsid w:val="00EE3E0B"/>
    <w:rsid w:val="00EE415C"/>
    <w:rsid w:val="00EE63DE"/>
    <w:rsid w:val="00EF15C2"/>
    <w:rsid w:val="00EF42B6"/>
    <w:rsid w:val="00EF44B4"/>
    <w:rsid w:val="00EF7346"/>
    <w:rsid w:val="00F01BBF"/>
    <w:rsid w:val="00F06822"/>
    <w:rsid w:val="00F07D2A"/>
    <w:rsid w:val="00F106DD"/>
    <w:rsid w:val="00F12754"/>
    <w:rsid w:val="00F138EA"/>
    <w:rsid w:val="00F13EA8"/>
    <w:rsid w:val="00F162B5"/>
    <w:rsid w:val="00F22083"/>
    <w:rsid w:val="00F22638"/>
    <w:rsid w:val="00F227D9"/>
    <w:rsid w:val="00F25024"/>
    <w:rsid w:val="00F25E5D"/>
    <w:rsid w:val="00F30390"/>
    <w:rsid w:val="00F33CCE"/>
    <w:rsid w:val="00F35DE6"/>
    <w:rsid w:val="00F35E94"/>
    <w:rsid w:val="00F37E92"/>
    <w:rsid w:val="00F45D1C"/>
    <w:rsid w:val="00F50637"/>
    <w:rsid w:val="00F542A8"/>
    <w:rsid w:val="00F55243"/>
    <w:rsid w:val="00F56B3F"/>
    <w:rsid w:val="00F56F6F"/>
    <w:rsid w:val="00F57E00"/>
    <w:rsid w:val="00F600EC"/>
    <w:rsid w:val="00F6159E"/>
    <w:rsid w:val="00F70A18"/>
    <w:rsid w:val="00F71959"/>
    <w:rsid w:val="00F71EB7"/>
    <w:rsid w:val="00F762AF"/>
    <w:rsid w:val="00F80CA0"/>
    <w:rsid w:val="00F8123A"/>
    <w:rsid w:val="00F830CF"/>
    <w:rsid w:val="00F879F1"/>
    <w:rsid w:val="00F93BF0"/>
    <w:rsid w:val="00F94E7E"/>
    <w:rsid w:val="00F95F77"/>
    <w:rsid w:val="00FA0006"/>
    <w:rsid w:val="00FA1B04"/>
    <w:rsid w:val="00FA2ADB"/>
    <w:rsid w:val="00FA2EC9"/>
    <w:rsid w:val="00FA364E"/>
    <w:rsid w:val="00FA4804"/>
    <w:rsid w:val="00FA6CAC"/>
    <w:rsid w:val="00FB1270"/>
    <w:rsid w:val="00FB715E"/>
    <w:rsid w:val="00FC0CE7"/>
    <w:rsid w:val="00FC6351"/>
    <w:rsid w:val="00FD05BD"/>
    <w:rsid w:val="00FD100F"/>
    <w:rsid w:val="00FD2AF1"/>
    <w:rsid w:val="00FD7202"/>
    <w:rsid w:val="00FE01CF"/>
    <w:rsid w:val="00FE16FD"/>
    <w:rsid w:val="00FE262F"/>
    <w:rsid w:val="00FE62F4"/>
    <w:rsid w:val="00FF46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0DB62"/>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ajorBidi" w:eastAsiaTheme="minorHAnsi" w:hAnsiTheme="majorBidi" w:cstheme="majorBidi"/>
        <w:color w:val="000000" w:themeColor="text1"/>
        <w:sz w:val="24"/>
        <w:szCs w:val="24"/>
        <w:u w:color="000000"/>
        <w:lang w:val="en-GB"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0225CB"/>
    <w:pPr>
      <w:pBdr>
        <w:top w:val="nil"/>
        <w:left w:val="nil"/>
        <w:bottom w:val="nil"/>
        <w:right w:val="nil"/>
        <w:between w:val="nil"/>
        <w:bar w:val="nil"/>
      </w:pBdr>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rsid w:val="004B3D6D"/>
    <w:pPr>
      <w:pBdr>
        <w:top w:val="nil"/>
        <w:left w:val="nil"/>
        <w:bottom w:val="nil"/>
        <w:right w:val="nil"/>
        <w:between w:val="nil"/>
        <w:bar w:val="nil"/>
      </w:pBdr>
      <w:spacing w:line="480" w:lineRule="auto"/>
      <w:jc w:val="both"/>
    </w:pPr>
    <w:rPr>
      <w:rFonts w:ascii="Times New Roman" w:eastAsia="Arial Unicode MS" w:hAnsi="Times New Roman" w:cs="Arial Unicode MS"/>
      <w:color w:val="000000"/>
      <w:szCs w:val="23"/>
      <w:bdr w:val="nil"/>
      <w:lang w:val="en-US"/>
    </w:rPr>
  </w:style>
  <w:style w:type="character" w:styleId="CommentReference">
    <w:name w:val="annotation reference"/>
    <w:basedOn w:val="DefaultParagraphFont"/>
    <w:uiPriority w:val="99"/>
    <w:unhideWhenUsed/>
    <w:rsid w:val="000225CB"/>
    <w:rPr>
      <w:sz w:val="18"/>
      <w:szCs w:val="18"/>
    </w:rPr>
  </w:style>
  <w:style w:type="paragraph" w:styleId="CommentText">
    <w:name w:val="annotation text"/>
    <w:basedOn w:val="Normal"/>
    <w:link w:val="CommentTextChar"/>
    <w:uiPriority w:val="99"/>
    <w:unhideWhenUsed/>
    <w:rsid w:val="000225CB"/>
  </w:style>
  <w:style w:type="character" w:customStyle="1" w:styleId="CommentTextChar">
    <w:name w:val="Comment Text Char"/>
    <w:basedOn w:val="DefaultParagraphFont"/>
    <w:link w:val="CommentText"/>
    <w:uiPriority w:val="99"/>
    <w:rsid w:val="000225CB"/>
    <w:rPr>
      <w:rFonts w:ascii="Times New Roman" w:eastAsia="Arial Unicode MS" w:hAnsi="Times New Roman" w:cs="Times New Roman"/>
      <w:bdr w:val="nil"/>
      <w:lang w:val="en-US"/>
    </w:rPr>
  </w:style>
  <w:style w:type="paragraph" w:styleId="BalloonText">
    <w:name w:val="Balloon Text"/>
    <w:basedOn w:val="Normal"/>
    <w:link w:val="BalloonTextChar"/>
    <w:uiPriority w:val="99"/>
    <w:semiHidden/>
    <w:unhideWhenUsed/>
    <w:rsid w:val="000225CB"/>
    <w:rPr>
      <w:sz w:val="18"/>
      <w:szCs w:val="18"/>
    </w:rPr>
  </w:style>
  <w:style w:type="character" w:customStyle="1" w:styleId="BalloonTextChar">
    <w:name w:val="Balloon Text Char"/>
    <w:basedOn w:val="DefaultParagraphFont"/>
    <w:link w:val="BalloonText"/>
    <w:uiPriority w:val="99"/>
    <w:semiHidden/>
    <w:rsid w:val="000225CB"/>
    <w:rPr>
      <w:rFonts w:ascii="Times New Roman" w:eastAsia="Arial Unicode MS" w:hAnsi="Times New Roman" w:cs="Times New Roman"/>
      <w:sz w:val="18"/>
      <w:szCs w:val="18"/>
      <w:bdr w:val="nil"/>
      <w:lang w:val="en-US"/>
    </w:rPr>
  </w:style>
  <w:style w:type="paragraph" w:styleId="CommentSubject">
    <w:name w:val="annotation subject"/>
    <w:basedOn w:val="CommentText"/>
    <w:next w:val="CommentText"/>
    <w:link w:val="CommentSubjectChar"/>
    <w:uiPriority w:val="99"/>
    <w:semiHidden/>
    <w:unhideWhenUsed/>
    <w:rsid w:val="00211B65"/>
    <w:rPr>
      <w:b/>
      <w:bCs/>
      <w:sz w:val="20"/>
      <w:szCs w:val="20"/>
    </w:rPr>
  </w:style>
  <w:style w:type="character" w:customStyle="1" w:styleId="CommentSubjectChar">
    <w:name w:val="Comment Subject Char"/>
    <w:basedOn w:val="CommentTextChar"/>
    <w:link w:val="CommentSubject"/>
    <w:uiPriority w:val="99"/>
    <w:semiHidden/>
    <w:rsid w:val="00211B65"/>
    <w:rPr>
      <w:rFonts w:ascii="Times New Roman" w:eastAsia="Arial Unicode MS" w:hAnsi="Times New Roman" w:cs="Times New Roman"/>
      <w:b/>
      <w:bCs/>
      <w:sz w:val="20"/>
      <w:szCs w:val="20"/>
      <w:bdr w:val="nil"/>
      <w:lang w:val="en-US"/>
    </w:rPr>
  </w:style>
  <w:style w:type="paragraph" w:styleId="Header">
    <w:name w:val="header"/>
    <w:basedOn w:val="Normal"/>
    <w:link w:val="HeaderChar"/>
    <w:uiPriority w:val="99"/>
    <w:unhideWhenUsed/>
    <w:rsid w:val="00211B65"/>
    <w:pPr>
      <w:tabs>
        <w:tab w:val="center" w:pos="4513"/>
        <w:tab w:val="right" w:pos="9026"/>
      </w:tabs>
    </w:pPr>
  </w:style>
  <w:style w:type="character" w:customStyle="1" w:styleId="HeaderChar">
    <w:name w:val="Header Char"/>
    <w:basedOn w:val="DefaultParagraphFont"/>
    <w:link w:val="Header"/>
    <w:uiPriority w:val="99"/>
    <w:rsid w:val="00211B65"/>
    <w:rPr>
      <w:rFonts w:ascii="Times New Roman" w:eastAsia="Arial Unicode MS" w:hAnsi="Times New Roman" w:cs="Times New Roman"/>
      <w:bdr w:val="nil"/>
      <w:lang w:val="en-US"/>
    </w:rPr>
  </w:style>
  <w:style w:type="paragraph" w:styleId="Footer">
    <w:name w:val="footer"/>
    <w:basedOn w:val="Normal"/>
    <w:link w:val="FooterChar"/>
    <w:uiPriority w:val="99"/>
    <w:unhideWhenUsed/>
    <w:rsid w:val="00211B65"/>
    <w:pPr>
      <w:tabs>
        <w:tab w:val="center" w:pos="4513"/>
        <w:tab w:val="right" w:pos="9026"/>
      </w:tabs>
    </w:pPr>
  </w:style>
  <w:style w:type="character" w:customStyle="1" w:styleId="FooterChar">
    <w:name w:val="Footer Char"/>
    <w:basedOn w:val="DefaultParagraphFont"/>
    <w:link w:val="Footer"/>
    <w:uiPriority w:val="99"/>
    <w:rsid w:val="00211B65"/>
    <w:rPr>
      <w:rFonts w:ascii="Times New Roman" w:eastAsia="Arial Unicode MS" w:hAnsi="Times New Roman" w:cs="Times New Roman"/>
      <w:bdr w:val="nil"/>
      <w:lang w:val="en-US"/>
    </w:rPr>
  </w:style>
  <w:style w:type="character" w:styleId="PageNumber">
    <w:name w:val="page number"/>
    <w:basedOn w:val="DefaultParagraphFont"/>
    <w:uiPriority w:val="99"/>
    <w:semiHidden/>
    <w:unhideWhenUsed/>
    <w:rsid w:val="000A1B32"/>
  </w:style>
  <w:style w:type="paragraph" w:customStyle="1" w:styleId="p1">
    <w:name w:val="p1"/>
    <w:basedOn w:val="Normal"/>
    <w:rsid w:val="00596AEF"/>
    <w:pPr>
      <w:pBdr>
        <w:top w:val="none" w:sz="0" w:space="0" w:color="auto"/>
        <w:left w:val="none" w:sz="0" w:space="0" w:color="auto"/>
        <w:bottom w:val="none" w:sz="0" w:space="0" w:color="auto"/>
        <w:right w:val="none" w:sz="0" w:space="0" w:color="auto"/>
        <w:between w:val="none" w:sz="0" w:space="0" w:color="auto"/>
        <w:bar w:val="none" w:sz="0" w:color="auto"/>
      </w:pBdr>
    </w:pPr>
    <w:rPr>
      <w:sz w:val="17"/>
      <w:szCs w:val="17"/>
    </w:rPr>
  </w:style>
  <w:style w:type="paragraph" w:styleId="FootnoteText">
    <w:name w:val="footnote text"/>
    <w:basedOn w:val="Normal"/>
    <w:link w:val="FootnoteTextChar"/>
    <w:uiPriority w:val="99"/>
    <w:unhideWhenUsed/>
    <w:rsid w:val="00E00B19"/>
  </w:style>
  <w:style w:type="character" w:customStyle="1" w:styleId="FootnoteTextChar">
    <w:name w:val="Footnote Text Char"/>
    <w:basedOn w:val="DefaultParagraphFont"/>
    <w:link w:val="FootnoteText"/>
    <w:uiPriority w:val="99"/>
    <w:rsid w:val="00E00B19"/>
    <w:rPr>
      <w:rFonts w:ascii="Times New Roman" w:eastAsia="Arial Unicode MS" w:hAnsi="Times New Roman" w:cs="Times New Roman"/>
      <w:bdr w:val="nil"/>
      <w:lang w:val="en-US"/>
    </w:rPr>
  </w:style>
  <w:style w:type="character" w:styleId="FootnoteReference">
    <w:name w:val="footnote reference"/>
    <w:basedOn w:val="DefaultParagraphFont"/>
    <w:uiPriority w:val="99"/>
    <w:unhideWhenUsed/>
    <w:rsid w:val="00E00B19"/>
    <w:rPr>
      <w:vertAlign w:val="superscript"/>
    </w:rPr>
  </w:style>
  <w:style w:type="character" w:styleId="Hyperlink">
    <w:name w:val="Hyperlink"/>
    <w:rsid w:val="00881932"/>
    <w:rPr>
      <w:u w:val="single"/>
    </w:rPr>
  </w:style>
  <w:style w:type="paragraph" w:customStyle="1" w:styleId="Citations">
    <w:name w:val="Citations"/>
    <w:rsid w:val="00740264"/>
    <w:pPr>
      <w:pBdr>
        <w:top w:val="nil"/>
        <w:left w:val="nil"/>
        <w:bottom w:val="nil"/>
        <w:right w:val="nil"/>
        <w:between w:val="nil"/>
        <w:bar w:val="nil"/>
      </w:pBdr>
      <w:ind w:left="567" w:right="567"/>
      <w:jc w:val="both"/>
    </w:pPr>
    <w:rPr>
      <w:rFonts w:ascii="Times New Roman" w:eastAsia="Arial Unicode MS" w:hAnsi="Times New Roman" w:cs="Arial Unicode MS"/>
      <w:color w:val="000000"/>
      <w:bdr w:val="nil"/>
      <w:lang w:val="en-US"/>
    </w:rPr>
  </w:style>
  <w:style w:type="character" w:customStyle="1" w:styleId="invisible">
    <w:name w:val="invisible"/>
    <w:basedOn w:val="DefaultParagraphFont"/>
    <w:rsid w:val="00C53B33"/>
  </w:style>
  <w:style w:type="character" w:customStyle="1" w:styleId="js-display-url">
    <w:name w:val="js-display-url"/>
    <w:basedOn w:val="DefaultParagraphFont"/>
    <w:rsid w:val="00C53B33"/>
  </w:style>
  <w:style w:type="paragraph" w:styleId="ListParagraph">
    <w:name w:val="List Paragraph"/>
    <w:basedOn w:val="Normal"/>
    <w:uiPriority w:val="34"/>
    <w:qFormat/>
    <w:rsid w:val="00832C3E"/>
    <w:pPr>
      <w:ind w:left="720"/>
      <w:contextualSpacing/>
    </w:pPr>
  </w:style>
  <w:style w:type="paragraph" w:styleId="Bibliography">
    <w:name w:val="Bibliography"/>
    <w:basedOn w:val="Normal"/>
    <w:next w:val="Normal"/>
    <w:uiPriority w:val="37"/>
    <w:unhideWhenUsed/>
    <w:rsid w:val="00FE16FD"/>
    <w:pPr>
      <w:spacing w:line="480" w:lineRule="auto"/>
      <w:ind w:left="720" w:hanging="720"/>
    </w:pPr>
  </w:style>
  <w:style w:type="paragraph" w:styleId="Revision">
    <w:name w:val="Revision"/>
    <w:hidden/>
    <w:uiPriority w:val="99"/>
    <w:semiHidden/>
    <w:rsid w:val="00FE62F4"/>
  </w:style>
  <w:style w:type="character" w:styleId="EndnoteReference">
    <w:name w:val="endnote reference"/>
    <w:basedOn w:val="DefaultParagraphFont"/>
    <w:uiPriority w:val="99"/>
    <w:semiHidden/>
    <w:unhideWhenUsed/>
    <w:rsid w:val="00665842"/>
    <w:rPr>
      <w:vertAlign w:val="superscript"/>
    </w:rPr>
  </w:style>
  <w:style w:type="paragraph" w:styleId="NormalWeb">
    <w:name w:val="Normal (Web)"/>
    <w:basedOn w:val="Normal"/>
    <w:uiPriority w:val="99"/>
    <w:unhideWhenUsed/>
    <w:rsid w:val="00606412"/>
    <w:pPr>
      <w:pBdr>
        <w:top w:val="none" w:sz="0" w:space="0" w:color="auto"/>
        <w:left w:val="none" w:sz="0" w:space="0" w:color="auto"/>
        <w:bottom w:val="none" w:sz="0" w:space="0" w:color="auto"/>
        <w:right w:val="none" w:sz="0" w:space="0" w:color="auto"/>
        <w:between w:val="none" w:sz="0" w:space="0" w:color="auto"/>
        <w:bar w:val="none" w:sz="0" w:color="auto"/>
      </w:pBdr>
      <w:spacing w:before="96" w:after="120" w:line="360" w:lineRule="atLeast"/>
    </w:pPr>
    <w:rPr>
      <w:rFonts w:ascii="Times New Roman" w:eastAsia="Times New Roman" w:hAnsi="Times New Roman" w:cs="Times New Roman"/>
      <w:color w:val="auto"/>
      <w:lang w:val="en-US" w:eastAsia="nl-NL" w:bidi="he-IL"/>
    </w:rPr>
  </w:style>
  <w:style w:type="character" w:customStyle="1" w:styleId="personname">
    <w:name w:val="person_name"/>
    <w:rsid w:val="00BC555B"/>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380938">
      <w:bodyDiv w:val="1"/>
      <w:marLeft w:val="0"/>
      <w:marRight w:val="0"/>
      <w:marTop w:val="0"/>
      <w:marBottom w:val="0"/>
      <w:divBdr>
        <w:top w:val="none" w:sz="0" w:space="0" w:color="auto"/>
        <w:left w:val="none" w:sz="0" w:space="0" w:color="auto"/>
        <w:bottom w:val="none" w:sz="0" w:space="0" w:color="auto"/>
        <w:right w:val="none" w:sz="0" w:space="0" w:color="auto"/>
      </w:divBdr>
    </w:div>
    <w:div w:id="245846287">
      <w:bodyDiv w:val="1"/>
      <w:marLeft w:val="0"/>
      <w:marRight w:val="0"/>
      <w:marTop w:val="0"/>
      <w:marBottom w:val="0"/>
      <w:divBdr>
        <w:top w:val="none" w:sz="0" w:space="0" w:color="auto"/>
        <w:left w:val="none" w:sz="0" w:space="0" w:color="auto"/>
        <w:bottom w:val="none" w:sz="0" w:space="0" w:color="auto"/>
        <w:right w:val="none" w:sz="0" w:space="0" w:color="auto"/>
      </w:divBdr>
    </w:div>
    <w:div w:id="493183140">
      <w:bodyDiv w:val="1"/>
      <w:marLeft w:val="0"/>
      <w:marRight w:val="0"/>
      <w:marTop w:val="0"/>
      <w:marBottom w:val="0"/>
      <w:divBdr>
        <w:top w:val="none" w:sz="0" w:space="0" w:color="auto"/>
        <w:left w:val="none" w:sz="0" w:space="0" w:color="auto"/>
        <w:bottom w:val="none" w:sz="0" w:space="0" w:color="auto"/>
        <w:right w:val="none" w:sz="0" w:space="0" w:color="auto"/>
      </w:divBdr>
    </w:div>
    <w:div w:id="642932013">
      <w:bodyDiv w:val="1"/>
      <w:marLeft w:val="0"/>
      <w:marRight w:val="0"/>
      <w:marTop w:val="0"/>
      <w:marBottom w:val="0"/>
      <w:divBdr>
        <w:top w:val="none" w:sz="0" w:space="0" w:color="auto"/>
        <w:left w:val="none" w:sz="0" w:space="0" w:color="auto"/>
        <w:bottom w:val="none" w:sz="0" w:space="0" w:color="auto"/>
        <w:right w:val="none" w:sz="0" w:space="0" w:color="auto"/>
      </w:divBdr>
    </w:div>
    <w:div w:id="685713163">
      <w:bodyDiv w:val="1"/>
      <w:marLeft w:val="0"/>
      <w:marRight w:val="0"/>
      <w:marTop w:val="0"/>
      <w:marBottom w:val="0"/>
      <w:divBdr>
        <w:top w:val="none" w:sz="0" w:space="0" w:color="auto"/>
        <w:left w:val="none" w:sz="0" w:space="0" w:color="auto"/>
        <w:bottom w:val="none" w:sz="0" w:space="0" w:color="auto"/>
        <w:right w:val="none" w:sz="0" w:space="0" w:color="auto"/>
      </w:divBdr>
    </w:div>
    <w:div w:id="770584829">
      <w:bodyDiv w:val="1"/>
      <w:marLeft w:val="0"/>
      <w:marRight w:val="0"/>
      <w:marTop w:val="0"/>
      <w:marBottom w:val="0"/>
      <w:divBdr>
        <w:top w:val="none" w:sz="0" w:space="0" w:color="auto"/>
        <w:left w:val="none" w:sz="0" w:space="0" w:color="auto"/>
        <w:bottom w:val="none" w:sz="0" w:space="0" w:color="auto"/>
        <w:right w:val="none" w:sz="0" w:space="0" w:color="auto"/>
      </w:divBdr>
    </w:div>
    <w:div w:id="873422114">
      <w:bodyDiv w:val="1"/>
      <w:marLeft w:val="0"/>
      <w:marRight w:val="0"/>
      <w:marTop w:val="0"/>
      <w:marBottom w:val="0"/>
      <w:divBdr>
        <w:top w:val="none" w:sz="0" w:space="0" w:color="auto"/>
        <w:left w:val="none" w:sz="0" w:space="0" w:color="auto"/>
        <w:bottom w:val="none" w:sz="0" w:space="0" w:color="auto"/>
        <w:right w:val="none" w:sz="0" w:space="0" w:color="auto"/>
      </w:divBdr>
    </w:div>
    <w:div w:id="876240964">
      <w:bodyDiv w:val="1"/>
      <w:marLeft w:val="0"/>
      <w:marRight w:val="0"/>
      <w:marTop w:val="0"/>
      <w:marBottom w:val="0"/>
      <w:divBdr>
        <w:top w:val="none" w:sz="0" w:space="0" w:color="auto"/>
        <w:left w:val="none" w:sz="0" w:space="0" w:color="auto"/>
        <w:bottom w:val="none" w:sz="0" w:space="0" w:color="auto"/>
        <w:right w:val="none" w:sz="0" w:space="0" w:color="auto"/>
      </w:divBdr>
    </w:div>
    <w:div w:id="984243473">
      <w:bodyDiv w:val="1"/>
      <w:marLeft w:val="0"/>
      <w:marRight w:val="0"/>
      <w:marTop w:val="0"/>
      <w:marBottom w:val="0"/>
      <w:divBdr>
        <w:top w:val="none" w:sz="0" w:space="0" w:color="auto"/>
        <w:left w:val="none" w:sz="0" w:space="0" w:color="auto"/>
        <w:bottom w:val="none" w:sz="0" w:space="0" w:color="auto"/>
        <w:right w:val="none" w:sz="0" w:space="0" w:color="auto"/>
      </w:divBdr>
      <w:divsChild>
        <w:div w:id="486475997">
          <w:marLeft w:val="0"/>
          <w:marRight w:val="0"/>
          <w:marTop w:val="0"/>
          <w:marBottom w:val="0"/>
          <w:divBdr>
            <w:top w:val="none" w:sz="0" w:space="0" w:color="auto"/>
            <w:left w:val="none" w:sz="0" w:space="0" w:color="auto"/>
            <w:bottom w:val="none" w:sz="0" w:space="0" w:color="auto"/>
            <w:right w:val="none" w:sz="0" w:space="0" w:color="auto"/>
          </w:divBdr>
        </w:div>
      </w:divsChild>
    </w:div>
    <w:div w:id="1118910166">
      <w:bodyDiv w:val="1"/>
      <w:marLeft w:val="0"/>
      <w:marRight w:val="0"/>
      <w:marTop w:val="0"/>
      <w:marBottom w:val="0"/>
      <w:divBdr>
        <w:top w:val="none" w:sz="0" w:space="0" w:color="auto"/>
        <w:left w:val="none" w:sz="0" w:space="0" w:color="auto"/>
        <w:bottom w:val="none" w:sz="0" w:space="0" w:color="auto"/>
        <w:right w:val="none" w:sz="0" w:space="0" w:color="auto"/>
      </w:divBdr>
    </w:div>
    <w:div w:id="1422870025">
      <w:bodyDiv w:val="1"/>
      <w:marLeft w:val="0"/>
      <w:marRight w:val="0"/>
      <w:marTop w:val="0"/>
      <w:marBottom w:val="0"/>
      <w:divBdr>
        <w:top w:val="none" w:sz="0" w:space="0" w:color="auto"/>
        <w:left w:val="none" w:sz="0" w:space="0" w:color="auto"/>
        <w:bottom w:val="none" w:sz="0" w:space="0" w:color="auto"/>
        <w:right w:val="none" w:sz="0" w:space="0" w:color="auto"/>
      </w:divBdr>
      <w:divsChild>
        <w:div w:id="719330134">
          <w:marLeft w:val="0"/>
          <w:marRight w:val="0"/>
          <w:marTop w:val="0"/>
          <w:marBottom w:val="0"/>
          <w:divBdr>
            <w:top w:val="none" w:sz="0" w:space="0" w:color="auto"/>
            <w:left w:val="none" w:sz="0" w:space="0" w:color="auto"/>
            <w:bottom w:val="none" w:sz="0" w:space="0" w:color="auto"/>
            <w:right w:val="none" w:sz="0" w:space="0" w:color="auto"/>
          </w:divBdr>
        </w:div>
        <w:div w:id="991829393">
          <w:marLeft w:val="0"/>
          <w:marRight w:val="0"/>
          <w:marTop w:val="0"/>
          <w:marBottom w:val="0"/>
          <w:divBdr>
            <w:top w:val="none" w:sz="0" w:space="0" w:color="auto"/>
            <w:left w:val="none" w:sz="0" w:space="0" w:color="auto"/>
            <w:bottom w:val="none" w:sz="0" w:space="0" w:color="auto"/>
            <w:right w:val="none" w:sz="0" w:space="0" w:color="auto"/>
          </w:divBdr>
        </w:div>
      </w:divsChild>
    </w:div>
    <w:div w:id="1430588169">
      <w:bodyDiv w:val="1"/>
      <w:marLeft w:val="0"/>
      <w:marRight w:val="0"/>
      <w:marTop w:val="0"/>
      <w:marBottom w:val="0"/>
      <w:divBdr>
        <w:top w:val="none" w:sz="0" w:space="0" w:color="auto"/>
        <w:left w:val="none" w:sz="0" w:space="0" w:color="auto"/>
        <w:bottom w:val="none" w:sz="0" w:space="0" w:color="auto"/>
        <w:right w:val="none" w:sz="0" w:space="0" w:color="auto"/>
      </w:divBdr>
    </w:div>
    <w:div w:id="1489400830">
      <w:bodyDiv w:val="1"/>
      <w:marLeft w:val="0"/>
      <w:marRight w:val="0"/>
      <w:marTop w:val="0"/>
      <w:marBottom w:val="0"/>
      <w:divBdr>
        <w:top w:val="none" w:sz="0" w:space="0" w:color="auto"/>
        <w:left w:val="none" w:sz="0" w:space="0" w:color="auto"/>
        <w:bottom w:val="none" w:sz="0" w:space="0" w:color="auto"/>
        <w:right w:val="none" w:sz="0" w:space="0" w:color="auto"/>
      </w:divBdr>
    </w:div>
    <w:div w:id="1517578785">
      <w:bodyDiv w:val="1"/>
      <w:marLeft w:val="0"/>
      <w:marRight w:val="0"/>
      <w:marTop w:val="0"/>
      <w:marBottom w:val="0"/>
      <w:divBdr>
        <w:top w:val="none" w:sz="0" w:space="0" w:color="auto"/>
        <w:left w:val="none" w:sz="0" w:space="0" w:color="auto"/>
        <w:bottom w:val="none" w:sz="0" w:space="0" w:color="auto"/>
        <w:right w:val="none" w:sz="0" w:space="0" w:color="auto"/>
      </w:divBdr>
    </w:div>
    <w:div w:id="1525749683">
      <w:bodyDiv w:val="1"/>
      <w:marLeft w:val="0"/>
      <w:marRight w:val="0"/>
      <w:marTop w:val="0"/>
      <w:marBottom w:val="0"/>
      <w:divBdr>
        <w:top w:val="none" w:sz="0" w:space="0" w:color="auto"/>
        <w:left w:val="none" w:sz="0" w:space="0" w:color="auto"/>
        <w:bottom w:val="none" w:sz="0" w:space="0" w:color="auto"/>
        <w:right w:val="none" w:sz="0" w:space="0" w:color="auto"/>
      </w:divBdr>
    </w:div>
    <w:div w:id="1527716364">
      <w:bodyDiv w:val="1"/>
      <w:marLeft w:val="0"/>
      <w:marRight w:val="0"/>
      <w:marTop w:val="0"/>
      <w:marBottom w:val="0"/>
      <w:divBdr>
        <w:top w:val="none" w:sz="0" w:space="0" w:color="auto"/>
        <w:left w:val="none" w:sz="0" w:space="0" w:color="auto"/>
        <w:bottom w:val="none" w:sz="0" w:space="0" w:color="auto"/>
        <w:right w:val="none" w:sz="0" w:space="0" w:color="auto"/>
      </w:divBdr>
    </w:div>
    <w:div w:id="1549150748">
      <w:bodyDiv w:val="1"/>
      <w:marLeft w:val="0"/>
      <w:marRight w:val="0"/>
      <w:marTop w:val="0"/>
      <w:marBottom w:val="0"/>
      <w:divBdr>
        <w:top w:val="none" w:sz="0" w:space="0" w:color="auto"/>
        <w:left w:val="none" w:sz="0" w:space="0" w:color="auto"/>
        <w:bottom w:val="none" w:sz="0" w:space="0" w:color="auto"/>
        <w:right w:val="none" w:sz="0" w:space="0" w:color="auto"/>
      </w:divBdr>
    </w:div>
    <w:div w:id="1760712283">
      <w:bodyDiv w:val="1"/>
      <w:marLeft w:val="0"/>
      <w:marRight w:val="0"/>
      <w:marTop w:val="0"/>
      <w:marBottom w:val="0"/>
      <w:divBdr>
        <w:top w:val="none" w:sz="0" w:space="0" w:color="auto"/>
        <w:left w:val="none" w:sz="0" w:space="0" w:color="auto"/>
        <w:bottom w:val="none" w:sz="0" w:space="0" w:color="auto"/>
        <w:right w:val="none" w:sz="0" w:space="0" w:color="auto"/>
      </w:divBdr>
      <w:divsChild>
        <w:div w:id="2098938199">
          <w:marLeft w:val="0"/>
          <w:marRight w:val="0"/>
          <w:marTop w:val="0"/>
          <w:marBottom w:val="0"/>
          <w:divBdr>
            <w:top w:val="none" w:sz="0" w:space="0" w:color="auto"/>
            <w:left w:val="none" w:sz="0" w:space="0" w:color="auto"/>
            <w:bottom w:val="none" w:sz="0" w:space="0" w:color="auto"/>
            <w:right w:val="none" w:sz="0" w:space="0" w:color="auto"/>
          </w:divBdr>
        </w:div>
        <w:div w:id="999387885">
          <w:marLeft w:val="0"/>
          <w:marRight w:val="0"/>
          <w:marTop w:val="0"/>
          <w:marBottom w:val="0"/>
          <w:divBdr>
            <w:top w:val="none" w:sz="0" w:space="0" w:color="auto"/>
            <w:left w:val="none" w:sz="0" w:space="0" w:color="auto"/>
            <w:bottom w:val="none" w:sz="0" w:space="0" w:color="auto"/>
            <w:right w:val="none" w:sz="0" w:space="0" w:color="auto"/>
          </w:divBdr>
        </w:div>
        <w:div w:id="385833466">
          <w:marLeft w:val="0"/>
          <w:marRight w:val="0"/>
          <w:marTop w:val="0"/>
          <w:marBottom w:val="0"/>
          <w:divBdr>
            <w:top w:val="none" w:sz="0" w:space="0" w:color="auto"/>
            <w:left w:val="none" w:sz="0" w:space="0" w:color="auto"/>
            <w:bottom w:val="none" w:sz="0" w:space="0" w:color="auto"/>
            <w:right w:val="none" w:sz="0" w:space="0" w:color="auto"/>
          </w:divBdr>
        </w:div>
        <w:div w:id="1884707582">
          <w:marLeft w:val="0"/>
          <w:marRight w:val="0"/>
          <w:marTop w:val="0"/>
          <w:marBottom w:val="0"/>
          <w:divBdr>
            <w:top w:val="none" w:sz="0" w:space="0" w:color="auto"/>
            <w:left w:val="none" w:sz="0" w:space="0" w:color="auto"/>
            <w:bottom w:val="none" w:sz="0" w:space="0" w:color="auto"/>
            <w:right w:val="none" w:sz="0" w:space="0" w:color="auto"/>
          </w:divBdr>
        </w:div>
        <w:div w:id="1816755286">
          <w:marLeft w:val="0"/>
          <w:marRight w:val="0"/>
          <w:marTop w:val="0"/>
          <w:marBottom w:val="0"/>
          <w:divBdr>
            <w:top w:val="none" w:sz="0" w:space="0" w:color="auto"/>
            <w:left w:val="none" w:sz="0" w:space="0" w:color="auto"/>
            <w:bottom w:val="none" w:sz="0" w:space="0" w:color="auto"/>
            <w:right w:val="none" w:sz="0" w:space="0" w:color="auto"/>
          </w:divBdr>
        </w:div>
        <w:div w:id="286473054">
          <w:marLeft w:val="0"/>
          <w:marRight w:val="0"/>
          <w:marTop w:val="0"/>
          <w:marBottom w:val="0"/>
          <w:divBdr>
            <w:top w:val="none" w:sz="0" w:space="0" w:color="auto"/>
            <w:left w:val="none" w:sz="0" w:space="0" w:color="auto"/>
            <w:bottom w:val="none" w:sz="0" w:space="0" w:color="auto"/>
            <w:right w:val="none" w:sz="0" w:space="0" w:color="auto"/>
          </w:divBdr>
        </w:div>
        <w:div w:id="602538091">
          <w:marLeft w:val="0"/>
          <w:marRight w:val="0"/>
          <w:marTop w:val="0"/>
          <w:marBottom w:val="0"/>
          <w:divBdr>
            <w:top w:val="none" w:sz="0" w:space="0" w:color="auto"/>
            <w:left w:val="none" w:sz="0" w:space="0" w:color="auto"/>
            <w:bottom w:val="none" w:sz="0" w:space="0" w:color="auto"/>
            <w:right w:val="none" w:sz="0" w:space="0" w:color="auto"/>
          </w:divBdr>
        </w:div>
        <w:div w:id="599751823">
          <w:marLeft w:val="0"/>
          <w:marRight w:val="0"/>
          <w:marTop w:val="0"/>
          <w:marBottom w:val="0"/>
          <w:divBdr>
            <w:top w:val="none" w:sz="0" w:space="0" w:color="auto"/>
            <w:left w:val="none" w:sz="0" w:space="0" w:color="auto"/>
            <w:bottom w:val="none" w:sz="0" w:space="0" w:color="auto"/>
            <w:right w:val="none" w:sz="0" w:space="0" w:color="auto"/>
          </w:divBdr>
        </w:div>
        <w:div w:id="775290945">
          <w:marLeft w:val="0"/>
          <w:marRight w:val="0"/>
          <w:marTop w:val="0"/>
          <w:marBottom w:val="0"/>
          <w:divBdr>
            <w:top w:val="none" w:sz="0" w:space="0" w:color="auto"/>
            <w:left w:val="none" w:sz="0" w:space="0" w:color="auto"/>
            <w:bottom w:val="none" w:sz="0" w:space="0" w:color="auto"/>
            <w:right w:val="none" w:sz="0" w:space="0" w:color="auto"/>
          </w:divBdr>
        </w:div>
        <w:div w:id="1433166557">
          <w:marLeft w:val="0"/>
          <w:marRight w:val="0"/>
          <w:marTop w:val="0"/>
          <w:marBottom w:val="0"/>
          <w:divBdr>
            <w:top w:val="none" w:sz="0" w:space="0" w:color="auto"/>
            <w:left w:val="none" w:sz="0" w:space="0" w:color="auto"/>
            <w:bottom w:val="none" w:sz="0" w:space="0" w:color="auto"/>
            <w:right w:val="none" w:sz="0" w:space="0" w:color="auto"/>
          </w:divBdr>
        </w:div>
      </w:divsChild>
    </w:div>
    <w:div w:id="1813862998">
      <w:bodyDiv w:val="1"/>
      <w:marLeft w:val="0"/>
      <w:marRight w:val="0"/>
      <w:marTop w:val="0"/>
      <w:marBottom w:val="0"/>
      <w:divBdr>
        <w:top w:val="none" w:sz="0" w:space="0" w:color="auto"/>
        <w:left w:val="none" w:sz="0" w:space="0" w:color="auto"/>
        <w:bottom w:val="none" w:sz="0" w:space="0" w:color="auto"/>
        <w:right w:val="none" w:sz="0" w:space="0" w:color="auto"/>
      </w:divBdr>
    </w:div>
    <w:div w:id="197212747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microsoft.com/office/2011/relationships/commentsExtended" Target="commentsExtended.xml"/><Relationship Id="rId20" Type="http://schemas.microsoft.com/office/2016/09/relationships/commentsIds" Target="commentsIds.xml"/><Relationship Id="rId10" Type="http://schemas.openxmlformats.org/officeDocument/2006/relationships/hyperlink" Target="https://twitter.com/hashtag/2014AtMIndex?src=hash" TargetMode="External"/><Relationship Id="rId11" Type="http://schemas.openxmlformats.org/officeDocument/2006/relationships/hyperlink" Target="https://twitter.com/hashtag/JNJ?src=hash" TargetMode="External"/><Relationship Id="rId12" Type="http://schemas.openxmlformats.org/officeDocument/2006/relationships/hyperlink" Target="https://twitter.com/hashtag/patents?src=hash" TargetMode="External"/><Relationship Id="rId13" Type="http://schemas.openxmlformats.org/officeDocument/2006/relationships/hyperlink" Target="http://t.co/oUlwIVTzbR" TargetMode="External"/><Relationship Id="rId14" Type="http://schemas.openxmlformats.org/officeDocument/2006/relationships/image" Target="media/image1.tiff"/><Relationship Id="rId15" Type="http://schemas.openxmlformats.org/officeDocument/2006/relationships/header" Target="header1.xml"/><Relationship Id="rId16" Type="http://schemas.openxmlformats.org/officeDocument/2006/relationships/header" Target="header2.xml"/><Relationship Id="rId17" Type="http://schemas.openxmlformats.org/officeDocument/2006/relationships/fontTable" Target="fontTable.xml"/><Relationship Id="rId18" Type="http://schemas.microsoft.com/office/2011/relationships/people" Target="people.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comments" Target="commen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BA742126-5830-2E43-9C48-68F6FF2074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44</Pages>
  <Words>12565</Words>
  <Characters>71624</Characters>
  <Application>Microsoft Macintosh Word</Application>
  <DocSecurity>0</DocSecurity>
  <Lines>596</Lines>
  <Paragraphs>168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84021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Rita Samiolo</dc:creator>
  <cp:keywords/>
  <dc:description/>
  <cp:lastModifiedBy>Rita Samiolo</cp:lastModifiedBy>
  <cp:revision>7</cp:revision>
  <dcterms:created xsi:type="dcterms:W3CDTF">2018-08-28T10:31:00Z</dcterms:created>
  <dcterms:modified xsi:type="dcterms:W3CDTF">2019-06-06T11:18:00Z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zotero-version="5.0.53"&gt;&lt;session id="7hjSrjvg"/&gt;&lt;style id="http://www.zotero.org/styles/accounting-organizations-and-society" hasBibliography="1" bibliographyStyleHasBeenSet="1"/&gt;&lt;prefs&gt;&lt;pref name="fieldType" value="Field"/&gt;&lt;/prefs&gt;</vt:lpwstr>
  </property>
  <property fmtid="{D5CDD505-2E9C-101B-9397-08002B2CF9AE}" pid="3" name="ZOTERO_PREF_2">
    <vt:lpwstr>&lt;/data&gt;</vt:lpwstr>
  </property>
</Properties>
</file>