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7DD42F9" w14:textId="3CAD5738" w:rsidR="00D07405" w:rsidRPr="00A505AF" w:rsidRDefault="00181979" w:rsidP="00A505AF">
      <w:pPr>
        <w:autoSpaceDE w:val="0"/>
        <w:autoSpaceDN w:val="0"/>
        <w:adjustRightInd w:val="0"/>
        <w:spacing w:line="480" w:lineRule="auto"/>
        <w:jc w:val="center"/>
        <w:rPr>
          <w:rFonts w:ascii="Times New Roman" w:hAnsi="Times New Roman" w:cs="Times New Roman"/>
          <w:b/>
          <w:bCs/>
          <w:iCs/>
          <w:sz w:val="32"/>
          <w:szCs w:val="32"/>
        </w:rPr>
      </w:pPr>
      <w:r>
        <w:rPr>
          <w:rFonts w:ascii="Times New Roman" w:hAnsi="Times New Roman" w:cs="Times New Roman"/>
          <w:b/>
          <w:bCs/>
          <w:iCs/>
          <w:sz w:val="32"/>
          <w:szCs w:val="32"/>
        </w:rPr>
        <w:t>C</w:t>
      </w:r>
      <w:r w:rsidR="000503D5">
        <w:rPr>
          <w:rFonts w:ascii="Times New Roman" w:hAnsi="Times New Roman" w:cs="Times New Roman"/>
          <w:b/>
          <w:bCs/>
          <w:iCs/>
          <w:sz w:val="32"/>
          <w:szCs w:val="32"/>
        </w:rPr>
        <w:t xml:space="preserve">hemical and enzymatic synthetic </w:t>
      </w:r>
      <w:r>
        <w:rPr>
          <w:rFonts w:ascii="Times New Roman" w:hAnsi="Times New Roman" w:cs="Times New Roman"/>
          <w:b/>
          <w:bCs/>
          <w:iCs/>
          <w:sz w:val="32"/>
          <w:szCs w:val="32"/>
        </w:rPr>
        <w:t>routes</w:t>
      </w:r>
      <w:r w:rsidR="000503D5">
        <w:rPr>
          <w:rFonts w:ascii="Times New Roman" w:hAnsi="Times New Roman" w:cs="Times New Roman"/>
          <w:b/>
          <w:bCs/>
          <w:iCs/>
          <w:sz w:val="32"/>
          <w:szCs w:val="32"/>
        </w:rPr>
        <w:t xml:space="preserve"> to the </w:t>
      </w:r>
      <w:r w:rsidR="000503D5" w:rsidRPr="000503D5">
        <w:rPr>
          <w:rFonts w:ascii="Times New Roman" w:hAnsi="Times New Roman" w:cs="Times New Roman"/>
          <w:b/>
          <w:bCs/>
          <w:iCs/>
          <w:sz w:val="32"/>
          <w:szCs w:val="32"/>
        </w:rPr>
        <w:t>diglycidyl ester of 2,5-furandicarboxylic acid</w:t>
      </w:r>
    </w:p>
    <w:p w14:paraId="66F42756" w14:textId="76311CF0" w:rsidR="00D07405" w:rsidRPr="002E69EC" w:rsidRDefault="00D07405" w:rsidP="00A23658">
      <w:pPr>
        <w:autoSpaceDE w:val="0"/>
        <w:autoSpaceDN w:val="0"/>
        <w:adjustRightInd w:val="0"/>
        <w:spacing w:line="480" w:lineRule="auto"/>
        <w:jc w:val="both"/>
        <w:rPr>
          <w:rFonts w:ascii="Times New Roman" w:hAnsi="Times New Roman" w:cs="Times New Roman"/>
          <w:i/>
          <w:sz w:val="24"/>
          <w:szCs w:val="24"/>
        </w:rPr>
      </w:pPr>
      <w:bookmarkStart w:id="0" w:name="_Hlk189570876"/>
      <w:r w:rsidRPr="00675EE3">
        <w:rPr>
          <w:rFonts w:ascii="Times New Roman" w:hAnsi="Times New Roman" w:cs="Times New Roman"/>
          <w:i/>
          <w:sz w:val="24"/>
          <w:szCs w:val="24"/>
        </w:rPr>
        <w:t>Beatriz Chícharo,</w:t>
      </w:r>
      <w:r w:rsidRPr="00675EE3">
        <w:rPr>
          <w:rFonts w:ascii="Times New Roman" w:hAnsi="Times New Roman" w:cs="Times New Roman"/>
          <w:i/>
          <w:sz w:val="24"/>
          <w:szCs w:val="24"/>
          <w:vertAlign w:val="superscript"/>
        </w:rPr>
        <w:t>a</w:t>
      </w:r>
      <w:r w:rsidR="00D10F3B" w:rsidRPr="00675EE3">
        <w:rPr>
          <w:rFonts w:ascii="Times New Roman" w:hAnsi="Times New Roman" w:cs="Times New Roman"/>
          <w:i/>
          <w:sz w:val="24"/>
          <w:szCs w:val="24"/>
          <w:vertAlign w:val="superscript"/>
        </w:rPr>
        <w:t>,b</w:t>
      </w:r>
      <w:r w:rsidR="00C63C0A" w:rsidRPr="00675EE3">
        <w:rPr>
          <w:rFonts w:ascii="Times New Roman" w:hAnsi="Times New Roman" w:cs="Times New Roman"/>
          <w:i/>
          <w:sz w:val="24"/>
          <w:szCs w:val="24"/>
          <w:vertAlign w:val="superscript"/>
        </w:rPr>
        <w:t xml:space="preserve"> </w:t>
      </w:r>
      <w:r w:rsidR="00476DAB" w:rsidRPr="00675EE3">
        <w:rPr>
          <w:rFonts w:ascii="Times New Roman" w:hAnsi="Times New Roman" w:cs="Times New Roman"/>
          <w:i/>
          <w:sz w:val="24"/>
          <w:szCs w:val="24"/>
        </w:rPr>
        <w:t>Marc Cuesta,</w:t>
      </w:r>
      <w:r w:rsidR="00675EE3" w:rsidRPr="00675EE3">
        <w:rPr>
          <w:rFonts w:ascii="Times New Roman" w:hAnsi="Times New Roman" w:cs="Times New Roman"/>
          <w:i/>
          <w:sz w:val="24"/>
          <w:szCs w:val="24"/>
          <w:vertAlign w:val="superscript"/>
        </w:rPr>
        <w:t>c</w:t>
      </w:r>
      <w:r w:rsidR="00476DAB" w:rsidRPr="00675EE3">
        <w:rPr>
          <w:rFonts w:ascii="Times New Roman" w:hAnsi="Times New Roman" w:cs="Times New Roman"/>
          <w:i/>
          <w:sz w:val="24"/>
          <w:szCs w:val="24"/>
        </w:rPr>
        <w:t xml:space="preserve"> </w:t>
      </w:r>
      <w:r w:rsidR="00EF6C0A" w:rsidRPr="00675EE3">
        <w:rPr>
          <w:rFonts w:ascii="Times New Roman" w:hAnsi="Times New Roman" w:cs="Times New Roman"/>
          <w:i/>
          <w:sz w:val="24"/>
          <w:szCs w:val="24"/>
        </w:rPr>
        <w:t>Giacomo Trapasso,</w:t>
      </w:r>
      <w:r w:rsidR="00EF6C0A" w:rsidRPr="00675EE3">
        <w:rPr>
          <w:rFonts w:ascii="Times New Roman" w:hAnsi="Times New Roman" w:cs="Times New Roman"/>
          <w:i/>
          <w:sz w:val="24"/>
          <w:szCs w:val="24"/>
          <w:vertAlign w:val="superscript"/>
        </w:rPr>
        <w:t>b</w:t>
      </w:r>
      <w:r w:rsidR="00EF6C0A" w:rsidRPr="00675EE3">
        <w:rPr>
          <w:rFonts w:ascii="Times New Roman" w:hAnsi="Times New Roman" w:cs="Times New Roman"/>
          <w:i/>
          <w:sz w:val="24"/>
          <w:szCs w:val="24"/>
        </w:rPr>
        <w:t xml:space="preserve"> </w:t>
      </w:r>
      <w:r w:rsidR="002E69EC" w:rsidRPr="00675EE3">
        <w:rPr>
          <w:rFonts w:ascii="Times New Roman" w:hAnsi="Times New Roman" w:cs="Times New Roman"/>
          <w:i/>
          <w:sz w:val="24"/>
          <w:szCs w:val="24"/>
        </w:rPr>
        <w:t>Raul Porcar,</w:t>
      </w:r>
      <w:r w:rsidR="00675EE3" w:rsidRPr="00675EE3">
        <w:rPr>
          <w:rFonts w:ascii="Times New Roman" w:hAnsi="Times New Roman" w:cs="Times New Roman"/>
          <w:i/>
          <w:sz w:val="24"/>
          <w:szCs w:val="24"/>
          <w:vertAlign w:val="superscript"/>
        </w:rPr>
        <w:t>d</w:t>
      </w:r>
      <w:r w:rsidR="002E69EC" w:rsidRPr="00675EE3">
        <w:rPr>
          <w:rFonts w:ascii="Times New Roman" w:hAnsi="Times New Roman" w:cs="Times New Roman"/>
          <w:i/>
          <w:sz w:val="24"/>
          <w:szCs w:val="24"/>
          <w:vertAlign w:val="superscript"/>
        </w:rPr>
        <w:t xml:space="preserve"> </w:t>
      </w:r>
      <w:r w:rsidR="002E69EC" w:rsidRPr="00675EE3">
        <w:rPr>
          <w:rFonts w:ascii="Times New Roman" w:hAnsi="Times New Roman" w:cs="Times New Roman"/>
          <w:i/>
          <w:sz w:val="24"/>
          <w:szCs w:val="24"/>
        </w:rPr>
        <w:t>Nuria Mart</w:t>
      </w:r>
      <w:r w:rsidR="0078648D" w:rsidRPr="00675EE3">
        <w:rPr>
          <w:rFonts w:ascii="Times New Roman" w:hAnsi="Times New Roman" w:cs="Times New Roman"/>
          <w:i/>
          <w:sz w:val="24"/>
          <w:szCs w:val="24"/>
        </w:rPr>
        <w:t>í</w:t>
      </w:r>
      <w:r w:rsidR="002E69EC" w:rsidRPr="00675EE3">
        <w:rPr>
          <w:rFonts w:ascii="Times New Roman" w:hAnsi="Times New Roman" w:cs="Times New Roman"/>
          <w:i/>
          <w:sz w:val="24"/>
          <w:szCs w:val="24"/>
        </w:rPr>
        <w:t>n,</w:t>
      </w:r>
      <w:r w:rsidR="00675EE3" w:rsidRPr="00675EE3">
        <w:rPr>
          <w:rFonts w:ascii="Times New Roman" w:hAnsi="Times New Roman" w:cs="Times New Roman"/>
          <w:i/>
          <w:sz w:val="24"/>
          <w:szCs w:val="24"/>
          <w:vertAlign w:val="superscript"/>
        </w:rPr>
        <w:t>c</w:t>
      </w:r>
      <w:r w:rsidR="002E69EC" w:rsidRPr="00675EE3">
        <w:rPr>
          <w:rFonts w:ascii="Times New Roman" w:hAnsi="Times New Roman" w:cs="Times New Roman"/>
          <w:i/>
          <w:sz w:val="24"/>
          <w:szCs w:val="24"/>
        </w:rPr>
        <w:t xml:space="preserve"> </w:t>
      </w:r>
      <w:r w:rsidR="0052100D" w:rsidRPr="00675EE3">
        <w:rPr>
          <w:rFonts w:ascii="Times New Roman" w:hAnsi="Times New Roman" w:cs="Times New Roman"/>
          <w:i/>
          <w:sz w:val="24"/>
          <w:szCs w:val="24"/>
        </w:rPr>
        <w:t>Rocio Villa,</w:t>
      </w:r>
      <w:r w:rsidR="00675EE3" w:rsidRPr="00675EE3">
        <w:rPr>
          <w:rFonts w:ascii="Times New Roman" w:hAnsi="Times New Roman" w:cs="Times New Roman"/>
          <w:i/>
          <w:sz w:val="24"/>
          <w:szCs w:val="24"/>
          <w:vertAlign w:val="superscript"/>
        </w:rPr>
        <w:t>e</w:t>
      </w:r>
      <w:r w:rsidR="0052100D" w:rsidRPr="00675EE3">
        <w:rPr>
          <w:rFonts w:ascii="Times New Roman" w:hAnsi="Times New Roman" w:cs="Times New Roman"/>
          <w:i/>
          <w:sz w:val="24"/>
          <w:szCs w:val="24"/>
        </w:rPr>
        <w:t xml:space="preserve"> Pedro Lozano,</w:t>
      </w:r>
      <w:r w:rsidR="00675EE3" w:rsidRPr="00675EE3">
        <w:rPr>
          <w:rFonts w:ascii="Times New Roman" w:hAnsi="Times New Roman" w:cs="Times New Roman"/>
          <w:i/>
          <w:sz w:val="24"/>
          <w:szCs w:val="24"/>
          <w:vertAlign w:val="superscript"/>
        </w:rPr>
        <w:t>e</w:t>
      </w:r>
      <w:r w:rsidR="0052100D" w:rsidRPr="00675EE3">
        <w:rPr>
          <w:rFonts w:ascii="Times New Roman" w:hAnsi="Times New Roman" w:cs="Times New Roman"/>
          <w:i/>
          <w:sz w:val="24"/>
          <w:szCs w:val="24"/>
        </w:rPr>
        <w:t xml:space="preserve"> </w:t>
      </w:r>
      <w:r w:rsidR="00EF6C0A" w:rsidRPr="00675EE3">
        <w:rPr>
          <w:rFonts w:ascii="Times New Roman" w:hAnsi="Times New Roman" w:cs="Times New Roman"/>
          <w:i/>
          <w:sz w:val="24"/>
          <w:szCs w:val="24"/>
        </w:rPr>
        <w:t>Sami Fadlallah,</w:t>
      </w:r>
      <w:r w:rsidR="00EF6C0A" w:rsidRPr="00675EE3">
        <w:rPr>
          <w:rFonts w:ascii="Times New Roman" w:hAnsi="Times New Roman" w:cs="Times New Roman"/>
          <w:i/>
          <w:sz w:val="24"/>
          <w:szCs w:val="24"/>
          <w:vertAlign w:val="superscript"/>
        </w:rPr>
        <w:t>a</w:t>
      </w:r>
      <w:r w:rsidR="00EF6C0A" w:rsidRPr="00675EE3">
        <w:rPr>
          <w:rFonts w:ascii="Times New Roman" w:hAnsi="Times New Roman" w:cs="Times New Roman"/>
          <w:i/>
          <w:sz w:val="24"/>
          <w:szCs w:val="24"/>
        </w:rPr>
        <w:t xml:space="preserve"> Florent Allais,</w:t>
      </w:r>
      <w:r w:rsidR="00EF6C0A" w:rsidRPr="00675EE3">
        <w:rPr>
          <w:rFonts w:ascii="Times New Roman" w:hAnsi="Times New Roman" w:cs="Times New Roman"/>
          <w:i/>
          <w:sz w:val="24"/>
          <w:szCs w:val="24"/>
          <w:vertAlign w:val="superscript"/>
        </w:rPr>
        <w:t>a</w:t>
      </w:r>
      <w:r w:rsidR="00EF6C0A" w:rsidRPr="00675EE3">
        <w:rPr>
          <w:rFonts w:ascii="Times New Roman" w:hAnsi="Times New Roman" w:cs="Times New Roman"/>
          <w:i/>
          <w:sz w:val="24"/>
          <w:szCs w:val="24"/>
        </w:rPr>
        <w:t xml:space="preserve"> </w:t>
      </w:r>
      <w:r w:rsidR="00D10F3B" w:rsidRPr="00675EE3">
        <w:rPr>
          <w:rFonts w:ascii="Times New Roman" w:hAnsi="Times New Roman" w:cs="Times New Roman"/>
          <w:i/>
          <w:sz w:val="24"/>
          <w:szCs w:val="24"/>
        </w:rPr>
        <w:t>Eduardo García-Verdugo</w:t>
      </w:r>
      <w:r w:rsidR="00675EE3" w:rsidRPr="00675EE3">
        <w:rPr>
          <w:rFonts w:ascii="Times New Roman" w:hAnsi="Times New Roman" w:cs="Times New Roman"/>
          <w:i/>
          <w:sz w:val="24"/>
          <w:szCs w:val="24"/>
          <w:vertAlign w:val="superscript"/>
        </w:rPr>
        <w:t>c</w:t>
      </w:r>
      <w:r w:rsidR="00D10F3B" w:rsidRPr="00675EE3">
        <w:rPr>
          <w:rFonts w:ascii="Times New Roman" w:hAnsi="Times New Roman" w:cs="Times New Roman"/>
          <w:i/>
          <w:sz w:val="24"/>
          <w:szCs w:val="24"/>
          <w:vertAlign w:val="superscript"/>
        </w:rPr>
        <w:t>,*</w:t>
      </w:r>
      <w:r w:rsidR="00D10F3B" w:rsidRPr="00675EE3">
        <w:rPr>
          <w:rFonts w:ascii="Times New Roman" w:hAnsi="Times New Roman" w:cs="Times New Roman"/>
          <w:i/>
          <w:sz w:val="24"/>
          <w:szCs w:val="24"/>
        </w:rPr>
        <w:t xml:space="preserve"> and </w:t>
      </w:r>
      <w:r w:rsidR="00094D6C" w:rsidRPr="00675EE3">
        <w:rPr>
          <w:rFonts w:ascii="Times New Roman" w:hAnsi="Times New Roman" w:cs="Times New Roman"/>
          <w:i/>
          <w:sz w:val="24"/>
          <w:szCs w:val="24"/>
        </w:rPr>
        <w:t>Fabio Aricò</w:t>
      </w:r>
      <w:r w:rsidR="00094D6C" w:rsidRPr="00675EE3">
        <w:rPr>
          <w:rFonts w:ascii="Times New Roman" w:hAnsi="Times New Roman" w:cs="Times New Roman"/>
          <w:i/>
          <w:sz w:val="24"/>
          <w:szCs w:val="24"/>
          <w:vertAlign w:val="superscript"/>
        </w:rPr>
        <w:t>b</w:t>
      </w:r>
      <w:r w:rsidR="00D10F3B" w:rsidRPr="00675EE3">
        <w:rPr>
          <w:rFonts w:ascii="Times New Roman" w:hAnsi="Times New Roman" w:cs="Times New Roman"/>
          <w:i/>
          <w:sz w:val="24"/>
          <w:szCs w:val="24"/>
          <w:vertAlign w:val="superscript"/>
        </w:rPr>
        <w:t>,*</w:t>
      </w:r>
    </w:p>
    <w:bookmarkEnd w:id="0"/>
    <w:p w14:paraId="3F960CA6" w14:textId="38020658" w:rsidR="00D07405" w:rsidRPr="00675EE3" w:rsidRDefault="00D07405" w:rsidP="00D43F9A">
      <w:pPr>
        <w:autoSpaceDE w:val="0"/>
        <w:autoSpaceDN w:val="0"/>
        <w:adjustRightInd w:val="0"/>
        <w:spacing w:after="0" w:line="360" w:lineRule="auto"/>
        <w:jc w:val="center"/>
        <w:rPr>
          <w:rFonts w:ascii="Times New Roman" w:hAnsi="Times New Roman" w:cs="Times New Roman"/>
          <w:lang w:val="fr-FR"/>
        </w:rPr>
      </w:pPr>
      <w:r w:rsidRPr="00675EE3">
        <w:rPr>
          <w:rFonts w:ascii="Times New Roman" w:hAnsi="Times New Roman" w:cs="Times New Roman"/>
          <w:vertAlign w:val="superscript"/>
          <w:lang w:val="fr-FR"/>
        </w:rPr>
        <w:t>a</w:t>
      </w:r>
      <w:r w:rsidRPr="00675EE3">
        <w:rPr>
          <w:rFonts w:ascii="Times New Roman" w:hAnsi="Times New Roman" w:cs="Times New Roman"/>
          <w:lang w:val="fr-FR"/>
        </w:rPr>
        <w:t xml:space="preserve"> URD Agro-Biotechnologies Industrielles (ABI), CEBB, AgroParisTech, 3 Rue des Rouges-Terres, 51110 Pomacle</w:t>
      </w:r>
      <w:r w:rsidR="0049014B" w:rsidRPr="00675EE3">
        <w:rPr>
          <w:rFonts w:ascii="Times New Roman" w:hAnsi="Times New Roman" w:cs="Times New Roman"/>
          <w:lang w:val="fr-FR"/>
        </w:rPr>
        <w:t>, France</w:t>
      </w:r>
    </w:p>
    <w:p w14:paraId="5B63DEFF" w14:textId="573F3D9F" w:rsidR="00D10F3B" w:rsidRPr="00675EE3" w:rsidRDefault="00D07405" w:rsidP="00D43F9A">
      <w:pPr>
        <w:autoSpaceDE w:val="0"/>
        <w:autoSpaceDN w:val="0"/>
        <w:adjustRightInd w:val="0"/>
        <w:spacing w:after="0" w:line="360" w:lineRule="auto"/>
        <w:jc w:val="center"/>
        <w:rPr>
          <w:rFonts w:ascii="Times New Roman" w:hAnsi="Times New Roman" w:cs="Times New Roman"/>
        </w:rPr>
      </w:pPr>
      <w:r w:rsidRPr="00675EE3">
        <w:rPr>
          <w:rFonts w:ascii="Times New Roman" w:hAnsi="Times New Roman" w:cs="Times New Roman"/>
          <w:vertAlign w:val="superscript"/>
        </w:rPr>
        <w:t xml:space="preserve">b </w:t>
      </w:r>
      <w:r w:rsidRPr="00675EE3">
        <w:rPr>
          <w:rFonts w:ascii="Times New Roman" w:hAnsi="Times New Roman" w:cs="Times New Roman"/>
        </w:rPr>
        <w:t>Department of Environmental Science</w:t>
      </w:r>
      <w:r w:rsidR="00233960" w:rsidRPr="00675EE3">
        <w:rPr>
          <w:rFonts w:ascii="Times New Roman" w:hAnsi="Times New Roman" w:cs="Times New Roman"/>
        </w:rPr>
        <w:t>s</w:t>
      </w:r>
      <w:r w:rsidRPr="00675EE3">
        <w:rPr>
          <w:rFonts w:ascii="Times New Roman" w:hAnsi="Times New Roman" w:cs="Times New Roman"/>
        </w:rPr>
        <w:t xml:space="preserve">, Informatics and Statistics, Ca’ Foscari </w:t>
      </w:r>
      <w:r w:rsidR="00233960" w:rsidRPr="00675EE3">
        <w:rPr>
          <w:rFonts w:ascii="Times New Roman" w:hAnsi="Times New Roman" w:cs="Times New Roman"/>
        </w:rPr>
        <w:t xml:space="preserve">University </w:t>
      </w:r>
      <w:r w:rsidRPr="00675EE3">
        <w:rPr>
          <w:rFonts w:ascii="Times New Roman" w:hAnsi="Times New Roman" w:cs="Times New Roman"/>
        </w:rPr>
        <w:t>of Venice, Via Torino155, 30172 Venezia Mestre</w:t>
      </w:r>
      <w:r w:rsidR="0049014B" w:rsidRPr="00675EE3">
        <w:rPr>
          <w:rFonts w:ascii="Times New Roman" w:hAnsi="Times New Roman" w:cs="Times New Roman"/>
        </w:rPr>
        <w:t>, Italy</w:t>
      </w:r>
    </w:p>
    <w:p w14:paraId="02A4EBF9" w14:textId="5C487093" w:rsidR="00D10F3B" w:rsidRPr="00675EE3" w:rsidRDefault="00675EE3" w:rsidP="00D43F9A">
      <w:pPr>
        <w:autoSpaceDE w:val="0"/>
        <w:autoSpaceDN w:val="0"/>
        <w:adjustRightInd w:val="0"/>
        <w:spacing w:after="0" w:line="360" w:lineRule="auto"/>
        <w:jc w:val="center"/>
        <w:rPr>
          <w:rFonts w:ascii="Times New Roman" w:hAnsi="Times New Roman" w:cs="Times New Roman"/>
        </w:rPr>
      </w:pPr>
      <w:r w:rsidRPr="00675EE3">
        <w:rPr>
          <w:rFonts w:ascii="Times New Roman" w:hAnsi="Times New Roman" w:cs="Times New Roman"/>
          <w:vertAlign w:val="superscript"/>
        </w:rPr>
        <w:t>c</w:t>
      </w:r>
      <w:r w:rsidR="0052100D" w:rsidRPr="00675EE3">
        <w:rPr>
          <w:rFonts w:ascii="Times New Roman" w:hAnsi="Times New Roman" w:cs="Times New Roman"/>
        </w:rPr>
        <w:t xml:space="preserve"> </w:t>
      </w:r>
      <w:r w:rsidR="00D10F3B" w:rsidRPr="00675EE3">
        <w:rPr>
          <w:rFonts w:ascii="Times New Roman" w:hAnsi="Times New Roman" w:cs="Times New Roman"/>
        </w:rPr>
        <w:t>Department of Inorganic and Organic Chemistry, University Jaume I, Avda Sos Baynat s/n, E-12071-Castellon, Spain.</w:t>
      </w:r>
    </w:p>
    <w:p w14:paraId="771ED15A" w14:textId="6213A2EC" w:rsidR="001E2DF3" w:rsidRPr="00675EE3" w:rsidRDefault="00675EE3" w:rsidP="00D43F9A">
      <w:pPr>
        <w:autoSpaceDE w:val="0"/>
        <w:autoSpaceDN w:val="0"/>
        <w:adjustRightInd w:val="0"/>
        <w:spacing w:after="0" w:line="360" w:lineRule="auto"/>
        <w:jc w:val="center"/>
        <w:rPr>
          <w:rFonts w:ascii="Times New Roman" w:hAnsi="Times New Roman" w:cs="Times New Roman"/>
          <w:lang w:val="es-ES"/>
        </w:rPr>
      </w:pPr>
      <w:r w:rsidRPr="00675EE3">
        <w:rPr>
          <w:rFonts w:ascii="Times New Roman" w:hAnsi="Times New Roman" w:cs="Times New Roman"/>
          <w:vertAlign w:val="superscript"/>
          <w:lang w:val="es-ES"/>
        </w:rPr>
        <w:t>d</w:t>
      </w:r>
      <w:r w:rsidR="005F3CFB" w:rsidRPr="00675EE3">
        <w:rPr>
          <w:rFonts w:ascii="Times New Roman" w:hAnsi="Times New Roman" w:cs="Times New Roman"/>
          <w:lang w:val="es-ES"/>
        </w:rPr>
        <w:t xml:space="preserve"> </w:t>
      </w:r>
      <w:r w:rsidR="001E2DF3" w:rsidRPr="00675EE3">
        <w:rPr>
          <w:rFonts w:ascii="Times New Roman" w:hAnsi="Times New Roman" w:cs="Times New Roman"/>
          <w:lang w:val="es-ES"/>
        </w:rPr>
        <w:t>Departamento de Química Orgánica y Bio-orgánica. Facultad de Ciencias. Universidad Nacional de Educación a Distancia (UNED). Avda. Esparta. 28232-Las Rozas. Madrid. Spain.</w:t>
      </w:r>
    </w:p>
    <w:p w14:paraId="0597FAC1" w14:textId="38B39026" w:rsidR="00675EE3" w:rsidRPr="00675EE3" w:rsidRDefault="00675EE3" w:rsidP="00D43F9A">
      <w:pPr>
        <w:autoSpaceDE w:val="0"/>
        <w:autoSpaceDN w:val="0"/>
        <w:adjustRightInd w:val="0"/>
        <w:spacing w:after="0" w:line="360" w:lineRule="auto"/>
        <w:jc w:val="center"/>
        <w:rPr>
          <w:rFonts w:ascii="Times New Roman" w:hAnsi="Times New Roman" w:cs="Times New Roman"/>
          <w:lang w:val="es-ES"/>
        </w:rPr>
      </w:pPr>
      <w:r w:rsidRPr="00675EE3">
        <w:rPr>
          <w:rFonts w:ascii="Times New Roman" w:hAnsi="Times New Roman" w:cs="Times New Roman"/>
          <w:vertAlign w:val="superscript"/>
          <w:lang w:val="es-ES"/>
        </w:rPr>
        <w:t xml:space="preserve">e </w:t>
      </w:r>
      <w:r w:rsidRPr="00675EE3">
        <w:rPr>
          <w:rFonts w:ascii="Times New Roman" w:hAnsi="Times New Roman" w:cs="Times New Roman"/>
          <w:lang w:val="es-ES"/>
        </w:rPr>
        <w:t>Department of Bioquímica y Biología Molecular "B" e Inmunología, Universidad de Murcia, Campus de Espinardo. E-30.100. Murcia, Spain</w:t>
      </w:r>
    </w:p>
    <w:p w14:paraId="6DCB80ED" w14:textId="488A14C7" w:rsidR="004D14F6" w:rsidRDefault="00241044" w:rsidP="00241044">
      <w:pPr>
        <w:autoSpaceDE w:val="0"/>
        <w:autoSpaceDN w:val="0"/>
        <w:adjustRightInd w:val="0"/>
        <w:spacing w:after="0" w:line="360" w:lineRule="auto"/>
        <w:jc w:val="center"/>
        <w:rPr>
          <w:rFonts w:ascii="Times New Roman" w:hAnsi="Times New Roman" w:cs="Times New Roman"/>
          <w:lang w:val="es-ES"/>
        </w:rPr>
      </w:pPr>
      <w:r w:rsidRPr="00675EE3">
        <w:rPr>
          <w:rFonts w:ascii="Times New Roman" w:hAnsi="Times New Roman" w:cs="Times New Roman"/>
          <w:lang w:val="es-ES"/>
        </w:rPr>
        <w:t>E-mail: fabio.arico@unive.it, cepeda@uji.es</w:t>
      </w:r>
      <w:r w:rsidR="004D14F6">
        <w:rPr>
          <w:rFonts w:ascii="Times New Roman" w:hAnsi="Times New Roman" w:cs="Times New Roman"/>
          <w:lang w:val="es-ES"/>
        </w:rPr>
        <w:br w:type="page"/>
      </w:r>
    </w:p>
    <w:p w14:paraId="2611D4F7" w14:textId="05809842" w:rsidR="00D5004B" w:rsidRDefault="00D07405" w:rsidP="00A23658">
      <w:pPr>
        <w:spacing w:line="480" w:lineRule="auto"/>
        <w:jc w:val="both"/>
        <w:rPr>
          <w:rFonts w:ascii="Times New Roman" w:hAnsi="Times New Roman" w:cs="Times New Roman"/>
          <w:sz w:val="24"/>
          <w:szCs w:val="24"/>
        </w:rPr>
      </w:pPr>
      <w:r w:rsidRPr="00A505AF">
        <w:rPr>
          <w:rFonts w:ascii="Times New Roman" w:hAnsi="Times New Roman" w:cs="Times New Roman"/>
          <w:b/>
          <w:bCs/>
          <w:sz w:val="24"/>
          <w:szCs w:val="24"/>
        </w:rPr>
        <w:lastRenderedPageBreak/>
        <w:t>Abstract</w:t>
      </w:r>
    </w:p>
    <w:p w14:paraId="019F75A0" w14:textId="3780AEEE" w:rsidR="00340A19" w:rsidRDefault="0045418D" w:rsidP="004937A9">
      <w:pPr>
        <w:spacing w:line="480" w:lineRule="auto"/>
        <w:jc w:val="both"/>
        <w:rPr>
          <w:rFonts w:ascii="Times New Roman" w:hAnsi="Times New Roman" w:cs="Times New Roman"/>
          <w:sz w:val="24"/>
          <w:szCs w:val="24"/>
        </w:rPr>
      </w:pPr>
      <w:r>
        <w:rPr>
          <w:rFonts w:ascii="Times New Roman" w:hAnsi="Times New Roman" w:cs="Times New Roman"/>
          <w:sz w:val="24"/>
          <w:szCs w:val="24"/>
        </w:rPr>
        <w:t>This work focuses on</w:t>
      </w:r>
      <w:r w:rsidR="009D43D1" w:rsidRPr="009D43D1">
        <w:rPr>
          <w:rFonts w:ascii="Times New Roman" w:hAnsi="Times New Roman" w:cs="Times New Roman"/>
          <w:sz w:val="24"/>
          <w:szCs w:val="24"/>
        </w:rPr>
        <w:t xml:space="preserve"> alternative, </w:t>
      </w:r>
      <w:r w:rsidR="004D14F6">
        <w:rPr>
          <w:rFonts w:ascii="Times New Roman" w:hAnsi="Times New Roman" w:cs="Times New Roman"/>
          <w:sz w:val="24"/>
          <w:szCs w:val="24"/>
        </w:rPr>
        <w:t>green</w:t>
      </w:r>
      <w:r w:rsidR="009D43D1" w:rsidRPr="009D43D1">
        <w:rPr>
          <w:rFonts w:ascii="Times New Roman" w:hAnsi="Times New Roman" w:cs="Times New Roman"/>
          <w:sz w:val="24"/>
          <w:szCs w:val="24"/>
        </w:rPr>
        <w:t xml:space="preserve"> synthetic methods for producing </w:t>
      </w:r>
      <w:r w:rsidR="004D14F6">
        <w:rPr>
          <w:rFonts w:ascii="Times New Roman" w:hAnsi="Times New Roman" w:cs="Times New Roman"/>
          <w:sz w:val="24"/>
          <w:szCs w:val="24"/>
        </w:rPr>
        <w:t xml:space="preserve">a </w:t>
      </w:r>
      <w:r w:rsidR="00627270">
        <w:rPr>
          <w:rFonts w:ascii="Times New Roman" w:hAnsi="Times New Roman" w:cs="Times New Roman"/>
          <w:sz w:val="24"/>
          <w:szCs w:val="24"/>
        </w:rPr>
        <w:t xml:space="preserve">bio-based </w:t>
      </w:r>
      <w:r w:rsidR="009D43D1" w:rsidRPr="009D43D1">
        <w:rPr>
          <w:rFonts w:ascii="Times New Roman" w:hAnsi="Times New Roman" w:cs="Times New Roman"/>
          <w:sz w:val="24"/>
          <w:szCs w:val="24"/>
        </w:rPr>
        <w:t xml:space="preserve">bis-epoxy </w:t>
      </w:r>
      <w:r w:rsidR="004D14F6">
        <w:rPr>
          <w:rFonts w:ascii="Times New Roman" w:hAnsi="Times New Roman" w:cs="Times New Roman"/>
          <w:sz w:val="24"/>
          <w:szCs w:val="24"/>
        </w:rPr>
        <w:t xml:space="preserve">compound – namely </w:t>
      </w:r>
      <w:r w:rsidR="004D14F6" w:rsidRPr="00C543B4">
        <w:rPr>
          <w:rFonts w:ascii="Times New Roman" w:hAnsi="Times New Roman" w:cs="Times New Roman"/>
          <w:sz w:val="24"/>
          <w:szCs w:val="24"/>
        </w:rPr>
        <w:t>bis(oxiran-2-ylmethyl) furan-2,5-dicarboxylate (DGF)</w:t>
      </w:r>
      <w:r w:rsidR="004D14F6">
        <w:rPr>
          <w:rFonts w:ascii="Times New Roman" w:hAnsi="Times New Roman" w:cs="Times New Roman"/>
          <w:sz w:val="24"/>
          <w:szCs w:val="24"/>
        </w:rPr>
        <w:t xml:space="preserve"> – in consideration of its potential use as monomer </w:t>
      </w:r>
      <w:r w:rsidR="004D14F6" w:rsidRPr="004D14F6">
        <w:rPr>
          <w:rFonts w:ascii="Times New Roman" w:hAnsi="Times New Roman" w:cs="Times New Roman"/>
          <w:sz w:val="24"/>
          <w:szCs w:val="24"/>
        </w:rPr>
        <w:t>for epoxy resins</w:t>
      </w:r>
      <w:r w:rsidR="004D14F6">
        <w:rPr>
          <w:rFonts w:ascii="Times New Roman" w:hAnsi="Times New Roman" w:cs="Times New Roman"/>
          <w:sz w:val="24"/>
          <w:szCs w:val="24"/>
        </w:rPr>
        <w:t xml:space="preserve">. </w:t>
      </w:r>
      <w:r w:rsidR="004D14F6" w:rsidRPr="004D14F6">
        <w:rPr>
          <w:rFonts w:ascii="Times New Roman" w:hAnsi="Times New Roman" w:cs="Times New Roman"/>
          <w:sz w:val="24"/>
          <w:szCs w:val="24"/>
        </w:rPr>
        <w:t xml:space="preserve"> </w:t>
      </w:r>
      <w:r w:rsidR="004D14F6">
        <w:rPr>
          <w:rFonts w:ascii="Times New Roman" w:hAnsi="Times New Roman" w:cs="Times New Roman"/>
          <w:sz w:val="24"/>
          <w:szCs w:val="24"/>
        </w:rPr>
        <w:t xml:space="preserve">The synthesis of DGF was conducted </w:t>
      </w:r>
      <w:r w:rsidR="00627270">
        <w:rPr>
          <w:rFonts w:ascii="Times New Roman" w:hAnsi="Times New Roman" w:cs="Times New Roman"/>
          <w:sz w:val="24"/>
          <w:szCs w:val="24"/>
        </w:rPr>
        <w:t xml:space="preserve">via </w:t>
      </w:r>
      <w:r w:rsidR="00627270" w:rsidRPr="009D43D1">
        <w:rPr>
          <w:rFonts w:ascii="Times New Roman" w:hAnsi="Times New Roman" w:cs="Times New Roman"/>
          <w:sz w:val="24"/>
          <w:szCs w:val="24"/>
        </w:rPr>
        <w:t xml:space="preserve">transesterification reaction </w:t>
      </w:r>
      <w:r w:rsidR="00627270">
        <w:rPr>
          <w:rFonts w:ascii="Times New Roman" w:hAnsi="Times New Roman" w:cs="Times New Roman"/>
          <w:sz w:val="24"/>
          <w:szCs w:val="24"/>
        </w:rPr>
        <w:t xml:space="preserve">of </w:t>
      </w:r>
      <w:r w:rsidR="00627270" w:rsidRPr="009D43D1">
        <w:rPr>
          <w:rFonts w:ascii="Times New Roman" w:hAnsi="Times New Roman" w:cs="Times New Roman"/>
          <w:sz w:val="24"/>
          <w:szCs w:val="24"/>
        </w:rPr>
        <w:t xml:space="preserve">2,5-furandicarboxylic acid dimethyl ester (FDME) </w:t>
      </w:r>
      <w:r w:rsidR="00627270">
        <w:rPr>
          <w:rFonts w:ascii="Times New Roman" w:hAnsi="Times New Roman" w:cs="Times New Roman"/>
          <w:sz w:val="24"/>
          <w:szCs w:val="24"/>
        </w:rPr>
        <w:t>with</w:t>
      </w:r>
      <w:r w:rsidR="00627270" w:rsidRPr="009D43D1">
        <w:rPr>
          <w:rFonts w:ascii="Times New Roman" w:hAnsi="Times New Roman" w:cs="Times New Roman"/>
          <w:sz w:val="24"/>
          <w:szCs w:val="24"/>
        </w:rPr>
        <w:t xml:space="preserve"> glycidol</w:t>
      </w:r>
      <w:r w:rsidR="009D43D1" w:rsidRPr="009D43D1">
        <w:rPr>
          <w:rFonts w:ascii="Times New Roman" w:hAnsi="Times New Roman" w:cs="Times New Roman"/>
          <w:sz w:val="24"/>
          <w:szCs w:val="24"/>
        </w:rPr>
        <w:t xml:space="preserve">. </w:t>
      </w:r>
      <w:r>
        <w:rPr>
          <w:rFonts w:ascii="Times New Roman" w:hAnsi="Times New Roman" w:cs="Times New Roman"/>
          <w:sz w:val="24"/>
          <w:szCs w:val="24"/>
        </w:rPr>
        <w:t>A variety of h</w:t>
      </w:r>
      <w:r w:rsidRPr="009D43D1">
        <w:rPr>
          <w:rFonts w:ascii="Times New Roman" w:hAnsi="Times New Roman" w:cs="Times New Roman"/>
          <w:sz w:val="24"/>
          <w:szCs w:val="24"/>
        </w:rPr>
        <w:t xml:space="preserve">omogeneous, heterogeneous, and enzymatic catalysts </w:t>
      </w:r>
      <w:r>
        <w:rPr>
          <w:rFonts w:ascii="Times New Roman" w:hAnsi="Times New Roman" w:cs="Times New Roman"/>
          <w:sz w:val="24"/>
          <w:szCs w:val="24"/>
        </w:rPr>
        <w:t xml:space="preserve">were </w:t>
      </w:r>
      <w:r w:rsidR="004D2916">
        <w:rPr>
          <w:rFonts w:ascii="Times New Roman" w:hAnsi="Times New Roman" w:cs="Times New Roman"/>
          <w:sz w:val="24"/>
          <w:szCs w:val="24"/>
        </w:rPr>
        <w:t>investigated,</w:t>
      </w:r>
      <w:r>
        <w:rPr>
          <w:rFonts w:ascii="Times New Roman" w:hAnsi="Times New Roman" w:cs="Times New Roman"/>
          <w:sz w:val="24"/>
          <w:szCs w:val="24"/>
        </w:rPr>
        <w:t xml:space="preserve"> and the</w:t>
      </w:r>
      <w:r w:rsidR="00627270">
        <w:rPr>
          <w:rFonts w:ascii="Times New Roman" w:hAnsi="Times New Roman" w:cs="Times New Roman"/>
          <w:sz w:val="24"/>
          <w:szCs w:val="24"/>
        </w:rPr>
        <w:t xml:space="preserve"> synthes</w:t>
      </w:r>
      <w:r>
        <w:rPr>
          <w:rFonts w:ascii="Times New Roman" w:hAnsi="Times New Roman" w:cs="Times New Roman"/>
          <w:sz w:val="24"/>
          <w:szCs w:val="24"/>
        </w:rPr>
        <w:t>e</w:t>
      </w:r>
      <w:r w:rsidR="00627270">
        <w:rPr>
          <w:rFonts w:ascii="Times New Roman" w:hAnsi="Times New Roman" w:cs="Times New Roman"/>
          <w:sz w:val="24"/>
          <w:szCs w:val="24"/>
        </w:rPr>
        <w:t>s w</w:t>
      </w:r>
      <w:r>
        <w:rPr>
          <w:rFonts w:ascii="Times New Roman" w:hAnsi="Times New Roman" w:cs="Times New Roman"/>
          <w:sz w:val="24"/>
          <w:szCs w:val="24"/>
        </w:rPr>
        <w:t>ere</w:t>
      </w:r>
      <w:r w:rsidR="00627270">
        <w:rPr>
          <w:rFonts w:ascii="Times New Roman" w:hAnsi="Times New Roman" w:cs="Times New Roman"/>
          <w:sz w:val="24"/>
          <w:szCs w:val="24"/>
        </w:rPr>
        <w:t xml:space="preserve"> c</w:t>
      </w:r>
      <w:r w:rsidR="004D14F6">
        <w:rPr>
          <w:rFonts w:ascii="Times New Roman" w:hAnsi="Times New Roman" w:cs="Times New Roman"/>
          <w:sz w:val="24"/>
          <w:szCs w:val="24"/>
        </w:rPr>
        <w:t>arried out</w:t>
      </w:r>
      <w:r>
        <w:rPr>
          <w:rFonts w:ascii="Times New Roman" w:hAnsi="Times New Roman" w:cs="Times New Roman"/>
          <w:sz w:val="24"/>
          <w:szCs w:val="24"/>
        </w:rPr>
        <w:t xml:space="preserve"> </w:t>
      </w:r>
      <w:r w:rsidR="00627270">
        <w:rPr>
          <w:rFonts w:ascii="Times New Roman" w:hAnsi="Times New Roman" w:cs="Times New Roman"/>
          <w:sz w:val="24"/>
          <w:szCs w:val="24"/>
        </w:rPr>
        <w:t>avoiding any chlorine-based chemicals and employing green media.</w:t>
      </w:r>
      <w:r>
        <w:rPr>
          <w:rFonts w:ascii="Times New Roman" w:hAnsi="Times New Roman" w:cs="Times New Roman"/>
          <w:sz w:val="24"/>
          <w:szCs w:val="24"/>
        </w:rPr>
        <w:t xml:space="preserve"> </w:t>
      </w:r>
      <w:r w:rsidR="00C543B4">
        <w:rPr>
          <w:rFonts w:ascii="Times New Roman" w:hAnsi="Times New Roman" w:cs="Times New Roman"/>
          <w:sz w:val="24"/>
          <w:szCs w:val="24"/>
        </w:rPr>
        <w:t>T</w:t>
      </w:r>
      <w:r w:rsidR="00C543B4" w:rsidRPr="00C543B4">
        <w:rPr>
          <w:rFonts w:ascii="Times New Roman" w:hAnsi="Times New Roman" w:cs="Times New Roman"/>
          <w:sz w:val="24"/>
          <w:szCs w:val="24"/>
        </w:rPr>
        <w:t xml:space="preserve">he homogeneous route yielded the best results </w:t>
      </w:r>
      <w:r w:rsidR="00A536E8">
        <w:rPr>
          <w:rFonts w:ascii="Times New Roman" w:hAnsi="Times New Roman" w:cs="Times New Roman"/>
          <w:sz w:val="24"/>
          <w:szCs w:val="24"/>
        </w:rPr>
        <w:t xml:space="preserve">when the reaction was conducted </w:t>
      </w:r>
      <w:r w:rsidR="00A536E8" w:rsidRPr="00C543B4">
        <w:rPr>
          <w:rFonts w:ascii="Times New Roman" w:hAnsi="Times New Roman" w:cs="Times New Roman"/>
          <w:sz w:val="24"/>
          <w:szCs w:val="24"/>
        </w:rPr>
        <w:t xml:space="preserve">in 2-Me-THF </w:t>
      </w:r>
      <w:r w:rsidR="00A536E8">
        <w:rPr>
          <w:rFonts w:ascii="Times New Roman" w:hAnsi="Times New Roman" w:cs="Times New Roman"/>
          <w:sz w:val="24"/>
          <w:szCs w:val="24"/>
        </w:rPr>
        <w:t xml:space="preserve">as medium and </w:t>
      </w:r>
      <w:r w:rsidR="00C543B4" w:rsidRPr="00C543B4">
        <w:rPr>
          <w:rFonts w:ascii="Times New Roman" w:hAnsi="Times New Roman" w:cs="Times New Roman"/>
          <w:sz w:val="24"/>
          <w:szCs w:val="24"/>
        </w:rPr>
        <w:t>using triethylamine as a catalyst</w:t>
      </w:r>
      <w:r w:rsidR="004D2916">
        <w:rPr>
          <w:rFonts w:ascii="Times New Roman" w:hAnsi="Times New Roman" w:cs="Times New Roman"/>
          <w:sz w:val="24"/>
          <w:szCs w:val="24"/>
        </w:rPr>
        <w:t xml:space="preserve">. </w:t>
      </w:r>
      <w:r w:rsidR="00C543B4" w:rsidRPr="00C543B4">
        <w:rPr>
          <w:rFonts w:ascii="Times New Roman" w:hAnsi="Times New Roman" w:cs="Times New Roman"/>
          <w:sz w:val="24"/>
          <w:szCs w:val="24"/>
        </w:rPr>
        <w:t>DGF</w:t>
      </w:r>
      <w:r w:rsidR="004D2916">
        <w:rPr>
          <w:rFonts w:ascii="Times New Roman" w:hAnsi="Times New Roman" w:cs="Times New Roman"/>
          <w:sz w:val="24"/>
          <w:szCs w:val="24"/>
        </w:rPr>
        <w:t xml:space="preserve"> was isolated </w:t>
      </w:r>
      <w:r w:rsidR="00F411D7">
        <w:rPr>
          <w:rFonts w:ascii="Times New Roman" w:hAnsi="Times New Roman" w:cs="Times New Roman"/>
          <w:sz w:val="24"/>
          <w:szCs w:val="24"/>
        </w:rPr>
        <w:t xml:space="preserve">as pure </w:t>
      </w:r>
      <w:r w:rsidR="004D2916">
        <w:rPr>
          <w:rFonts w:ascii="Times New Roman" w:hAnsi="Times New Roman" w:cs="Times New Roman"/>
          <w:sz w:val="24"/>
          <w:szCs w:val="24"/>
        </w:rPr>
        <w:t xml:space="preserve">in </w:t>
      </w:r>
      <w:r w:rsidR="004D2916" w:rsidRPr="00C543B4">
        <w:rPr>
          <w:rFonts w:ascii="Times New Roman" w:hAnsi="Times New Roman" w:cs="Times New Roman"/>
          <w:sz w:val="24"/>
          <w:szCs w:val="24"/>
        </w:rPr>
        <w:t xml:space="preserve">82% </w:t>
      </w:r>
      <w:r w:rsidR="004D2916">
        <w:rPr>
          <w:rFonts w:ascii="Times New Roman" w:hAnsi="Times New Roman" w:cs="Times New Roman"/>
          <w:sz w:val="24"/>
          <w:szCs w:val="24"/>
        </w:rPr>
        <w:t>yield</w:t>
      </w:r>
      <w:r w:rsidR="00A536E8" w:rsidRPr="00A536E8">
        <w:t xml:space="preserve"> </w:t>
      </w:r>
      <w:r w:rsidR="00A536E8" w:rsidRPr="00A536E8">
        <w:rPr>
          <w:rFonts w:ascii="Times New Roman" w:hAnsi="Times New Roman" w:cs="Times New Roman"/>
          <w:sz w:val="24"/>
          <w:szCs w:val="24"/>
        </w:rPr>
        <w:t>through a</w:t>
      </w:r>
      <w:r w:rsidR="00A536E8">
        <w:rPr>
          <w:rFonts w:ascii="Times New Roman" w:hAnsi="Times New Roman" w:cs="Times New Roman"/>
          <w:sz w:val="24"/>
          <w:szCs w:val="24"/>
        </w:rPr>
        <w:t xml:space="preserve"> simple</w:t>
      </w:r>
      <w:r w:rsidR="00A536E8" w:rsidRPr="00A536E8">
        <w:rPr>
          <w:rFonts w:ascii="Times New Roman" w:hAnsi="Times New Roman" w:cs="Times New Roman"/>
          <w:sz w:val="24"/>
          <w:szCs w:val="24"/>
        </w:rPr>
        <w:t xml:space="preserve"> liquid-liquid extraction</w:t>
      </w:r>
      <w:r w:rsidR="00C543B4" w:rsidRPr="00C543B4">
        <w:rPr>
          <w:rFonts w:ascii="Times New Roman" w:hAnsi="Times New Roman" w:cs="Times New Roman"/>
          <w:sz w:val="24"/>
          <w:szCs w:val="24"/>
        </w:rPr>
        <w:t xml:space="preserve">. </w:t>
      </w:r>
      <w:r w:rsidR="00627270">
        <w:rPr>
          <w:rFonts w:ascii="Times New Roman" w:hAnsi="Times New Roman" w:cs="Times New Roman"/>
          <w:sz w:val="24"/>
          <w:szCs w:val="24"/>
        </w:rPr>
        <w:t>In t</w:t>
      </w:r>
      <w:r w:rsidR="00C543B4">
        <w:rPr>
          <w:rFonts w:ascii="Times New Roman" w:hAnsi="Times New Roman" w:cs="Times New Roman"/>
          <w:sz w:val="24"/>
          <w:szCs w:val="24"/>
        </w:rPr>
        <w:t>he heterogeneous route</w:t>
      </w:r>
      <w:r>
        <w:rPr>
          <w:rFonts w:ascii="Times New Roman" w:hAnsi="Times New Roman" w:cs="Times New Roman"/>
          <w:sz w:val="24"/>
          <w:szCs w:val="24"/>
        </w:rPr>
        <w:t>,</w:t>
      </w:r>
      <w:r w:rsidR="00C543B4">
        <w:rPr>
          <w:rFonts w:ascii="Times New Roman" w:hAnsi="Times New Roman" w:cs="Times New Roman"/>
          <w:sz w:val="24"/>
          <w:szCs w:val="24"/>
        </w:rPr>
        <w:t xml:space="preserve"> </w:t>
      </w:r>
      <w:r w:rsidR="008C33AF">
        <w:rPr>
          <w:rFonts w:ascii="Times New Roman" w:hAnsi="Times New Roman" w:cs="Times New Roman"/>
          <w:sz w:val="24"/>
          <w:szCs w:val="24"/>
        </w:rPr>
        <w:t>triethylamine</w:t>
      </w:r>
      <w:r w:rsidR="00C543B4">
        <w:rPr>
          <w:rFonts w:ascii="Times New Roman" w:hAnsi="Times New Roman" w:cs="Times New Roman"/>
          <w:sz w:val="24"/>
          <w:szCs w:val="24"/>
        </w:rPr>
        <w:t xml:space="preserve"> immobilized on a </w:t>
      </w:r>
      <w:r w:rsidR="00C543B4" w:rsidRPr="00E44371">
        <w:rPr>
          <w:rFonts w:ascii="Times New Roman" w:hAnsi="Times New Roman" w:cs="Times New Roman"/>
          <w:sz w:val="24"/>
          <w:szCs w:val="24"/>
        </w:rPr>
        <w:t>polymeric polystyrene-divinylbenzene (PS-DVB)</w:t>
      </w:r>
      <w:r w:rsidR="00C543B4">
        <w:rPr>
          <w:rFonts w:ascii="Times New Roman" w:hAnsi="Times New Roman" w:cs="Times New Roman"/>
          <w:sz w:val="24"/>
          <w:szCs w:val="24"/>
        </w:rPr>
        <w:t xml:space="preserve"> support</w:t>
      </w:r>
      <w:r>
        <w:rPr>
          <w:rFonts w:ascii="Times New Roman" w:hAnsi="Times New Roman" w:cs="Times New Roman"/>
          <w:sz w:val="24"/>
          <w:szCs w:val="24"/>
        </w:rPr>
        <w:t>,</w:t>
      </w:r>
      <w:r w:rsidR="00C543B4">
        <w:rPr>
          <w:rFonts w:ascii="Times New Roman" w:hAnsi="Times New Roman" w:cs="Times New Roman"/>
          <w:sz w:val="24"/>
          <w:szCs w:val="24"/>
        </w:rPr>
        <w:t xml:space="preserve"> led to </w:t>
      </w:r>
      <w:r w:rsidR="00A536E8">
        <w:rPr>
          <w:rFonts w:ascii="Times New Roman" w:hAnsi="Times New Roman" w:cs="Times New Roman"/>
          <w:sz w:val="24"/>
          <w:szCs w:val="24"/>
        </w:rPr>
        <w:t>a lower</w:t>
      </w:r>
      <w:r w:rsidR="00627270">
        <w:rPr>
          <w:rFonts w:ascii="Times New Roman" w:hAnsi="Times New Roman" w:cs="Times New Roman"/>
          <w:sz w:val="24"/>
          <w:szCs w:val="24"/>
        </w:rPr>
        <w:t xml:space="preserve"> </w:t>
      </w:r>
      <w:r w:rsidR="004D2916">
        <w:rPr>
          <w:rFonts w:ascii="Times New Roman" w:hAnsi="Times New Roman" w:cs="Times New Roman"/>
          <w:sz w:val="24"/>
          <w:szCs w:val="24"/>
        </w:rPr>
        <w:t>yield due to a moderate substrate</w:t>
      </w:r>
      <w:r w:rsidR="00C543B4">
        <w:rPr>
          <w:rFonts w:ascii="Times New Roman" w:hAnsi="Times New Roman" w:cs="Times New Roman"/>
          <w:sz w:val="24"/>
          <w:szCs w:val="24"/>
        </w:rPr>
        <w:t xml:space="preserve"> </w:t>
      </w:r>
      <w:r w:rsidR="00C543B4" w:rsidRPr="000D64E9">
        <w:rPr>
          <w:rFonts w:ascii="Times New Roman" w:hAnsi="Times New Roman" w:cs="Times New Roman"/>
          <w:sz w:val="24"/>
          <w:szCs w:val="24"/>
        </w:rPr>
        <w:t>conversion.</w:t>
      </w:r>
      <w:r w:rsidR="00C543B4">
        <w:rPr>
          <w:rFonts w:ascii="Times New Roman" w:hAnsi="Times New Roman" w:cs="Times New Roman"/>
          <w:sz w:val="24"/>
          <w:szCs w:val="24"/>
        </w:rPr>
        <w:t xml:space="preserve"> </w:t>
      </w:r>
      <w:r w:rsidR="00340A19" w:rsidRPr="00340A19">
        <w:rPr>
          <w:rFonts w:ascii="Times New Roman" w:hAnsi="Times New Roman" w:cs="Times New Roman"/>
          <w:sz w:val="24"/>
          <w:szCs w:val="24"/>
        </w:rPr>
        <w:t xml:space="preserve">The chemo-enzymatic route employed </w:t>
      </w:r>
      <w:r w:rsidR="00340A19" w:rsidRPr="00F847DA">
        <w:rPr>
          <w:rFonts w:ascii="Times New Roman" w:hAnsi="Times New Roman" w:cs="Times New Roman"/>
          <w:i/>
          <w:iCs/>
          <w:sz w:val="24"/>
          <w:szCs w:val="24"/>
        </w:rPr>
        <w:t>Candida antarctica</w:t>
      </w:r>
      <w:r w:rsidR="00340A19" w:rsidRPr="00340A19">
        <w:rPr>
          <w:rFonts w:ascii="Times New Roman" w:hAnsi="Times New Roman" w:cs="Times New Roman"/>
          <w:sz w:val="24"/>
          <w:szCs w:val="24"/>
        </w:rPr>
        <w:t xml:space="preserve"> lipase B (CALB) supported on various </w:t>
      </w:r>
      <w:r w:rsidR="00A536E8">
        <w:rPr>
          <w:rFonts w:ascii="Times New Roman" w:hAnsi="Times New Roman" w:cs="Times New Roman"/>
          <w:sz w:val="24"/>
          <w:szCs w:val="24"/>
        </w:rPr>
        <w:t>S</w:t>
      </w:r>
      <w:r w:rsidR="00340A19" w:rsidRPr="00340A19">
        <w:rPr>
          <w:rFonts w:ascii="Times New Roman" w:hAnsi="Times New Roman" w:cs="Times New Roman"/>
          <w:sz w:val="24"/>
          <w:szCs w:val="24"/>
        </w:rPr>
        <w:t xml:space="preserve">upported </w:t>
      </w:r>
      <w:r w:rsidR="00A536E8">
        <w:rPr>
          <w:rFonts w:ascii="Times New Roman" w:hAnsi="Times New Roman" w:cs="Times New Roman"/>
          <w:sz w:val="24"/>
          <w:szCs w:val="24"/>
        </w:rPr>
        <w:t>I</w:t>
      </w:r>
      <w:r w:rsidR="00340A19" w:rsidRPr="00340A19">
        <w:rPr>
          <w:rFonts w:ascii="Times New Roman" w:hAnsi="Times New Roman" w:cs="Times New Roman"/>
          <w:sz w:val="24"/>
          <w:szCs w:val="24"/>
        </w:rPr>
        <w:t xml:space="preserve">onic </w:t>
      </w:r>
      <w:r w:rsidR="00A536E8">
        <w:rPr>
          <w:rFonts w:ascii="Times New Roman" w:hAnsi="Times New Roman" w:cs="Times New Roman"/>
          <w:sz w:val="24"/>
          <w:szCs w:val="24"/>
        </w:rPr>
        <w:t>L</w:t>
      </w:r>
      <w:r w:rsidR="00340A19" w:rsidRPr="00340A19">
        <w:rPr>
          <w:rFonts w:ascii="Times New Roman" w:hAnsi="Times New Roman" w:cs="Times New Roman"/>
          <w:sz w:val="24"/>
          <w:szCs w:val="24"/>
        </w:rPr>
        <w:t>iquid-</w:t>
      </w:r>
      <w:r w:rsidR="00A536E8">
        <w:rPr>
          <w:rFonts w:ascii="Times New Roman" w:hAnsi="Times New Roman" w:cs="Times New Roman"/>
          <w:sz w:val="24"/>
          <w:szCs w:val="24"/>
        </w:rPr>
        <w:t>L</w:t>
      </w:r>
      <w:r w:rsidR="00340A19" w:rsidRPr="00340A19">
        <w:rPr>
          <w:rFonts w:ascii="Times New Roman" w:hAnsi="Times New Roman" w:cs="Times New Roman"/>
          <w:sz w:val="24"/>
          <w:szCs w:val="24"/>
        </w:rPr>
        <w:t xml:space="preserve">ike </w:t>
      </w:r>
      <w:r w:rsidR="00A536E8">
        <w:rPr>
          <w:rFonts w:ascii="Times New Roman" w:hAnsi="Times New Roman" w:cs="Times New Roman"/>
          <w:sz w:val="24"/>
          <w:szCs w:val="24"/>
        </w:rPr>
        <w:t>P</w:t>
      </w:r>
      <w:r w:rsidR="00340A19" w:rsidRPr="00340A19">
        <w:rPr>
          <w:rFonts w:ascii="Times New Roman" w:hAnsi="Times New Roman" w:cs="Times New Roman"/>
          <w:sz w:val="24"/>
          <w:szCs w:val="24"/>
        </w:rPr>
        <w:t>hases (SILLPs)</w:t>
      </w:r>
      <w:r w:rsidR="004D2916">
        <w:rPr>
          <w:rFonts w:ascii="Times New Roman" w:hAnsi="Times New Roman" w:cs="Times New Roman"/>
          <w:sz w:val="24"/>
          <w:szCs w:val="24"/>
        </w:rPr>
        <w:t xml:space="preserve">. In this case DGF </w:t>
      </w:r>
      <w:r w:rsidR="00340A19" w:rsidRPr="00340A19">
        <w:rPr>
          <w:rFonts w:ascii="Times New Roman" w:hAnsi="Times New Roman" w:cs="Times New Roman"/>
          <w:sz w:val="24"/>
          <w:szCs w:val="24"/>
        </w:rPr>
        <w:t>yield</w:t>
      </w:r>
      <w:r w:rsidR="004D2916">
        <w:rPr>
          <w:rFonts w:ascii="Times New Roman" w:hAnsi="Times New Roman" w:cs="Times New Roman"/>
          <w:sz w:val="24"/>
          <w:szCs w:val="24"/>
        </w:rPr>
        <w:t xml:space="preserve"> was</w:t>
      </w:r>
      <w:r w:rsidR="00340A19" w:rsidRPr="00340A19">
        <w:rPr>
          <w:rFonts w:ascii="Times New Roman" w:hAnsi="Times New Roman" w:cs="Times New Roman"/>
          <w:sz w:val="24"/>
          <w:szCs w:val="24"/>
        </w:rPr>
        <w:t xml:space="preserve"> </w:t>
      </w:r>
      <w:r w:rsidR="004D14F6">
        <w:rPr>
          <w:rFonts w:ascii="Times New Roman" w:hAnsi="Times New Roman" w:cs="Times New Roman"/>
          <w:sz w:val="24"/>
          <w:szCs w:val="24"/>
        </w:rPr>
        <w:t>only</w:t>
      </w:r>
      <w:r w:rsidR="00340A19" w:rsidRPr="00340A19">
        <w:rPr>
          <w:rFonts w:ascii="Times New Roman" w:hAnsi="Times New Roman" w:cs="Times New Roman"/>
          <w:sz w:val="24"/>
          <w:szCs w:val="24"/>
        </w:rPr>
        <w:t xml:space="preserve"> </w:t>
      </w:r>
      <w:r w:rsidR="00F411D7">
        <w:rPr>
          <w:rFonts w:ascii="Times New Roman" w:hAnsi="Times New Roman" w:cs="Times New Roman"/>
          <w:sz w:val="24"/>
          <w:szCs w:val="24"/>
        </w:rPr>
        <w:t xml:space="preserve">of </w:t>
      </w:r>
      <w:r w:rsidR="00340A19" w:rsidRPr="00340A19">
        <w:rPr>
          <w:rFonts w:ascii="Times New Roman" w:hAnsi="Times New Roman" w:cs="Times New Roman"/>
          <w:sz w:val="24"/>
          <w:szCs w:val="24"/>
        </w:rPr>
        <w:t xml:space="preserve">10-20%. Interestingly, the reaction </w:t>
      </w:r>
      <w:r w:rsidR="004D2916">
        <w:rPr>
          <w:rFonts w:ascii="Times New Roman" w:hAnsi="Times New Roman" w:cs="Times New Roman"/>
          <w:sz w:val="24"/>
          <w:szCs w:val="24"/>
        </w:rPr>
        <w:t xml:space="preserve">led to </w:t>
      </w:r>
      <w:r w:rsidR="00340A19" w:rsidRPr="00340A19">
        <w:rPr>
          <w:rFonts w:ascii="Times New Roman" w:hAnsi="Times New Roman" w:cs="Times New Roman"/>
          <w:sz w:val="24"/>
          <w:szCs w:val="24"/>
        </w:rPr>
        <w:t xml:space="preserve">similar results even </w:t>
      </w:r>
      <w:r>
        <w:rPr>
          <w:rFonts w:ascii="Times New Roman" w:hAnsi="Times New Roman" w:cs="Times New Roman"/>
          <w:sz w:val="24"/>
          <w:szCs w:val="24"/>
        </w:rPr>
        <w:t>in the absence of the</w:t>
      </w:r>
      <w:r w:rsidR="00340A19" w:rsidRPr="00340A19">
        <w:rPr>
          <w:rFonts w:ascii="Times New Roman" w:hAnsi="Times New Roman" w:cs="Times New Roman"/>
          <w:sz w:val="24"/>
          <w:szCs w:val="24"/>
        </w:rPr>
        <w:t xml:space="preserve"> enzyme, suggesting that the ionic liquid-like phase on the resin </w:t>
      </w:r>
      <w:r w:rsidR="004D2916">
        <w:rPr>
          <w:rFonts w:ascii="Times New Roman" w:hAnsi="Times New Roman" w:cs="Times New Roman"/>
          <w:sz w:val="24"/>
          <w:szCs w:val="24"/>
        </w:rPr>
        <w:t>wa</w:t>
      </w:r>
      <w:r w:rsidR="00340A19" w:rsidRPr="00340A19">
        <w:rPr>
          <w:rFonts w:ascii="Times New Roman" w:hAnsi="Times New Roman" w:cs="Times New Roman"/>
          <w:sz w:val="24"/>
          <w:szCs w:val="24"/>
        </w:rPr>
        <w:t xml:space="preserve">s not a passive </w:t>
      </w:r>
      <w:r w:rsidR="005233C0" w:rsidRPr="00340A19">
        <w:rPr>
          <w:rFonts w:ascii="Times New Roman" w:hAnsi="Times New Roman" w:cs="Times New Roman"/>
          <w:sz w:val="24"/>
          <w:szCs w:val="24"/>
        </w:rPr>
        <w:t>support,</w:t>
      </w:r>
      <w:r w:rsidR="00340A19" w:rsidRPr="00340A19">
        <w:rPr>
          <w:rFonts w:ascii="Times New Roman" w:hAnsi="Times New Roman" w:cs="Times New Roman"/>
          <w:sz w:val="24"/>
          <w:szCs w:val="24"/>
        </w:rPr>
        <w:t xml:space="preserve"> but </w:t>
      </w:r>
      <w:r w:rsidR="004D2916">
        <w:rPr>
          <w:rFonts w:ascii="Times New Roman" w:hAnsi="Times New Roman" w:cs="Times New Roman"/>
          <w:sz w:val="24"/>
          <w:szCs w:val="24"/>
        </w:rPr>
        <w:t xml:space="preserve">it </w:t>
      </w:r>
      <w:r w:rsidR="00340A19" w:rsidRPr="00340A19">
        <w:rPr>
          <w:rFonts w:ascii="Times New Roman" w:hAnsi="Times New Roman" w:cs="Times New Roman"/>
          <w:sz w:val="24"/>
          <w:szCs w:val="24"/>
        </w:rPr>
        <w:t>actively participate</w:t>
      </w:r>
      <w:r w:rsidR="004D2916">
        <w:rPr>
          <w:rFonts w:ascii="Times New Roman" w:hAnsi="Times New Roman" w:cs="Times New Roman"/>
          <w:sz w:val="24"/>
          <w:szCs w:val="24"/>
        </w:rPr>
        <w:t>d</w:t>
      </w:r>
      <w:r w:rsidR="00340A19" w:rsidRPr="00340A19">
        <w:rPr>
          <w:rFonts w:ascii="Times New Roman" w:hAnsi="Times New Roman" w:cs="Times New Roman"/>
          <w:sz w:val="24"/>
          <w:szCs w:val="24"/>
        </w:rPr>
        <w:t xml:space="preserve"> in </w:t>
      </w:r>
      <w:r w:rsidR="004D2916">
        <w:rPr>
          <w:rFonts w:ascii="Times New Roman" w:hAnsi="Times New Roman" w:cs="Times New Roman"/>
          <w:sz w:val="24"/>
          <w:szCs w:val="24"/>
        </w:rPr>
        <w:t>promoting the transesterification reaction</w:t>
      </w:r>
      <w:r w:rsidR="00340A19" w:rsidRPr="00340A19">
        <w:rPr>
          <w:rFonts w:ascii="Times New Roman" w:hAnsi="Times New Roman" w:cs="Times New Roman"/>
          <w:sz w:val="24"/>
          <w:szCs w:val="24"/>
        </w:rPr>
        <w:t>.</w:t>
      </w:r>
      <w:r>
        <w:rPr>
          <w:rFonts w:ascii="Times New Roman" w:hAnsi="Times New Roman" w:cs="Times New Roman"/>
          <w:sz w:val="24"/>
          <w:szCs w:val="24"/>
        </w:rPr>
        <w:t xml:space="preserve"> </w:t>
      </w:r>
      <w:r w:rsidR="005233C0">
        <w:rPr>
          <w:rFonts w:ascii="Times New Roman" w:hAnsi="Times New Roman" w:cs="Times New Roman"/>
          <w:sz w:val="24"/>
          <w:szCs w:val="24"/>
        </w:rPr>
        <w:t xml:space="preserve">Thus, the efficiency of several SILLPs as catalysts was evaluated. </w:t>
      </w:r>
      <w:r w:rsidR="00340A19" w:rsidRPr="00340A19">
        <w:rPr>
          <w:rFonts w:ascii="Times New Roman" w:hAnsi="Times New Roman" w:cs="Times New Roman"/>
          <w:sz w:val="24"/>
          <w:szCs w:val="24"/>
        </w:rPr>
        <w:t>Among the</w:t>
      </w:r>
      <w:r w:rsidR="005233C0">
        <w:rPr>
          <w:rFonts w:ascii="Times New Roman" w:hAnsi="Times New Roman" w:cs="Times New Roman"/>
          <w:sz w:val="24"/>
          <w:szCs w:val="24"/>
        </w:rPr>
        <w:t>m</w:t>
      </w:r>
      <w:r w:rsidR="00340A19" w:rsidRPr="00340A19">
        <w:rPr>
          <w:rFonts w:ascii="Times New Roman" w:hAnsi="Times New Roman" w:cs="Times New Roman"/>
          <w:sz w:val="24"/>
          <w:szCs w:val="24"/>
        </w:rPr>
        <w:t>, the butyl imidazolium chloride SILLP demonstrated superior catalytic performance compared to supported alkyl ammonium salts</w:t>
      </w:r>
      <w:r w:rsidR="004D14F6">
        <w:rPr>
          <w:rFonts w:ascii="Times New Roman" w:hAnsi="Times New Roman" w:cs="Times New Roman"/>
          <w:sz w:val="24"/>
          <w:szCs w:val="24"/>
        </w:rPr>
        <w:t xml:space="preserve"> leading to </w:t>
      </w:r>
      <w:r w:rsidR="00E64B0D">
        <w:rPr>
          <w:rFonts w:ascii="Times New Roman" w:hAnsi="Times New Roman" w:cs="Times New Roman"/>
          <w:sz w:val="24"/>
          <w:szCs w:val="24"/>
        </w:rPr>
        <w:t>79%</w:t>
      </w:r>
      <w:r w:rsidR="004D14F6">
        <w:rPr>
          <w:rFonts w:ascii="Times New Roman" w:hAnsi="Times New Roman" w:cs="Times New Roman"/>
          <w:sz w:val="24"/>
          <w:szCs w:val="24"/>
        </w:rPr>
        <w:t xml:space="preserve">. Furthermore, </w:t>
      </w:r>
      <w:r w:rsidR="00340A19" w:rsidRPr="00340A19">
        <w:rPr>
          <w:rFonts w:ascii="Times New Roman" w:hAnsi="Times New Roman" w:cs="Times New Roman"/>
          <w:sz w:val="24"/>
          <w:szCs w:val="24"/>
        </w:rPr>
        <w:t xml:space="preserve">its stability </w:t>
      </w:r>
      <w:r w:rsidR="00F411D7">
        <w:rPr>
          <w:rFonts w:ascii="Times New Roman" w:hAnsi="Times New Roman" w:cs="Times New Roman"/>
          <w:sz w:val="24"/>
          <w:szCs w:val="24"/>
        </w:rPr>
        <w:t>resulted very</w:t>
      </w:r>
      <w:r w:rsidR="00340A19" w:rsidRPr="00340A19">
        <w:rPr>
          <w:rFonts w:ascii="Times New Roman" w:hAnsi="Times New Roman" w:cs="Times New Roman"/>
          <w:sz w:val="24"/>
          <w:szCs w:val="24"/>
        </w:rPr>
        <w:t xml:space="preserve"> promising, maintaining consistent catalytic efficiency over 12 consecutive cycles.</w:t>
      </w:r>
    </w:p>
    <w:p w14:paraId="215CB9E5" w14:textId="5B9C5B99" w:rsidR="00A505AF" w:rsidRPr="00FD2C82" w:rsidRDefault="00D87ECE" w:rsidP="00FD2C82">
      <w:pPr>
        <w:spacing w:before="100" w:beforeAutospacing="1" w:after="100" w:afterAutospacing="1" w:line="480" w:lineRule="auto"/>
        <w:jc w:val="both"/>
        <w:rPr>
          <w:rFonts w:ascii="Times New Roman" w:hAnsi="Times New Roman" w:cs="Times New Roman"/>
          <w:sz w:val="24"/>
          <w:szCs w:val="24"/>
        </w:rPr>
      </w:pPr>
      <w:r w:rsidRPr="00D87ECE">
        <w:rPr>
          <w:rFonts w:ascii="Times New Roman" w:hAnsi="Times New Roman" w:cs="Times New Roman"/>
          <w:b/>
          <w:bCs/>
          <w:sz w:val="24"/>
          <w:szCs w:val="24"/>
        </w:rPr>
        <w:t>Keywords:</w:t>
      </w:r>
      <w:r>
        <w:rPr>
          <w:rFonts w:ascii="Times New Roman" w:hAnsi="Times New Roman" w:cs="Times New Roman"/>
          <w:b/>
          <w:bCs/>
          <w:sz w:val="24"/>
          <w:szCs w:val="24"/>
        </w:rPr>
        <w:t xml:space="preserve"> </w:t>
      </w:r>
      <w:r w:rsidR="00CC32C6">
        <w:rPr>
          <w:rFonts w:ascii="Times New Roman" w:hAnsi="Times New Roman" w:cs="Times New Roman"/>
          <w:sz w:val="24"/>
          <w:szCs w:val="24"/>
        </w:rPr>
        <w:t>Green chemistry</w:t>
      </w:r>
      <w:r>
        <w:rPr>
          <w:rFonts w:ascii="Times New Roman" w:hAnsi="Times New Roman" w:cs="Times New Roman"/>
          <w:b/>
          <w:bCs/>
          <w:sz w:val="24"/>
          <w:szCs w:val="24"/>
        </w:rPr>
        <w:t xml:space="preserve">; </w:t>
      </w:r>
      <w:r w:rsidRPr="00D87ECE">
        <w:rPr>
          <w:rFonts w:ascii="Times New Roman" w:hAnsi="Times New Roman" w:cs="Times New Roman"/>
          <w:sz w:val="24"/>
          <w:szCs w:val="24"/>
        </w:rPr>
        <w:t>Renewable Resources</w:t>
      </w:r>
      <w:r>
        <w:rPr>
          <w:rFonts w:ascii="Times New Roman" w:hAnsi="Times New Roman" w:cs="Times New Roman"/>
          <w:sz w:val="24"/>
          <w:szCs w:val="24"/>
        </w:rPr>
        <w:t xml:space="preserve">; </w:t>
      </w:r>
      <w:r w:rsidRPr="00D87ECE">
        <w:rPr>
          <w:rFonts w:ascii="Times New Roman" w:hAnsi="Times New Roman" w:cs="Times New Roman"/>
          <w:sz w:val="24"/>
          <w:szCs w:val="24"/>
        </w:rPr>
        <w:t xml:space="preserve">FDCA-based epoxy </w:t>
      </w:r>
      <w:r>
        <w:rPr>
          <w:rFonts w:ascii="Times New Roman" w:hAnsi="Times New Roman" w:cs="Times New Roman"/>
          <w:sz w:val="24"/>
          <w:szCs w:val="24"/>
        </w:rPr>
        <w:t xml:space="preserve">monomers; </w:t>
      </w:r>
      <w:r w:rsidRPr="00D87ECE">
        <w:rPr>
          <w:rFonts w:ascii="Times New Roman" w:hAnsi="Times New Roman" w:cs="Times New Roman"/>
          <w:sz w:val="24"/>
          <w:szCs w:val="24"/>
        </w:rPr>
        <w:t>Bio-derived Alternatives</w:t>
      </w:r>
      <w:r>
        <w:rPr>
          <w:rFonts w:ascii="Times New Roman" w:hAnsi="Times New Roman" w:cs="Times New Roman"/>
          <w:sz w:val="24"/>
          <w:szCs w:val="24"/>
        </w:rPr>
        <w:t>.</w:t>
      </w:r>
    </w:p>
    <w:p w14:paraId="0E0CD9DB" w14:textId="2BB36CE2" w:rsidR="00D07405" w:rsidRPr="00370B37" w:rsidRDefault="00D07405" w:rsidP="00370B37">
      <w:pPr>
        <w:spacing w:line="480" w:lineRule="auto"/>
        <w:jc w:val="both"/>
        <w:rPr>
          <w:rFonts w:ascii="Times New Roman" w:hAnsi="Times New Roman" w:cs="Times New Roman"/>
          <w:b/>
          <w:bCs/>
          <w:sz w:val="28"/>
          <w:szCs w:val="28"/>
        </w:rPr>
      </w:pPr>
      <w:bookmarkStart w:id="1" w:name="_Hlk160790744"/>
      <w:r w:rsidRPr="00370B37">
        <w:rPr>
          <w:rFonts w:ascii="Times New Roman" w:hAnsi="Times New Roman" w:cs="Times New Roman"/>
          <w:b/>
          <w:bCs/>
          <w:sz w:val="28"/>
          <w:szCs w:val="28"/>
        </w:rPr>
        <w:t>Introduction</w:t>
      </w:r>
    </w:p>
    <w:p w14:paraId="2BFCCD25" w14:textId="1220EACE" w:rsidR="009821F2" w:rsidRDefault="007F04B8" w:rsidP="00A71D55">
      <w:pPr>
        <w:spacing w:line="480" w:lineRule="auto"/>
        <w:ind w:firstLine="360"/>
        <w:jc w:val="both"/>
        <w:rPr>
          <w:rFonts w:ascii="Times New Roman" w:eastAsia="Times New Roman" w:hAnsi="Times New Roman" w:cs="Times New Roman"/>
          <w:sz w:val="24"/>
          <w:szCs w:val="24"/>
        </w:rPr>
      </w:pPr>
      <w:r w:rsidRPr="00A505AF">
        <w:rPr>
          <w:rFonts w:ascii="Times New Roman" w:hAnsi="Times New Roman" w:cs="Times New Roman"/>
          <w:sz w:val="24"/>
          <w:szCs w:val="24"/>
        </w:rPr>
        <w:t xml:space="preserve">The growing interest in using renewable resources </w:t>
      </w:r>
      <w:r w:rsidR="00D43F9A" w:rsidRPr="00A505AF">
        <w:rPr>
          <w:rFonts w:ascii="Times New Roman" w:hAnsi="Times New Roman" w:cs="Times New Roman"/>
          <w:sz w:val="24"/>
          <w:szCs w:val="24"/>
        </w:rPr>
        <w:t>to produce</w:t>
      </w:r>
      <w:r w:rsidRPr="00A505AF">
        <w:rPr>
          <w:rFonts w:ascii="Times New Roman" w:hAnsi="Times New Roman" w:cs="Times New Roman"/>
          <w:sz w:val="24"/>
          <w:szCs w:val="24"/>
        </w:rPr>
        <w:t xml:space="preserve"> polymeric materials is largely driven by environmental concerns and the need for sustainable solutions to the challenges facing the current generation. As a result, the plastic industry is transitioning to more sustainable approaches </w:t>
      </w:r>
      <w:r w:rsidR="00650067" w:rsidRPr="00A505AF">
        <w:rPr>
          <w:rFonts w:ascii="Times New Roman" w:hAnsi="Times New Roman" w:cs="Times New Roman"/>
          <w:sz w:val="24"/>
          <w:szCs w:val="24"/>
        </w:rPr>
        <w:t xml:space="preserve">in </w:t>
      </w:r>
      <w:r w:rsidRPr="00A505AF">
        <w:rPr>
          <w:rFonts w:ascii="Times New Roman" w:hAnsi="Times New Roman" w:cs="Times New Roman"/>
          <w:sz w:val="24"/>
          <w:szCs w:val="24"/>
        </w:rPr>
        <w:t xml:space="preserve">developing </w:t>
      </w:r>
      <w:r w:rsidR="00D43F9A">
        <w:rPr>
          <w:rFonts w:ascii="Times New Roman" w:hAnsi="Times New Roman" w:cs="Times New Roman"/>
          <w:sz w:val="24"/>
          <w:szCs w:val="24"/>
        </w:rPr>
        <w:t xml:space="preserve">new </w:t>
      </w:r>
      <w:r w:rsidRPr="00A505AF">
        <w:rPr>
          <w:rFonts w:ascii="Times New Roman" w:hAnsi="Times New Roman" w:cs="Times New Roman"/>
          <w:sz w:val="24"/>
          <w:szCs w:val="24"/>
        </w:rPr>
        <w:t>products</w:t>
      </w:r>
      <w:r w:rsidR="00650067" w:rsidRPr="00A505AF">
        <w:rPr>
          <w:rFonts w:ascii="Times New Roman" w:hAnsi="Times New Roman" w:cs="Times New Roman"/>
          <w:sz w:val="24"/>
          <w:szCs w:val="24"/>
        </w:rPr>
        <w:t xml:space="preserve"> and materials</w:t>
      </w:r>
      <w:r w:rsidR="00AB279D">
        <w:rPr>
          <w:rFonts w:ascii="Times New Roman" w:hAnsi="Times New Roman" w:cs="Times New Roman"/>
          <w:sz w:val="24"/>
          <w:szCs w:val="24"/>
        </w:rPr>
        <w:t xml:space="preserve"> </w:t>
      </w:r>
      <w:r w:rsidR="00FD38CE">
        <w:rPr>
          <w:rFonts w:ascii="Times New Roman" w:hAnsi="Times New Roman" w:cs="Times New Roman"/>
          <w:sz w:val="24"/>
          <w:szCs w:val="24"/>
        </w:rPr>
        <w:fldChar w:fldCharType="begin"/>
      </w:r>
      <w:r w:rsidR="00AB279D">
        <w:rPr>
          <w:rFonts w:ascii="Times New Roman" w:hAnsi="Times New Roman" w:cs="Times New Roman"/>
          <w:sz w:val="24"/>
          <w:szCs w:val="24"/>
        </w:rPr>
        <w:instrText xml:space="preserve"> ADDIN ZOTERO_ITEM CSL_CITATION {"citationID":"rQ8RFrJQ","properties":{"formattedCitation":"(Bielski and Grynkiewicz, 2021; Zhang and Dumont, 2017)","plainCitation":"(Bielski and Grynkiewicz, 2021; Zhang and Dumont, 2017)","noteIndex":0},"citationItems":[{"id":115,"uris":["http://zotero.org/users/11450443/items/R8HSSUL5"],"itemData":{"id":115,"type":"article-journal","abstract":"ABSTRACT\n            \n              In recent years, considerable efforts have been made regarding the synthesis of renewable chemicals from natural resources. 5‐hydroxymethylfurfural (HMF) is an interesting platform chemical which has been widely exploited due to its rich chemistry and potential availability. The versatility of HMF has been demonstrated in several areas such as fine chemicals, biofuel precursors, and polymers. In particular, the potential to replace petroleum‐based analogues in the preparation of polymers associated with high performance has been observed owing to the structural rigidity of furan rings. This review aims at critically discuss the current research studies related to the derivatives of HMF, alongside with the synthesis and characterization of (co‐) polymers derived from HMF and its derivatives. © 2017 Wiley Periodicals, Inc. J. Polym. Sci., Part A: Polym. Chem.\n              2017\n              ,\n              55\n              , 1478–1492","container-title":"Journal of Polymer Science Part A: Polymer Chemistry","DOI":"10.1002/pola.28527","ISSN":"0887-624X, 1099-0518","issue":"9","journalAbbreviation":"J. Polym. Sci. Part A: Polym. Chem.","language":"en","page":"1478-1492","source":"DOI.org (Crossref)","title":"Advances in polymer precursors and bio‐based polymers synthesized from 5‐hydroxymethylfurfural","volume":"55","author":[{"family":"Zhang","given":"Daihui"},{"family":"Dumont","given":"Marie‐Josée"}],"issued":{"date-parts":[["2017",5]]}}},{"id":117,"uris":["http://zotero.org/users/11450443/items/5DF2P333"],"itemData":{"id":117,"type":"article-journal","abstract":"Primary furan platform chemicals are attractive reactants for the production of fuels and polymers. This perspective shows that they are economic starting materials in the chemical and enzymatic synthesis of numerous chemicals of varying complexity.\n          , \n            \n              Herein, we offer some perspective on the metamorphosis that has already begun to take place in substantial parts of the chemical industry,\n              i.e.\n              , a switch from traditional resources such as crude oil to biomass. This change requires the workhorse of chemical reactants and petroleum refineries to be replaced with biorefineries. The present perspective offers a brief look at the manufacture and uses of furan platform chemicals (FPCs) directly available from biomass (furfural and 5-hydroxy-methylfurfural). Next, we discuss the difficulties encountered when a secondary FPC, 2,5-furandicarboxylic acid, moves from the lab to large-scale manufacture. The main purpose of the present article is to show the spectacular range of compounds that can be economically synthesized from biomass\n              via\n              FPCs. The fate of selected FPCs and their potential are shown herein as an example only, where many more simple or complex chemicals can be obtained. We believe that there are excellent applications of bio-based materials besides the broadly promoted manufacture of fuels and monomers. This perspective looks at the types of reactions applicable to FPCs and a variety of methods for the synthesis of chiral furans.","container-title":"Green Chemistry","DOI":"10.1039/D1GC02402G","ISSN":"1463-9262, 1463-9270","issue":"19","journalAbbreviation":"Green Chem.","language":"en","page":"7458-7487","source":"DOI.org (Crossref)","title":"Furan platform chemicals beyond fuels and plastics","volume":"23","author":[{"family":"Bielski","given":"Roman"},{"family":"Grynkiewicz","given":"Grzegorz"}],"issued":{"date-parts":[["2021"]]}}}],"schema":"https://github.com/citation-style-language/schema/raw/master/csl-citation.json"} </w:instrText>
      </w:r>
      <w:r w:rsidR="00FD38CE">
        <w:rPr>
          <w:rFonts w:ascii="Times New Roman" w:hAnsi="Times New Roman" w:cs="Times New Roman"/>
          <w:sz w:val="24"/>
          <w:szCs w:val="24"/>
        </w:rPr>
        <w:fldChar w:fldCharType="separate"/>
      </w:r>
      <w:r w:rsidR="00AB279D" w:rsidRPr="00AB279D">
        <w:rPr>
          <w:rFonts w:ascii="Times New Roman" w:hAnsi="Times New Roman" w:cs="Times New Roman"/>
          <w:sz w:val="24"/>
        </w:rPr>
        <w:t>(Bielski and Grynkiewicz, 2021; Zhang and Dumont, 2017)</w:t>
      </w:r>
      <w:r w:rsidR="00FD38CE">
        <w:rPr>
          <w:rFonts w:ascii="Times New Roman" w:hAnsi="Times New Roman" w:cs="Times New Roman"/>
          <w:sz w:val="24"/>
          <w:szCs w:val="24"/>
        </w:rPr>
        <w:fldChar w:fldCharType="end"/>
      </w:r>
      <w:r w:rsidR="00AB279D">
        <w:rPr>
          <w:rFonts w:ascii="Times New Roman" w:hAnsi="Times New Roman" w:cs="Times New Roman"/>
          <w:sz w:val="24"/>
          <w:szCs w:val="24"/>
        </w:rPr>
        <w:t>.</w:t>
      </w:r>
      <w:r w:rsidRPr="00A505AF">
        <w:rPr>
          <w:rFonts w:ascii="Times New Roman" w:hAnsi="Times New Roman" w:cs="Times New Roman"/>
          <w:sz w:val="24"/>
          <w:szCs w:val="24"/>
        </w:rPr>
        <w:t xml:space="preserve"> This has led to a rising interest in using natural resources, such as polysaccharides</w:t>
      </w:r>
      <w:r w:rsidR="00A71D55">
        <w:rPr>
          <w:rFonts w:ascii="Times New Roman" w:hAnsi="Times New Roman" w:cs="Times New Roman"/>
          <w:sz w:val="24"/>
          <w:szCs w:val="24"/>
        </w:rPr>
        <w:t xml:space="preserve"> </w:t>
      </w:r>
      <w:r w:rsidR="00FD38CE">
        <w:rPr>
          <w:rFonts w:ascii="Times New Roman" w:hAnsi="Times New Roman" w:cs="Times New Roman"/>
          <w:sz w:val="24"/>
          <w:szCs w:val="24"/>
        </w:rPr>
        <w:fldChar w:fldCharType="begin"/>
      </w:r>
      <w:r w:rsidR="00AB279D">
        <w:rPr>
          <w:rFonts w:ascii="Times New Roman" w:hAnsi="Times New Roman" w:cs="Times New Roman"/>
          <w:sz w:val="24"/>
          <w:szCs w:val="24"/>
        </w:rPr>
        <w:instrText xml:space="preserve"> ADDIN ZOTERO_ITEM CSL_CITATION {"citationID":"xrFuy0ME","properties":{"formattedCitation":"(Zhang et al., 2</w:instrText>
      </w:r>
      <w:r w:rsidR="00AB279D" w:rsidRPr="00F847DA">
        <w:rPr>
          <w:rFonts w:ascii="Times New Roman" w:hAnsi="Times New Roman" w:cs="Times New Roman"/>
          <w:sz w:val="24"/>
          <w:szCs w:val="24"/>
        </w:rPr>
        <w:instrText>022; Zhu et al., 2016)","plainCitation":"(Zhang et al., 2022; Zhu et al., 2016)","noteIndex":0},"citationItems":[{"id":121,"uris":["http://zotero.org/users/11450443/items/KEGD997D"],"itemData":{"id":121,"type":"article-journal","container-title":"Progress in Polymer Science","DOI":"10.1016/j.progpolymsci.2021.101473","ISSN":"00796700","journalAbbreviation":"Progress in Polymer Science","language":"en","page":"101473","source":"DOI.org (Crossref)","title":"From plant phenols to novel bio-based polymers","volume":"125","author":[{"family":"Zhang","given":"Chaoqun"},{"family":"Xue","given":"Junqi"},{"family":"Yang","given":"Xiangyu"},{"family":"Ke","given":"Yanzi"},{"family":"Ou","given":"Rongxian"},{"family":"Wang","given":"Yang"},{"family":"Madbouly","given":"Samy A."},{"family":"Wang","given":"Qingwen"}],"issued":{"date-parts":[["2022",2]]}}},{"id":119,"uris":["http://zotero.org/users/11450443/items/LUDIPFM9"],"itemData":{"id":119,"type":"article-journal","container-title":"Nature","DOI":"10.1038/nature21001","ISSN":"0028-0836, 1476-4687","issue":"7633","journalAbbreviation":"Nature","language":"en","page":"354-362","source":"DOI.org (Crossref)","title":"Sustainable polymers from renewable resources","volume":"540","author":[{"family":"Zhu","given":"Yunqing"},{"family":"Romain","given</w:instrText>
      </w:r>
      <w:r w:rsidR="00AB279D" w:rsidRPr="002E69EC">
        <w:rPr>
          <w:rFonts w:ascii="Times New Roman" w:hAnsi="Times New Roman" w:cs="Times New Roman"/>
          <w:sz w:val="24"/>
          <w:szCs w:val="24"/>
          <w:lang w:val="fr-FR"/>
        </w:rPr>
        <w:instrText xml:space="preserve">":"Charles"},{"family":"Williams","given":"Charlotte K."}],"issued":{"date-parts":[["2016",12,15]]}}}],"schema":"https://github.com/citation-style-language/schema/raw/master/csl-citation.json"} </w:instrText>
      </w:r>
      <w:r w:rsidR="00FD38CE">
        <w:rPr>
          <w:rFonts w:ascii="Times New Roman" w:hAnsi="Times New Roman" w:cs="Times New Roman"/>
          <w:sz w:val="24"/>
          <w:szCs w:val="24"/>
        </w:rPr>
        <w:fldChar w:fldCharType="separate"/>
      </w:r>
      <w:r w:rsidR="00AB279D" w:rsidRPr="002E69EC">
        <w:rPr>
          <w:rFonts w:ascii="Times New Roman" w:hAnsi="Times New Roman" w:cs="Times New Roman"/>
          <w:sz w:val="24"/>
          <w:lang w:val="fr-FR"/>
        </w:rPr>
        <w:t>(Zhang et al., 2022; Zhu et al., 2016)</w:t>
      </w:r>
      <w:r w:rsidR="00FD38CE">
        <w:rPr>
          <w:rFonts w:ascii="Times New Roman" w:hAnsi="Times New Roman" w:cs="Times New Roman"/>
          <w:sz w:val="24"/>
          <w:szCs w:val="24"/>
        </w:rPr>
        <w:fldChar w:fldCharType="end"/>
      </w:r>
      <w:r w:rsidR="00A71D55" w:rsidRPr="002E69EC">
        <w:rPr>
          <w:rFonts w:ascii="Times New Roman" w:hAnsi="Times New Roman" w:cs="Times New Roman"/>
          <w:sz w:val="24"/>
          <w:szCs w:val="24"/>
          <w:lang w:val="fr-FR"/>
        </w:rPr>
        <w:t>,</w:t>
      </w:r>
      <w:r w:rsidR="00B35135" w:rsidRPr="002E69EC">
        <w:rPr>
          <w:rFonts w:ascii="Times New Roman" w:hAnsi="Times New Roman" w:cs="Times New Roman"/>
          <w:sz w:val="24"/>
          <w:szCs w:val="24"/>
          <w:lang w:val="fr-FR"/>
        </w:rPr>
        <w:t xml:space="preserve"> </w:t>
      </w:r>
      <w:r w:rsidRPr="002E69EC">
        <w:rPr>
          <w:rFonts w:ascii="Times New Roman" w:hAnsi="Times New Roman" w:cs="Times New Roman"/>
          <w:sz w:val="24"/>
          <w:szCs w:val="24"/>
          <w:lang w:val="fr-FR"/>
        </w:rPr>
        <w:t>lignin</w:t>
      </w:r>
      <w:r w:rsidR="00E64B0D" w:rsidRPr="002E69EC">
        <w:rPr>
          <w:rFonts w:ascii="Times New Roman" w:hAnsi="Times New Roman" w:cs="Times New Roman"/>
          <w:sz w:val="24"/>
          <w:szCs w:val="24"/>
          <w:lang w:val="fr-FR"/>
        </w:rPr>
        <w:t xml:space="preserve"> </w:t>
      </w:r>
      <w:r w:rsidR="00FD38CE">
        <w:rPr>
          <w:rFonts w:ascii="Times New Roman" w:hAnsi="Times New Roman" w:cs="Times New Roman"/>
          <w:sz w:val="24"/>
          <w:szCs w:val="24"/>
        </w:rPr>
        <w:fldChar w:fldCharType="begin"/>
      </w:r>
      <w:r w:rsidR="00AB279D" w:rsidRPr="002E69EC">
        <w:rPr>
          <w:rFonts w:ascii="Times New Roman" w:hAnsi="Times New Roman" w:cs="Times New Roman"/>
          <w:sz w:val="24"/>
          <w:szCs w:val="24"/>
          <w:lang w:val="fr-FR"/>
        </w:rPr>
        <w:instrText xml:space="preserve"> ADDIN ZOTERO_ITEM CSL_CITATION {"citationID":"6LzwxW0q","properties":{"formattedCitation":"(Zhu et al., 2016)","plainCitation":"(Zhu et al., 2016)","noteIndex":0},"citationItems":[{"id":119,"uris":["http://zotero.org/users/11450443/items/LUDIPFM9"],"itemData":{"id":119,"type":"article-journal","container-title":"Nature","DOI":"10.1038/nature21001","ISSN":"0028-0836, 1476-4687","issue":"7633","journalAbbreviation":"Nature","language":"en","page":"354-362","source":"DOI.org (Crossref)","title":"Sustainable polymers from renewable resources","volume":"540","author":[{"family":"Zhu","given":"Yunqing"},{"family":"Romain","given":"Charles"},{"family":"Williams","given":"Charlotte K."}],"issued":{"date-parts":[["2016",12,15]]}}}],"schema":"https://github.com/citation-style-language/schema/raw/master/csl-citation.json"} </w:instrText>
      </w:r>
      <w:r w:rsidR="00FD38CE">
        <w:rPr>
          <w:rFonts w:ascii="Times New Roman" w:hAnsi="Times New Roman" w:cs="Times New Roman"/>
          <w:sz w:val="24"/>
          <w:szCs w:val="24"/>
        </w:rPr>
        <w:fldChar w:fldCharType="separate"/>
      </w:r>
      <w:r w:rsidR="00AB279D" w:rsidRPr="002E69EC">
        <w:rPr>
          <w:rFonts w:ascii="Times New Roman" w:hAnsi="Times New Roman" w:cs="Times New Roman"/>
          <w:sz w:val="24"/>
          <w:lang w:val="fr-FR"/>
        </w:rPr>
        <w:t>(Zhu et al., 2016)</w:t>
      </w:r>
      <w:r w:rsidR="00FD38CE">
        <w:rPr>
          <w:rFonts w:ascii="Times New Roman" w:hAnsi="Times New Roman" w:cs="Times New Roman"/>
          <w:sz w:val="24"/>
          <w:szCs w:val="24"/>
        </w:rPr>
        <w:fldChar w:fldCharType="end"/>
      </w:r>
      <w:r w:rsidR="00502721" w:rsidRPr="002E69EC">
        <w:rPr>
          <w:rFonts w:ascii="Times New Roman" w:hAnsi="Times New Roman" w:cs="Times New Roman"/>
          <w:sz w:val="24"/>
          <w:szCs w:val="24"/>
          <w:lang w:val="fr-FR"/>
        </w:rPr>
        <w:t xml:space="preserve"> </w:t>
      </w:r>
      <w:r w:rsidRPr="002E69EC">
        <w:rPr>
          <w:rFonts w:ascii="Times New Roman" w:hAnsi="Times New Roman" w:cs="Times New Roman"/>
          <w:sz w:val="24"/>
          <w:szCs w:val="24"/>
          <w:lang w:val="fr-FR"/>
        </w:rPr>
        <w:t>and furan based derivatives</w:t>
      </w:r>
      <w:r w:rsidR="00A71D55" w:rsidRPr="002E69EC">
        <w:rPr>
          <w:rFonts w:ascii="Times New Roman" w:hAnsi="Times New Roman" w:cs="Times New Roman"/>
          <w:sz w:val="24"/>
          <w:szCs w:val="24"/>
          <w:lang w:val="fr-FR"/>
        </w:rPr>
        <w:t xml:space="preserve"> </w:t>
      </w:r>
      <w:r w:rsidR="00FD38CE">
        <w:rPr>
          <w:rFonts w:ascii="Times New Roman" w:hAnsi="Times New Roman" w:cs="Times New Roman"/>
          <w:sz w:val="24"/>
          <w:szCs w:val="24"/>
        </w:rPr>
        <w:fldChar w:fldCharType="begin"/>
      </w:r>
      <w:r w:rsidR="00AB279D" w:rsidRPr="002E69EC">
        <w:rPr>
          <w:rFonts w:ascii="Times New Roman" w:hAnsi="Times New Roman" w:cs="Times New Roman"/>
          <w:sz w:val="24"/>
          <w:szCs w:val="24"/>
          <w:lang w:val="fr-FR"/>
        </w:rPr>
        <w:instrText xml:space="preserve"> ADDIN ZOTERO_ITEM CSL_CITATION {"citationID":"XGlyQicC","properties":{"formattedCitation":"(Annatelli et al., 2024; Bielski and Grynkiewicz, 2021; Zhang and Dumont, 2017)","plainCitation":"(Annatelli et al., 2024; Bielski and Grynkiewicz, 2021; Zhang and Dumont, 2017)","noteIndex":0},"citationItems":[{"id":115,"uris":["http://zotero.org/users/11450443/items/R8HSSUL5"],"itemData":{"id":115,"type":"article-journal","abstract":"ABSTRACT\n            \n              In recent years, considerable efforts have been made regarding the synthesis of renewable chemicals from nat</w:instrText>
      </w:r>
      <w:r w:rsidR="00AB279D">
        <w:rPr>
          <w:rFonts w:ascii="Times New Roman" w:hAnsi="Times New Roman" w:cs="Times New Roman"/>
          <w:sz w:val="24"/>
          <w:szCs w:val="24"/>
        </w:rPr>
        <w:instrText xml:space="preserve">ural resources. 5‐hydroxymethylfurfural (HMF) is an interesting platform chemical which has been widely exploited due to its rich chemistry and potential availability. The versatility of HMF has been demonstrated in several areas such as fine chemicals, biofuel precursors, and polymers. In particular, the potential to replace petroleum‐based analogues in the preparation of polymers associated with high performance has been observed owing to the structural rigidity of furan rings. This review aims at critically discuss the current research studies related to the derivatives of HMF, alongside with the synthesis and characterization of (co‐) polymers derived from HMF and its derivatives. © 2017 Wiley Periodicals, Inc. J. Polym. Sci., Part A: Polym. Chem.\n              2017\n              ,\n              55\n              , 1478–1492","container-title":"Journal of Polymer Science Part A: Polymer Chemistry","DOI":"10.1002/pola.28527","ISSN":"0887-624X, 1099-0518","issue":"9","journalAbbreviation":"J. Polym. Sci. Part A: Polym. Chem.","language":"en","page":"1478-1492","source":"DOI.org (Crossref)","title":"Advances in polymer precursors and bio‐based polymers synthesized from 5‐hydroxymethylfurfural","volume":"55","author":[{"family":"Zhang","given":"Daihui"},{"family":"Dumont","given":"Marie‐Josée"}],"issued":{"date-parts":[["2017",5]]}}},{"id":117,"uris":["http://zotero.org/users/11450443/items/5DF2P333"],"itemData":{"id":117,"type":"article-journal","abstract":"Primary furan platform chemicals are attractive reactants for the production of fuels and polymers. This perspective shows that they are economic starting materials in the chemical and enzymatic synthesis of numerous chemicals of varying complexity.\n          , \n            \n              Herein, we offer some perspective on the metamorphosis that has already begun to take place in substantial parts of the chemical industry,\n              i.e.\n              , a switch from traditional resources such as crude oil to biomass. This change requires the workhorse of chemical reactants and petroleum refineries to be replaced with biorefineries. The present perspective offers a brief look at the manufacture and uses of furan platform chemicals (FPCs) directly available from biomass (furfural and 5-hydroxy-methylfurfural). Next, we discuss the difficulties encountered when a secondary FPC, 2,5-furandicarboxylic acid, moves from the lab to large-scale manufacture. The main purpose of the present article is to show the spectacular range of compounds that can be economically synthesized from biomass\n              via\n              FPCs. The fate of selected FPCs and their potential are shown herein as an example only, where many more simple or complex chemicals can be obtained. We believe that there are excellent applications of bio-based materials besides the broadly promoted manufacture of fuels and monomers. This perspective looks at the types of reactions applicable to FPCs and a variety of methods for the synthesis of chiral furans.","container-title":"Green Chemistry","DOI":"10.1039/D1GC02402G","ISSN":"1463-9262, 1463-9270","issue":"19","journalAbbreviation":"Green Chem.","language":"en","page":"7458-7487","source":"DOI.org (Crossref)","title":"Furan platform chemicals beyond fuels and plastics","volume":"23","author":[{"family":"Bielski","given":"Roman"},{"family":"Grynkiewicz","given":"Grzegorz"}],"issued":{"date-parts":[["2021"]]}}},{"id":377,"uris":["http://zotero.org/users/11450443/items/MVB8DVN4"],"itemData":{"id":377,"type":"article-journal","abstract":"This review represents an overview of the\n              status quo\n              of the furan-based monomers and related bio-based polymers, highlighting key challenges for scaling from lab to pre-industrial levels.\n            \n          , \n            \n              Since 5-(hydroxymethyl)furfural (HMF) has been labelled as the “sleeping giant” of the bio-based platform-chemical realm, numerous investigations have been devoted to the exploitation of this versatile molecule and its endless chemical transformations into novel monomers for producing bio-based polymers. However, beyond 2,5-furandicarboxylic acid (2,5-FDCA), little attention has been devoted to key aspects that deserve being addressed before bringing forward other HMF-derivatives into the bio-based plastic market,\n              i.e.\n              , procedures, scaling-up of the syntheses, products’ purification, physical–thermal properties, and above all green metrics (sustainability/greenness of procedures). This critical review focuses on the most investigated derivatives of HMF beyond 2,5-FDCA, assessing their exploitation as monomers for bio-based polymers. HMF-derived compounds have been classified according to their functionalities,\n              i.e.\n              , aldehyde-, diol-, polyol-, amine-, acid-, ester-, carbonate-, acrylate-, and epoxy-based monomers. The related synthetic approaches are discussed, evaluating the sustainability of the procedures reported so far, based on green metrics such as the environmental factor (E-factor) and the process mass intensity (PMI). For each family of HMF derivatives, their use as monomers for the synthesis of bio-based polymers has been addressed, taking into consideration the efficiency of the polymerisation reactions, the physical–chemical and thermal properties of the resulting bio-based polymers, as well as their biodegradability if applicable. The overall picture that emerges is that much has been achieved for the synthesis of furan monomers; however, many obstacles still need to be overcome prior to massively introducing these compounds into the bio-based plastic market. Hopefully, the data reported in this review will shed light on the goals achieved so far, and on some critical issues that must still be tackled in the short- or medium-term for a more sustainable and however efficient industrial process.","container-title":"Green Chemistry","DOI":"10.1039/D4GC00784K","ISSN":"1463-9262, 1463-9270","issue":"16","journalAbbreviation":"Green Chem.","language":"en","page":"8894-8941","source":"DOI.org (Crossref)","title":"Beyond 2,5-furandicarboxylic acid: &lt;i&gt;status quo&lt;/i&gt; , environmental assessment, and blind spots of furanic monomers for bio-based polymers","title-short":"Beyond 2,5-furandicarboxylic acid","volume":"26","author":[{"family":"Annatelli","given":"Mattia"},{"family":"Sánchez-Velandia","given":"Julián E."},{"family":"Mazzi","given":"Giovanna"},{"family":"Pandeirada","given":"Simão V."},{"family":"Giannakoudakis","given":"Dimitrios"},{"family":"Rautiainen","given":"Sari"},{"family":"Esposito","given":"Antonella"},{"family":"Thiyagarajan","given":"Shanmugam"},{"family":"Richel","given":"Aurore"},{"family":"Triantafyllidis","given":"Konstantinos S."},{"family":"Robert","given":"Tobias"},{"family":"Guigo","given":"Nathanael"},{"family":"Sousa","given":"Andreia F."},{"family":"García-Verdugo","given":"Eduardo"},{"family":"Aricò","given":"Fabio"}],"issued":{"date-parts":[["2024"]]}}}],"schema":"https://github.com/citation-style-language/schema/raw/master/csl-citation.json"} </w:instrText>
      </w:r>
      <w:r w:rsidR="00FD38CE">
        <w:rPr>
          <w:rFonts w:ascii="Times New Roman" w:hAnsi="Times New Roman" w:cs="Times New Roman"/>
          <w:sz w:val="24"/>
          <w:szCs w:val="24"/>
        </w:rPr>
        <w:fldChar w:fldCharType="separate"/>
      </w:r>
      <w:r w:rsidR="00AB279D" w:rsidRPr="00AB279D">
        <w:rPr>
          <w:rFonts w:ascii="Times New Roman" w:hAnsi="Times New Roman" w:cs="Times New Roman"/>
          <w:sz w:val="24"/>
        </w:rPr>
        <w:t>(Annatelli et al., 2024; Bielski and Grynkiewicz, 2021; Zhang and Dumont, 2017)</w:t>
      </w:r>
      <w:r w:rsidR="00FD38CE">
        <w:rPr>
          <w:rFonts w:ascii="Times New Roman" w:hAnsi="Times New Roman" w:cs="Times New Roman"/>
          <w:sz w:val="24"/>
          <w:szCs w:val="24"/>
        </w:rPr>
        <w:fldChar w:fldCharType="end"/>
      </w:r>
      <w:r w:rsidR="00B35135">
        <w:rPr>
          <w:rFonts w:ascii="Times New Roman" w:hAnsi="Times New Roman" w:cs="Times New Roman"/>
          <w:sz w:val="24"/>
          <w:szCs w:val="24"/>
        </w:rPr>
        <w:t xml:space="preserve"> </w:t>
      </w:r>
      <w:r w:rsidRPr="00A505AF">
        <w:rPr>
          <w:rFonts w:ascii="Times New Roman" w:eastAsia="Times New Roman" w:hAnsi="Times New Roman" w:cs="Times New Roman"/>
          <w:sz w:val="24"/>
          <w:szCs w:val="24"/>
        </w:rPr>
        <w:t xml:space="preserve">for the </w:t>
      </w:r>
      <w:r w:rsidR="00F56BA5">
        <w:rPr>
          <w:rFonts w:ascii="Times New Roman" w:eastAsia="Times New Roman" w:hAnsi="Times New Roman" w:cs="Times New Roman"/>
          <w:sz w:val="24"/>
          <w:szCs w:val="24"/>
        </w:rPr>
        <w:t>preparation</w:t>
      </w:r>
      <w:r w:rsidRPr="00A505AF">
        <w:rPr>
          <w:rFonts w:ascii="Times New Roman" w:eastAsia="Times New Roman" w:hAnsi="Times New Roman" w:cs="Times New Roman"/>
          <w:sz w:val="24"/>
          <w:szCs w:val="24"/>
        </w:rPr>
        <w:t xml:space="preserve"> of renewable monomers and synthons, commonly referred as bio-based platform chemical</w:t>
      </w:r>
      <w:r w:rsidR="00735D9B">
        <w:rPr>
          <w:rFonts w:ascii="Times New Roman" w:eastAsia="Times New Roman" w:hAnsi="Times New Roman" w:cs="Times New Roman"/>
          <w:sz w:val="24"/>
          <w:szCs w:val="24"/>
        </w:rPr>
        <w:t>s</w:t>
      </w:r>
      <w:r w:rsidRPr="00A505AF">
        <w:rPr>
          <w:rFonts w:ascii="Times New Roman" w:eastAsia="Times New Roman" w:hAnsi="Times New Roman" w:cs="Times New Roman"/>
          <w:sz w:val="24"/>
          <w:szCs w:val="24"/>
        </w:rPr>
        <w:t xml:space="preserve">. </w:t>
      </w:r>
      <w:r w:rsidR="00217812" w:rsidRPr="00A505AF">
        <w:rPr>
          <w:rFonts w:ascii="Times New Roman" w:eastAsia="Times New Roman" w:hAnsi="Times New Roman" w:cs="Times New Roman"/>
          <w:sz w:val="24"/>
          <w:szCs w:val="24"/>
        </w:rPr>
        <w:t>A</w:t>
      </w:r>
      <w:r w:rsidR="00650067" w:rsidRPr="00A505AF">
        <w:rPr>
          <w:rFonts w:ascii="Times New Roman" w:eastAsia="Times New Roman" w:hAnsi="Times New Roman" w:cs="Times New Roman"/>
          <w:sz w:val="24"/>
          <w:szCs w:val="24"/>
        </w:rPr>
        <w:t xml:space="preserve"> </w:t>
      </w:r>
      <w:r w:rsidR="00A56F5D" w:rsidRPr="00A505AF">
        <w:rPr>
          <w:rFonts w:ascii="Times New Roman" w:eastAsia="Times New Roman" w:hAnsi="Times New Roman" w:cs="Times New Roman"/>
          <w:sz w:val="24"/>
          <w:szCs w:val="24"/>
        </w:rPr>
        <w:t>prominent</w:t>
      </w:r>
      <w:r w:rsidR="00AC6AB9" w:rsidRPr="00A505AF">
        <w:rPr>
          <w:rFonts w:ascii="Times New Roman" w:eastAsia="Times New Roman" w:hAnsi="Times New Roman" w:cs="Times New Roman"/>
          <w:sz w:val="24"/>
          <w:szCs w:val="24"/>
        </w:rPr>
        <w:t xml:space="preserve"> example </w:t>
      </w:r>
      <w:r w:rsidR="00217812" w:rsidRPr="00A505AF">
        <w:rPr>
          <w:rFonts w:ascii="Times New Roman" w:eastAsia="Times New Roman" w:hAnsi="Times New Roman" w:cs="Times New Roman"/>
          <w:sz w:val="24"/>
          <w:szCs w:val="24"/>
        </w:rPr>
        <w:t xml:space="preserve">is related to </w:t>
      </w:r>
      <w:r w:rsidRPr="00A505AF">
        <w:rPr>
          <w:rFonts w:ascii="Times New Roman" w:eastAsia="Times New Roman" w:hAnsi="Times New Roman" w:cs="Times New Roman"/>
          <w:sz w:val="24"/>
          <w:szCs w:val="24"/>
        </w:rPr>
        <w:t>epoxy resin</w:t>
      </w:r>
      <w:r w:rsidR="00AC6AB9" w:rsidRPr="00A505AF">
        <w:rPr>
          <w:rFonts w:ascii="Times New Roman" w:eastAsia="Times New Roman" w:hAnsi="Times New Roman" w:cs="Times New Roman"/>
          <w:sz w:val="24"/>
          <w:szCs w:val="24"/>
        </w:rPr>
        <w:t>s (ERs), extensively investigated materials with numerous applications in coatings, composites, electronic devices and as thermosets for aerospace industries</w:t>
      </w:r>
      <w:r w:rsidR="00A71D55">
        <w:rPr>
          <w:rFonts w:ascii="Times New Roman" w:eastAsia="Times New Roman" w:hAnsi="Times New Roman" w:cs="Times New Roman"/>
          <w:sz w:val="24"/>
          <w:szCs w:val="24"/>
        </w:rPr>
        <w:t xml:space="preserve"> </w:t>
      </w:r>
      <w:r w:rsidR="0077156F">
        <w:rPr>
          <w:rFonts w:ascii="Times New Roman" w:eastAsia="Times New Roman" w:hAnsi="Times New Roman" w:cs="Times New Roman"/>
          <w:sz w:val="24"/>
          <w:szCs w:val="24"/>
        </w:rPr>
        <w:fldChar w:fldCharType="begin"/>
      </w:r>
      <w:r w:rsidR="00AB279D">
        <w:rPr>
          <w:rFonts w:ascii="Times New Roman" w:eastAsia="Times New Roman" w:hAnsi="Times New Roman" w:cs="Times New Roman"/>
          <w:sz w:val="24"/>
          <w:szCs w:val="24"/>
        </w:rPr>
        <w:instrText xml:space="preserve"> ADDIN ZOTERO_ITEM CSL_CITATION {"citationID":"5r2q0UXJ","properties":{"formattedCitation":"(Jin et al., 2015; Rahman and Akhtarul Islam, 2022; Rong et al., 2024)","plainCitation":"(Jin et al., 2015; Rahman and Akhtarul Islam, 2022; Rong et al., 2024)","noteIndex":0},"citationItems":[{"id":424,"uris":["http://zotero.org/users/11450443/items/QKFV24U4"],"itemData":{"id":424,"type":"article-journal","abstract":"This paper describes the role of epoxy resin in the development of advanced building materials. It reviews in brief the growth of epoxy resin-based high-performance concrete and masonry mortar technology, and epoxy resin as protective coating on mild-steel bar (rebar) for concrete reinforcement. Literature survey reveals that the properties of concrete could be improved significantly with the variation of concentration of the epoxy resin in the composition of polymer-modified concrete (PMC), and that makes the PMC very versatile in applications. Challenges on the use of epoxy resin in the concrete and masonry mortar composition and contribution of the resin on the mechanical and physical properties of building materials have been described. Some ambiguous results on epoxy resin-based concrete available in the literature have been verified in the laboratory, and the confusions have been diffused. Performance of the epoxy resin as a protective coating on rebar has also been discussed. Experimental results show that epoxy resin-based concrete exhibits high compressive strength, less chloride-ion permeation and high chemical resistance to the corrosive environment. Finally, the perspectives of epoxy resin for overall use in building materials and also in specific applications such as repairing of building, the protection of constructions from flood, saline water, and prevention of liquid from penetration into interior of materials have been discussed.","container-title":"Polymer Bulletin","DOI":"10.1007/s00289-021-03577-1","ISSN":"0170-0839, 1436-2449","issue":"3","journalAbbreviation":"Polym. Bull.","language":"en","page":"1949-1975","source":"DOI.org (Crossref)","title":"Application of epoxy resins in building materials: progress and prospects","title-short":"Application of epoxy resins in building materials","volume":"79","author":[{"family":"Rahman","given":"Md. Mostafizur"},{"family":"Akhtarul Islam","given":"M."}],"issued":{"date-parts":[["2022",3]]}}},{"id":179,"uris":["http://zotero.org/users/11450443/items/2AQA9UZJ"],"itemData":{"id":179,"type":"article-journal","container-title":"Journal of Industrial and Engineering Chemistry","DOI":"10.1016/j.jiec.2015.03.026","ISSN":"1226086X","journalAbbreviation":"Journal of Industrial and Engineering Chemistry","language":"en","page":"1-11","source":"DOI.org (Crossref)","title":"Synthesis and application of epoxy resins: A review","title-short":"Synthesis and application of epoxy resins","volume":"29","author":[{"family":"Jin","given":"Fan-Long"},{"family":"Li","given":"Xiang"},{"family":"Park","given":"Soo-Jin"}],"issued":{"date-parts":[["2015",9]]}}},{"id":435,"uris":["http://zotero.org/users/11450443/items/8XP5I4QM"],"itemData":{"id":435,"type":"article-journal","abstract":"Specialized epoxy resin, capable of achieving room-temperature profound curing and sustaining prolonged exposure to high-temperature environments, stands as a pivotal material in modern high-end manufacturing sectors including aerospace, marine e</w:instrText>
      </w:r>
      <w:r w:rsidR="00AB279D" w:rsidRPr="00F847DA">
        <w:rPr>
          <w:rFonts w:ascii="Times New Roman" w:eastAsia="Times New Roman" w:hAnsi="Times New Roman" w:cs="Times New Roman"/>
          <w:sz w:val="24"/>
          <w:szCs w:val="24"/>
        </w:rPr>
        <w:instrText xml:space="preserve">quipment fabrication, machinery production, and the electronics industry. Herein, a silicon-hybridized epoxy resin, amenable to room-temperature curing and designed for high-temperature applications, was synthesized using a sol–gel methodology with silicate esters and silane coupling agents serving as silicon sources. Resin characterization indicates a uniform distribution of silicon elements in the obtained silicon hybrid epoxy resin. In comparison to the non-hybridized epoxy resin, notable improvements are observed in room-temperature curing performance, heat resistance, and mechanical strength.","container-title":"Polymers","DOI":"10.3390/polym16050634","ISSN":"2073-4360","issue":"5","journalAbbreviation":"Polymers","language":"en","license":"https://creativecommons.org/licenses/by/4.0/","page":"634","source":"DOI.org (Crossref)","title":"Silicon Hybridization for the Preparation of Room-Temperature Curing and High-Temperature-Resistant Epoxy Resin","volume":"16","author":[{"family":"Rong","given":"Liping"},{"family":"Su","given":"Jiaqi"},{"family":"Li","given":"Zhiguo"},{"family":"Liu","given":"Xiaohui"},{"family":"Zhang","given":"Dayong"},{"family":"Zhu","given":"Jinhua"},{"family":"Li","given":"Xin"},{"family":"Zhao","given":"Ying"},{"family":"Mi","given":"Changhong"},{"family":"Kong","given":"Xianzhi"},{"family":"Wang","given":"Gang"}],"issued":{"date-parts":[["2024",2,27]]}}}],"schema":"https://github.com/citation-style-language/schema/raw/master/csl-citation.json"} </w:instrText>
      </w:r>
      <w:r w:rsidR="0077156F">
        <w:rPr>
          <w:rFonts w:ascii="Times New Roman" w:eastAsia="Times New Roman" w:hAnsi="Times New Roman" w:cs="Times New Roman"/>
          <w:sz w:val="24"/>
          <w:szCs w:val="24"/>
        </w:rPr>
        <w:fldChar w:fldCharType="separate"/>
      </w:r>
      <w:r w:rsidR="00AB279D" w:rsidRPr="00F847DA">
        <w:rPr>
          <w:rFonts w:ascii="Times New Roman" w:hAnsi="Times New Roman" w:cs="Times New Roman"/>
          <w:sz w:val="24"/>
        </w:rPr>
        <w:t>(Jin et al., 2015; Rahman and Akhtarul Islam, 2022; Rong et al., 2024)</w:t>
      </w:r>
      <w:r w:rsidR="0077156F">
        <w:rPr>
          <w:rFonts w:ascii="Times New Roman" w:eastAsia="Times New Roman" w:hAnsi="Times New Roman" w:cs="Times New Roman"/>
          <w:sz w:val="24"/>
          <w:szCs w:val="24"/>
        </w:rPr>
        <w:fldChar w:fldCharType="end"/>
      </w:r>
      <w:r w:rsidR="00A71D55" w:rsidRPr="00F847DA">
        <w:rPr>
          <w:rFonts w:ascii="Times New Roman" w:eastAsia="Times New Roman" w:hAnsi="Times New Roman" w:cs="Times New Roman"/>
          <w:sz w:val="24"/>
          <w:szCs w:val="24"/>
        </w:rPr>
        <w:t>.</w:t>
      </w:r>
      <w:r w:rsidR="00B35135" w:rsidRPr="00F847DA">
        <w:rPr>
          <w:rFonts w:ascii="Times New Roman" w:eastAsia="Times New Roman" w:hAnsi="Times New Roman" w:cs="Times New Roman"/>
          <w:sz w:val="24"/>
          <w:szCs w:val="24"/>
        </w:rPr>
        <w:t xml:space="preserve"> </w:t>
      </w:r>
      <w:r w:rsidR="00B35135">
        <w:rPr>
          <w:rFonts w:ascii="Times New Roman" w:eastAsia="Times New Roman" w:hAnsi="Times New Roman" w:cs="Times New Roman"/>
          <w:sz w:val="24"/>
          <w:szCs w:val="24"/>
        </w:rPr>
        <w:t>M</w:t>
      </w:r>
      <w:r w:rsidR="00AC6AB9" w:rsidRPr="00A505AF">
        <w:rPr>
          <w:rFonts w:ascii="Times New Roman" w:eastAsia="Times New Roman" w:hAnsi="Times New Roman" w:cs="Times New Roman"/>
          <w:sz w:val="24"/>
          <w:szCs w:val="24"/>
        </w:rPr>
        <w:t xml:space="preserve">ost of the commercially available ERs are produced from diglycidyl ether of bisphenol A (DGEBA), a derivative of </w:t>
      </w:r>
      <w:r w:rsidR="00C91460" w:rsidRPr="00A505AF">
        <w:rPr>
          <w:rFonts w:ascii="Times New Roman" w:eastAsia="Times New Roman" w:hAnsi="Times New Roman" w:cs="Times New Roman"/>
          <w:sz w:val="24"/>
          <w:szCs w:val="24"/>
        </w:rPr>
        <w:t>fossil</w:t>
      </w:r>
      <w:r w:rsidR="00AC6AB9" w:rsidRPr="00A505AF">
        <w:rPr>
          <w:rFonts w:ascii="Times New Roman" w:eastAsia="Times New Roman" w:hAnsi="Times New Roman" w:cs="Times New Roman"/>
          <w:sz w:val="24"/>
          <w:szCs w:val="24"/>
        </w:rPr>
        <w:t xml:space="preserve">-based bisphenol A (BPA) </w:t>
      </w:r>
      <w:r w:rsidR="0079061F" w:rsidRPr="00A505AF">
        <w:rPr>
          <w:rFonts w:ascii="Times New Roman" w:eastAsia="Times New Roman" w:hAnsi="Times New Roman" w:cs="Times New Roman"/>
          <w:sz w:val="24"/>
          <w:szCs w:val="24"/>
        </w:rPr>
        <w:t>(</w:t>
      </w:r>
      <w:r w:rsidR="00252E7B">
        <w:rPr>
          <w:rFonts w:ascii="Times New Roman" w:eastAsia="Times New Roman" w:hAnsi="Times New Roman" w:cs="Times New Roman"/>
          <w:sz w:val="24"/>
          <w:szCs w:val="24"/>
        </w:rPr>
        <w:t>Scheme</w:t>
      </w:r>
      <w:r w:rsidR="0079061F" w:rsidRPr="00A505AF">
        <w:rPr>
          <w:rFonts w:ascii="Times New Roman" w:eastAsia="Times New Roman" w:hAnsi="Times New Roman" w:cs="Times New Roman"/>
          <w:sz w:val="24"/>
          <w:szCs w:val="24"/>
        </w:rPr>
        <w:t xml:space="preserve"> 1)</w:t>
      </w:r>
      <w:r w:rsidRPr="00A505AF">
        <w:rPr>
          <w:rFonts w:ascii="Times New Roman" w:eastAsia="Times New Roman" w:hAnsi="Times New Roman" w:cs="Times New Roman"/>
          <w:sz w:val="24"/>
          <w:szCs w:val="24"/>
        </w:rPr>
        <w:t xml:space="preserve">. </w:t>
      </w:r>
    </w:p>
    <w:p w14:paraId="48396681" w14:textId="02059A4A" w:rsidR="00A71D55" w:rsidRDefault="00E70497" w:rsidP="00A71D55">
      <w:pPr>
        <w:spacing w:line="480" w:lineRule="auto"/>
        <w:ind w:firstLine="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global epoxy thermosetting polymer production was estimated to be 3 million tons per year, </w:t>
      </w:r>
      <w:r w:rsidR="00AC05EE" w:rsidRPr="00AC05EE">
        <w:rPr>
          <w:rFonts w:ascii="Times New Roman" w:eastAsia="Times New Roman" w:hAnsi="Times New Roman" w:cs="Times New Roman"/>
          <w:sz w:val="24"/>
          <w:szCs w:val="24"/>
        </w:rPr>
        <w:t xml:space="preserve">and this </w:t>
      </w:r>
      <w:r w:rsidR="004F63CA">
        <w:rPr>
          <w:rFonts w:ascii="Times New Roman" w:eastAsia="Times New Roman" w:hAnsi="Times New Roman" w:cs="Times New Roman"/>
          <w:sz w:val="24"/>
          <w:szCs w:val="24"/>
        </w:rPr>
        <w:t>value</w:t>
      </w:r>
      <w:r w:rsidR="004F63CA" w:rsidRPr="00AC05EE">
        <w:rPr>
          <w:rFonts w:ascii="Times New Roman" w:eastAsia="Times New Roman" w:hAnsi="Times New Roman" w:cs="Times New Roman"/>
          <w:sz w:val="24"/>
          <w:szCs w:val="24"/>
        </w:rPr>
        <w:t xml:space="preserve"> </w:t>
      </w:r>
      <w:r w:rsidR="00AC05EE">
        <w:rPr>
          <w:rFonts w:ascii="Times New Roman" w:eastAsia="Times New Roman" w:hAnsi="Times New Roman" w:cs="Times New Roman"/>
          <w:sz w:val="24"/>
          <w:szCs w:val="24"/>
        </w:rPr>
        <w:t xml:space="preserve">has been </w:t>
      </w:r>
      <w:r w:rsidR="00AC05EE" w:rsidRPr="00AC05EE">
        <w:rPr>
          <w:rFonts w:ascii="Times New Roman" w:eastAsia="Times New Roman" w:hAnsi="Times New Roman" w:cs="Times New Roman"/>
          <w:sz w:val="24"/>
          <w:szCs w:val="24"/>
        </w:rPr>
        <w:t>grow</w:t>
      </w:r>
      <w:r w:rsidR="00AC05EE">
        <w:rPr>
          <w:rFonts w:ascii="Times New Roman" w:eastAsia="Times New Roman" w:hAnsi="Times New Roman" w:cs="Times New Roman"/>
          <w:sz w:val="24"/>
          <w:szCs w:val="24"/>
        </w:rPr>
        <w:t>ing</w:t>
      </w:r>
      <w:r w:rsidR="00AC05EE" w:rsidRPr="00AC05EE">
        <w:rPr>
          <w:rFonts w:ascii="Times New Roman" w:eastAsia="Times New Roman" w:hAnsi="Times New Roman" w:cs="Times New Roman"/>
          <w:sz w:val="24"/>
          <w:szCs w:val="24"/>
        </w:rPr>
        <w:t xml:space="preserve"> rapidly</w:t>
      </w:r>
      <w:r w:rsidR="00AC05EE">
        <w:rPr>
          <w:rFonts w:ascii="Times New Roman" w:eastAsia="Times New Roman" w:hAnsi="Times New Roman" w:cs="Times New Roman"/>
          <w:sz w:val="24"/>
          <w:szCs w:val="24"/>
        </w:rPr>
        <w:t xml:space="preserve"> since then</w:t>
      </w:r>
      <w:r w:rsidR="00A71D55">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lang w:val="en-GB"/>
        </w:rPr>
        <w:fldChar w:fldCharType="begin"/>
      </w:r>
      <w:r w:rsidR="00AB279D">
        <w:rPr>
          <w:rFonts w:ascii="Times New Roman" w:eastAsia="Times New Roman" w:hAnsi="Times New Roman" w:cs="Times New Roman"/>
          <w:sz w:val="24"/>
          <w:szCs w:val="24"/>
          <w:lang w:val="en-GB"/>
        </w:rPr>
        <w:instrText xml:space="preserve"> ADDIN ZOTERO_ITEM CSL_CITATION {"citationID":"VASizGJQ","properties":{"unsorted":true,"formattedCitation":"(Negrell et al., 2017; Yang et al., 2025; Ng et al., 2017)","plainCitation":"(Negrell et al., 2017; Yang et al., 2025; Ng et al., 2017)","noteIndex":0},"citationItems":[{"id":125,"uris":["http://zotero.org/users/11450443/items/LPC9HMCK"],"itemData":{"id":125,"type":"article-journal","abstract":"Microalgae are a potential source of renewable energy but could also interesting lead to a platform for oleochemicals. Hence, the oil obtained from schizochytrium micro-algae, with a high content in unsaturations, was dedicated to the synthesis of polymer materials. After the determination of its structure, algal oil was epoxidized in presence of exchange cation resin to reach a high functionality of 10 epoxy functions per molecule. Then, fully biobased epoxy networks were synthesized with priamine® (oleic acid dimer-derived amine) as hardener. These new algal epoxy materials were characterized and compared with vegetable oils derived epoxy networks (linseed or soybean oils). Epoxy co-monomers were added to the formulation in order to improve the material properties. We added both trimethylolpropane triglycidyl ether, a classical crosslinking agent, and triepoxided phloroglucinol, derived from algal phlorotannins. The addition epoxy co-monomers allowed to obtain materials with various properties. The thermal and mechanical properties highlighted the interesting superiority of algal oils with their high content in reactive functions. Finally, the addition of a blowing agent (MH15 polysiloxane) led to the synthesis of algal oils derived foams with interesting properties. Thus, algal oil demonstrated interesting potential as a viable starting material for fully biobased thermosetting materials and foams.","container-title":"European Journal of Lipid Science and Technology","DOI":"10.1002/ejlt.201600214","ISSN":"1438-7697, 1438-9312","issue":"4","journalAbbreviation":"Euro J Lipid Sci &amp;amp; Tech","language":"en","page":"1600214","source":"DOI.org (Crossref)","title":"New bio‐based epoxy materials and foams from microalgal oil","volume":"119","author":[{"family":"Negrell","given":"Claire"},{"family":"Cornille","given":"Adrien"},{"family":"De Andrade Nascimento","given":"Patricia"},{"family":"Robin","given":"Jean‐Jacques"},{"family":"Caillol","given":"Sylvain"}],"issued":{"date-parts":[["2017",4]]}}},{"id":427,"uris":["http://zotero.org/users/11450443/items/KZX5SY38"],"itemData":{"id":427,"type":"article-journal","abstract":"Replacement of fossil-based chemicals with their bio-based analogues is vital to reduce the fossil dependence and greenhouse gas emissions. Accordingly, production of bio-based epoxy resin is important for a sustainable development. The aim of this study was to introduce a potential technique for producing phenolic compounds from biomass followed by a synthesis of bio-based epoxy resin. Hence, atmospheric ex-situ catalytic hydro­ pyrolysis of wood sawdust was performed using a Molybdenum on Aluminum oxide (Mo/Al2O3) catalyst in a continuous drop-tube pyrolyzer for a selective production of phenolic compounds. The phenolics were purified and concentrated by liquid–liquid extraction and used to synthesize bio-based epoxy resin. The results revealed that a mild catalytic hydrotreatment of the pyrolysis vapor using Mo/Al2O3 at 673 K improved the phenolics yield. The organic pyrolysis oil contained up to 41 wt% phenolics whereof 20 wt% were volatile. The properties of the synthesized bio-based diglycidyl ether of bisphenol A epoxy resin (pyroEP) was comparable to those of commercial epoxy resin. The glass transition temperature of 426 K and reaction energy of 324 kJ/kg confirmed the successful production of a high-performance, sustainable epoxy resin.","container-title":"Journal of Industrial and Engineering Chemistry","DOI":"10.1016/j.jiec.2025.01.001","ISSN":"1226086X","journalAbbreviation":"Journal of Industrial and Engineering Chemistry","language":"en","page":"S1226086X25000012","source":"DOI.org (Crossref)","title":"Sustainable production of bio-based epoxy resins using the phenolics produced via atmospheric ex-situ catalytic hydropyrolysis of biomass","author":[{"family":"Yang","given":"Hanmin"},{"family":"Shafaghat","given":"Hoda"},{"family":"Öman","given":"Tommy"},{"family":"Johansson","given":"Ann-Christine"}],"issued":{"date-parts":[["2025",1]]}}},{"id":123,"uris":["http://zotero.org/users/11450443/items/MPIQN6HB"],"itemData":{"id":123,"type":"article-journal","abstract":"The synthesis of polymers from renewable resources is a burning issue that is actively investigated. Polyepoxide networks constitute a major class of thermosetting polymers and are extensively used as coatings, electronic materials, adhesives. Owing to their outstanding mechanical and electrical properties, chemical resistance, adhesion, and minimal shrinkage after curing, they are used in structural applications as well. Most of these thermosets are industrially manufactured from bisphenol A (BPA), a substance that was initially synthesized as a chemical estrogen. The awareness on BPA toxicity combined with the limited availability and volatile cost of fossil resources and the non-recyclability of thermosets implies necessary changes in the ﬁeld of epoxy networks. Thus, substitution of BPA has witnessed an increasing number of studies both from the academic and industrial sides. This review proposes to give an overview of the reported aromatic multifunctional epoxide building blocks synthesized from biomass or from molecules that could be obtained from transformed biomass. After a reminder of the main glycidylation routes and mechanisms and the recent knowledge on BPA toxicity and legal issues, this review will provide a brief description of the main natural sources of aromatic molecules. The different epoxy prepolymers will then be organized from simple, mono-aromatic di-epoxy, to mono-aromatic poly-epoxy, to di-aromatic di-epoxy compounds, and ﬁnally to derivatives possessing numerous aromatic rings and epoxy groups.","container-title":"Molecules","DOI":"10.3390/molecules22010149","ISSN":"1420-3049","issue":"1","journalAbbreviation":"Molecules","language":"en","page":"149","source":"DOI.org (Crossref)","title":"Bio-Based Aromatic Epoxy Monomers for Thermoset Materials","volume":"22","author":[{"family":"Ng","given":"Feifei"},{"family":"Couture","given":"Guillaume"},{"family":"Philippe","given":"Coralie"},{"family":"Boutevin","given":"Bernard"},{"family":"Caillol","given":"Sylvain"}],"issued":{"date-parts":[["2017",1,18]]}}}],"schema":"https://github.com/citation-style-language/schema/raw/master/csl-citation.json"} </w:instrText>
      </w:r>
      <w:r>
        <w:rPr>
          <w:rFonts w:ascii="Times New Roman" w:eastAsia="Times New Roman" w:hAnsi="Times New Roman" w:cs="Times New Roman"/>
          <w:sz w:val="24"/>
          <w:szCs w:val="24"/>
          <w:lang w:val="en-GB"/>
        </w:rPr>
        <w:fldChar w:fldCharType="separate"/>
      </w:r>
      <w:r w:rsidR="00AB279D" w:rsidRPr="00AB279D">
        <w:rPr>
          <w:rFonts w:ascii="Times New Roman" w:hAnsi="Times New Roman" w:cs="Times New Roman"/>
          <w:sz w:val="24"/>
        </w:rPr>
        <w:t>(Negrell et al., 2017; Yang et al., 2025; Ng et al., 2017)</w:t>
      </w:r>
      <w:r>
        <w:rPr>
          <w:rFonts w:ascii="Times New Roman" w:eastAsia="Times New Roman" w:hAnsi="Times New Roman" w:cs="Times New Roman"/>
          <w:sz w:val="24"/>
          <w:szCs w:val="24"/>
          <w:lang w:val="en-GB"/>
        </w:rPr>
        <w:fldChar w:fldCharType="end"/>
      </w:r>
      <w:r w:rsidR="00A71D55">
        <w:rPr>
          <w:rFonts w:ascii="Times New Roman" w:eastAsia="Times New Roman" w:hAnsi="Times New Roman" w:cs="Times New Roman"/>
          <w:sz w:val="24"/>
          <w:szCs w:val="24"/>
          <w:lang w:val="en-GB"/>
        </w:rPr>
        <w:t>,</w:t>
      </w:r>
      <w:r w:rsidR="007F04B8" w:rsidRPr="00A505AF">
        <w:rPr>
          <w:rFonts w:ascii="Times New Roman" w:eastAsia="Times New Roman" w:hAnsi="Times New Roman" w:cs="Times New Roman"/>
          <w:sz w:val="24"/>
          <w:szCs w:val="24"/>
        </w:rPr>
        <w:t xml:space="preserve"> </w:t>
      </w:r>
      <w:r w:rsidR="00EF1825">
        <w:rPr>
          <w:rFonts w:ascii="Times New Roman" w:eastAsia="Times New Roman" w:hAnsi="Times New Roman" w:cs="Times New Roman"/>
          <w:sz w:val="24"/>
          <w:szCs w:val="24"/>
        </w:rPr>
        <w:t>with BPA</w:t>
      </w:r>
      <w:r w:rsidR="007F04B8" w:rsidRPr="00A505AF">
        <w:rPr>
          <w:rFonts w:ascii="Times New Roman" w:eastAsia="Times New Roman" w:hAnsi="Times New Roman" w:cs="Times New Roman"/>
          <w:sz w:val="24"/>
          <w:szCs w:val="24"/>
        </w:rPr>
        <w:t xml:space="preserve"> account</w:t>
      </w:r>
      <w:r w:rsidR="00EF1825">
        <w:rPr>
          <w:rFonts w:ascii="Times New Roman" w:eastAsia="Times New Roman" w:hAnsi="Times New Roman" w:cs="Times New Roman"/>
          <w:sz w:val="24"/>
          <w:szCs w:val="24"/>
        </w:rPr>
        <w:t>ing</w:t>
      </w:r>
      <w:r w:rsidR="007F04B8" w:rsidRPr="00A505AF">
        <w:rPr>
          <w:rFonts w:ascii="Times New Roman" w:eastAsia="Times New Roman" w:hAnsi="Times New Roman" w:cs="Times New Roman"/>
          <w:sz w:val="24"/>
          <w:szCs w:val="24"/>
        </w:rPr>
        <w:t xml:space="preserve"> for </w:t>
      </w:r>
      <w:r w:rsidR="00EF1825">
        <w:rPr>
          <w:rFonts w:ascii="Times New Roman" w:eastAsia="Times New Roman" w:hAnsi="Times New Roman" w:cs="Times New Roman"/>
          <w:sz w:val="24"/>
          <w:szCs w:val="24"/>
        </w:rPr>
        <w:t xml:space="preserve">more than </w:t>
      </w:r>
      <w:r w:rsidR="007F04B8" w:rsidRPr="00A505AF">
        <w:rPr>
          <w:rFonts w:ascii="Times New Roman" w:eastAsia="Times New Roman" w:hAnsi="Times New Roman" w:cs="Times New Roman"/>
          <w:sz w:val="24"/>
          <w:szCs w:val="24"/>
        </w:rPr>
        <w:t>90% of the industry's sources</w:t>
      </w:r>
      <w:r w:rsidR="00167739" w:rsidRPr="00A505AF">
        <w:rPr>
          <w:rFonts w:ascii="Times New Roman" w:eastAsia="Times New Roman" w:hAnsi="Times New Roman" w:cs="Times New Roman"/>
          <w:sz w:val="24"/>
          <w:szCs w:val="24"/>
        </w:rPr>
        <w:t xml:space="preserve"> for epoxy resins</w:t>
      </w:r>
      <w:r w:rsidR="00A71D55">
        <w:rPr>
          <w:rFonts w:ascii="Times New Roman" w:eastAsia="Times New Roman" w:hAnsi="Times New Roman" w:cs="Times New Roman"/>
          <w:sz w:val="24"/>
          <w:szCs w:val="24"/>
        </w:rPr>
        <w:t xml:space="preserve"> </w:t>
      </w:r>
      <w:r w:rsidR="00EF1825">
        <w:rPr>
          <w:rFonts w:ascii="Times New Roman" w:eastAsia="Times New Roman" w:hAnsi="Times New Roman" w:cs="Times New Roman"/>
          <w:sz w:val="24"/>
          <w:szCs w:val="24"/>
        </w:rPr>
        <w:fldChar w:fldCharType="begin"/>
      </w:r>
      <w:r w:rsidR="00AB279D">
        <w:rPr>
          <w:rFonts w:ascii="Times New Roman" w:eastAsia="Times New Roman" w:hAnsi="Times New Roman" w:cs="Times New Roman"/>
          <w:sz w:val="24"/>
          <w:szCs w:val="24"/>
        </w:rPr>
        <w:instrText xml:space="preserve"> ADDIN ZOTERO_ITEM CSL_CITATION {"citationID":"M70hZcUW","properties":{"formattedCitation":"(Giulivo et al., 2016; Ng et al., 2017)","plainCitation":"(Giulivo et al., 2016; Ng et al., 2017)","noteIndex":0},"citationItems":[{"id":123,"uris":["http://zotero.org/users/11450443/items/MPIQN6HB"],"itemData":{"id":123,"type":"article-journal","abstract":"The synthesis of polymers from renewable resources is a burning issue that is actively investigated. Polyepoxide networks constitute a major class of thermosetting polymers and are extensively used as coatings, electronic materials, adhesives. Owing to their outstanding mechanical and electrical properties, chemical resistance, adhesion, and minimal shrinkage after curing, they are used in structural applications as well. Most of these thermosets are industrially manufactured from bisphenol A (BPA), a substance that was initially synthesized as a chemical estrogen. The awareness on BPA toxicity combined with the limited availability and volatile cost of fossil resources and the non-recyclability of thermosets implies necessary changes in the ﬁeld of epoxy networks. Thus, substitution of BPA has witnessed an increasing number of studies both from the academic and industrial sides. This review proposes to give an overview of the reported aromatic multifunctional epoxide building blocks synthesized from biomass or from molecules that could be obtained from transformed biomass. After a reminder of the main glycidylation routes and mechanisms and the recent knowledge on BPA toxicity and legal issues, this review will provide a brief description of the main natural sources of aromatic molecules. The different epoxy prepolymers will then be organized from simple, mono-aromatic di-epoxy, to mono-aromatic poly-epoxy, to di-aromatic di-epoxy compounds, and ﬁnally to derivatives possessing numerous aromatic rings and epoxy groups.","container-title":"Molecules","DOI":"10.3390/molecules22010149","ISSN":"1420-3049","issue":"1","journalAbbreviation":"Molecules","language":"en","page":"149","source":"DOI.org (Crossref)","title":"Bio-Based Aromatic Epoxy Monomers for Thermoset Materials","volume":"22","author":[{"family":"Ng","given":"Feifei"},{"family":"Couture","given":"Guillaume"},{"family":"Philippe","given":"Coralie"},{"family":"Boutevin","given":"Bernard"},{"family":"Caillol","given":"Sylvain"}],"issued":{"date-parts":[["2017",1,18]]}}},{"id":432,"uris":["http://zotero.org/users/11450443/items/XEYQURAU"],"itemData":{"id":432,"type":"article-journal","abstract":"Endocrine disrupting chemicals (EDCs) are released into the environment from different sources. They are mainly used in packaging industries, pesticides and food constituents. Clinical evidence, experimental models, and epidemiological studies suggest that EDCs have major risks for humans by targeting different organs and systems in the body (e.g. reproductive system, breast tissue, adipose tissue, pancreas, etc.). Due to the ubiquity of human exposure to these compounds the aim of this review is to describe the most recent data on the effects induced by phthalates, bisphenol A and parabens in a critical window of exposure: in utero, during pregnancy, infants, and children. The interactions and mechanisms of toxicity of EDCs in relation to human general health problems, especially those broadening the term of endocrine disruption to ‘metabolic disruption’, should be deeply investigated. These include endocrine disturbances, with particular reference to reproductive problems and breast, testicular and ovarian cancers, and metabolic diseases such as obesity or diabetes.","container-title":"Environmental Research","DOI":"10.1016/j.envres.2016.07.011","ISSN":"00139351","journalAbbreviation":"Environmental Research","language":"en","page":"251-264","source":"DOI.org (Crossref)","title":"Human exposure to endocrine disrupting compounds: Their role in reproductive systems, metabolic syndrome and breast cancer. A review","title-short":"Human exposure to endocrine disrupting compounds","volume":"151","author":[{"family":"Giulivo","given":"Monica"},{"family":"Lopez De Alda","given":"Miren"},{"family":"Capri","given":"Ettore"},{"family":"Barceló","given":"Damià"}],"issued":{"date-parts":[["2016",11]]}}}],"schema":"https://github.com/citation-style-language/schema/raw/master/csl-citation.json"} </w:instrText>
      </w:r>
      <w:r w:rsidR="00EF1825">
        <w:rPr>
          <w:rFonts w:ascii="Times New Roman" w:eastAsia="Times New Roman" w:hAnsi="Times New Roman" w:cs="Times New Roman"/>
          <w:sz w:val="24"/>
          <w:szCs w:val="24"/>
        </w:rPr>
        <w:fldChar w:fldCharType="separate"/>
      </w:r>
      <w:r w:rsidR="00AB279D" w:rsidRPr="00AB279D">
        <w:rPr>
          <w:rFonts w:ascii="Times New Roman" w:hAnsi="Times New Roman" w:cs="Times New Roman"/>
          <w:sz w:val="24"/>
        </w:rPr>
        <w:t>(Giulivo et al., 2016; Ng et al., 2017)</w:t>
      </w:r>
      <w:r w:rsidR="00EF1825">
        <w:rPr>
          <w:rFonts w:ascii="Times New Roman" w:eastAsia="Times New Roman" w:hAnsi="Times New Roman" w:cs="Times New Roman"/>
          <w:sz w:val="24"/>
          <w:szCs w:val="24"/>
        </w:rPr>
        <w:fldChar w:fldCharType="end"/>
      </w:r>
      <w:r w:rsidR="00A71D55">
        <w:rPr>
          <w:rFonts w:ascii="Times New Roman" w:eastAsia="Times New Roman" w:hAnsi="Times New Roman" w:cs="Times New Roman"/>
          <w:sz w:val="24"/>
          <w:szCs w:val="24"/>
        </w:rPr>
        <w:t>.</w:t>
      </w:r>
    </w:p>
    <w:p w14:paraId="7D654CE4" w14:textId="77777777" w:rsidR="00A71D55" w:rsidRDefault="001834FA" w:rsidP="00A71D55">
      <w:pPr>
        <w:spacing w:line="480" w:lineRule="auto"/>
        <w:ind w:firstLine="360"/>
        <w:jc w:val="center"/>
        <w:rPr>
          <w:rFonts w:ascii="Times New Roman" w:eastAsia="Times New Roman" w:hAnsi="Times New Roman" w:cs="Times New Roman"/>
          <w:sz w:val="24"/>
          <w:szCs w:val="24"/>
        </w:rPr>
      </w:pPr>
      <w:r>
        <w:rPr>
          <w:noProof/>
        </w:rPr>
        <w:object w:dxaOrig="8825" w:dyaOrig="1538" w14:anchorId="1938B77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415.65pt;height:72.65pt;mso-width-percent:0;mso-height-percent:0;mso-width-percent:0;mso-height-percent:0" o:ole="">
            <v:imagedata r:id="rId8" o:title=""/>
          </v:shape>
          <o:OLEObject Type="Embed" ProgID="ChemDraw.Document.6.0" ShapeID="_x0000_i1025" DrawAspect="Content" ObjectID="_1801981035" r:id="rId9"/>
        </w:object>
      </w:r>
    </w:p>
    <w:p w14:paraId="38B4C526" w14:textId="3E989DBC" w:rsidR="00167739" w:rsidRPr="00A71D55" w:rsidRDefault="00252E7B" w:rsidP="00A71D55">
      <w:pPr>
        <w:spacing w:line="480" w:lineRule="auto"/>
        <w:ind w:firstLine="360"/>
        <w:jc w:val="center"/>
        <w:rPr>
          <w:rFonts w:ascii="Times New Roman" w:eastAsia="Times New Roman" w:hAnsi="Times New Roman" w:cs="Times New Roman"/>
          <w:sz w:val="24"/>
          <w:szCs w:val="24"/>
        </w:rPr>
      </w:pPr>
      <w:r w:rsidRPr="00627002">
        <w:rPr>
          <w:rFonts w:ascii="Times New Roman" w:hAnsi="Times New Roman" w:cs="Times New Roman"/>
          <w:b/>
          <w:bCs/>
          <w:sz w:val="18"/>
          <w:szCs w:val="18"/>
        </w:rPr>
        <w:t>Scheme</w:t>
      </w:r>
      <w:r w:rsidR="00167739" w:rsidRPr="00627002">
        <w:rPr>
          <w:rFonts w:ascii="Times New Roman" w:hAnsi="Times New Roman" w:cs="Times New Roman"/>
          <w:b/>
          <w:bCs/>
          <w:sz w:val="18"/>
          <w:szCs w:val="18"/>
        </w:rPr>
        <w:t xml:space="preserve"> </w:t>
      </w:r>
      <w:r w:rsidR="00167739" w:rsidRPr="00627002">
        <w:rPr>
          <w:rFonts w:ascii="Times New Roman" w:hAnsi="Times New Roman" w:cs="Times New Roman"/>
          <w:b/>
          <w:bCs/>
          <w:sz w:val="18"/>
          <w:szCs w:val="18"/>
        </w:rPr>
        <w:fldChar w:fldCharType="begin"/>
      </w:r>
      <w:r w:rsidR="00167739" w:rsidRPr="00627002">
        <w:rPr>
          <w:rFonts w:ascii="Times New Roman" w:hAnsi="Times New Roman" w:cs="Times New Roman"/>
          <w:b/>
          <w:bCs/>
          <w:sz w:val="18"/>
          <w:szCs w:val="18"/>
        </w:rPr>
        <w:instrText xml:space="preserve"> SEQ Figure \* ARABIC </w:instrText>
      </w:r>
      <w:r w:rsidR="00167739" w:rsidRPr="00627002">
        <w:rPr>
          <w:rFonts w:ascii="Times New Roman" w:hAnsi="Times New Roman" w:cs="Times New Roman"/>
          <w:b/>
          <w:bCs/>
          <w:sz w:val="18"/>
          <w:szCs w:val="18"/>
        </w:rPr>
        <w:fldChar w:fldCharType="separate"/>
      </w:r>
      <w:r w:rsidR="00B820C7">
        <w:rPr>
          <w:rFonts w:ascii="Times New Roman" w:hAnsi="Times New Roman" w:cs="Times New Roman"/>
          <w:b/>
          <w:bCs/>
          <w:noProof/>
          <w:sz w:val="18"/>
          <w:szCs w:val="18"/>
        </w:rPr>
        <w:t>1</w:t>
      </w:r>
      <w:r w:rsidR="00167739" w:rsidRPr="00627002">
        <w:rPr>
          <w:rFonts w:ascii="Times New Roman" w:hAnsi="Times New Roman" w:cs="Times New Roman"/>
          <w:b/>
          <w:bCs/>
          <w:sz w:val="18"/>
          <w:szCs w:val="18"/>
        </w:rPr>
        <w:fldChar w:fldCharType="end"/>
      </w:r>
      <w:r w:rsidR="00167739" w:rsidRPr="00627002">
        <w:rPr>
          <w:rFonts w:ascii="Times New Roman" w:hAnsi="Times New Roman" w:cs="Times New Roman"/>
          <w:b/>
          <w:bCs/>
          <w:sz w:val="18"/>
          <w:szCs w:val="18"/>
        </w:rPr>
        <w:t>-</w:t>
      </w:r>
      <w:r w:rsidR="00167739" w:rsidRPr="00627002">
        <w:rPr>
          <w:rFonts w:ascii="Times New Roman" w:hAnsi="Times New Roman" w:cs="Times New Roman"/>
          <w:sz w:val="18"/>
          <w:szCs w:val="18"/>
        </w:rPr>
        <w:t xml:space="preserve"> BP</w:t>
      </w:r>
      <w:r w:rsidR="00167739" w:rsidRPr="00A505AF">
        <w:rPr>
          <w:rFonts w:ascii="Times New Roman" w:hAnsi="Times New Roman" w:cs="Times New Roman"/>
          <w:sz w:val="18"/>
          <w:szCs w:val="18"/>
        </w:rPr>
        <w:t>A based epoxy resins synthesis</w:t>
      </w:r>
      <w:r w:rsidR="00735D9B">
        <w:rPr>
          <w:rFonts w:ascii="Times New Roman" w:hAnsi="Times New Roman" w:cs="Times New Roman"/>
          <w:sz w:val="18"/>
          <w:szCs w:val="18"/>
        </w:rPr>
        <w:t xml:space="preserve"> with epichlorohydrin</w:t>
      </w:r>
      <w:r w:rsidR="00167739" w:rsidRPr="00A505AF">
        <w:rPr>
          <w:rFonts w:ascii="Times New Roman" w:hAnsi="Times New Roman" w:cs="Times New Roman"/>
          <w:sz w:val="18"/>
          <w:szCs w:val="18"/>
        </w:rPr>
        <w:t>.</w:t>
      </w:r>
    </w:p>
    <w:p w14:paraId="0D940685" w14:textId="10C145F6" w:rsidR="00D21993" w:rsidRDefault="007F04B8" w:rsidP="00A71D55">
      <w:pPr>
        <w:spacing w:after="0" w:line="480" w:lineRule="auto"/>
        <w:jc w:val="both"/>
        <w:rPr>
          <w:rFonts w:ascii="Times New Roman" w:eastAsia="Times New Roman" w:hAnsi="Times New Roman" w:cs="Times New Roman"/>
          <w:sz w:val="24"/>
          <w:szCs w:val="24"/>
        </w:rPr>
      </w:pPr>
      <w:r w:rsidRPr="00A505AF">
        <w:rPr>
          <w:rFonts w:ascii="Times New Roman" w:eastAsia="Times New Roman" w:hAnsi="Times New Roman" w:cs="Times New Roman"/>
          <w:sz w:val="24"/>
          <w:szCs w:val="24"/>
        </w:rPr>
        <w:t>The aromatic structure of BPA provides resins with good thermostability and mechanical strength</w:t>
      </w:r>
      <w:r w:rsidR="00627002">
        <w:rPr>
          <w:rFonts w:ascii="Times New Roman" w:eastAsia="Times New Roman" w:hAnsi="Times New Roman" w:cs="Times New Roman"/>
          <w:sz w:val="24"/>
          <w:szCs w:val="24"/>
        </w:rPr>
        <w:t xml:space="preserve"> </w:t>
      </w:r>
      <w:r w:rsidR="00627002" w:rsidRPr="00A71D55">
        <w:rPr>
          <w:rFonts w:ascii="Times New Roman" w:eastAsia="Times New Roman" w:hAnsi="Times New Roman" w:cs="Times New Roman"/>
          <w:sz w:val="24"/>
          <w:szCs w:val="24"/>
          <w:lang w:val="en-GB"/>
        </w:rPr>
        <w:t xml:space="preserve">that </w:t>
      </w:r>
      <w:r w:rsidR="00C704D9" w:rsidRPr="00A71D55">
        <w:rPr>
          <w:rFonts w:ascii="Times New Roman" w:eastAsia="Times New Roman" w:hAnsi="Times New Roman" w:cs="Times New Roman"/>
          <w:sz w:val="24"/>
          <w:szCs w:val="24"/>
          <w:lang w:val="en-GB"/>
        </w:rPr>
        <w:t>render</w:t>
      </w:r>
      <w:r w:rsidR="00627002" w:rsidRPr="00A71D55">
        <w:rPr>
          <w:rFonts w:ascii="Times New Roman" w:eastAsia="Times New Roman" w:hAnsi="Times New Roman" w:cs="Times New Roman"/>
          <w:sz w:val="24"/>
          <w:szCs w:val="24"/>
          <w:lang w:val="en-GB"/>
        </w:rPr>
        <w:t xml:space="preserve"> them </w:t>
      </w:r>
      <w:r w:rsidRPr="00A71D55">
        <w:rPr>
          <w:rFonts w:ascii="Times New Roman" w:eastAsia="Times New Roman" w:hAnsi="Times New Roman" w:cs="Times New Roman"/>
          <w:sz w:val="24"/>
          <w:szCs w:val="24"/>
          <w:lang w:val="en-GB"/>
        </w:rPr>
        <w:t>extremely resistant to corrosio</w:t>
      </w:r>
      <w:r w:rsidR="001313C1" w:rsidRPr="00A71D55">
        <w:rPr>
          <w:rFonts w:ascii="Times New Roman" w:eastAsia="Times New Roman" w:hAnsi="Times New Roman" w:cs="Times New Roman"/>
          <w:sz w:val="24"/>
          <w:szCs w:val="24"/>
          <w:lang w:val="en-GB"/>
        </w:rPr>
        <w:t>n</w:t>
      </w:r>
      <w:r w:rsidR="00A71D55" w:rsidRPr="00A71D55">
        <w:rPr>
          <w:rFonts w:ascii="Times New Roman" w:eastAsia="Times New Roman" w:hAnsi="Times New Roman" w:cs="Times New Roman"/>
          <w:sz w:val="24"/>
          <w:szCs w:val="24"/>
          <w:lang w:val="en-GB"/>
        </w:rPr>
        <w:t xml:space="preserve"> </w:t>
      </w:r>
      <w:r w:rsidR="00166FE0" w:rsidRPr="00A71D55">
        <w:rPr>
          <w:rFonts w:ascii="Times New Roman" w:eastAsia="Times New Roman" w:hAnsi="Times New Roman" w:cs="Times New Roman"/>
          <w:sz w:val="24"/>
          <w:szCs w:val="24"/>
          <w:lang w:val="en-GB"/>
        </w:rPr>
        <w:fldChar w:fldCharType="begin"/>
      </w:r>
      <w:r w:rsidR="00AB279D" w:rsidRPr="00A71D55">
        <w:rPr>
          <w:rFonts w:ascii="Times New Roman" w:eastAsia="Times New Roman" w:hAnsi="Times New Roman" w:cs="Times New Roman"/>
          <w:sz w:val="24"/>
          <w:szCs w:val="24"/>
          <w:lang w:val="en-GB"/>
        </w:rPr>
        <w:instrText xml:space="preserve"> ADDIN ZOTERO_ITEM CSL_CITATION {"citationID":"KA17P7Ug","properties":{"formattedCitation":"(Verma et al., 2020)","plainCitation":"(Verma et al., 2020)","noteIndex":0},"citationItems":[{"id":129,"uris":["http://zotero.org/users/11450443/items/FZF4ERQT"],"itemData":{"id":129,"type":"article-journal","abstract":"Epoxy resins (ERs) represent a special class of organic macromolecules that are comprehensively used for different industrial applications. Because of their macromolecular nature, ERs provide better surface coverage and anticorrosive activities than simple organic corrosion inhibitors. The peripheral polar functional groups of ERs act as adsorption centers during metal-inhibitor interactions. Several ERs in pure and cured forms had been used as anti-corrosive coating materials, especially for carbon steel in acidic and sodium chloride (3% and 3.5%) solutions. Most ERs act as interface and mixed-type corrosion inhibitors. Numerous computational simulations had been used to demonstrate the anticorrosive effects and adsorption behavior of ERs on metallic surfaces. However, most ERs have limited solubility; therefore they are better applied as coating materials for anticorrosive purposes. Literature survey showed that numerous ER-based coatings are developed and successfully employed for carbon steel and aluminum in brine solution. The anticorrosive effect of ER coatings can be further enhanced by adding organic and inorganic additives. The additives block the surface micropores present in ER coatings through which corrosive species can penetrate or diffuse and rapture the coating structures. This review article serves as a comprehensive collection of published reports on anticorrosive effects of pure and cured ERs for different metals and alloys in different electrolytes.","container-title":"Reactive and Functional Polymers","DOI":"10.1016/j.reactfunctpolym.2020.104741","ISSN":"13815148","journalAbbreviation":"Reactive and Functional Polymers","language":"en","page":"104741","source":"DOI.org (Crossref)","title":"Epoxy resins as anticorrosive polymeric materials: A review","title-short":"Epoxy resins as anticorrosive polymeric materials","volume":"156","author":[{"family":"Verma","given":"Chandrabhan"},{"family":"Olasunkanmi","given":"Lukman O."},{"family":"Akpan","given":"Ekemini D."},{"family":"Quraishi","given":"M.A."},{"family":"Dagdag","given":"O."},{"family":"El Gouri","given":"M."},{"family":"Sherif","given":"El-Sayed M."},{"family":"Ebenso","given":"Eno E."}],"issued":{"date-parts":[["2020",11]]}}}],"schema":"https://github.com/citation-style-language/schema/raw/master/csl-citation.json"} </w:instrText>
      </w:r>
      <w:r w:rsidR="00166FE0" w:rsidRPr="00A71D55">
        <w:rPr>
          <w:rFonts w:ascii="Times New Roman" w:eastAsia="Times New Roman" w:hAnsi="Times New Roman" w:cs="Times New Roman"/>
          <w:sz w:val="24"/>
          <w:szCs w:val="24"/>
          <w:lang w:val="en-GB"/>
        </w:rPr>
        <w:fldChar w:fldCharType="separate"/>
      </w:r>
      <w:r w:rsidR="00AB279D" w:rsidRPr="00A71D55">
        <w:rPr>
          <w:rFonts w:ascii="Times New Roman" w:hAnsi="Times New Roman" w:cs="Times New Roman"/>
          <w:sz w:val="24"/>
          <w:lang w:val="en-GB"/>
        </w:rPr>
        <w:t>(Verma et al., 2020)</w:t>
      </w:r>
      <w:r w:rsidR="00166FE0" w:rsidRPr="00A71D55">
        <w:rPr>
          <w:rFonts w:ascii="Times New Roman" w:eastAsia="Times New Roman" w:hAnsi="Times New Roman" w:cs="Times New Roman"/>
          <w:sz w:val="24"/>
          <w:szCs w:val="24"/>
          <w:lang w:val="en-GB"/>
        </w:rPr>
        <w:fldChar w:fldCharType="end"/>
      </w:r>
      <w:r w:rsidR="00A71D55" w:rsidRPr="00A71D55">
        <w:rPr>
          <w:rFonts w:ascii="Times New Roman" w:eastAsia="Times New Roman" w:hAnsi="Times New Roman" w:cs="Times New Roman"/>
          <w:sz w:val="24"/>
          <w:szCs w:val="24"/>
          <w:lang w:val="en-GB"/>
        </w:rPr>
        <w:t>,</w:t>
      </w:r>
      <w:r w:rsidRPr="00A71D55">
        <w:rPr>
          <w:rFonts w:ascii="Times New Roman" w:eastAsia="Times New Roman" w:hAnsi="Times New Roman" w:cs="Times New Roman"/>
          <w:sz w:val="24"/>
          <w:szCs w:val="24"/>
          <w:lang w:val="en-GB"/>
        </w:rPr>
        <w:t xml:space="preserve"> moisture, and chemicals</w:t>
      </w:r>
      <w:r w:rsidR="00AD4750">
        <w:rPr>
          <w:rFonts w:ascii="Times New Roman" w:eastAsia="Times New Roman" w:hAnsi="Times New Roman" w:cs="Times New Roman"/>
          <w:sz w:val="24"/>
          <w:szCs w:val="24"/>
          <w:lang w:val="en-GB"/>
        </w:rPr>
        <w:t xml:space="preserve"> </w:t>
      </w:r>
      <w:r w:rsidR="00166FE0" w:rsidRPr="00A71D55">
        <w:rPr>
          <w:rFonts w:ascii="Times New Roman" w:eastAsia="Times New Roman" w:hAnsi="Times New Roman" w:cs="Times New Roman"/>
          <w:sz w:val="24"/>
          <w:szCs w:val="24"/>
          <w:lang w:val="en-GB"/>
        </w:rPr>
        <w:fldChar w:fldCharType="begin"/>
      </w:r>
      <w:r w:rsidR="00AB279D" w:rsidRPr="00A71D55">
        <w:rPr>
          <w:rFonts w:ascii="Times New Roman" w:eastAsia="Times New Roman" w:hAnsi="Times New Roman" w:cs="Times New Roman"/>
          <w:sz w:val="24"/>
          <w:szCs w:val="24"/>
          <w:lang w:val="en-GB"/>
        </w:rPr>
        <w:instrText xml:space="preserve"> ADDIN ZOTERO_ITEM CSL_CITATION {"citationID":"ZXddFwNr","properties":{"formattedCitation":"(Marotta et al., 2018)","plainCitation":"(Marotta et al., 2018)","noteIndex":0},"citationItems":[{"id":127,"uris":["http://zotero.org/users/11450443/items/BCEK6HME"],"itemData":{"id":127,"type":"article-journal","abstract":"Two eco-respectful, one-step synthetic routes for the preparation of a bio-based epoxy monomer derived from furan precursors are developed.\n          , \n            Two eco-respectful, one-step synthetic routes for the preparation of a bio-based epoxy monomer derived from furan precursors are developed. The diglycidyl ester products are throughly characterized in terms of structure and thermal properties. Gathered results indicate that the two selected approaches allow the preparation of pure, furanic diglycidyl ester, which represents a viable bio-based alternative to its petrochemical aromatic counterpart.","container-title":"RSC Advances","DOI":"10.1039/C8RA02739K","ISSN":"2046-2069","issue":"29","journalAbbreviation":"RSC Adv.","language":"en","page":"16330-16335","source":"DOI.org (Crossref)","title":"Green approaches in the synthesis of furan-based diepoxy monomers","volume":"8","author":[{"family":"Marotta","given":"Angela"},{"family":"Ambrogi","given":"Veronica"},{"family":"Cerruti","given":"Pierfrancesco"},{"family":"Mija","given":"Alice"}],"issued":{"date-parts":[["2018"]]}}}],"schema":"https://github.com/citation-style-language/schema/raw/master/csl-citation.json"} </w:instrText>
      </w:r>
      <w:r w:rsidR="00166FE0" w:rsidRPr="00A71D55">
        <w:rPr>
          <w:rFonts w:ascii="Times New Roman" w:eastAsia="Times New Roman" w:hAnsi="Times New Roman" w:cs="Times New Roman"/>
          <w:sz w:val="24"/>
          <w:szCs w:val="24"/>
          <w:lang w:val="en-GB"/>
        </w:rPr>
        <w:fldChar w:fldCharType="separate"/>
      </w:r>
      <w:r w:rsidR="00AB279D" w:rsidRPr="00A71D55">
        <w:rPr>
          <w:rFonts w:ascii="Times New Roman" w:hAnsi="Times New Roman" w:cs="Times New Roman"/>
          <w:sz w:val="24"/>
          <w:lang w:val="en-GB"/>
        </w:rPr>
        <w:t>(Marotta et al., 2018)</w:t>
      </w:r>
      <w:r w:rsidR="00166FE0" w:rsidRPr="00A71D55">
        <w:rPr>
          <w:rFonts w:ascii="Times New Roman" w:eastAsia="Times New Roman" w:hAnsi="Times New Roman" w:cs="Times New Roman"/>
          <w:sz w:val="24"/>
          <w:szCs w:val="24"/>
          <w:lang w:val="en-GB"/>
        </w:rPr>
        <w:fldChar w:fldCharType="end"/>
      </w:r>
      <w:r w:rsidR="00AD4750">
        <w:rPr>
          <w:rFonts w:ascii="Times New Roman" w:eastAsia="Times New Roman" w:hAnsi="Times New Roman" w:cs="Times New Roman"/>
          <w:sz w:val="24"/>
          <w:szCs w:val="24"/>
          <w:lang w:val="en-GB"/>
        </w:rPr>
        <w:t>.</w:t>
      </w:r>
      <w:r w:rsidR="00627002" w:rsidRPr="00A71D55">
        <w:rPr>
          <w:rFonts w:ascii="Times New Roman" w:eastAsia="Times New Roman" w:hAnsi="Times New Roman" w:cs="Times New Roman"/>
          <w:sz w:val="24"/>
          <w:szCs w:val="24"/>
          <w:lang w:val="en-GB"/>
        </w:rPr>
        <w:t xml:space="preserve"> As a result</w:t>
      </w:r>
      <w:r w:rsidR="00C704D9" w:rsidRPr="00A71D55">
        <w:rPr>
          <w:rFonts w:ascii="Times New Roman" w:eastAsia="Times New Roman" w:hAnsi="Times New Roman" w:cs="Times New Roman"/>
          <w:sz w:val="24"/>
          <w:szCs w:val="24"/>
          <w:lang w:val="en-GB"/>
        </w:rPr>
        <w:t>,</w:t>
      </w:r>
      <w:r w:rsidR="00627002" w:rsidRPr="00A71D55">
        <w:rPr>
          <w:rFonts w:ascii="Times New Roman" w:eastAsia="Times New Roman" w:hAnsi="Times New Roman" w:cs="Times New Roman"/>
          <w:sz w:val="24"/>
          <w:szCs w:val="24"/>
          <w:lang w:val="en-GB"/>
        </w:rPr>
        <w:t xml:space="preserve"> these materials are </w:t>
      </w:r>
      <w:r w:rsidRPr="00A71D55">
        <w:rPr>
          <w:rFonts w:ascii="Times New Roman" w:eastAsia="Times New Roman" w:hAnsi="Times New Roman" w:cs="Times New Roman"/>
          <w:sz w:val="24"/>
          <w:szCs w:val="24"/>
          <w:lang w:val="en-GB"/>
        </w:rPr>
        <w:t>useful for a wide range of applications such as coatings</w:t>
      </w:r>
      <w:r w:rsidR="00A71D55" w:rsidRPr="00A71D55">
        <w:rPr>
          <w:rFonts w:ascii="Times New Roman" w:eastAsia="Times New Roman" w:hAnsi="Times New Roman" w:cs="Times New Roman"/>
          <w:sz w:val="24"/>
          <w:szCs w:val="24"/>
          <w:lang w:val="en-GB"/>
        </w:rPr>
        <w:t xml:space="preserve"> </w:t>
      </w:r>
      <w:r w:rsidR="00166FE0" w:rsidRPr="00A71D55">
        <w:rPr>
          <w:rFonts w:ascii="Times New Roman" w:eastAsia="Times New Roman" w:hAnsi="Times New Roman" w:cs="Times New Roman"/>
          <w:sz w:val="24"/>
          <w:szCs w:val="24"/>
          <w:lang w:val="en-GB"/>
        </w:rPr>
        <w:fldChar w:fldCharType="begin"/>
      </w:r>
      <w:r w:rsidR="00AB279D" w:rsidRPr="00A71D55">
        <w:rPr>
          <w:rFonts w:ascii="Times New Roman" w:eastAsia="Times New Roman" w:hAnsi="Times New Roman" w:cs="Times New Roman"/>
          <w:sz w:val="24"/>
          <w:szCs w:val="24"/>
          <w:lang w:val="en-GB"/>
        </w:rPr>
        <w:instrText xml:space="preserve"> ADDIN ZOTERO_ITEM CSL_CITATION {"citationID":"x3SanQgy","properties":{"formattedCitation":"(Verma et al., 2020)","plainCitation":"(Verma et al., 2020)","noteIndex":0},"citationItems":[{"id":129,"uris":["http://zotero.org/users/11450443/items/FZF4ERQT"],"itemData":{"id":129,"type":"article-journal","abstract":"Epoxy resins (ERs) represent a special class of organic macromolecules that are comprehensively used for different industrial applications. Because of their macromolecular nature, ERs provide better surface coverage and anticorrosive activities than simple organic corrosion inhibitors. The peripheral polar functional groups of ERs act as adsorption centers during metal-inhibitor interactions. Several ERs in pure and cured forms had been used as anti-corrosive coating materials, especially for carbon steel in acidic and sodium chloride (3% and 3.5%) solutions. Most ERs act as interface and mixed-type corrosion inhibitors. Numerous computational simulations had been used to demonstrate the anticorrosive effects and adsorption behavior of ERs on metallic surfaces. However, most ERs have limited solubility; therefore they are be</w:instrText>
      </w:r>
      <w:r w:rsidR="00AB279D" w:rsidRPr="00373FCF">
        <w:rPr>
          <w:rFonts w:ascii="Times New Roman" w:eastAsia="Times New Roman" w:hAnsi="Times New Roman" w:cs="Times New Roman"/>
          <w:sz w:val="24"/>
          <w:szCs w:val="24"/>
          <w:lang w:val="fr-FR"/>
        </w:rPr>
        <w:instrText>tter applied as coating materials for anticorrosive purposes. Literature survey showed that numerous ER-based coatings are developed and successfully employed for carbon steel and aluminum in brine solution. The anticorrosive effect of ER coatings can be furthe</w:instrText>
      </w:r>
      <w:r w:rsidR="00AB279D" w:rsidRPr="00814C63">
        <w:rPr>
          <w:rFonts w:ascii="Times New Roman" w:eastAsia="Times New Roman" w:hAnsi="Times New Roman" w:cs="Times New Roman"/>
          <w:sz w:val="24"/>
          <w:szCs w:val="24"/>
          <w:lang w:val="fr-FR"/>
        </w:rPr>
        <w:instrText xml:space="preserve">r enhanced by adding organic and inorganic additives. The additives block the surface micropores present in ER coatings through which corrosive species can penetrate or diffuse and rapture the coating structures. This review article serves as a comprehensive collection of published reports on anticorrosive effects of pure and cured ERs for different metals and alloys in different electrolytes.","container-title":"Reactive and Functional Polymers","DOI":"10.1016/j.reactfunctpolym.2020.104741","ISSN":"13815148","journalAbbreviation":"Reactive and Functional Polymers","language":"en","page":"104741","source":"DOI.org (Crossref)","title":"Epoxy resins as anticorrosive polymeric materials: A review","title-short":"Epoxy resins as anticorrosive polymeric materials","volume":"156","author":[{"family":"Verma","given":"Chandrabhan"},{"family":"Olasunkanmi","given":"Lukman O."},{"family":"Akpan","given":"Ekemini D."},{"family":"Quraishi","given":"M.A."},{"family":"Dagdag","given":"O."},{"family":"El Gouri","given":"M."},{"family":"Sherif","given":"El-Sayed M."},{"family":"Ebenso","given":"Eno E."}],"issued":{"date-parts":[["2020",11]]}}}],"schema":"https://github.com/citation-style-language/schema/raw/master/csl-citation.json"} </w:instrText>
      </w:r>
      <w:r w:rsidR="00166FE0" w:rsidRPr="00A71D55">
        <w:rPr>
          <w:rFonts w:ascii="Times New Roman" w:eastAsia="Times New Roman" w:hAnsi="Times New Roman" w:cs="Times New Roman"/>
          <w:sz w:val="24"/>
          <w:szCs w:val="24"/>
          <w:lang w:val="en-GB"/>
        </w:rPr>
        <w:fldChar w:fldCharType="separate"/>
      </w:r>
      <w:r w:rsidR="00AB279D" w:rsidRPr="00814C63">
        <w:rPr>
          <w:rFonts w:ascii="Times New Roman" w:hAnsi="Times New Roman" w:cs="Times New Roman"/>
          <w:sz w:val="24"/>
          <w:lang w:val="fr-FR"/>
        </w:rPr>
        <w:t>(Verma et al., 2020)</w:t>
      </w:r>
      <w:r w:rsidR="00166FE0" w:rsidRPr="00A71D55">
        <w:rPr>
          <w:rFonts w:ascii="Times New Roman" w:eastAsia="Times New Roman" w:hAnsi="Times New Roman" w:cs="Times New Roman"/>
          <w:sz w:val="24"/>
          <w:szCs w:val="24"/>
          <w:lang w:val="en-GB"/>
        </w:rPr>
        <w:fldChar w:fldCharType="end"/>
      </w:r>
      <w:r w:rsidR="00A71D55" w:rsidRPr="00814C63">
        <w:rPr>
          <w:rFonts w:ascii="Times New Roman" w:eastAsia="Times New Roman" w:hAnsi="Times New Roman" w:cs="Times New Roman"/>
          <w:sz w:val="24"/>
          <w:szCs w:val="24"/>
          <w:lang w:val="fr-FR"/>
        </w:rPr>
        <w:t>,</w:t>
      </w:r>
      <w:r w:rsidRPr="00814C63">
        <w:rPr>
          <w:rFonts w:ascii="Times New Roman" w:eastAsia="Times New Roman" w:hAnsi="Times New Roman" w:cs="Times New Roman"/>
          <w:sz w:val="24"/>
          <w:szCs w:val="24"/>
          <w:lang w:val="fr-FR"/>
        </w:rPr>
        <w:t xml:space="preserve"> composites</w:t>
      </w:r>
      <w:r w:rsidR="00A71D55" w:rsidRPr="00814C63">
        <w:rPr>
          <w:rFonts w:ascii="Times New Roman" w:eastAsia="Times New Roman" w:hAnsi="Times New Roman" w:cs="Times New Roman"/>
          <w:sz w:val="24"/>
          <w:szCs w:val="24"/>
          <w:lang w:val="fr-FR"/>
        </w:rPr>
        <w:t xml:space="preserve"> </w:t>
      </w:r>
      <w:r w:rsidR="00927AA2" w:rsidRPr="00A71D55">
        <w:rPr>
          <w:rFonts w:ascii="Times New Roman" w:eastAsia="Times New Roman" w:hAnsi="Times New Roman" w:cs="Times New Roman"/>
          <w:sz w:val="24"/>
          <w:szCs w:val="24"/>
          <w:lang w:val="en-GB"/>
        </w:rPr>
        <w:fldChar w:fldCharType="begin"/>
      </w:r>
      <w:r w:rsidR="00A71D55" w:rsidRPr="00814C63">
        <w:rPr>
          <w:rFonts w:ascii="Times New Roman" w:eastAsia="Times New Roman" w:hAnsi="Times New Roman" w:cs="Times New Roman"/>
          <w:sz w:val="24"/>
          <w:szCs w:val="24"/>
          <w:lang w:val="fr-FR"/>
        </w:rPr>
        <w:instrText xml:space="preserve"> ADDIN ZOTERO_ITEM CSL_CITATION {"citationID":"FAO2YloH","properties":{"formattedCitation":"(Sprenger, 2013)","plainCitation":"(Sprenger, 2013)","noteIndex":0},"citationItems":[{"id":441,"uris":["http://zotero.org/users/11450443/items/JZ4G7V9P"],"itemData":{"id":441,"type":"article-journal","DOI":"https://doi.org/10.1002/app.39208","issue":"3","journalAbbreviation":"J. of Appl. Polym. Sci.","page":"1421-1428","title":"Epoxy Resin Composites with Surface‐modified Silicon Dioxide Nanoparticles: A Review.","volume":"130","author":[{"family":"Sprenger","given":"Stephan"}],"issued":{"date-parts":[["2013"]]}}}],"schema":"https://github.com/citation-style-language/schema/raw/master/csl-citation.json"} </w:instrText>
      </w:r>
      <w:r w:rsidR="00927AA2" w:rsidRPr="00A71D55">
        <w:rPr>
          <w:rFonts w:ascii="Times New Roman" w:eastAsia="Times New Roman" w:hAnsi="Times New Roman" w:cs="Times New Roman"/>
          <w:sz w:val="24"/>
          <w:szCs w:val="24"/>
          <w:lang w:val="en-GB"/>
        </w:rPr>
        <w:fldChar w:fldCharType="separate"/>
      </w:r>
      <w:r w:rsidR="00A71D55" w:rsidRPr="00814C63">
        <w:rPr>
          <w:rFonts w:ascii="Times New Roman" w:hAnsi="Times New Roman" w:cs="Times New Roman"/>
          <w:sz w:val="24"/>
          <w:lang w:val="fr-FR"/>
        </w:rPr>
        <w:t>(Sprenger, 2013)</w:t>
      </w:r>
      <w:r w:rsidR="00927AA2" w:rsidRPr="00A71D55">
        <w:rPr>
          <w:rFonts w:ascii="Times New Roman" w:eastAsia="Times New Roman" w:hAnsi="Times New Roman" w:cs="Times New Roman"/>
          <w:sz w:val="24"/>
          <w:szCs w:val="24"/>
          <w:lang w:val="en-GB"/>
        </w:rPr>
        <w:fldChar w:fldCharType="end"/>
      </w:r>
      <w:r w:rsidR="00AD4750" w:rsidRPr="00814C63">
        <w:rPr>
          <w:rFonts w:ascii="Times New Roman" w:eastAsia="Times New Roman" w:hAnsi="Times New Roman" w:cs="Times New Roman"/>
          <w:sz w:val="24"/>
          <w:szCs w:val="24"/>
          <w:lang w:val="fr-FR"/>
        </w:rPr>
        <w:t>,</w:t>
      </w:r>
      <w:r w:rsidR="00166FE0" w:rsidRPr="00814C63">
        <w:rPr>
          <w:rFonts w:ascii="Times New Roman" w:eastAsia="Times New Roman" w:hAnsi="Times New Roman" w:cs="Times New Roman"/>
          <w:sz w:val="24"/>
          <w:szCs w:val="24"/>
          <w:lang w:val="fr-FR"/>
        </w:rPr>
        <w:t xml:space="preserve"> </w:t>
      </w:r>
      <w:r w:rsidRPr="00814C63">
        <w:rPr>
          <w:rFonts w:ascii="Times New Roman" w:eastAsia="Times New Roman" w:hAnsi="Times New Roman" w:cs="Times New Roman"/>
          <w:sz w:val="24"/>
          <w:szCs w:val="24"/>
          <w:lang w:val="fr-FR"/>
        </w:rPr>
        <w:t>electronic devices</w:t>
      </w:r>
      <w:r w:rsidR="00AD4750" w:rsidRPr="00814C63">
        <w:rPr>
          <w:rFonts w:ascii="Times New Roman" w:eastAsia="Times New Roman" w:hAnsi="Times New Roman" w:cs="Times New Roman"/>
          <w:sz w:val="24"/>
          <w:szCs w:val="24"/>
          <w:lang w:val="fr-FR"/>
        </w:rPr>
        <w:t xml:space="preserve"> </w:t>
      </w:r>
      <w:r w:rsidR="00293F78" w:rsidRPr="00A71D55">
        <w:rPr>
          <w:rFonts w:ascii="Times New Roman" w:eastAsia="Times New Roman" w:hAnsi="Times New Roman" w:cs="Times New Roman"/>
          <w:sz w:val="24"/>
          <w:szCs w:val="24"/>
          <w:lang w:val="en-GB"/>
        </w:rPr>
        <w:fldChar w:fldCharType="begin"/>
      </w:r>
      <w:r w:rsidR="00AB279D" w:rsidRPr="00814C63">
        <w:rPr>
          <w:rFonts w:ascii="Times New Roman" w:eastAsia="Times New Roman" w:hAnsi="Times New Roman" w:cs="Times New Roman"/>
          <w:sz w:val="24"/>
          <w:szCs w:val="24"/>
          <w:lang w:val="fr-FR"/>
        </w:rPr>
        <w:instrText xml:space="preserve"> ADDIN ZOTERO_ITEM CSL_CITATION {"citationID":"brCXwjWI","properties":{"formattedCitation":"(Ho and Wang, 1996; Jin et al., 2015)","plainCitation":"(Ho and Wang, 1996; Jin et al., 2015)","noteIndex":0},"citationItems":[{"id":179,"uris":["http://zotero.org/users/11450443/items/2AQA9UZJ"],"itemData":{"id":179,"type":"article-journal","container-title":"Journal of Industrial and Engineering Chemistry","DOI":"10.1016/j.jiec.2015.03.026","ISSN":"1226086X","journalAbbreviation":"Journal of Industrial and Engineering Chemistry","language":"en","page":"1-11","source":"DOI.org (Crossref)","title":"Synthesis and application of epoxy resins: A review","title-short":"Synthesis and application of epoxy resins","volume":"29","author":[{"family":"Jin","given":"Fan-Long"},{"family":"Li","given":"Xiang"},{"family":"Park","given":"Soo-Jin"}],"issued":{"date-parts":[["2015",9]]}}},{"id":132,"uris":["http://zotero.org/users/11450443/items/UDJMUY2U"],"itemData":{"id":132,"type":"article-journal","container-title":"Polymer","DOI":"10.1016/0032-3861(96)87635-X","ISSN":"00323861","issue":"13","journalAbbreviation":"Polymer","language":"en","page":"2733-2742","source":"DOI.org (Crossref)","title":"Modification of epoxy resins with polysiloxane thermoplastic polyurethane for electronic encapsulation: 1","title-short":"Modification of epoxy resins with polysiloxane thermoplastic polyurethane for electronic encapsulation","volume":"37","author":[{"family":"Ho","given":"Tsung-Han"},{"family":"Wang","given":"Chun-Shan"}],"issued":{"date-parts":[["1996",6]]}}}],"schema":"https://github.com/citation-style-language/schema/raw/master/csl-citation.json"} </w:instrText>
      </w:r>
      <w:r w:rsidR="00293F78" w:rsidRPr="00A71D55">
        <w:rPr>
          <w:rFonts w:ascii="Times New Roman" w:eastAsia="Times New Roman" w:hAnsi="Times New Roman" w:cs="Times New Roman"/>
          <w:sz w:val="24"/>
          <w:szCs w:val="24"/>
          <w:lang w:val="en-GB"/>
        </w:rPr>
        <w:fldChar w:fldCharType="separate"/>
      </w:r>
      <w:r w:rsidR="00AB279D" w:rsidRPr="00814C63">
        <w:rPr>
          <w:rFonts w:ascii="Times New Roman" w:hAnsi="Times New Roman" w:cs="Times New Roman"/>
          <w:sz w:val="24"/>
          <w:lang w:val="fr-FR"/>
        </w:rPr>
        <w:t>(Ho and Wang, 1996; Jin et al., 2015)</w:t>
      </w:r>
      <w:r w:rsidR="00293F78" w:rsidRPr="00A71D55">
        <w:rPr>
          <w:rFonts w:ascii="Times New Roman" w:eastAsia="Times New Roman" w:hAnsi="Times New Roman" w:cs="Times New Roman"/>
          <w:sz w:val="24"/>
          <w:szCs w:val="24"/>
          <w:lang w:val="en-GB"/>
        </w:rPr>
        <w:fldChar w:fldCharType="end"/>
      </w:r>
      <w:r w:rsidR="00AD4750" w:rsidRPr="00814C63">
        <w:rPr>
          <w:rFonts w:ascii="Times New Roman" w:eastAsia="Times New Roman" w:hAnsi="Times New Roman" w:cs="Times New Roman"/>
          <w:sz w:val="24"/>
          <w:szCs w:val="24"/>
          <w:lang w:val="fr-FR"/>
        </w:rPr>
        <w:t>,</w:t>
      </w:r>
      <w:r w:rsidRPr="00814C63">
        <w:rPr>
          <w:rFonts w:ascii="Times New Roman" w:eastAsia="Times New Roman" w:hAnsi="Times New Roman" w:cs="Times New Roman"/>
          <w:sz w:val="24"/>
          <w:szCs w:val="24"/>
          <w:lang w:val="fr-FR"/>
        </w:rPr>
        <w:t xml:space="preserve"> and thermosets in the </w:t>
      </w:r>
      <w:r w:rsidR="00C91460" w:rsidRPr="00814C63">
        <w:rPr>
          <w:rFonts w:ascii="Times New Roman" w:eastAsia="Times New Roman" w:hAnsi="Times New Roman" w:cs="Times New Roman"/>
          <w:sz w:val="24"/>
          <w:szCs w:val="24"/>
          <w:lang w:val="fr-FR"/>
        </w:rPr>
        <w:t>Aerospace</w:t>
      </w:r>
      <w:r w:rsidRPr="00814C63">
        <w:rPr>
          <w:rFonts w:ascii="Times New Roman" w:eastAsia="Times New Roman" w:hAnsi="Times New Roman" w:cs="Times New Roman"/>
          <w:sz w:val="24"/>
          <w:szCs w:val="24"/>
          <w:lang w:val="fr-FR"/>
        </w:rPr>
        <w:t xml:space="preserve"> </w:t>
      </w:r>
      <w:r w:rsidR="00E9503E" w:rsidRPr="00814C63">
        <w:rPr>
          <w:rFonts w:ascii="Times New Roman" w:eastAsia="Times New Roman" w:hAnsi="Times New Roman" w:cs="Times New Roman"/>
          <w:sz w:val="24"/>
          <w:szCs w:val="24"/>
          <w:lang w:val="fr-FR"/>
        </w:rPr>
        <w:t>i</w:t>
      </w:r>
      <w:r w:rsidRPr="00814C63">
        <w:rPr>
          <w:rFonts w:ascii="Times New Roman" w:eastAsia="Times New Roman" w:hAnsi="Times New Roman" w:cs="Times New Roman"/>
          <w:sz w:val="24"/>
          <w:szCs w:val="24"/>
          <w:lang w:val="fr-FR"/>
        </w:rPr>
        <w:t>ndustry</w:t>
      </w:r>
      <w:r w:rsidR="00AD4750" w:rsidRPr="00814C63">
        <w:rPr>
          <w:rFonts w:ascii="Times New Roman" w:eastAsia="Times New Roman" w:hAnsi="Times New Roman" w:cs="Times New Roman"/>
          <w:sz w:val="24"/>
          <w:szCs w:val="24"/>
          <w:lang w:val="fr-FR"/>
        </w:rPr>
        <w:t xml:space="preserve"> </w:t>
      </w:r>
      <w:r w:rsidR="00166FE0" w:rsidRPr="00A71D55">
        <w:rPr>
          <w:rFonts w:ascii="Times New Roman" w:eastAsia="Times New Roman" w:hAnsi="Times New Roman" w:cs="Times New Roman"/>
          <w:sz w:val="24"/>
          <w:szCs w:val="24"/>
          <w:highlight w:val="yellow"/>
          <w:lang w:val="en-GB"/>
        </w:rPr>
        <w:fldChar w:fldCharType="begin"/>
      </w:r>
      <w:r w:rsidR="00AB279D" w:rsidRPr="00814C63">
        <w:rPr>
          <w:rFonts w:ascii="Times New Roman" w:eastAsia="Times New Roman" w:hAnsi="Times New Roman" w:cs="Times New Roman"/>
          <w:sz w:val="24"/>
          <w:szCs w:val="24"/>
          <w:highlight w:val="yellow"/>
          <w:lang w:val="fr-FR"/>
        </w:rPr>
        <w:instrText xml:space="preserve"> ADDIN ZOTERO_ITEM CSL_CITATION {"citationID":"wtRa3mxt","properties":{"formattedCitation":"(Guadagno et al., 2014; Rahman and Akhtarul Islam, 2022; Rong et al., 2024)","plainCitation":"(Guadagno et al., 2014; Rahman and Akhtarul Islam, 2022; Rong et al., 2024)","noteIndex":0},"citationItems":[{"id":424,"uris":["http://zotero.org/users/11450443/items/QKFV24U4"],"itemData":{"id":424,"type":"article-journal","abstract":"This paper describes the role of epoxy resin in the development of advanced building materials. It reviews in brief the growth of epoxy resin-based high-performance concrete and masonry mortar technology, and epoxy resin as protective coating on mild-steel bar (rebar) for concrete reinforcement. Literature survey reveals that the properties of concrete could be improved significantly with the variation of concentration of the epoxy resin in the composition of polymer-modified concrete (PMC), and that makes the PMC very versatile in applications. Challenges on the use of epoxy resin in the concrete and masonry mortar composition and contribution of the resin on the mechanical and physical properties of building materials have been described. Some ambiguous results on epoxy resin-based concrete available in the literature have been verified in the laboratory, and the confusions have been diffused. Performance of the epoxy resin as a protective coating on rebar has also been discussed</w:instrText>
      </w:r>
      <w:r w:rsidR="00AB279D" w:rsidRPr="00A71D55">
        <w:rPr>
          <w:rFonts w:ascii="Times New Roman" w:eastAsia="Times New Roman" w:hAnsi="Times New Roman" w:cs="Times New Roman"/>
          <w:sz w:val="24"/>
          <w:szCs w:val="24"/>
          <w:highlight w:val="yellow"/>
          <w:lang w:val="en-GB"/>
        </w:rPr>
        <w:instrText>. Experimental results show that epoxy resin-based concrete exhibits high compressive strength, less chloride-ion permeation and high chemical resistance to the corrosive environment. Finally, the perspectives of epoxy resin for overall use in building materials and also in specific applications such as repairing of building, the protection of constructions from flood, saline water, and prevention of liquid from penetration into interior of materials have been discussed.","container-title":"Polymer Bulletin","DOI":"10.1007/s00289-021-03577-1","ISSN":"0170-0839, 1436-2449","issue":"3","journalAbbreviation":"Polym. Bull.","language":"en","page":"1949-1975","source":"DOI.org (Crossref)","title":"Application of epoxy resins in building materials: progress and prospects","title-short":"Application of epoxy resins in building materials","volume":"79","author":[{"family":"Rahman","given":"Md. Mostafizur"},{"family":"Akhtarul Islam","given":"M."}],"issued":{"date-parts":[["2022",3]]}}},{"id":435,"uris":["http://zotero.org/users/11450443/items/8XP5I4QM"],"itemData":{"id":435,"type":"article-journal","abstract":"Specialized epoxy resin, capable of achieving room-temperature profound curing and sustaining prolonged exposure to high-temperature environments, stands as a pivotal material in modern high-end manufacturing sectors including aerospace, marine equipment fabrication, machinery production, and the electronics industry. Herein, a silicon-hybridized epoxy resin, amenable to room-temperature curing and designed for high-temperature applications, was synthesized using a sol–gel methodology with silicate esters and silane coupling agents serving as silicon sources. Resin characterization indicates a uniform distribution of silicon elements in the obtained silicon hybrid epoxy resin. In comparison to the non-hybridized epoxy resin, notable improvements are observed in room-temperature curing performance, heat resistance, and mechanical strength.","container-title":"Polymers","DOI":"10.3390/polym16050634","ISSN":"2073-4360","issue":"5","journalAbbreviation":"Polymers","language":"en","license":"https://creativecommons.org/licenses/by/4.0/","page":"634","source":"DOI.org (Crossref)","title":"Silicon Hybridization for the Preparation of Room-Temperature Curing and High-Temperature-Resistant Epoxy Resin","volume":"16","author":[{"family":"Rong","given":"Liping"},{"family":"Su","given":"Jiaqi"},{"family":"Li","given":"Zhiguo"},{"family":"Liu","given":"Xiaohui"},{"family":"Zhang","given":"Dayong"},{"family":"Zhu","given":"Jinhua"},{"family":"Li","given":"Xin"},{"family":"Zhao","given":"Ying"},{"family":"Mi","given":"Changhong"},{"family":"Kong","given":"Xianzhi"},{"family":"Wang","given":"Gang"}],"issued":{"date-parts":[["2024",2,27]]}}},{"id":134,"uris":["http://zotero.org/users/11450443/items/CGMKKXD7"],"itemData":{"id":134,"type":"article-journal","abstract":"The presence of reactive diluent 1,4-Butandioldiglycidylether in epoxy mixtures reduces the sorption at equilibrium of liquid water (graphic on the right) and eases the step of nanofiller dispersion (figure on the left).\n          , \n            This work describes a successful attempt toward the development of composite materials based on nanofilled epoxy resins for the realization of structural aeronautic components providing efficient lightning strike protection. The epoxy matrix is prepared by mixing a tetrafunctional epoxy precursor with a reactive diluent which allows the moisture content to be reduced and facilitates the nanofiller dispersion step. The reactive diluent also proves to be beneficial for improving the curing degree of nanofilled epoxy mixtures. It increases the mobility of reactive groups resulting in a higher cure degree than the epoxy precursor alone. This effect is particularly advantageous for nanofilled resins where higher temperature treatments are needed, compared to the unfilled resin, to reach the same cure degree. As nanofiller, different carbon nan</w:instrText>
      </w:r>
      <w:r w:rsidR="00AB279D" w:rsidRPr="00814C63">
        <w:rPr>
          <w:rFonts w:ascii="Times New Roman" w:eastAsia="Times New Roman" w:hAnsi="Times New Roman" w:cs="Times New Roman"/>
          <w:sz w:val="24"/>
          <w:szCs w:val="24"/>
          <w:highlight w:val="yellow"/>
          <w:lang w:val="fr-FR"/>
        </w:rPr>
        <w:instrText xml:space="preserve">ostructured fiber-shaped fillers are embedded in the epoxy matrix with the aim of improving the electrical properties of the resin. The results highlight a strong influence of the nanofiller nature on the electrical properties especially in terms of electrical percolation threshold (EPT) and electrical conductivity beyond the EPT. Among the analyzed nanofillers, the highest electrical conductivity is obtained by using multiwalled carbon nanotubes (MWCNTs) and heat-treated carbon nanofibers (CNFs). The achieved results are analyzed by considering the nanofiller morphological parameters and characteristics with respect to the impact on their dispersion effectiveness.","container-title":"RSC Adv.","DOI":"10.1039/C3RA48031C","ISSN":"2046-2069","issue":"30","journalAbbreviation":"RSC Adv.","language":"en","page":"15474-15488","source":"DOI.org (Crossref)","title":"Development of epoxy mixtures for application in aeronautics and aerospace","volume":"4","author":[{"family":"Guadagno","given":"Liberata"},{"family":"Raimondo","given":"Marialuigia"},{"family":"Vittoria","given":"Vittoria"},{"family":"Vertuccio","given":"Luigi"},{"family":"Naddeo","given":"Carlo"},{"family":"Russo","given":"Salvatore"},{"family":"De Vivo","given":"Biagio"},{"family":"Lamberti","given":"Patrizia"},{"family":"Spinelli","given":"Giovanni"},{"family":"Tucci","given":"Vincenzo"}],"issued":{"date-parts":[["2014"]]}}}],"schema":"https://github.com/citation-style-language/schema/raw/master/csl-citation.json"} </w:instrText>
      </w:r>
      <w:r w:rsidR="00166FE0" w:rsidRPr="00A71D55">
        <w:rPr>
          <w:rFonts w:ascii="Times New Roman" w:eastAsia="Times New Roman" w:hAnsi="Times New Roman" w:cs="Times New Roman"/>
          <w:sz w:val="24"/>
          <w:szCs w:val="24"/>
          <w:highlight w:val="yellow"/>
          <w:lang w:val="en-GB"/>
        </w:rPr>
        <w:fldChar w:fldCharType="separate"/>
      </w:r>
      <w:r w:rsidR="00AB279D" w:rsidRPr="00814C63">
        <w:rPr>
          <w:rFonts w:ascii="Times New Roman" w:hAnsi="Times New Roman" w:cs="Times New Roman"/>
          <w:sz w:val="24"/>
          <w:lang w:val="fr-FR"/>
        </w:rPr>
        <w:t>(Guadagno et al., 2014; Rahman and Akhtarul Islam, 2022; Rong et al., 2024)</w:t>
      </w:r>
      <w:r w:rsidR="00166FE0" w:rsidRPr="00A71D55">
        <w:rPr>
          <w:rFonts w:ascii="Times New Roman" w:eastAsia="Times New Roman" w:hAnsi="Times New Roman" w:cs="Times New Roman"/>
          <w:sz w:val="24"/>
          <w:szCs w:val="24"/>
          <w:highlight w:val="yellow"/>
          <w:lang w:val="en-GB"/>
        </w:rPr>
        <w:fldChar w:fldCharType="end"/>
      </w:r>
      <w:r w:rsidR="00AD4750" w:rsidRPr="00814C63">
        <w:rPr>
          <w:rFonts w:ascii="Times New Roman" w:eastAsia="Times New Roman" w:hAnsi="Times New Roman" w:cs="Times New Roman"/>
          <w:sz w:val="24"/>
          <w:szCs w:val="24"/>
          <w:lang w:val="fr-FR"/>
        </w:rPr>
        <w:t>.</w:t>
      </w:r>
      <w:r w:rsidRPr="00814C63">
        <w:rPr>
          <w:rFonts w:ascii="Times New Roman" w:eastAsia="Times New Roman" w:hAnsi="Times New Roman" w:cs="Times New Roman"/>
          <w:sz w:val="24"/>
          <w:szCs w:val="24"/>
          <w:lang w:val="fr-FR"/>
        </w:rPr>
        <w:t xml:space="preserve"> </w:t>
      </w:r>
      <w:r w:rsidRPr="00A71D55">
        <w:rPr>
          <w:rFonts w:ascii="Times New Roman" w:eastAsia="Times New Roman" w:hAnsi="Times New Roman" w:cs="Times New Roman"/>
          <w:sz w:val="24"/>
          <w:szCs w:val="24"/>
          <w:lang w:val="en-GB"/>
        </w:rPr>
        <w:t xml:space="preserve">However, BPA is a non-renewable compound that </w:t>
      </w:r>
      <w:r w:rsidR="00D21993" w:rsidRPr="00A71D55">
        <w:rPr>
          <w:rFonts w:ascii="Times New Roman" w:eastAsia="Times New Roman" w:hAnsi="Times New Roman" w:cs="Times New Roman"/>
          <w:sz w:val="24"/>
          <w:szCs w:val="24"/>
          <w:lang w:val="en-GB"/>
        </w:rPr>
        <w:t xml:space="preserve">also </w:t>
      </w:r>
      <w:r w:rsidR="00C925A5" w:rsidRPr="00A71D55">
        <w:rPr>
          <w:rFonts w:ascii="Times New Roman" w:eastAsia="Times New Roman" w:hAnsi="Times New Roman" w:cs="Times New Roman"/>
          <w:sz w:val="24"/>
          <w:szCs w:val="24"/>
          <w:lang w:val="en-GB"/>
        </w:rPr>
        <w:t>demonstrated</w:t>
      </w:r>
      <w:r w:rsidR="00D21993" w:rsidRPr="00A71D55">
        <w:rPr>
          <w:rFonts w:ascii="Times New Roman" w:eastAsia="Times New Roman" w:hAnsi="Times New Roman" w:cs="Times New Roman"/>
          <w:sz w:val="24"/>
          <w:szCs w:val="24"/>
          <w:lang w:val="en-GB"/>
        </w:rPr>
        <w:t xml:space="preserve"> to </w:t>
      </w:r>
      <w:r w:rsidR="00F56BA5">
        <w:rPr>
          <w:rFonts w:ascii="Times New Roman" w:eastAsia="Times New Roman" w:hAnsi="Times New Roman" w:cs="Times New Roman"/>
          <w:sz w:val="24"/>
          <w:szCs w:val="24"/>
          <w:lang w:val="en-GB"/>
        </w:rPr>
        <w:t>affect</w:t>
      </w:r>
      <w:r w:rsidRPr="00A71D55">
        <w:rPr>
          <w:rFonts w:ascii="Times New Roman" w:eastAsia="Times New Roman" w:hAnsi="Times New Roman" w:cs="Times New Roman"/>
          <w:sz w:val="24"/>
          <w:szCs w:val="24"/>
          <w:lang w:val="en-GB"/>
        </w:rPr>
        <w:t xml:space="preserve"> human health </w:t>
      </w:r>
      <w:r w:rsidR="00F56BA5">
        <w:rPr>
          <w:rFonts w:ascii="Times New Roman" w:eastAsia="Times New Roman" w:hAnsi="Times New Roman" w:cs="Times New Roman"/>
          <w:sz w:val="24"/>
          <w:szCs w:val="24"/>
          <w:lang w:val="en-GB"/>
        </w:rPr>
        <w:t>being</w:t>
      </w:r>
      <w:r w:rsidRPr="00A71D55">
        <w:rPr>
          <w:rFonts w:ascii="Times New Roman" w:eastAsia="Times New Roman" w:hAnsi="Times New Roman" w:cs="Times New Roman"/>
          <w:sz w:val="24"/>
          <w:szCs w:val="24"/>
          <w:lang w:val="en-GB"/>
        </w:rPr>
        <w:t xml:space="preserve"> an endocrine-disrupting agent and nephrotoxic compound</w:t>
      </w:r>
      <w:r w:rsidR="00AD4750">
        <w:rPr>
          <w:rFonts w:ascii="Times New Roman" w:eastAsia="Times New Roman" w:hAnsi="Times New Roman" w:cs="Times New Roman"/>
          <w:sz w:val="24"/>
          <w:szCs w:val="24"/>
          <w:lang w:val="en-GB"/>
        </w:rPr>
        <w:t xml:space="preserve"> </w:t>
      </w:r>
      <w:r w:rsidR="00927AA2" w:rsidRPr="00A71D55">
        <w:rPr>
          <w:rFonts w:ascii="Times New Roman" w:eastAsia="Times New Roman" w:hAnsi="Times New Roman" w:cs="Times New Roman"/>
          <w:sz w:val="24"/>
          <w:szCs w:val="24"/>
          <w:lang w:val="en-GB"/>
        </w:rPr>
        <w:fldChar w:fldCharType="begin"/>
      </w:r>
      <w:r w:rsidR="00AB279D" w:rsidRPr="00A71D55">
        <w:rPr>
          <w:rFonts w:ascii="Times New Roman" w:eastAsia="Times New Roman" w:hAnsi="Times New Roman" w:cs="Times New Roman"/>
          <w:sz w:val="24"/>
          <w:szCs w:val="24"/>
          <w:lang w:val="en-GB"/>
        </w:rPr>
        <w:instrText xml:space="preserve"> ADDIN ZOTERO_ITEM CSL_CITATION {"citationID":"sQvImVj1","properties":{"formattedCitation":"(Dai et al., 2018)","plainCitation":"(Dai et al., 2018)","noteIndex":0},"citationItems":[{"id":136,"uris":["http://zotero.org/users/11450443/items/2W4ITRAC"],"itemData":{"id":136,"type":"article-journal","abstract":"Epoxy resins with high thermal and mechanical performance as well as good resistance to ﬁre are diﬃcult to synthesize. In this work, a high-performance intrinsically ﬂame-retardant epoxy resin (diglycidyl ether of daidzein (DGED)) was synthesized from renewable daidzein using an eﬃcient one-step process, without the addition of additional ﬂame retardants. The structure of DGED was conﬁrmed by Fourier transform infrared (FTIR), 1H NMR, and 13C NMR before it was cured with 4,4′diaminodiphenylmethane (DDM). A commercial diglycidyl ether of bisphenol A (DGEBA) was cured with the same curing agent. Results indicated that the cured DGED/DDM system possessed glass transition temperature (Tg) of up to 205 °C (172 °C for DGEBA/DDM), and tensile strength, tensile modulus, ﬂexural strength, and ﬂexural modulus of 83, 2972, 131, and 2980 MPa, respectively, all much higher than those of cured DGEBA/DDM. The cured DGED/DDM system demonstrated excellent ﬂame-retardant properties, showing a residual char of 42.9% at 800 °C, limiting oxygen index (LOI) of 31.6%, and ﬂammability rating of V-0 in UL94 test. This work provides us an eﬃcient method to prepare high-performance epoxy resin from renewable resource.","container-title":"ACS Sustainable Chemistry &amp; Engineering","DOI":"10.1021/acssuschemeng.8b00439","ISSN":"2168-0485, 2168-0485","issue":"6","journalAbbreviation":"ACS Sustainable Chem. Eng.","language":"en","page":"7589-7599","source":"DOI.org (Crossref)","title":"High-Performing and Fire-Resistant Biobased Epoxy Resin from Renewable Sources","volume":"6","author":[{"family":"Dai","given":"Jinyue"},{"family":"Peng","given":"Yunyan"},{"family":"Teng","given":"Na"},{"family":"Liu","given":"Yuan"},{"family":"Liu","given":"Chuanchuan"},{"family":"Shen","given":"Xiaobin"},{"family":"Mahmud","given":"Sakil"},{"family":"Zhu","given":"Jin"},{"family":"Liu","given":"Xiaoqing"}],"issued":{"date-parts":[["2018",6,4]]}}}],"schema":"https://github.com/citation-style-language/schema/raw/master/csl-citation.json"} </w:instrText>
      </w:r>
      <w:r w:rsidR="00927AA2" w:rsidRPr="00A71D55">
        <w:rPr>
          <w:rFonts w:ascii="Times New Roman" w:eastAsia="Times New Roman" w:hAnsi="Times New Roman" w:cs="Times New Roman"/>
          <w:sz w:val="24"/>
          <w:szCs w:val="24"/>
          <w:lang w:val="en-GB"/>
        </w:rPr>
        <w:fldChar w:fldCharType="separate"/>
      </w:r>
      <w:r w:rsidR="00AB279D" w:rsidRPr="00A71D55">
        <w:rPr>
          <w:rFonts w:ascii="Times New Roman" w:hAnsi="Times New Roman" w:cs="Times New Roman"/>
          <w:sz w:val="24"/>
          <w:lang w:val="en-GB"/>
        </w:rPr>
        <w:t>(Dai et al., 2018)</w:t>
      </w:r>
      <w:r w:rsidR="00927AA2" w:rsidRPr="00A71D55">
        <w:rPr>
          <w:rFonts w:ascii="Times New Roman" w:eastAsia="Times New Roman" w:hAnsi="Times New Roman" w:cs="Times New Roman"/>
          <w:sz w:val="24"/>
          <w:szCs w:val="24"/>
          <w:lang w:val="en-GB"/>
        </w:rPr>
        <w:fldChar w:fldCharType="end"/>
      </w:r>
      <w:r w:rsidR="00AD4750">
        <w:rPr>
          <w:rFonts w:ascii="Times New Roman" w:eastAsia="Times New Roman" w:hAnsi="Times New Roman" w:cs="Times New Roman"/>
          <w:sz w:val="24"/>
          <w:szCs w:val="24"/>
          <w:lang w:val="en-GB"/>
        </w:rPr>
        <w:t>.</w:t>
      </w:r>
      <w:r w:rsidRPr="00A71D55">
        <w:rPr>
          <w:rFonts w:ascii="Times New Roman" w:eastAsia="Times New Roman" w:hAnsi="Times New Roman" w:cs="Times New Roman"/>
          <w:sz w:val="24"/>
          <w:szCs w:val="24"/>
          <w:lang w:val="en-GB"/>
        </w:rPr>
        <w:t xml:space="preserve"> </w:t>
      </w:r>
      <w:r w:rsidR="00AC6AB9" w:rsidRPr="00A71D55">
        <w:rPr>
          <w:rFonts w:ascii="Times New Roman" w:eastAsia="Times New Roman" w:hAnsi="Times New Roman" w:cs="Times New Roman"/>
          <w:sz w:val="24"/>
          <w:szCs w:val="24"/>
          <w:lang w:val="en-GB"/>
        </w:rPr>
        <w:t>Furthermore, DGEBA is still produced via chlorine-based chemistry employing epichlorohydrin, a well</w:t>
      </w:r>
      <w:r w:rsidR="00AC6AB9" w:rsidRPr="00A505AF">
        <w:rPr>
          <w:rFonts w:ascii="Times New Roman" w:eastAsia="Times New Roman" w:hAnsi="Times New Roman" w:cs="Times New Roman"/>
          <w:sz w:val="24"/>
          <w:szCs w:val="24"/>
        </w:rPr>
        <w:t>-known carcinogenic, mutagenic, reprotoxic, and endocrine disruptor</w:t>
      </w:r>
      <w:r w:rsidR="004F63CA">
        <w:rPr>
          <w:rFonts w:ascii="Times New Roman" w:eastAsia="Times New Roman" w:hAnsi="Times New Roman" w:cs="Times New Roman"/>
          <w:sz w:val="24"/>
          <w:szCs w:val="24"/>
        </w:rPr>
        <w:t xml:space="preserve"> (Scheme 1)</w:t>
      </w:r>
      <w:r w:rsidR="00AC6AB9" w:rsidRPr="00A505AF">
        <w:rPr>
          <w:rFonts w:ascii="Times New Roman" w:eastAsia="Times New Roman" w:hAnsi="Times New Roman" w:cs="Times New Roman"/>
          <w:sz w:val="24"/>
          <w:szCs w:val="24"/>
        </w:rPr>
        <w:t>.</w:t>
      </w:r>
      <w:r w:rsidR="00E456ED">
        <w:rPr>
          <w:rFonts w:ascii="Times New Roman" w:eastAsia="Times New Roman" w:hAnsi="Times New Roman" w:cs="Times New Roman"/>
          <w:sz w:val="24"/>
          <w:szCs w:val="24"/>
        </w:rPr>
        <w:t xml:space="preserve"> </w:t>
      </w:r>
      <w:r w:rsidRPr="00A505AF">
        <w:rPr>
          <w:rFonts w:ascii="Times New Roman" w:eastAsia="Times New Roman" w:hAnsi="Times New Roman" w:cs="Times New Roman"/>
          <w:sz w:val="24"/>
          <w:szCs w:val="24"/>
        </w:rPr>
        <w:t>It</w:t>
      </w:r>
      <w:r w:rsidR="004F63CA">
        <w:rPr>
          <w:rFonts w:ascii="Times New Roman" w:eastAsia="Times New Roman" w:hAnsi="Times New Roman" w:cs="Times New Roman"/>
          <w:sz w:val="24"/>
          <w:szCs w:val="24"/>
        </w:rPr>
        <w:t xml:space="preserve"> is</w:t>
      </w:r>
      <w:r w:rsidRPr="00A505AF">
        <w:rPr>
          <w:rFonts w:ascii="Times New Roman" w:eastAsia="Times New Roman" w:hAnsi="Times New Roman" w:cs="Times New Roman"/>
          <w:sz w:val="24"/>
          <w:szCs w:val="24"/>
        </w:rPr>
        <w:t xml:space="preserve"> </w:t>
      </w:r>
      <w:r w:rsidR="00217812" w:rsidRPr="00A505AF">
        <w:rPr>
          <w:rFonts w:ascii="Times New Roman" w:eastAsia="Times New Roman" w:hAnsi="Times New Roman" w:cs="Times New Roman"/>
          <w:sz w:val="24"/>
          <w:szCs w:val="24"/>
        </w:rPr>
        <w:t xml:space="preserve">also </w:t>
      </w:r>
      <w:r w:rsidRPr="00A505AF">
        <w:rPr>
          <w:rFonts w:ascii="Times New Roman" w:eastAsia="Times New Roman" w:hAnsi="Times New Roman" w:cs="Times New Roman"/>
          <w:sz w:val="24"/>
          <w:szCs w:val="24"/>
        </w:rPr>
        <w:t>worth noting that epoxy thermosets are very susceptible to hydrolysis, which can increase the risk of human exposure</w:t>
      </w:r>
      <w:r w:rsidR="00AD4750">
        <w:rPr>
          <w:rFonts w:ascii="Times New Roman" w:eastAsia="Times New Roman" w:hAnsi="Times New Roman" w:cs="Times New Roman"/>
          <w:sz w:val="24"/>
          <w:szCs w:val="24"/>
        </w:rPr>
        <w:t xml:space="preserve"> </w:t>
      </w:r>
      <w:r w:rsidR="00927AA2">
        <w:rPr>
          <w:rFonts w:ascii="Times New Roman" w:eastAsia="Times New Roman" w:hAnsi="Times New Roman" w:cs="Times New Roman"/>
          <w:sz w:val="24"/>
          <w:szCs w:val="24"/>
        </w:rPr>
        <w:fldChar w:fldCharType="begin"/>
      </w:r>
      <w:r w:rsidR="00AB279D">
        <w:rPr>
          <w:rFonts w:ascii="Times New Roman" w:eastAsia="Times New Roman" w:hAnsi="Times New Roman" w:cs="Times New Roman"/>
          <w:sz w:val="24"/>
          <w:szCs w:val="24"/>
        </w:rPr>
        <w:instrText xml:space="preserve"> ADDIN ZOTERO_ITEM CSL_CITATION {"citationID":"TuYJ1fva","properties":{"formattedCitation":"(Ng et al., 2017)","plainCitation":"(Ng et al., 2017)","noteIndex":0},"citationItems":[{"id":123,"uris":["http://zotero.org/users/11450443/items/MPIQN6HB"],"itemData":{"id":123,"type":"article-journal","abstract":"The synthesis of polymers from renewable resources is a burning issue that is actively investigated. Polyepoxide networks constitute a major class of thermosetting polymers and are extensively used as coatings, electronic materials, adhesives. Owing to their outstanding mechanical and electrical properties, chemical resistance, adhesion, and minimal shrinkage after curing, they are used in structural applications as well. Most of these thermosets are industrially manufactured from bisphenol A (BPA), a substance that was initially synthesized as a chemical estrogen. The awareness on BPA toxicity combined with the limited availability and volatile cost of fossil resources and the non-recyclability of thermosets implies necessary changes in the ﬁeld of epoxy networks. Thus, substitution of BPA has witnessed an increasing number of studies both from the academic and industrial sides. This review proposes to give an overview of the reported aromatic multifunctional epoxide building blocks synthesized from biomass or from molecules that could be obtained from transformed biomass. After a reminder of the main glycidylation routes and mechanisms and the recent knowledge on BPA toxicity and legal issues, this review will provide a brief description of the main natural sources of aromatic molecules. The different epoxy prepolymers will then be organized from simple, mono-aromatic di-epoxy, to mono-aromatic poly-epoxy, to di-aromatic di-epoxy compounds, and ﬁnally to derivatives possessing numerous aromatic rings and epoxy groups.","container-title":"Molecules","DOI":"10.3390/molecules22010149","ISSN":"1420-3049","issue":"1","journalAbbreviation":"Molecules","language":"en","page":"149","source":"DOI.org (Crossref)","title":"Bio-Based Aromatic Epoxy Monomers for Thermoset Materials","volume":"22","author":[{"family":"Ng","given":"Feifei"},{"family":"Couture","given":"Guillaume"},{"family":"Philippe","given":"Coralie"},{"family":"Boutevin","given":"Bernard"},{"family":"Caillol","given":"Sylvain"}],"issued":{"date-parts":[["2017",1,18]]}}}],"schema":"https://github.com/citation-style-language/schema/raw/master/csl-citation.json"} </w:instrText>
      </w:r>
      <w:r w:rsidR="00927AA2">
        <w:rPr>
          <w:rFonts w:ascii="Times New Roman" w:eastAsia="Times New Roman" w:hAnsi="Times New Roman" w:cs="Times New Roman"/>
          <w:sz w:val="24"/>
          <w:szCs w:val="24"/>
        </w:rPr>
        <w:fldChar w:fldCharType="separate"/>
      </w:r>
      <w:r w:rsidR="00AB279D" w:rsidRPr="00AB279D">
        <w:rPr>
          <w:rFonts w:ascii="Times New Roman" w:hAnsi="Times New Roman" w:cs="Times New Roman"/>
          <w:sz w:val="24"/>
        </w:rPr>
        <w:t>(Ng et al., 2017)</w:t>
      </w:r>
      <w:r w:rsidR="00927AA2">
        <w:rPr>
          <w:rFonts w:ascii="Times New Roman" w:eastAsia="Times New Roman" w:hAnsi="Times New Roman" w:cs="Times New Roman"/>
          <w:sz w:val="24"/>
          <w:szCs w:val="24"/>
        </w:rPr>
        <w:fldChar w:fldCharType="end"/>
      </w:r>
      <w:r w:rsidR="00AD4750">
        <w:rPr>
          <w:rFonts w:ascii="Times New Roman" w:eastAsia="Times New Roman" w:hAnsi="Times New Roman" w:cs="Times New Roman"/>
          <w:sz w:val="24"/>
          <w:szCs w:val="24"/>
        </w:rPr>
        <w:t>.</w:t>
      </w:r>
    </w:p>
    <w:p w14:paraId="6CDFB3CD" w14:textId="4E439475" w:rsidR="00167739" w:rsidRPr="00A505AF" w:rsidRDefault="007F04B8" w:rsidP="00A71D55">
      <w:pPr>
        <w:spacing w:after="0" w:line="480" w:lineRule="auto"/>
        <w:jc w:val="both"/>
        <w:rPr>
          <w:rFonts w:ascii="Times New Roman" w:eastAsia="Times New Roman" w:hAnsi="Times New Roman" w:cs="Times New Roman"/>
          <w:sz w:val="24"/>
          <w:szCs w:val="24"/>
        </w:rPr>
      </w:pPr>
      <w:r w:rsidRPr="00A505AF">
        <w:rPr>
          <w:rFonts w:ascii="Times New Roman" w:eastAsia="Times New Roman" w:hAnsi="Times New Roman" w:cs="Times New Roman"/>
          <w:sz w:val="24"/>
          <w:szCs w:val="24"/>
        </w:rPr>
        <w:t xml:space="preserve">Due to these concerns, many </w:t>
      </w:r>
      <w:r w:rsidR="00A71D55">
        <w:rPr>
          <w:rFonts w:ascii="Times New Roman" w:eastAsia="Times New Roman" w:hAnsi="Times New Roman" w:cs="Times New Roman"/>
          <w:sz w:val="24"/>
          <w:szCs w:val="24"/>
        </w:rPr>
        <w:t>E</w:t>
      </w:r>
      <w:r w:rsidR="00A71D55" w:rsidRPr="00A505AF">
        <w:rPr>
          <w:rFonts w:ascii="Times New Roman" w:eastAsia="Times New Roman" w:hAnsi="Times New Roman" w:cs="Times New Roman"/>
          <w:sz w:val="24"/>
          <w:szCs w:val="24"/>
        </w:rPr>
        <w:t>uropean</w:t>
      </w:r>
      <w:r w:rsidRPr="00A505AF">
        <w:rPr>
          <w:rFonts w:ascii="Times New Roman" w:eastAsia="Times New Roman" w:hAnsi="Times New Roman" w:cs="Times New Roman"/>
          <w:sz w:val="24"/>
          <w:szCs w:val="24"/>
        </w:rPr>
        <w:t xml:space="preserve"> countries have implemented stricter regulations on BPA-based products</w:t>
      </w:r>
      <w:r w:rsidR="00AD4750">
        <w:rPr>
          <w:rFonts w:ascii="Times New Roman" w:eastAsia="Times New Roman" w:hAnsi="Times New Roman" w:cs="Times New Roman"/>
          <w:sz w:val="24"/>
          <w:szCs w:val="24"/>
        </w:rPr>
        <w:t xml:space="preserve"> </w:t>
      </w:r>
      <w:r w:rsidR="00927AA2">
        <w:rPr>
          <w:rFonts w:ascii="Times New Roman" w:eastAsia="Times New Roman" w:hAnsi="Times New Roman" w:cs="Times New Roman"/>
          <w:sz w:val="24"/>
          <w:szCs w:val="24"/>
        </w:rPr>
        <w:fldChar w:fldCharType="begin"/>
      </w:r>
      <w:r w:rsidR="00AB279D">
        <w:rPr>
          <w:rFonts w:ascii="Times New Roman" w:eastAsia="Times New Roman" w:hAnsi="Times New Roman" w:cs="Times New Roman"/>
          <w:sz w:val="24"/>
          <w:szCs w:val="24"/>
        </w:rPr>
        <w:instrText xml:space="preserve"> ADDIN ZOTERO_ITEM CSL_CITATION {"citationID":"I1rkx051","properties":{"formattedCitation":"(Dai et al., 2018)","plainCitation":"(Dai et al., 2018)","noteIndex":0},"citationItems":[{"id":136,"uris":["http://zotero.org/users/11450443/items/2W4ITRAC"],"itemData":{"id":136,"type":"article-journal","abstract":"Epoxy resins with high thermal and mechanical performance as well as good resistance to ﬁre are diﬃcult to synthesize. In this work, a high-performance intrinsically ﬂame-retardant epoxy resin (diglycidyl ether of daidzein (DGED)) was synthesized from renewable daidzein using an eﬃcient one-step process, without the addition of additional ﬂame retardants. The structure of DGED was conﬁrmed by Fourier transform infrared (FTIR), 1H NMR, and 13C NMR before it was cured with 4,4′diaminodiphenylmethane (DDM). A commercial diglycidyl ether of bisphenol A (DGEBA) was cured with the same curing agent. Results indicated that the cured DGED/DDM system possessed glass transition temperature (Tg) of up to 205 °C (172 °C for DGEBA/DDM), and tensile strength, tensile modulus, ﬂexural strength, and ﬂexural modulus of 83, 2972, 131, and 2980 MPa, respectively, all much higher than those of cured DGEBA/DDM. The cured DGED/DDM system demonstrated excellent ﬂame-retardant properties, showing a residual char of 42.9% at 800 °C, limiting oxygen index (LOI) of 31.6%, and ﬂammability rating of V-0 in UL94 test. This work provides us an eﬃcient method to prepare high-performance epoxy resin from renewable resource.","container-title":"ACS Sustainable Chemistry &amp; Engineering","DOI":"10.1021/acssuschemeng.8b00439","ISSN":"2168-0485, 2168-0485","issue":"6","journalAbbreviation":"ACS Sustainable Chem. Eng.","language":"en","page":"7589-7599","source":"DOI.org (Crossref)","title":"High-Performing and Fire-Resistant Biobased Epoxy Resin from Renewable Sources","volume":"6","author":[{"family":"Dai","given":"Jinyue"},{"family":"Peng","given":"Yunyan"},{"family":"Teng","given":"Na"},{"family":"Liu","given":"Yuan"},{"family":"Liu","given":"Chuanchuan"},{"family":"Shen","given":"Xiaobin"},{"family":"Mahmud","given":"Sakil"},{"family":"Zhu","given":"Jin"},{"family":"Liu","given":"Xiaoqing"}],"issued":{"date-parts":[["2018",6,4]]}}}],"schema":"https://github.com/citation-style-language/schema/raw/master/csl-citation.json"} </w:instrText>
      </w:r>
      <w:r w:rsidR="00927AA2">
        <w:rPr>
          <w:rFonts w:ascii="Times New Roman" w:eastAsia="Times New Roman" w:hAnsi="Times New Roman" w:cs="Times New Roman"/>
          <w:sz w:val="24"/>
          <w:szCs w:val="24"/>
        </w:rPr>
        <w:fldChar w:fldCharType="separate"/>
      </w:r>
      <w:r w:rsidR="00AB279D" w:rsidRPr="00AB279D">
        <w:rPr>
          <w:rFonts w:ascii="Times New Roman" w:hAnsi="Times New Roman" w:cs="Times New Roman"/>
          <w:sz w:val="24"/>
        </w:rPr>
        <w:t>(Dai et al., 2018)</w:t>
      </w:r>
      <w:r w:rsidR="00927AA2">
        <w:rPr>
          <w:rFonts w:ascii="Times New Roman" w:eastAsia="Times New Roman" w:hAnsi="Times New Roman" w:cs="Times New Roman"/>
          <w:sz w:val="24"/>
          <w:szCs w:val="24"/>
        </w:rPr>
        <w:fldChar w:fldCharType="end"/>
      </w:r>
      <w:r w:rsidR="00AD4750">
        <w:rPr>
          <w:rFonts w:ascii="Times New Roman" w:eastAsia="Times New Roman" w:hAnsi="Times New Roman" w:cs="Times New Roman"/>
          <w:sz w:val="24"/>
          <w:szCs w:val="24"/>
        </w:rPr>
        <w:t>.</w:t>
      </w:r>
      <w:r w:rsidRPr="00A505AF">
        <w:rPr>
          <w:rFonts w:ascii="Times New Roman" w:eastAsia="Times New Roman" w:hAnsi="Times New Roman" w:cs="Times New Roman"/>
          <w:sz w:val="24"/>
          <w:szCs w:val="24"/>
        </w:rPr>
        <w:t xml:space="preserve"> The scientific community is actively exploring alternative sources for producing epoxy resins that provide similar or </w:t>
      </w:r>
      <w:r w:rsidR="00D6458F" w:rsidRPr="00A505AF">
        <w:rPr>
          <w:rFonts w:ascii="Times New Roman" w:eastAsia="Times New Roman" w:hAnsi="Times New Roman" w:cs="Times New Roman"/>
          <w:sz w:val="24"/>
          <w:szCs w:val="24"/>
        </w:rPr>
        <w:t>superior</w:t>
      </w:r>
      <w:r w:rsidRPr="00A505AF">
        <w:rPr>
          <w:rFonts w:ascii="Times New Roman" w:eastAsia="Times New Roman" w:hAnsi="Times New Roman" w:cs="Times New Roman"/>
          <w:sz w:val="24"/>
          <w:szCs w:val="24"/>
        </w:rPr>
        <w:t xml:space="preserve"> properties compared to BPA, while improving their safety both on </w:t>
      </w:r>
      <w:r w:rsidR="00D6458F">
        <w:rPr>
          <w:rFonts w:ascii="Times New Roman" w:eastAsia="Times New Roman" w:hAnsi="Times New Roman" w:cs="Times New Roman"/>
          <w:sz w:val="24"/>
          <w:szCs w:val="24"/>
        </w:rPr>
        <w:t xml:space="preserve">the </w:t>
      </w:r>
      <w:r w:rsidRPr="00A505AF">
        <w:rPr>
          <w:rFonts w:ascii="Times New Roman" w:eastAsia="Times New Roman" w:hAnsi="Times New Roman" w:cs="Times New Roman"/>
          <w:sz w:val="24"/>
          <w:szCs w:val="24"/>
        </w:rPr>
        <w:t xml:space="preserve">environment and human </w:t>
      </w:r>
      <w:r w:rsidR="00D6458F">
        <w:rPr>
          <w:rFonts w:ascii="Times New Roman" w:eastAsia="Times New Roman" w:hAnsi="Times New Roman" w:cs="Times New Roman"/>
          <w:sz w:val="24"/>
          <w:szCs w:val="24"/>
        </w:rPr>
        <w:t>health</w:t>
      </w:r>
      <w:r w:rsidRPr="00A505AF">
        <w:rPr>
          <w:rFonts w:ascii="Times New Roman" w:eastAsia="Times New Roman" w:hAnsi="Times New Roman" w:cs="Times New Roman"/>
          <w:sz w:val="24"/>
          <w:szCs w:val="24"/>
        </w:rPr>
        <w:t xml:space="preserve">. </w:t>
      </w:r>
    </w:p>
    <w:p w14:paraId="689ED6B2" w14:textId="17F3FB85" w:rsidR="007F04B8" w:rsidRPr="00A505AF" w:rsidRDefault="007F04B8" w:rsidP="00E379DC">
      <w:pPr>
        <w:spacing w:line="480" w:lineRule="auto"/>
        <w:jc w:val="both"/>
        <w:rPr>
          <w:rFonts w:ascii="Times New Roman" w:eastAsia="Times New Roman" w:hAnsi="Times New Roman" w:cs="Times New Roman"/>
          <w:sz w:val="24"/>
          <w:szCs w:val="24"/>
        </w:rPr>
      </w:pPr>
      <w:r w:rsidRPr="00A505AF">
        <w:rPr>
          <w:rFonts w:ascii="Times New Roman" w:eastAsia="Times New Roman" w:hAnsi="Times New Roman" w:cs="Times New Roman"/>
          <w:sz w:val="24"/>
          <w:szCs w:val="24"/>
        </w:rPr>
        <w:t xml:space="preserve">Over the years, researchers have explored various natural </w:t>
      </w:r>
      <w:r w:rsidR="009821F2">
        <w:rPr>
          <w:rFonts w:ascii="Times New Roman" w:eastAsia="Times New Roman" w:hAnsi="Times New Roman" w:cs="Times New Roman"/>
          <w:sz w:val="24"/>
          <w:szCs w:val="24"/>
        </w:rPr>
        <w:t>re</w:t>
      </w:r>
      <w:r w:rsidRPr="00A505AF">
        <w:rPr>
          <w:rFonts w:ascii="Times New Roman" w:eastAsia="Times New Roman" w:hAnsi="Times New Roman" w:cs="Times New Roman"/>
          <w:sz w:val="24"/>
          <w:szCs w:val="24"/>
        </w:rPr>
        <w:t>sources for synthesizing epoxy resins. Among them, vegetable oils</w:t>
      </w:r>
      <w:r w:rsidR="00AD4750">
        <w:rPr>
          <w:rFonts w:ascii="Times New Roman" w:eastAsia="Times New Roman" w:hAnsi="Times New Roman" w:cs="Times New Roman"/>
          <w:sz w:val="24"/>
          <w:szCs w:val="24"/>
        </w:rPr>
        <w:t xml:space="preserve"> </w:t>
      </w:r>
      <w:r w:rsidR="00927AA2">
        <w:rPr>
          <w:rFonts w:ascii="Times New Roman" w:eastAsia="Times New Roman" w:hAnsi="Times New Roman" w:cs="Times New Roman"/>
          <w:sz w:val="24"/>
          <w:szCs w:val="24"/>
        </w:rPr>
        <w:fldChar w:fldCharType="begin"/>
      </w:r>
      <w:r w:rsidR="00AB279D">
        <w:rPr>
          <w:rFonts w:ascii="Times New Roman" w:eastAsia="Times New Roman" w:hAnsi="Times New Roman" w:cs="Times New Roman"/>
          <w:sz w:val="24"/>
          <w:szCs w:val="24"/>
        </w:rPr>
        <w:instrText xml:space="preserve"> ADDIN ZOTERO_ITEM CSL_CITATION {"citationID":"FXV2hAoA","properties":{"formattedCitation":"(Biermann et al., 2000; Meier et al., 2007)","plainCitation":"(Biermann et al., 2000; Meier et al., 2007)","noteIndex":0},"citationItems":[{"id":138,"uris":["http://zotero.org/users/11450443/items/KLTDPGJ3"],"itemData":{"id":138,"type":"article-journal","container-title":"Angewandte Chemie International Edition","DOI":"10.1002/1521-3773(20000703)39:13&lt;2206::AID-ANIE2206&gt;3.0.CO;2-P","ISSN":"1433-7851, 1521-3773","issue":"13","journalAbbreviation":"Angew. Chem. Int. Ed.","language":"en","page":"2206-2224","source":"DOI.org (Crossref)","title":"New Syntheses with Oils and Fats as Renewable Raw Materials for the Chemical Industry","volume":"39","author":[{"family":"Biermann","given":"Ursula"},{"family":"Friedt","given":"Wolfgang"},{"family":"Lang","given":"Siegmund"},{"family":"Lühs","given":"Wilfried"},{"family":"Machmüller","given":"Guido"},{"family":"Metzger","given":"Jürgen O."},{"family":"Rüsch Gen. Klaas","given":"Mark"},{"family":"Schäfer","given":"Hans J."},{"family":"Schneider","given":"Manfred P."}],"issued":{"date-parts":[["2000",7,3]]}}},{"id":140,"uris":["http://zotero.org/users/11450443/items/LJNPELAG"],"itemData":{"id":140,"type":"article-journal","container-title":"Chemical Society Reviews","DOI":"10.1039/b703294c","ISSN":"0306-0012, 1460-4744","issue":"11","journalAbbreviation":"Chem. Soc. Rev.","language":"en","page":"1788","source":"DOI.org (Crossref)","title":"Plant oil renewable resources as green alternatives in polymer science","volume":"36","author":[{"family":"Meier","given":"Michael A. R."},{"family":"Metzger","given":"Jürgen O."},{"family":"Schubert","given":"Ulrich S."}],"issued":{"date-parts":[["2007"]]}}}],"schema":"https://github.com/citation-style-language/schema/raw/master/csl-citation.json"} </w:instrText>
      </w:r>
      <w:r w:rsidR="00927AA2">
        <w:rPr>
          <w:rFonts w:ascii="Times New Roman" w:eastAsia="Times New Roman" w:hAnsi="Times New Roman" w:cs="Times New Roman"/>
          <w:sz w:val="24"/>
          <w:szCs w:val="24"/>
        </w:rPr>
        <w:fldChar w:fldCharType="separate"/>
      </w:r>
      <w:r w:rsidR="00AB279D" w:rsidRPr="00AB279D">
        <w:rPr>
          <w:rFonts w:ascii="Times New Roman" w:hAnsi="Times New Roman" w:cs="Times New Roman"/>
          <w:sz w:val="24"/>
        </w:rPr>
        <w:t>(Biermann et al., 2000; Meier et al., 2007)</w:t>
      </w:r>
      <w:r w:rsidR="00927AA2">
        <w:rPr>
          <w:rFonts w:ascii="Times New Roman" w:eastAsia="Times New Roman" w:hAnsi="Times New Roman" w:cs="Times New Roman"/>
          <w:sz w:val="24"/>
          <w:szCs w:val="24"/>
        </w:rPr>
        <w:fldChar w:fldCharType="end"/>
      </w:r>
      <w:r w:rsidR="00E379DC">
        <w:rPr>
          <w:rFonts w:ascii="Times New Roman" w:eastAsia="Times New Roman" w:hAnsi="Times New Roman" w:cs="Times New Roman"/>
          <w:sz w:val="24"/>
          <w:szCs w:val="24"/>
        </w:rPr>
        <w:t xml:space="preserve"> </w:t>
      </w:r>
      <w:r w:rsidRPr="00A505AF">
        <w:rPr>
          <w:rFonts w:ascii="Times New Roman" w:eastAsia="Times New Roman" w:hAnsi="Times New Roman" w:cs="Times New Roman"/>
          <w:sz w:val="24"/>
          <w:szCs w:val="24"/>
        </w:rPr>
        <w:t>and modified cardanol</w:t>
      </w:r>
      <w:r w:rsidR="00AD4750">
        <w:rPr>
          <w:rFonts w:ascii="Times New Roman" w:eastAsia="Times New Roman" w:hAnsi="Times New Roman" w:cs="Times New Roman"/>
          <w:sz w:val="24"/>
          <w:szCs w:val="24"/>
        </w:rPr>
        <w:t xml:space="preserve"> </w:t>
      </w:r>
      <w:r w:rsidR="00927AA2">
        <w:rPr>
          <w:rFonts w:ascii="Times New Roman" w:eastAsia="Times New Roman" w:hAnsi="Times New Roman" w:cs="Times New Roman"/>
          <w:sz w:val="24"/>
          <w:szCs w:val="24"/>
        </w:rPr>
        <w:fldChar w:fldCharType="begin"/>
      </w:r>
      <w:r w:rsidR="00AB279D">
        <w:rPr>
          <w:rFonts w:ascii="Times New Roman" w:eastAsia="Times New Roman" w:hAnsi="Times New Roman" w:cs="Times New Roman"/>
          <w:sz w:val="24"/>
          <w:szCs w:val="24"/>
        </w:rPr>
        <w:instrText xml:space="preserve"> ADDIN ZOTERO_ITEM CSL_CITATION {"citationID":"vzVzKQ17","properties":{"formattedCitation":"(Voirin et al., 2014)","plainCitation":"(Voirin et al., 2014)","noteIndex":0},"citationItems":[{"id":142,"uris":["http://zotero.org/users/11450443/items/F7KW8FCX"],"itemData":{"id":142,"type":"article-journal","container-title":"Polym. Chem.","DOI":"10.1039/C3PY01194A","ISSN":"1759-9954, 1759-9962","issue":"9","journalAbbreviation":"Polym. Chem.","language":"en","page":"3142-3162","source":"DOI.org (Crossref)","title":"Functionalization of cardanol: towards biobased polymers and additives","title-short":"Functionalization of cardanol","volume":"5","author":[{"family":"Voirin","given":"Coline"},{"family":"Caillol","given":"Sylvain"},{"family":"Sadavarte","given":"Nilakshi V."},{"family":"Tawade","given":"Bhausaheb V."},{"family":"Boutevin","given":"Bernard"},{"family":"Wadgaonkar","given":"Prakash P."}],"issued":{"date-parts":[["2014"]]}}}],"schema":"https://github.com/citation-style-language/schema/raw/master/csl-citation.json"} </w:instrText>
      </w:r>
      <w:r w:rsidR="00927AA2">
        <w:rPr>
          <w:rFonts w:ascii="Times New Roman" w:eastAsia="Times New Roman" w:hAnsi="Times New Roman" w:cs="Times New Roman"/>
          <w:sz w:val="24"/>
          <w:szCs w:val="24"/>
        </w:rPr>
        <w:fldChar w:fldCharType="separate"/>
      </w:r>
      <w:r w:rsidR="00AB279D" w:rsidRPr="00AB279D">
        <w:rPr>
          <w:rFonts w:ascii="Times New Roman" w:hAnsi="Times New Roman" w:cs="Times New Roman"/>
          <w:sz w:val="24"/>
        </w:rPr>
        <w:t>(Voirin et al., 2014)</w:t>
      </w:r>
      <w:r w:rsidR="00927AA2">
        <w:rPr>
          <w:rFonts w:ascii="Times New Roman" w:eastAsia="Times New Roman" w:hAnsi="Times New Roman" w:cs="Times New Roman"/>
          <w:sz w:val="24"/>
          <w:szCs w:val="24"/>
        </w:rPr>
        <w:fldChar w:fldCharType="end"/>
      </w:r>
      <w:r w:rsidR="00351E5A">
        <w:rPr>
          <w:rFonts w:ascii="Times New Roman" w:eastAsia="Times New Roman" w:hAnsi="Times New Roman" w:cs="Times New Roman"/>
          <w:sz w:val="24"/>
          <w:szCs w:val="24"/>
        </w:rPr>
        <w:t xml:space="preserve"> </w:t>
      </w:r>
      <w:r w:rsidRPr="00A505AF">
        <w:rPr>
          <w:rFonts w:ascii="Times New Roman" w:eastAsia="Times New Roman" w:hAnsi="Times New Roman" w:cs="Times New Roman"/>
          <w:sz w:val="24"/>
          <w:szCs w:val="24"/>
        </w:rPr>
        <w:t xml:space="preserve">are the most extensively </w:t>
      </w:r>
      <w:r w:rsidR="00D21993">
        <w:rPr>
          <w:rFonts w:ascii="Times New Roman" w:eastAsia="Times New Roman" w:hAnsi="Times New Roman" w:cs="Times New Roman"/>
          <w:sz w:val="24"/>
          <w:szCs w:val="24"/>
        </w:rPr>
        <w:t>investigated</w:t>
      </w:r>
      <w:r w:rsidRPr="00A505AF">
        <w:rPr>
          <w:rFonts w:ascii="Times New Roman" w:eastAsia="Times New Roman" w:hAnsi="Times New Roman" w:cs="Times New Roman"/>
          <w:sz w:val="24"/>
          <w:szCs w:val="24"/>
        </w:rPr>
        <w:t xml:space="preserve"> </w:t>
      </w:r>
      <w:r w:rsidR="00D6458F">
        <w:rPr>
          <w:rFonts w:ascii="Times New Roman" w:eastAsia="Times New Roman" w:hAnsi="Times New Roman" w:cs="Times New Roman"/>
          <w:sz w:val="24"/>
          <w:szCs w:val="24"/>
        </w:rPr>
        <w:t xml:space="preserve">ones </w:t>
      </w:r>
      <w:r w:rsidRPr="00A505AF">
        <w:rPr>
          <w:rFonts w:ascii="Times New Roman" w:eastAsia="Times New Roman" w:hAnsi="Times New Roman" w:cs="Times New Roman"/>
          <w:sz w:val="24"/>
          <w:szCs w:val="24"/>
        </w:rPr>
        <w:t xml:space="preserve">due to their availability, low cost, and desirable characteristics. The </w:t>
      </w:r>
      <w:r w:rsidR="00353595" w:rsidRPr="00A505AF">
        <w:rPr>
          <w:rFonts w:ascii="Times New Roman" w:eastAsia="Times New Roman" w:hAnsi="Times New Roman" w:cs="Times New Roman"/>
          <w:sz w:val="24"/>
          <w:szCs w:val="24"/>
        </w:rPr>
        <w:t xml:space="preserve">resulting epoxy resins prepared using these long aliphatic chains </w:t>
      </w:r>
      <w:r w:rsidRPr="00A505AF">
        <w:rPr>
          <w:rFonts w:ascii="Times New Roman" w:eastAsia="Times New Roman" w:hAnsi="Times New Roman" w:cs="Times New Roman"/>
          <w:sz w:val="24"/>
          <w:szCs w:val="24"/>
        </w:rPr>
        <w:t xml:space="preserve">either alone or with aromatic co-monomers, have </w:t>
      </w:r>
      <w:r w:rsidR="00353595" w:rsidRPr="00A505AF">
        <w:rPr>
          <w:rFonts w:ascii="Times New Roman" w:eastAsia="Times New Roman" w:hAnsi="Times New Roman" w:cs="Times New Roman"/>
          <w:sz w:val="24"/>
          <w:szCs w:val="24"/>
        </w:rPr>
        <w:t>demonstrated to be promising materials</w:t>
      </w:r>
      <w:r w:rsidRPr="00A505AF">
        <w:rPr>
          <w:rFonts w:ascii="Times New Roman" w:eastAsia="Times New Roman" w:hAnsi="Times New Roman" w:cs="Times New Roman"/>
          <w:sz w:val="24"/>
          <w:szCs w:val="24"/>
        </w:rPr>
        <w:t xml:space="preserve">. However, </w:t>
      </w:r>
      <w:r w:rsidR="00C91460" w:rsidRPr="00C91460">
        <w:rPr>
          <w:rFonts w:ascii="Times New Roman" w:eastAsia="Times New Roman" w:hAnsi="Times New Roman" w:cs="Times New Roman"/>
          <w:sz w:val="24"/>
          <w:szCs w:val="24"/>
        </w:rPr>
        <w:t>to attain thermal and mechanical properties similar to those of BPA-based materials, the incorporation of aromatic moieties is required</w:t>
      </w:r>
      <w:r w:rsidR="00AD4750">
        <w:rPr>
          <w:rFonts w:ascii="Times New Roman" w:eastAsia="Times New Roman" w:hAnsi="Times New Roman" w:cs="Times New Roman"/>
          <w:sz w:val="24"/>
          <w:szCs w:val="24"/>
        </w:rPr>
        <w:t xml:space="preserve"> </w:t>
      </w:r>
      <w:r w:rsidR="00AD4750">
        <w:rPr>
          <w:rFonts w:ascii="Times New Roman" w:eastAsia="Times New Roman" w:hAnsi="Times New Roman" w:cs="Times New Roman"/>
          <w:sz w:val="24"/>
          <w:szCs w:val="24"/>
        </w:rPr>
        <w:fldChar w:fldCharType="begin"/>
      </w:r>
      <w:r w:rsidR="00AD4750">
        <w:rPr>
          <w:rFonts w:ascii="Times New Roman" w:eastAsia="Times New Roman" w:hAnsi="Times New Roman" w:cs="Times New Roman"/>
          <w:sz w:val="24"/>
          <w:szCs w:val="24"/>
        </w:rPr>
        <w:instrText xml:space="preserve"> ADDIN ZOTERO_ITEM CSL_CITATION {"citationID":"yDoTdaNA","properties":{"formattedCitation":"(Ng et al., 2017)","plainCitation":"(Ng et al., 2017)","noteIndex":0},"citationItems":[{"id":123,"uris":["http://zotero.org/users/11450443/items/MPIQN6HB"],"itemData":{"id":123,"type":"article-journal","abstract":"The synthesis of polymers from renewable resources is a burning issue that is actively investigated. Polyepoxide networks constitute a major class of thermosetting polymers and are extensively used as coatings, electronic materials, adhesives. Owing to their outstanding mechanical and electrical properties, chemical resistance, adhesion, and minimal shrinkage after curing, they are used in structural applications as well. Most of these thermosets are industrially manufactured from bisphenol A (BPA), a substance that was initially synthesized as a chemical estrogen. The awareness on BPA toxicity combined with the limited availability and volatile cost of fossil resources and the non-recyclability of thermosets implies necessary changes in the ﬁeld of epoxy networks. Thus, substitution of BPA has witnessed an increasing number of studies both from the academic and industrial sides. This review proposes to give an overview of the reported aromatic multifunctional epoxide building blocks synthesized from biomass or from molecules that could be obtained from transformed biomass. After a reminder of the main glycidylation routes and mechanisms and the recent knowledge on BPA toxicity and legal issues, this review will provide a brief description of the main natural sources of aromatic molecules. The different epoxy prepolymers will then be organized from simple, mono-aromatic di-epoxy, to mono-aromatic poly-epoxy, to di-aromatic di-epoxy compounds, and ﬁnally to derivatives possessing numerous aromatic rings and epoxy groups.","container-title":"Molecules","DOI":"10.3390/molecules22010149","ISSN":"1420-3049","issue":"1","journalAbbreviation":"Molecules","language":"en","page":"149","source":"DOI.org (Crossref)","title":"Bio-Based Aromatic Epoxy Monomers for Thermoset Materials","volume":"22","author":[{"family":"Ng","given":"Feifei"},{"family":"Couture","given":"Guillaume"},{"family":"Philippe","given":"Coralie"},{"family":"Boutevin","given":"Bernard"},{"family":"Caillol","given":"Sylvain"}],"issued":{"date-parts":[["2017",1,18]]}}}],"schema":"https://github.com/citation-style-language/schema/raw/master/csl-citation.json"} </w:instrText>
      </w:r>
      <w:r w:rsidR="00AD4750">
        <w:rPr>
          <w:rFonts w:ascii="Times New Roman" w:eastAsia="Times New Roman" w:hAnsi="Times New Roman" w:cs="Times New Roman"/>
          <w:sz w:val="24"/>
          <w:szCs w:val="24"/>
        </w:rPr>
        <w:fldChar w:fldCharType="separate"/>
      </w:r>
      <w:r w:rsidR="00AD4750" w:rsidRPr="00AB279D">
        <w:rPr>
          <w:rFonts w:ascii="Times New Roman" w:hAnsi="Times New Roman" w:cs="Times New Roman"/>
          <w:sz w:val="24"/>
        </w:rPr>
        <w:t>(Ng et al., 2017)</w:t>
      </w:r>
      <w:r w:rsidR="00AD4750">
        <w:rPr>
          <w:rFonts w:ascii="Times New Roman" w:eastAsia="Times New Roman" w:hAnsi="Times New Roman" w:cs="Times New Roman"/>
          <w:sz w:val="24"/>
          <w:szCs w:val="24"/>
        </w:rPr>
        <w:fldChar w:fldCharType="end"/>
      </w:r>
      <w:r w:rsidRPr="00A505AF">
        <w:rPr>
          <w:rFonts w:ascii="Times New Roman" w:eastAsia="Times New Roman" w:hAnsi="Times New Roman" w:cs="Times New Roman"/>
          <w:sz w:val="24"/>
          <w:szCs w:val="24"/>
        </w:rPr>
        <w:t xml:space="preserve">. </w:t>
      </w:r>
      <w:r w:rsidR="00C91460">
        <w:rPr>
          <w:rFonts w:ascii="Times New Roman" w:eastAsia="Times New Roman" w:hAnsi="Times New Roman" w:cs="Times New Roman"/>
          <w:sz w:val="24"/>
          <w:szCs w:val="24"/>
        </w:rPr>
        <w:t>As a result</w:t>
      </w:r>
      <w:r w:rsidRPr="00A505AF">
        <w:rPr>
          <w:rFonts w:ascii="Times New Roman" w:eastAsia="Times New Roman" w:hAnsi="Times New Roman" w:cs="Times New Roman"/>
          <w:sz w:val="24"/>
          <w:szCs w:val="24"/>
        </w:rPr>
        <w:t xml:space="preserve">, </w:t>
      </w:r>
      <w:r w:rsidR="00F56BA5">
        <w:rPr>
          <w:rFonts w:ascii="Times New Roman" w:eastAsia="Times New Roman" w:hAnsi="Times New Roman" w:cs="Times New Roman"/>
          <w:sz w:val="24"/>
          <w:szCs w:val="24"/>
        </w:rPr>
        <w:t>new</w:t>
      </w:r>
      <w:r w:rsidRPr="00A505AF">
        <w:rPr>
          <w:rFonts w:ascii="Times New Roman" w:eastAsia="Times New Roman" w:hAnsi="Times New Roman" w:cs="Times New Roman"/>
          <w:sz w:val="24"/>
          <w:szCs w:val="24"/>
        </w:rPr>
        <w:t xml:space="preserve"> bio-derived monomers </w:t>
      </w:r>
      <w:r w:rsidR="00C91460">
        <w:rPr>
          <w:rFonts w:ascii="Times New Roman" w:eastAsia="Times New Roman" w:hAnsi="Times New Roman" w:cs="Times New Roman"/>
          <w:sz w:val="24"/>
          <w:szCs w:val="24"/>
        </w:rPr>
        <w:t>started to be</w:t>
      </w:r>
      <w:r w:rsidRPr="00A505AF">
        <w:rPr>
          <w:rFonts w:ascii="Times New Roman" w:eastAsia="Times New Roman" w:hAnsi="Times New Roman" w:cs="Times New Roman"/>
          <w:sz w:val="24"/>
          <w:szCs w:val="24"/>
        </w:rPr>
        <w:t xml:space="preserve"> investigated. Particularly, in the last few years, furanic-based monomers derived from carbohydrate feedstock</w:t>
      </w:r>
      <w:r w:rsidR="004F63CA">
        <w:rPr>
          <w:rFonts w:ascii="Times New Roman" w:eastAsia="Times New Roman" w:hAnsi="Times New Roman" w:cs="Times New Roman"/>
          <w:sz w:val="24"/>
          <w:szCs w:val="24"/>
        </w:rPr>
        <w:t>s</w:t>
      </w:r>
      <w:r w:rsidRPr="00A505AF">
        <w:rPr>
          <w:rFonts w:ascii="Times New Roman" w:eastAsia="Times New Roman" w:hAnsi="Times New Roman" w:cs="Times New Roman"/>
          <w:sz w:val="24"/>
          <w:szCs w:val="24"/>
        </w:rPr>
        <w:t xml:space="preserve">, such as </w:t>
      </w:r>
      <w:r w:rsidR="00351E5A">
        <w:rPr>
          <w:rFonts w:ascii="Times New Roman" w:eastAsia="Times New Roman" w:hAnsi="Times New Roman" w:cs="Times New Roman"/>
          <w:sz w:val="24"/>
          <w:szCs w:val="24"/>
        </w:rPr>
        <w:t>2,5-</w:t>
      </w:r>
      <w:r w:rsidR="00351E5A" w:rsidRPr="00A505AF">
        <w:rPr>
          <w:rFonts w:ascii="Times New Roman" w:eastAsia="Times New Roman" w:hAnsi="Times New Roman" w:cs="Times New Roman"/>
          <w:sz w:val="24"/>
          <w:szCs w:val="24"/>
        </w:rPr>
        <w:t xml:space="preserve">bis(hydroxymethyl)furan </w:t>
      </w:r>
      <w:r w:rsidR="00351E5A">
        <w:rPr>
          <w:rFonts w:ascii="Times New Roman" w:eastAsia="Times New Roman" w:hAnsi="Times New Roman" w:cs="Times New Roman"/>
          <w:sz w:val="24"/>
          <w:szCs w:val="24"/>
        </w:rPr>
        <w:t>(</w:t>
      </w:r>
      <w:r w:rsidRPr="00A505AF">
        <w:rPr>
          <w:rFonts w:ascii="Times New Roman" w:eastAsia="Times New Roman" w:hAnsi="Times New Roman" w:cs="Times New Roman"/>
          <w:sz w:val="24"/>
          <w:szCs w:val="24"/>
        </w:rPr>
        <w:t>BHMF</w:t>
      </w:r>
      <w:r w:rsidR="00351E5A">
        <w:rPr>
          <w:rFonts w:ascii="Times New Roman" w:eastAsia="Times New Roman" w:hAnsi="Times New Roman" w:cs="Times New Roman"/>
          <w:sz w:val="24"/>
          <w:szCs w:val="24"/>
        </w:rPr>
        <w:t>)</w:t>
      </w:r>
      <w:r w:rsidR="00AD4750">
        <w:rPr>
          <w:rFonts w:ascii="Times New Roman" w:eastAsia="Times New Roman" w:hAnsi="Times New Roman" w:cs="Times New Roman"/>
          <w:sz w:val="24"/>
          <w:szCs w:val="24"/>
        </w:rPr>
        <w:t xml:space="preserve"> </w:t>
      </w:r>
      <w:r w:rsidR="00927AA2">
        <w:rPr>
          <w:rFonts w:ascii="Times New Roman" w:eastAsia="Times New Roman" w:hAnsi="Times New Roman" w:cs="Times New Roman"/>
          <w:sz w:val="24"/>
          <w:szCs w:val="24"/>
        </w:rPr>
        <w:fldChar w:fldCharType="begin"/>
      </w:r>
      <w:r w:rsidR="00AB279D">
        <w:rPr>
          <w:rFonts w:ascii="Times New Roman" w:eastAsia="Times New Roman" w:hAnsi="Times New Roman" w:cs="Times New Roman"/>
          <w:sz w:val="24"/>
          <w:szCs w:val="24"/>
        </w:rPr>
        <w:instrText xml:space="preserve"> ADDIN ZOTERO_ITEM CSL_CITATION {"citationID":"S3wKgsdI","properties":{"formattedCitation":"(Cho et al., 2013)","plainCitation":"(Cho et al., 2013)","noteIndex":0},"citationItems":[{"id":144,"uris":["http://zotero.org/users/11450443/items/AJ443TL4"],"itemData":{"id":144,"type":"article-journal","container-title":"Journal of Adhesion Science and Technology","DOI":"10.1080/01694243.2012.697700","ISSN":"0169-4243, 1568-5616","issue":"18-19","journalAbbreviation":"Journal of Adhesion Science and Technology","language":"en","page":"2127-2138","source":"DOI.org (Crossref)","title":"Synthesis of carbohydrate biomass-based furanic compounds bearing epoxide end group(s) and evaluation of their feasibility as adhesives","volume":"27","author":[{"family":"Cho","given":"Jin Ku"},{"family":"Lee","given":"Jae-Soung"},{"family":"Jeong","given":"Jaewon"},{"family":"Kim","given":"Bora"},{"family":"Kim","given":"Baekjin"},{"family":"Kim","given":"Sangyong"},{"family":"Shin","given":"Seunghan"},{"family":"Kim","given":"Hyun-Joong"},{"family":"Lee","given":"Sang-Hyeup"}],"issued":{"date-parts":[["2013",10]]}}}],"schema":"https://github.com/citation-style-language/schema/raw/master/csl-citation.json"} </w:instrText>
      </w:r>
      <w:r w:rsidR="00927AA2">
        <w:rPr>
          <w:rFonts w:ascii="Times New Roman" w:eastAsia="Times New Roman" w:hAnsi="Times New Roman" w:cs="Times New Roman"/>
          <w:sz w:val="24"/>
          <w:szCs w:val="24"/>
        </w:rPr>
        <w:fldChar w:fldCharType="separate"/>
      </w:r>
      <w:r w:rsidR="00AB279D" w:rsidRPr="00AB279D">
        <w:rPr>
          <w:rFonts w:ascii="Times New Roman" w:hAnsi="Times New Roman" w:cs="Times New Roman"/>
          <w:sz w:val="24"/>
        </w:rPr>
        <w:t>(Cho et al., 2013)</w:t>
      </w:r>
      <w:r w:rsidR="00927AA2">
        <w:rPr>
          <w:rFonts w:ascii="Times New Roman" w:eastAsia="Times New Roman" w:hAnsi="Times New Roman" w:cs="Times New Roman"/>
          <w:sz w:val="24"/>
          <w:szCs w:val="24"/>
        </w:rPr>
        <w:fldChar w:fldCharType="end"/>
      </w:r>
      <w:r w:rsidR="00AD4750">
        <w:rPr>
          <w:rFonts w:ascii="Times New Roman" w:eastAsia="Times New Roman" w:hAnsi="Times New Roman" w:cs="Times New Roman"/>
          <w:sz w:val="24"/>
          <w:szCs w:val="24"/>
        </w:rPr>
        <w:t>,</w:t>
      </w:r>
      <w:r w:rsidRPr="00A505AF">
        <w:rPr>
          <w:rFonts w:ascii="Times New Roman" w:eastAsia="Times New Roman" w:hAnsi="Times New Roman" w:cs="Times New Roman"/>
          <w:sz w:val="24"/>
          <w:szCs w:val="24"/>
        </w:rPr>
        <w:t xml:space="preserve"> 2,5-furandicarboxylic acid</w:t>
      </w:r>
      <w:r w:rsidR="00464420">
        <w:rPr>
          <w:rFonts w:ascii="Times New Roman" w:eastAsia="Times New Roman" w:hAnsi="Times New Roman" w:cs="Times New Roman"/>
          <w:sz w:val="24"/>
          <w:szCs w:val="24"/>
        </w:rPr>
        <w:t xml:space="preserve"> (</w:t>
      </w:r>
      <w:r w:rsidR="00464420" w:rsidRPr="00464420">
        <w:rPr>
          <w:rFonts w:ascii="Times New Roman" w:eastAsia="Times New Roman" w:hAnsi="Times New Roman" w:cs="Times New Roman"/>
          <w:sz w:val="24"/>
          <w:szCs w:val="24"/>
        </w:rPr>
        <w:t>FDCA</w:t>
      </w:r>
      <w:r w:rsidR="00B35135">
        <w:rPr>
          <w:rFonts w:ascii="Times New Roman" w:eastAsia="Times New Roman" w:hAnsi="Times New Roman" w:cs="Times New Roman"/>
          <w:sz w:val="24"/>
          <w:szCs w:val="24"/>
        </w:rPr>
        <w:t>)</w:t>
      </w:r>
      <w:r w:rsidR="00AD4750">
        <w:rPr>
          <w:rFonts w:ascii="Times New Roman" w:eastAsia="Times New Roman" w:hAnsi="Times New Roman" w:cs="Times New Roman"/>
          <w:sz w:val="24"/>
          <w:szCs w:val="24"/>
        </w:rPr>
        <w:t xml:space="preserve"> </w:t>
      </w:r>
      <w:r w:rsidR="00927AA2">
        <w:rPr>
          <w:rFonts w:ascii="Times New Roman" w:eastAsia="Times New Roman" w:hAnsi="Times New Roman" w:cs="Times New Roman"/>
          <w:sz w:val="24"/>
          <w:szCs w:val="24"/>
        </w:rPr>
        <w:fldChar w:fldCharType="begin"/>
      </w:r>
      <w:r w:rsidR="00AB279D">
        <w:rPr>
          <w:rFonts w:ascii="Times New Roman" w:eastAsia="Times New Roman" w:hAnsi="Times New Roman" w:cs="Times New Roman"/>
          <w:sz w:val="24"/>
          <w:szCs w:val="24"/>
        </w:rPr>
        <w:instrText xml:space="preserve"> ADDIN ZOTERO_ITEM CSL_CITATION {"citationID":"GZbOIJTO","properties":{"formattedCitation":"(Deng et al., 2015)","plainCitation":"(Deng et al., 2015)","noteIndex":0},"citationItems":[{"id":146,"uris":["http://zotero.org/users/11450443/items/VQQ897PC"],"itemData":{"id":146,"type":"article-journal","abstract":"Based on the properties comparison between FDCA-based epoxy and TPA-based epoxy, FDCA has been regarded as an ideal renewable platform chemical for the synthesis of thermosetting resins with high performance.\n          , \n            \n              A bio-based epoxy monomer, diglycidyl ester of 2,5-furandicarboxylic acid (DGF) was synthesized for the first time from the renewable 2,5-furandicarboxylic acid (FDCA). For comparison study, its petroleum-based counterpart, diglycidyl ester of terephthalic acid (DGT) was also prepared. Their chemical structures were confirmed in detail by\n              1\n              H NMR,\n              13\n              C NMR and FT-IR before they were cured by methylhexahydrophthalic anhydride (MHHPA) and poly(propylene glycol)bis(2-aminopropyl ether) (D230), respectively. The curing behaviors were investigated using differential scanning calorimetry (DSC). The thermal mechanical properties and thermal stabilities of the cured resins were evaluated using dynamic mechanical analysis (DMA) and thermogravimetric analysis (TGA). Results showed that DGF displayed higher curing activity, elevated glass transition temperature and similar mechanical properties compared with those of the cured DGT. This study indicated that FDCA had a huge potential to replace the petroleum-based terephthalic acid in the synthesis of epoxy resins with satisfactory performance.","container-title":"RSC Advances","DOI":"10.1039/C5RA00242G","ISSN":"2046-2069","issue":"21","journalAbbreviation":"RSC Adv.","language":"en","page":"15930-15939","source":"DOI.org (Crossref)","title":"Synthesis and properties of a bio-based epoxy resin from 2,5-furandicarboxylic acid (FDCA)","volume":"5","author":[{"family":"Deng","given":"Jun"},{"family":"Liu","given":"Xiaoqing"},{"family":"Li","given":"Chao"},{"family":"Jiang","given":"Yanhua"},{"family":"Zhu","given":"Jin"}],"issued":{"date-parts":[["2015"]]}}}],"schema":"https://github.com/citation-style-language/schema/raw/master/csl-citation.json"} </w:instrText>
      </w:r>
      <w:r w:rsidR="00927AA2">
        <w:rPr>
          <w:rFonts w:ascii="Times New Roman" w:eastAsia="Times New Roman" w:hAnsi="Times New Roman" w:cs="Times New Roman"/>
          <w:sz w:val="24"/>
          <w:szCs w:val="24"/>
        </w:rPr>
        <w:fldChar w:fldCharType="separate"/>
      </w:r>
      <w:r w:rsidR="00AB279D" w:rsidRPr="00AB279D">
        <w:rPr>
          <w:rFonts w:ascii="Times New Roman" w:hAnsi="Times New Roman" w:cs="Times New Roman"/>
          <w:sz w:val="24"/>
        </w:rPr>
        <w:t>(Deng et al., 2015)</w:t>
      </w:r>
      <w:r w:rsidR="00927AA2">
        <w:rPr>
          <w:rFonts w:ascii="Times New Roman" w:eastAsia="Times New Roman" w:hAnsi="Times New Roman" w:cs="Times New Roman"/>
          <w:sz w:val="24"/>
          <w:szCs w:val="24"/>
        </w:rPr>
        <w:fldChar w:fldCharType="end"/>
      </w:r>
      <w:r w:rsidR="00AD4750">
        <w:rPr>
          <w:rFonts w:ascii="Times New Roman" w:eastAsia="Times New Roman" w:hAnsi="Times New Roman" w:cs="Times New Roman"/>
          <w:sz w:val="24"/>
          <w:szCs w:val="24"/>
        </w:rPr>
        <w:t>,</w:t>
      </w:r>
      <w:r w:rsidRPr="00A505AF">
        <w:rPr>
          <w:rFonts w:ascii="Times New Roman" w:eastAsia="Times New Roman" w:hAnsi="Times New Roman" w:cs="Times New Roman"/>
          <w:sz w:val="24"/>
          <w:szCs w:val="24"/>
        </w:rPr>
        <w:t xml:space="preserve"> and its esters</w:t>
      </w:r>
      <w:r w:rsidR="00AD4750">
        <w:rPr>
          <w:rFonts w:ascii="Times New Roman" w:eastAsia="Times New Roman" w:hAnsi="Times New Roman" w:cs="Times New Roman"/>
          <w:sz w:val="24"/>
          <w:szCs w:val="24"/>
        </w:rPr>
        <w:t xml:space="preserve"> </w:t>
      </w:r>
      <w:r w:rsidR="00927AA2">
        <w:rPr>
          <w:rFonts w:ascii="Times New Roman" w:eastAsia="Times New Roman" w:hAnsi="Times New Roman" w:cs="Times New Roman"/>
          <w:sz w:val="24"/>
          <w:szCs w:val="24"/>
        </w:rPr>
        <w:fldChar w:fldCharType="begin"/>
      </w:r>
      <w:r w:rsidR="00AB279D">
        <w:rPr>
          <w:rFonts w:ascii="Times New Roman" w:eastAsia="Times New Roman" w:hAnsi="Times New Roman" w:cs="Times New Roman"/>
          <w:sz w:val="24"/>
          <w:szCs w:val="24"/>
        </w:rPr>
        <w:instrText xml:space="preserve"> ADDIN ZOTERO_ITEM CSL_CITATION {"citationID":"999K3LDO","properties":{"formattedCitation":"(Marotta et al., 2018)","plainCitation":"(Marotta et al., 2018)","noteIndex":0},"citationItems":[{"id":127,"uris":["http://zotero.org/users/11450443/items/BCEK6HME"],"itemData":{"id":127,"type":"article-journal","abstract":"Two eco-respectful, one-step synthetic routes for the preparation of a bio-based epoxy monomer derived from furan precursors are developed.\n          , \n            Two eco-respectful, one-step synthetic routes for the preparation of a bio-based epoxy monomer derived from furan precursors are developed. The diglycidyl ester products are throughly characterized in terms of structure and thermal properties. Gathered results indicate that the two selected approaches allow the preparation of pure, furanic diglycidyl ester, which represents a viable bio-based alternative to its petrochemical aromatic counterpart.","container-title":"RSC Advances","DOI":"10.1039/C8RA02739K","ISSN":"2046-2069","issue":"29","journalAbbreviation":"RSC Adv.","language":"en","page":"16330-16335","source":"DOI.org (Crossref)","title":"Green approaches in the synthesis of furan-based diepoxy monomers","volume":"8","author":[{"family":"Marotta","given":"Angela"},{"family":"Ambrogi","given":"Veronica"},{"family":"Cerruti","given":"Pierfrancesco"},{"family":"Mija","given":"Alice"}],"issued":{"date-parts":[["2018"]]}}}],"schema":"https://github.com/citation-style-language/schema/raw/master/csl-citation.json"} </w:instrText>
      </w:r>
      <w:r w:rsidR="00927AA2">
        <w:rPr>
          <w:rFonts w:ascii="Times New Roman" w:eastAsia="Times New Roman" w:hAnsi="Times New Roman" w:cs="Times New Roman"/>
          <w:sz w:val="24"/>
          <w:szCs w:val="24"/>
        </w:rPr>
        <w:fldChar w:fldCharType="separate"/>
      </w:r>
      <w:r w:rsidR="00AB279D" w:rsidRPr="00AB279D">
        <w:rPr>
          <w:rFonts w:ascii="Times New Roman" w:hAnsi="Times New Roman" w:cs="Times New Roman"/>
          <w:sz w:val="24"/>
        </w:rPr>
        <w:t>(Marotta et al., 2018)</w:t>
      </w:r>
      <w:r w:rsidR="00927AA2">
        <w:rPr>
          <w:rFonts w:ascii="Times New Roman" w:eastAsia="Times New Roman" w:hAnsi="Times New Roman" w:cs="Times New Roman"/>
          <w:sz w:val="24"/>
          <w:szCs w:val="24"/>
        </w:rPr>
        <w:fldChar w:fldCharType="end"/>
      </w:r>
      <w:r w:rsidR="00AD4750">
        <w:rPr>
          <w:rFonts w:ascii="Times New Roman" w:eastAsia="Times New Roman" w:hAnsi="Times New Roman" w:cs="Times New Roman"/>
          <w:sz w:val="24"/>
          <w:szCs w:val="24"/>
        </w:rPr>
        <w:t>,</w:t>
      </w:r>
      <w:r w:rsidRPr="00A505AF">
        <w:rPr>
          <w:rFonts w:ascii="Times New Roman" w:eastAsia="Times New Roman" w:hAnsi="Times New Roman" w:cs="Times New Roman"/>
          <w:sz w:val="24"/>
          <w:szCs w:val="24"/>
        </w:rPr>
        <w:t xml:space="preserve"> 5,5'</w:t>
      </w:r>
      <w:r w:rsidR="00D21993">
        <w:rPr>
          <w:rFonts w:ascii="Times New Roman" w:eastAsia="Times New Roman" w:hAnsi="Times New Roman" w:cs="Times New Roman"/>
          <w:sz w:val="24"/>
          <w:szCs w:val="24"/>
        </w:rPr>
        <w:t>-</w:t>
      </w:r>
      <w:r w:rsidRPr="00A505AF">
        <w:rPr>
          <w:rFonts w:ascii="Times New Roman" w:eastAsia="Times New Roman" w:hAnsi="Times New Roman" w:cs="Times New Roman"/>
          <w:sz w:val="24"/>
          <w:szCs w:val="24"/>
        </w:rPr>
        <w:t>(</w:t>
      </w:r>
      <w:r w:rsidR="00D21993">
        <w:rPr>
          <w:rFonts w:ascii="Times New Roman" w:eastAsia="Times New Roman" w:hAnsi="Times New Roman" w:cs="Times New Roman"/>
          <w:sz w:val="24"/>
          <w:szCs w:val="24"/>
        </w:rPr>
        <w:t>o</w:t>
      </w:r>
      <w:r w:rsidRPr="00A505AF">
        <w:rPr>
          <w:rFonts w:ascii="Times New Roman" w:eastAsia="Times New Roman" w:hAnsi="Times New Roman" w:cs="Times New Roman"/>
          <w:sz w:val="24"/>
          <w:szCs w:val="24"/>
        </w:rPr>
        <w:t>xy-bis(methylene)bis-2-furfural</w:t>
      </w:r>
      <w:r w:rsidR="00464420">
        <w:rPr>
          <w:rFonts w:ascii="Times New Roman" w:eastAsia="Times New Roman" w:hAnsi="Times New Roman" w:cs="Times New Roman"/>
          <w:sz w:val="24"/>
          <w:szCs w:val="24"/>
        </w:rPr>
        <w:t xml:space="preserve"> (</w:t>
      </w:r>
      <w:r w:rsidR="00464420" w:rsidRPr="00A505AF">
        <w:rPr>
          <w:rFonts w:ascii="Times New Roman" w:eastAsia="Times New Roman" w:hAnsi="Times New Roman" w:cs="Times New Roman"/>
          <w:sz w:val="24"/>
          <w:szCs w:val="24"/>
        </w:rPr>
        <w:t>OBMF</w:t>
      </w:r>
      <w:r w:rsidR="00464420">
        <w:rPr>
          <w:rFonts w:ascii="Times New Roman" w:eastAsia="Times New Roman" w:hAnsi="Times New Roman" w:cs="Times New Roman"/>
          <w:sz w:val="24"/>
          <w:szCs w:val="24"/>
        </w:rPr>
        <w:t>)</w:t>
      </w:r>
      <w:r w:rsidR="00AD4750">
        <w:rPr>
          <w:rFonts w:ascii="Times New Roman" w:eastAsia="Times New Roman" w:hAnsi="Times New Roman" w:cs="Times New Roman"/>
          <w:sz w:val="24"/>
          <w:szCs w:val="24"/>
        </w:rPr>
        <w:t xml:space="preserve"> </w:t>
      </w:r>
      <w:r w:rsidR="00927AA2">
        <w:rPr>
          <w:rFonts w:ascii="Times New Roman" w:eastAsia="Times New Roman" w:hAnsi="Times New Roman" w:cs="Times New Roman"/>
          <w:sz w:val="24"/>
          <w:szCs w:val="24"/>
        </w:rPr>
        <w:fldChar w:fldCharType="begin"/>
      </w:r>
      <w:r w:rsidR="00AB279D">
        <w:rPr>
          <w:rFonts w:ascii="Times New Roman" w:eastAsia="Times New Roman" w:hAnsi="Times New Roman" w:cs="Times New Roman"/>
          <w:sz w:val="24"/>
          <w:szCs w:val="24"/>
        </w:rPr>
        <w:instrText xml:space="preserve"> ADDIN ZOTERO_ITEM CSL_CITATION {"citationID":"Iijzm6zg","properties":{"formattedCitation":"(Meng et al., 2019b)","plainCitation":"(Meng et al., 2019b)","noteIndex":0},"citationItems":[{"id":150,"uris":["http://zotero.org/users/11450443/items/BD7MHGRJ"],"itemData":{"id":150,"type":"article-journal","abstract":"A novel bis-furan diepoxides(OmbFdE) was developed via a mild\nand scalable route, and eco-friendly applied in epoxy resins, which\nbehaved good thermal stability. Especially for the formulation\nOmbFdE/2,2'-(ethane-1,2-diylbis(oxy)) bis(ethan-1-amine) (TEGA),\na comparable lower heat release and carbon wall accounted for\nthe outstanding flame retardancy, indicating the potential\napplication in engineering.","container-title":"Polymer Chemistry","DOI":"10.1039/C9PY00202B","ISSN":"1759-9954, 1759-9962","issue":"1","journalAbbreviation":"Polym. Chem.","language":"en","page":"36-43","source":"DOI.org (Crossref)","title":"Sustainable Bio-based Furan Epoxy Resin with Flame Retardancy","volume":"7","author":[{"family":"Meng","given":"Jingjing"},{"family":"Zeng","given":"Yushun"},{"family":"Zhu","given":"Guiqin"},{"family":"Zhang","given":"Jie"},{"family":"Chen","given":"Pengfei"},{"family":"Yao","given":"Cheng"},{"family":"Fang","given":"Zheng"},{"family":"Guo","given":"Kai"}],"issued":{"date-parts":[["2019"]]}}}],"schema":"https://github.com/citation-style-language/schema/raw/master/csl-citation.json"} </w:instrText>
      </w:r>
      <w:r w:rsidR="00927AA2">
        <w:rPr>
          <w:rFonts w:ascii="Times New Roman" w:eastAsia="Times New Roman" w:hAnsi="Times New Roman" w:cs="Times New Roman"/>
          <w:sz w:val="24"/>
          <w:szCs w:val="24"/>
        </w:rPr>
        <w:fldChar w:fldCharType="separate"/>
      </w:r>
      <w:r w:rsidR="00AB279D" w:rsidRPr="00AB279D">
        <w:rPr>
          <w:rFonts w:ascii="Times New Roman" w:hAnsi="Times New Roman" w:cs="Times New Roman"/>
          <w:sz w:val="24"/>
        </w:rPr>
        <w:t>(Meng et al., 2019b)</w:t>
      </w:r>
      <w:r w:rsidR="00927AA2">
        <w:rPr>
          <w:rFonts w:ascii="Times New Roman" w:eastAsia="Times New Roman" w:hAnsi="Times New Roman" w:cs="Times New Roman"/>
          <w:sz w:val="24"/>
          <w:szCs w:val="24"/>
        </w:rPr>
        <w:fldChar w:fldCharType="end"/>
      </w:r>
      <w:r w:rsidR="00AD4750">
        <w:rPr>
          <w:rFonts w:ascii="Times New Roman" w:eastAsia="Times New Roman" w:hAnsi="Times New Roman" w:cs="Times New Roman"/>
          <w:sz w:val="24"/>
          <w:szCs w:val="24"/>
        </w:rPr>
        <w:t>,</w:t>
      </w:r>
      <w:r w:rsidR="00464420">
        <w:rPr>
          <w:rFonts w:ascii="Times New Roman" w:eastAsia="Times New Roman" w:hAnsi="Times New Roman" w:cs="Times New Roman"/>
          <w:sz w:val="24"/>
          <w:szCs w:val="24"/>
        </w:rPr>
        <w:t xml:space="preserve"> </w:t>
      </w:r>
      <w:r w:rsidRPr="00A505AF">
        <w:rPr>
          <w:rFonts w:ascii="Times New Roman" w:eastAsia="Times New Roman" w:hAnsi="Times New Roman" w:cs="Times New Roman"/>
          <w:sz w:val="24"/>
          <w:szCs w:val="24"/>
        </w:rPr>
        <w:t xml:space="preserve">and </w:t>
      </w:r>
      <w:r w:rsidR="00464420" w:rsidRPr="00A505AF">
        <w:rPr>
          <w:rFonts w:ascii="Times New Roman" w:eastAsia="Times New Roman" w:hAnsi="Times New Roman" w:cs="Times New Roman"/>
          <w:sz w:val="24"/>
          <w:szCs w:val="24"/>
        </w:rPr>
        <w:t xml:space="preserve">propane-2,2-diylbis(furan-5,2-diyl))dimethanol </w:t>
      </w:r>
      <w:r w:rsidR="00464420">
        <w:rPr>
          <w:rFonts w:ascii="Times New Roman" w:eastAsia="Times New Roman" w:hAnsi="Times New Roman" w:cs="Times New Roman"/>
          <w:sz w:val="24"/>
          <w:szCs w:val="24"/>
        </w:rPr>
        <w:t>(</w:t>
      </w:r>
      <w:r w:rsidRPr="00A505AF">
        <w:rPr>
          <w:rFonts w:ascii="Times New Roman" w:eastAsia="Times New Roman" w:hAnsi="Times New Roman" w:cs="Times New Roman"/>
          <w:sz w:val="24"/>
          <w:szCs w:val="24"/>
        </w:rPr>
        <w:t>bFdE</w:t>
      </w:r>
      <w:r w:rsidR="00464420">
        <w:rPr>
          <w:rFonts w:ascii="Times New Roman" w:eastAsia="Times New Roman" w:hAnsi="Times New Roman" w:cs="Times New Roman"/>
          <w:sz w:val="24"/>
          <w:szCs w:val="24"/>
        </w:rPr>
        <w:t>)</w:t>
      </w:r>
      <w:r w:rsidR="00AD4750">
        <w:rPr>
          <w:rFonts w:ascii="Times New Roman" w:eastAsia="Times New Roman" w:hAnsi="Times New Roman" w:cs="Times New Roman"/>
          <w:sz w:val="24"/>
          <w:szCs w:val="24"/>
        </w:rPr>
        <w:t xml:space="preserve"> </w:t>
      </w:r>
      <w:r w:rsidR="00927AA2">
        <w:rPr>
          <w:rFonts w:ascii="Times New Roman" w:eastAsia="Times New Roman" w:hAnsi="Times New Roman" w:cs="Times New Roman"/>
          <w:sz w:val="24"/>
          <w:szCs w:val="24"/>
        </w:rPr>
        <w:fldChar w:fldCharType="begin"/>
      </w:r>
      <w:r w:rsidR="00AB279D">
        <w:rPr>
          <w:rFonts w:ascii="Times New Roman" w:eastAsia="Times New Roman" w:hAnsi="Times New Roman" w:cs="Times New Roman"/>
          <w:sz w:val="24"/>
          <w:szCs w:val="24"/>
        </w:rPr>
        <w:instrText xml:space="preserve"> ADDIN ZOTERO_ITEM CSL_CITATION {"citationID":"5ELsVRZK","properties":{"formattedCitation":"(Cho et al., 2013)","plainCitation":"(Cho et al., 2013)","noteIndex":0},"citationItems":[{"id":144,"uris":["http://zotero.org/users/11450443/items/AJ443TL4"],"itemData":{"id":144,"type":"article-journal","container-title":"Journal of Adhesion Science and Technology","DOI":"10.1080/01694243.2012.697700","ISSN":"0169-4243, 1568-5616","issue":"18-19","journalAbbreviation":"Journal of Adhesion Science and Technology","language":"en","page":"2127-2138","source":"DOI.org (Crossref)","title":"Synthesis of carbohydrate biomass-based furanic compounds bearing epoxide end group(s) and evaluation of their feasibility as adhesives","volume":"27","author":[{"family":"Cho","given":"Jin Ku"},{"family":"Lee","given":"Jae-Soung"},{"family":"Jeong","given":"Jaewon"},{"family":"Kim","given":"Bora"},{"family":"Kim","given":"Baekjin"},{"family":"Kim","given":"Sangyong"},{"family":"Shin","given":"Seunghan"},{"family":"Kim","given":"Hyun-Joong"},{"family":"Lee","given":"Sang-Hyeup"}],"issued":{"date-parts":[["2013",10]]}}}],"schema":"https://github.com/citation-style-language/schema/raw/master/csl-citation.json"} </w:instrText>
      </w:r>
      <w:r w:rsidR="00927AA2">
        <w:rPr>
          <w:rFonts w:ascii="Times New Roman" w:eastAsia="Times New Roman" w:hAnsi="Times New Roman" w:cs="Times New Roman"/>
          <w:sz w:val="24"/>
          <w:szCs w:val="24"/>
        </w:rPr>
        <w:fldChar w:fldCharType="separate"/>
      </w:r>
      <w:r w:rsidR="00AB279D" w:rsidRPr="00AB279D">
        <w:rPr>
          <w:rFonts w:ascii="Times New Roman" w:hAnsi="Times New Roman" w:cs="Times New Roman"/>
          <w:sz w:val="24"/>
        </w:rPr>
        <w:t>(Cho et al., 2013)</w:t>
      </w:r>
      <w:r w:rsidR="00927AA2">
        <w:rPr>
          <w:rFonts w:ascii="Times New Roman" w:eastAsia="Times New Roman" w:hAnsi="Times New Roman" w:cs="Times New Roman"/>
          <w:sz w:val="24"/>
          <w:szCs w:val="24"/>
        </w:rPr>
        <w:fldChar w:fldCharType="end"/>
      </w:r>
      <w:r w:rsidRPr="00A505AF">
        <w:rPr>
          <w:rFonts w:ascii="Times New Roman" w:eastAsia="Times New Roman" w:hAnsi="Times New Roman" w:cs="Times New Roman"/>
          <w:sz w:val="24"/>
          <w:szCs w:val="24"/>
        </w:rPr>
        <w:t xml:space="preserve"> </w:t>
      </w:r>
      <w:r w:rsidR="00D6458F">
        <w:rPr>
          <w:rFonts w:ascii="Times New Roman" w:eastAsia="Times New Roman" w:hAnsi="Times New Roman" w:cs="Times New Roman"/>
          <w:sz w:val="24"/>
          <w:szCs w:val="24"/>
        </w:rPr>
        <w:t>showed</w:t>
      </w:r>
      <w:r w:rsidRPr="00A505AF">
        <w:rPr>
          <w:rFonts w:ascii="Times New Roman" w:eastAsia="Times New Roman" w:hAnsi="Times New Roman" w:cs="Times New Roman"/>
          <w:sz w:val="24"/>
          <w:szCs w:val="24"/>
        </w:rPr>
        <w:t xml:space="preserve"> to be promising candidates in this field</w:t>
      </w:r>
      <w:r w:rsidR="00217812" w:rsidRPr="00A505AF">
        <w:rPr>
          <w:rFonts w:ascii="Times New Roman" w:eastAsia="Times New Roman" w:hAnsi="Times New Roman" w:cs="Times New Roman"/>
          <w:sz w:val="24"/>
          <w:szCs w:val="24"/>
        </w:rPr>
        <w:t xml:space="preserve"> (Figure </w:t>
      </w:r>
      <w:r w:rsidR="00464420">
        <w:rPr>
          <w:rFonts w:ascii="Times New Roman" w:eastAsia="Times New Roman" w:hAnsi="Times New Roman" w:cs="Times New Roman"/>
          <w:sz w:val="24"/>
          <w:szCs w:val="24"/>
        </w:rPr>
        <w:t>1</w:t>
      </w:r>
      <w:r w:rsidR="00217812" w:rsidRPr="00A505AF">
        <w:rPr>
          <w:rFonts w:ascii="Times New Roman" w:eastAsia="Times New Roman" w:hAnsi="Times New Roman" w:cs="Times New Roman"/>
          <w:sz w:val="24"/>
          <w:szCs w:val="24"/>
        </w:rPr>
        <w:t>)</w:t>
      </w:r>
      <w:r w:rsidRPr="00A505AF">
        <w:rPr>
          <w:rFonts w:ascii="Times New Roman" w:eastAsia="Times New Roman" w:hAnsi="Times New Roman" w:cs="Times New Roman"/>
          <w:sz w:val="24"/>
          <w:szCs w:val="24"/>
        </w:rPr>
        <w:t>.</w:t>
      </w:r>
    </w:p>
    <w:p w14:paraId="56E06398" w14:textId="23BEAA4B" w:rsidR="007E73A8" w:rsidRPr="00A505AF" w:rsidRDefault="001834FA" w:rsidP="007E73A8">
      <w:pPr>
        <w:keepNext/>
        <w:spacing w:line="480" w:lineRule="auto"/>
        <w:jc w:val="both"/>
        <w:rPr>
          <w:rFonts w:ascii="Times New Roman" w:hAnsi="Times New Roman" w:cs="Times New Roman"/>
        </w:rPr>
      </w:pPr>
      <w:r w:rsidRPr="00A505AF">
        <w:rPr>
          <w:rFonts w:ascii="Times New Roman" w:hAnsi="Times New Roman" w:cs="Times New Roman"/>
          <w:noProof/>
        </w:rPr>
        <w:object w:dxaOrig="20090" w:dyaOrig="4745" w14:anchorId="7108AECC">
          <v:shape id="_x0000_i1026" type="#_x0000_t75" alt="" style="width:482.15pt;height:114.85pt;mso-width-percent:0;mso-height-percent:0;mso-width-percent:0;mso-height-percent:0" o:ole="">
            <v:imagedata r:id="rId10" o:title=""/>
          </v:shape>
          <o:OLEObject Type="Embed" ProgID="ChemDraw.Document.6.0" ShapeID="_x0000_i1026" DrawAspect="Content" ObjectID="_1801981036" r:id="rId11"/>
        </w:object>
      </w:r>
    </w:p>
    <w:p w14:paraId="5D30FB4A" w14:textId="4101890F" w:rsidR="002D10FC" w:rsidRDefault="007E73A8" w:rsidP="007E73A8">
      <w:pPr>
        <w:pStyle w:val="Didascalia"/>
        <w:jc w:val="center"/>
        <w:rPr>
          <w:rFonts w:ascii="Times New Roman" w:eastAsia="Times New Roman" w:hAnsi="Times New Roman" w:cs="Times New Roman"/>
          <w:i w:val="0"/>
          <w:iCs w:val="0"/>
          <w:color w:val="auto"/>
        </w:rPr>
      </w:pPr>
      <w:r w:rsidRPr="00464420">
        <w:rPr>
          <w:rFonts w:ascii="Times New Roman" w:hAnsi="Times New Roman" w:cs="Times New Roman"/>
          <w:b/>
          <w:bCs/>
          <w:i w:val="0"/>
          <w:iCs w:val="0"/>
          <w:color w:val="auto"/>
        </w:rPr>
        <w:t xml:space="preserve">Figure </w:t>
      </w:r>
      <w:r w:rsidR="00464420" w:rsidRPr="00464420">
        <w:rPr>
          <w:rFonts w:ascii="Times New Roman" w:hAnsi="Times New Roman" w:cs="Times New Roman"/>
          <w:b/>
          <w:bCs/>
          <w:i w:val="0"/>
          <w:iCs w:val="0"/>
          <w:color w:val="auto"/>
        </w:rPr>
        <w:t>1</w:t>
      </w:r>
      <w:r w:rsidRPr="00464420">
        <w:rPr>
          <w:rFonts w:ascii="Times New Roman" w:hAnsi="Times New Roman" w:cs="Times New Roman"/>
          <w:b/>
          <w:bCs/>
          <w:i w:val="0"/>
          <w:iCs w:val="0"/>
          <w:color w:val="auto"/>
        </w:rPr>
        <w:t xml:space="preserve">- </w:t>
      </w:r>
      <w:r w:rsidRPr="00464420">
        <w:rPr>
          <w:rFonts w:ascii="Times New Roman" w:eastAsia="Times New Roman" w:hAnsi="Times New Roman" w:cs="Times New Roman"/>
          <w:i w:val="0"/>
          <w:iCs w:val="0"/>
          <w:color w:val="auto"/>
        </w:rPr>
        <w:t xml:space="preserve">Furanic-based epoxy monomers </w:t>
      </w:r>
      <w:r w:rsidR="00464420">
        <w:rPr>
          <w:rFonts w:ascii="Times New Roman" w:eastAsia="Times New Roman" w:hAnsi="Times New Roman" w:cs="Times New Roman"/>
          <w:i w:val="0"/>
          <w:iCs w:val="0"/>
          <w:color w:val="auto"/>
        </w:rPr>
        <w:t xml:space="preserve">already reported </w:t>
      </w:r>
      <w:r w:rsidRPr="00464420">
        <w:rPr>
          <w:rFonts w:ascii="Times New Roman" w:eastAsia="Times New Roman" w:hAnsi="Times New Roman" w:cs="Times New Roman"/>
          <w:i w:val="0"/>
          <w:iCs w:val="0"/>
          <w:color w:val="auto"/>
        </w:rPr>
        <w:t>in the literature.</w:t>
      </w:r>
    </w:p>
    <w:p w14:paraId="0FDD377B" w14:textId="77777777" w:rsidR="00464420" w:rsidRPr="00464420" w:rsidRDefault="00464420" w:rsidP="00464420"/>
    <w:p w14:paraId="309F5FA1" w14:textId="6BF6D7E6" w:rsidR="007F04B8" w:rsidRDefault="00190C53" w:rsidP="00A71D55">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Data collected demonstrated that </w:t>
      </w:r>
      <w:r w:rsidR="007F04B8" w:rsidRPr="00A505AF">
        <w:rPr>
          <w:rFonts w:ascii="Times New Roman" w:eastAsia="Times New Roman" w:hAnsi="Times New Roman" w:cs="Times New Roman"/>
          <w:sz w:val="24"/>
          <w:szCs w:val="24"/>
        </w:rPr>
        <w:t>incorporating a furan ring</w:t>
      </w:r>
      <w:r w:rsidR="00C91460">
        <w:rPr>
          <w:rFonts w:ascii="Times New Roman" w:eastAsia="Times New Roman" w:hAnsi="Times New Roman" w:cs="Times New Roman"/>
          <w:sz w:val="24"/>
          <w:szCs w:val="24"/>
        </w:rPr>
        <w:t>s</w:t>
      </w:r>
      <w:r w:rsidR="007F04B8" w:rsidRPr="00A505AF">
        <w:rPr>
          <w:rFonts w:ascii="Times New Roman" w:eastAsia="Times New Roman" w:hAnsi="Times New Roman" w:cs="Times New Roman"/>
          <w:sz w:val="24"/>
          <w:szCs w:val="24"/>
        </w:rPr>
        <w:t xml:space="preserve"> into the polymer structure improves the thermal properties of the resin compared to traditional petroleum-based </w:t>
      </w:r>
      <w:r w:rsidR="007F04B8" w:rsidRPr="00B35135">
        <w:rPr>
          <w:rFonts w:ascii="Times New Roman" w:eastAsia="Times New Roman" w:hAnsi="Times New Roman" w:cs="Times New Roman"/>
          <w:sz w:val="24"/>
          <w:szCs w:val="24"/>
        </w:rPr>
        <w:t>counterparts</w:t>
      </w:r>
      <w:r w:rsidR="00AD4750">
        <w:rPr>
          <w:rFonts w:ascii="Times New Roman" w:eastAsia="Times New Roman" w:hAnsi="Times New Roman" w:cs="Times New Roman"/>
          <w:sz w:val="24"/>
          <w:szCs w:val="24"/>
        </w:rPr>
        <w:t xml:space="preserve"> </w:t>
      </w:r>
      <w:r w:rsidR="00FD7E85" w:rsidRPr="00B35135">
        <w:rPr>
          <w:rFonts w:ascii="Times New Roman" w:eastAsia="Times New Roman" w:hAnsi="Times New Roman" w:cs="Times New Roman"/>
          <w:sz w:val="24"/>
          <w:szCs w:val="24"/>
        </w:rPr>
        <w:fldChar w:fldCharType="begin"/>
      </w:r>
      <w:r w:rsidR="00AB279D">
        <w:rPr>
          <w:rFonts w:ascii="Times New Roman" w:eastAsia="Times New Roman" w:hAnsi="Times New Roman" w:cs="Times New Roman"/>
          <w:sz w:val="24"/>
          <w:szCs w:val="24"/>
        </w:rPr>
        <w:instrText xml:space="preserve"> ADDIN ZOTERO_ITEM CSL_CITATION {"citationID":"NXAxp4Le","properties":{"formattedCitation":"(Meng et al., 2019b)","plainCitation":"(Meng et al., 2019b)","noteIndex":0},"citationItems":[{"id":150,"uris":["http://zotero.org/users/11450443/items/BD7MHGRJ"],"itemData":{"id":150,"type":"article-journal","abstract":"A novel bis-furan diepoxides(OmbFdE) was developed via a mild\nand scalable route, and eco-friendly applied in epoxy resins, which\nbehaved good thermal stability. Especially for the formulation\nOmbFdE/2,2'-(ethane-1,2-diylbis(oxy)) bis(ethan-1-amine) (TEGA),\na comparable lower heat release and carbon wall accounted for\nthe outstanding flame retardancy, indicating the potential\napplication in engineering.","container-title":"Polymer Chemistry","DOI":"10.1039/C9PY00202B","ISSN":"1759-9954, 1759-9962","issue":"1","journalAbbreviation":"Polym. Chem.","language":"en","page":"36-43","source":"DOI.org (Crossref)","title":"Sustainable Bio-based Furan Epoxy Resin with Flame Retardancy","volume":"7","author":[{"family":"Meng","given":"Jingjing"},{"family":"Zeng","given":"Yushun"},{"family":"Zhu","given":"Guiqin"},{"family":"Zhang","given":"Jie"},{"family":"Chen","given":"Pengfei"},{"family":"Yao","given":"Cheng"},{"family":"Fang","given":"Zheng"},{"family":"Guo","given":"Kai"}],"issued":{"date-parts":[["2019"]]}}}],"schema":"https://github.com/citation-style-language/schema/raw/master/csl-citation.json"} </w:instrText>
      </w:r>
      <w:r w:rsidR="00FD7E85" w:rsidRPr="00B35135">
        <w:rPr>
          <w:rFonts w:ascii="Times New Roman" w:eastAsia="Times New Roman" w:hAnsi="Times New Roman" w:cs="Times New Roman"/>
          <w:sz w:val="24"/>
          <w:szCs w:val="24"/>
        </w:rPr>
        <w:fldChar w:fldCharType="separate"/>
      </w:r>
      <w:r w:rsidR="00AB279D" w:rsidRPr="00AB279D">
        <w:rPr>
          <w:rFonts w:ascii="Times New Roman" w:hAnsi="Times New Roman" w:cs="Times New Roman"/>
          <w:sz w:val="24"/>
        </w:rPr>
        <w:t>(Meng et al., 2019b)</w:t>
      </w:r>
      <w:r w:rsidR="00FD7E85" w:rsidRPr="00B35135">
        <w:rPr>
          <w:rFonts w:ascii="Times New Roman" w:eastAsia="Times New Roman" w:hAnsi="Times New Roman" w:cs="Times New Roman"/>
          <w:sz w:val="24"/>
          <w:szCs w:val="24"/>
        </w:rPr>
        <w:fldChar w:fldCharType="end"/>
      </w:r>
      <w:r w:rsidR="00AD4750">
        <w:rPr>
          <w:rFonts w:ascii="Times New Roman" w:eastAsia="Times New Roman" w:hAnsi="Times New Roman" w:cs="Times New Roman"/>
          <w:sz w:val="24"/>
          <w:szCs w:val="24"/>
        </w:rPr>
        <w:t>.</w:t>
      </w:r>
      <w:r w:rsidR="007F04B8" w:rsidRPr="00A505AF">
        <w:rPr>
          <w:rFonts w:ascii="Times New Roman" w:eastAsia="Times New Roman" w:hAnsi="Times New Roman" w:cs="Times New Roman"/>
          <w:sz w:val="24"/>
          <w:szCs w:val="24"/>
        </w:rPr>
        <w:t xml:space="preserve"> </w:t>
      </w:r>
      <w:r w:rsidR="00C91460">
        <w:rPr>
          <w:rFonts w:ascii="Times New Roman" w:eastAsia="Times New Roman" w:hAnsi="Times New Roman" w:cs="Times New Roman"/>
          <w:sz w:val="24"/>
          <w:szCs w:val="24"/>
        </w:rPr>
        <w:t>E</w:t>
      </w:r>
      <w:r w:rsidR="00F32DC3">
        <w:rPr>
          <w:rFonts w:ascii="Times New Roman" w:eastAsia="Times New Roman" w:hAnsi="Times New Roman" w:cs="Times New Roman"/>
          <w:sz w:val="24"/>
          <w:szCs w:val="24"/>
        </w:rPr>
        <w:t>poxy</w:t>
      </w:r>
      <w:r w:rsidR="004F63CA">
        <w:rPr>
          <w:rFonts w:ascii="Times New Roman" w:eastAsia="Times New Roman" w:hAnsi="Times New Roman" w:cs="Times New Roman"/>
          <w:sz w:val="24"/>
          <w:szCs w:val="24"/>
        </w:rPr>
        <w:t xml:space="preserve"> </w:t>
      </w:r>
      <w:r w:rsidR="007F04B8" w:rsidRPr="00A505AF">
        <w:rPr>
          <w:rFonts w:ascii="Times New Roman" w:eastAsia="Times New Roman" w:hAnsi="Times New Roman" w:cs="Times New Roman"/>
          <w:sz w:val="24"/>
          <w:szCs w:val="24"/>
        </w:rPr>
        <w:t>FDCA-based resins displayed higher </w:t>
      </w:r>
      <w:r w:rsidR="00B457D2" w:rsidRPr="00A505AF">
        <w:rPr>
          <w:rFonts w:ascii="Times New Roman" w:eastAsia="Times New Roman" w:hAnsi="Times New Roman" w:cs="Times New Roman"/>
          <w:sz w:val="24"/>
          <w:szCs w:val="24"/>
        </w:rPr>
        <w:t>glass transition temperature (</w:t>
      </w:r>
      <w:r w:rsidR="007F04B8" w:rsidRPr="00A505AF">
        <w:rPr>
          <w:rFonts w:ascii="Times New Roman" w:eastAsia="Times New Roman" w:hAnsi="Times New Roman" w:cs="Times New Roman"/>
          <w:i/>
          <w:iCs/>
          <w:sz w:val="24"/>
          <w:szCs w:val="24"/>
        </w:rPr>
        <w:t>T</w:t>
      </w:r>
      <w:r w:rsidR="007F04B8" w:rsidRPr="00A505AF">
        <w:rPr>
          <w:rFonts w:ascii="Times New Roman" w:eastAsia="Times New Roman" w:hAnsi="Times New Roman" w:cs="Times New Roman"/>
          <w:i/>
          <w:iCs/>
          <w:sz w:val="24"/>
          <w:szCs w:val="24"/>
          <w:vertAlign w:val="subscript"/>
        </w:rPr>
        <w:t>g</w:t>
      </w:r>
      <w:r w:rsidR="00B457D2" w:rsidRPr="00A505AF">
        <w:rPr>
          <w:rFonts w:ascii="Times New Roman" w:eastAsia="Times New Roman" w:hAnsi="Times New Roman" w:cs="Times New Roman"/>
          <w:sz w:val="24"/>
          <w:szCs w:val="24"/>
        </w:rPr>
        <w:t xml:space="preserve">) </w:t>
      </w:r>
      <w:r w:rsidR="007F04B8" w:rsidRPr="00A505AF">
        <w:rPr>
          <w:rFonts w:ascii="Times New Roman" w:eastAsia="Times New Roman" w:hAnsi="Times New Roman" w:cs="Times New Roman"/>
          <w:sz w:val="24"/>
          <w:szCs w:val="24"/>
        </w:rPr>
        <w:t xml:space="preserve">values </w:t>
      </w:r>
      <w:r w:rsidR="00353595" w:rsidRPr="00A505AF">
        <w:rPr>
          <w:rFonts w:ascii="Times New Roman" w:eastAsia="Times New Roman" w:hAnsi="Times New Roman" w:cs="Times New Roman"/>
          <w:sz w:val="24"/>
          <w:szCs w:val="24"/>
        </w:rPr>
        <w:t>compared to other</w:t>
      </w:r>
      <w:r w:rsidR="007F04B8" w:rsidRPr="00A505AF">
        <w:rPr>
          <w:rFonts w:ascii="Times New Roman" w:eastAsia="Times New Roman" w:hAnsi="Times New Roman" w:cs="Times New Roman"/>
          <w:sz w:val="24"/>
          <w:szCs w:val="24"/>
        </w:rPr>
        <w:t xml:space="preserve"> bio-based epoxy resins</w:t>
      </w:r>
      <w:r w:rsidR="00AD4750">
        <w:rPr>
          <w:rFonts w:ascii="Times New Roman" w:eastAsia="Times New Roman" w:hAnsi="Times New Roman" w:cs="Times New Roman"/>
          <w:sz w:val="24"/>
          <w:szCs w:val="24"/>
        </w:rPr>
        <w:t xml:space="preserve"> </w:t>
      </w:r>
      <w:r w:rsidR="00FD7E85">
        <w:rPr>
          <w:rFonts w:ascii="Times New Roman" w:eastAsia="Times New Roman" w:hAnsi="Times New Roman" w:cs="Times New Roman"/>
          <w:sz w:val="24"/>
          <w:szCs w:val="24"/>
        </w:rPr>
        <w:fldChar w:fldCharType="begin"/>
      </w:r>
      <w:r w:rsidR="00AB279D">
        <w:rPr>
          <w:rFonts w:ascii="Times New Roman" w:eastAsia="Times New Roman" w:hAnsi="Times New Roman" w:cs="Times New Roman"/>
          <w:sz w:val="24"/>
          <w:szCs w:val="24"/>
        </w:rPr>
        <w:instrText xml:space="preserve"> ADDIN ZOTERO_ITEM CSL_CITATION {"citationID":"R4YYD23T","properties":{"formattedCitation":"(Meng et al., 2019a)","plainCitation":"(Meng et al., 2019a)","noteIndex":0},"citationItems":[{"id":169,"uris":["http://zotero.org/users/11450443/items/DIZB2B98"],"itemData":{"id":169,"type":"article-journal","abstract":"Novel resins were synthesized from diglycidyl ester of 2,5-furandicarboxylic acid (DGF) and 3,3′-diamino diphenylsulfone (33DDS) and 4,4′-diamino diphenyl-sulfone (44DDS), respectively. The networks possessed ultra high stiﬀness (E'= 4.02 GPa) and the highest Tg (216 °C) in biomass-based epoxy resins to date, which allows their potential applications in many cutting-edge areas.","container-title":"European Polymer Journal","DOI":"10.1016/j.eurpolymj.2019.109292","ISSN":"00143057","journalAbbreviation":"European Polymer Journal","language":"en","page":"109292","source":"DOI.org (Crossref)","title":"New ultrastiff bio-furan epoxy networks with high Tg: Facile synthesis to excellent properties","title-short":"New ultrastiff bio-furan epoxy networks with high Tg","volume":"121","author":[{"family":"Meng","given":"Jingjing"},{"family":"Zeng","given":"Yushun"},{"family":"Chen","given":"Pengfei"},{"family":"Zhang","given":"Jie"},{"family":"Yao","given":"Cheng"},{"family":"Fang","given":"Zheng"},{"family":"Guo","given":"Kai"}],"issued":{"date-parts":[["2019",12]]}}}],"schema":"https://github.com/citation-style-language/schema/raw/master/csl-citation.json"} </w:instrText>
      </w:r>
      <w:r w:rsidR="00FD7E85">
        <w:rPr>
          <w:rFonts w:ascii="Times New Roman" w:eastAsia="Times New Roman" w:hAnsi="Times New Roman" w:cs="Times New Roman"/>
          <w:sz w:val="24"/>
          <w:szCs w:val="24"/>
        </w:rPr>
        <w:fldChar w:fldCharType="separate"/>
      </w:r>
      <w:r w:rsidR="00AB279D" w:rsidRPr="00AB279D">
        <w:rPr>
          <w:rFonts w:ascii="Times New Roman" w:hAnsi="Times New Roman" w:cs="Times New Roman"/>
          <w:sz w:val="24"/>
        </w:rPr>
        <w:t>(Meng et al., 2019a)</w:t>
      </w:r>
      <w:r w:rsidR="00FD7E85">
        <w:rPr>
          <w:rFonts w:ascii="Times New Roman" w:eastAsia="Times New Roman" w:hAnsi="Times New Roman" w:cs="Times New Roman"/>
          <w:sz w:val="24"/>
          <w:szCs w:val="24"/>
        </w:rPr>
        <w:fldChar w:fldCharType="end"/>
      </w:r>
      <w:r w:rsidR="00AD4750">
        <w:rPr>
          <w:rFonts w:ascii="Times New Roman" w:eastAsia="Times New Roman" w:hAnsi="Times New Roman" w:cs="Times New Roman"/>
          <w:sz w:val="24"/>
          <w:szCs w:val="24"/>
        </w:rPr>
        <w:t>.</w:t>
      </w:r>
      <w:r w:rsidR="007F04B8" w:rsidRPr="00A505AF">
        <w:rPr>
          <w:rFonts w:ascii="Times New Roman" w:eastAsia="Times New Roman" w:hAnsi="Times New Roman" w:cs="Times New Roman"/>
          <w:sz w:val="24"/>
          <w:szCs w:val="24"/>
        </w:rPr>
        <w:t xml:space="preserve"> </w:t>
      </w:r>
      <w:r w:rsidR="00D46F4C">
        <w:rPr>
          <w:rFonts w:ascii="Times New Roman" w:eastAsia="Times New Roman" w:hAnsi="Times New Roman" w:cs="Times New Roman"/>
          <w:sz w:val="24"/>
          <w:szCs w:val="24"/>
        </w:rPr>
        <w:t xml:space="preserve">This observation was ascribed </w:t>
      </w:r>
      <w:r w:rsidR="007F04B8" w:rsidRPr="00A505AF">
        <w:rPr>
          <w:rFonts w:ascii="Times New Roman" w:eastAsia="Times New Roman" w:hAnsi="Times New Roman" w:cs="Times New Roman"/>
          <w:sz w:val="24"/>
          <w:szCs w:val="24"/>
        </w:rPr>
        <w:t xml:space="preserve">to the formation of hydrogen </w:t>
      </w:r>
      <w:r w:rsidR="00151E2F" w:rsidRPr="00A505AF">
        <w:rPr>
          <w:rFonts w:ascii="Times New Roman" w:eastAsia="Times New Roman" w:hAnsi="Times New Roman" w:cs="Times New Roman"/>
          <w:sz w:val="24"/>
          <w:szCs w:val="24"/>
        </w:rPr>
        <w:t>bond</w:t>
      </w:r>
      <w:r w:rsidR="00151E2F">
        <w:rPr>
          <w:rFonts w:ascii="Times New Roman" w:eastAsia="Times New Roman" w:hAnsi="Times New Roman" w:cs="Times New Roman"/>
          <w:sz w:val="24"/>
          <w:szCs w:val="24"/>
        </w:rPr>
        <w:t>s</w:t>
      </w:r>
      <w:r w:rsidR="00151E2F" w:rsidRPr="00A505AF">
        <w:rPr>
          <w:rFonts w:ascii="Times New Roman" w:eastAsia="Times New Roman" w:hAnsi="Times New Roman" w:cs="Times New Roman"/>
          <w:sz w:val="24"/>
          <w:szCs w:val="24"/>
        </w:rPr>
        <w:t xml:space="preserve"> </w:t>
      </w:r>
      <w:r w:rsidR="007F04B8" w:rsidRPr="00A505AF">
        <w:rPr>
          <w:rFonts w:ascii="Times New Roman" w:eastAsia="Times New Roman" w:hAnsi="Times New Roman" w:cs="Times New Roman"/>
          <w:sz w:val="24"/>
          <w:szCs w:val="24"/>
        </w:rPr>
        <w:t>between the oxygen in the furan ring and the alcohols formed during the curing of the epoxide, providing the resin superior stability which eventually reflects on their thermal properties</w:t>
      </w:r>
      <w:r w:rsidR="00AD4750">
        <w:rPr>
          <w:rFonts w:ascii="Times New Roman" w:eastAsia="Times New Roman" w:hAnsi="Times New Roman" w:cs="Times New Roman"/>
          <w:sz w:val="24"/>
          <w:szCs w:val="24"/>
        </w:rPr>
        <w:t xml:space="preserve"> </w:t>
      </w:r>
      <w:r w:rsidR="00FD7E85">
        <w:rPr>
          <w:rFonts w:ascii="Times New Roman" w:eastAsia="Times New Roman" w:hAnsi="Times New Roman" w:cs="Times New Roman"/>
          <w:sz w:val="24"/>
          <w:szCs w:val="24"/>
        </w:rPr>
        <w:fldChar w:fldCharType="begin"/>
      </w:r>
      <w:r w:rsidR="00AB279D">
        <w:rPr>
          <w:rFonts w:ascii="Times New Roman" w:eastAsia="Times New Roman" w:hAnsi="Times New Roman" w:cs="Times New Roman"/>
          <w:sz w:val="24"/>
          <w:szCs w:val="24"/>
        </w:rPr>
        <w:instrText xml:space="preserve"> ADDIN ZOTERO_ITEM CSL_CITATION {"citationID":"qAdPo2gk","properties":{"formattedCitation":"(Liu et al., 2020)","plainCitation":"(Liu et al., 2020)","noteIndex":0},"citationItems":[{"id":161,"uris":["http://zotero.org/users/11450443/items/8FTCS84A"],"itemData":{"id":161,"type":"article-journal","abstract":"Epoxy derived from heteroaromatic compounds and its properties are seldom reported. In this work, two model epoxy monomers (EP-B and EP-F) were synthesized from isophthalic acid and 2,5-furandicarboxylic acid. After curing with 4,4-diaminodiphenylmethane (DDM) in a stoichiometric quantity of 2:1, their properties were comparatively investigated, especially the formation and role of hydrogen bonding in them were identiﬁed. Results obtained from diﬀerential scanning calorimetry (DSC), dynamic thermomechanical analysis (DMA), ﬂuorescence emission spectra, and static contact angle measurements showed that the cured EP-F/DDM system exhibited unexpected performance in higher glass transition temperature (Tg), ﬂuorescence intensity, and hydrophilicity. And temperature-dependent Fourier transform infrared (FTIR) analysis further conﬁrmed that it was the more hydrogen bonding in the cured EP-F/DDM, involved with the oxygen heteroatoms in the furan ring, which led to its better properties. This work gives us some new insights into the role of electronegative heteroatoms in epoxy resin synthesized from heteroaromatic compounds.","container-title":"Industrial &amp; Engineering Chemistry Research","DOI":"10.1021/acs.iecr.9b05904","ISSN":"0888-5885, 1520-5045","issue":"5","journalAbbreviation":"Ind. Eng. Chem. Res.","language":"en","page":"1914-1924","source":"DOI.org (Crossref)","title":"Comparative Study on the Properties of Epoxy Derived from Aromatic and Heteroaromatic Compounds: The Role of Hydrogen Bonding","title-short":"Comparative Study on the Properties of Epoxy Derived from Aromatic and Heteroaromatic Compounds","volume":"59","author":[{"family":"Liu","given":"Yuan"},{"family":"Zhao","given":"Jun"},{"family":"Peng","given":"Yunyan"},{"family":"Luo","given":"Jun"},{"family":"Cao","given":"Lijun"},{"family":"Liu","given":"Xiaoqing"}],"issued":{"date-parts":[["2020",2,5]]}}}],"schema":"https://github.com/citation-style-language/schema/raw/master/csl-citation.json"} </w:instrText>
      </w:r>
      <w:r w:rsidR="00FD7E85">
        <w:rPr>
          <w:rFonts w:ascii="Times New Roman" w:eastAsia="Times New Roman" w:hAnsi="Times New Roman" w:cs="Times New Roman"/>
          <w:sz w:val="24"/>
          <w:szCs w:val="24"/>
        </w:rPr>
        <w:fldChar w:fldCharType="separate"/>
      </w:r>
      <w:r w:rsidR="00AB279D" w:rsidRPr="00AB279D">
        <w:rPr>
          <w:rFonts w:ascii="Times New Roman" w:hAnsi="Times New Roman" w:cs="Times New Roman"/>
          <w:sz w:val="24"/>
        </w:rPr>
        <w:t>(Liu et al., 2020)</w:t>
      </w:r>
      <w:r w:rsidR="00FD7E85">
        <w:rPr>
          <w:rFonts w:ascii="Times New Roman" w:eastAsia="Times New Roman" w:hAnsi="Times New Roman" w:cs="Times New Roman"/>
          <w:sz w:val="24"/>
          <w:szCs w:val="24"/>
        </w:rPr>
        <w:fldChar w:fldCharType="end"/>
      </w:r>
      <w:r w:rsidR="00AD4750">
        <w:rPr>
          <w:rFonts w:ascii="Times New Roman" w:eastAsia="Times New Roman" w:hAnsi="Times New Roman" w:cs="Times New Roman"/>
          <w:sz w:val="24"/>
          <w:szCs w:val="24"/>
        </w:rPr>
        <w:t>.</w:t>
      </w:r>
    </w:p>
    <w:p w14:paraId="0A1CDFEB" w14:textId="77777777" w:rsidR="00190C53" w:rsidRDefault="007C5FEE" w:rsidP="00D46F4C">
      <w:pPr>
        <w:spacing w:after="0" w:line="480" w:lineRule="auto"/>
        <w:jc w:val="both"/>
        <w:rPr>
          <w:rFonts w:ascii="Times New Roman" w:eastAsia="Times New Roman" w:hAnsi="Times New Roman" w:cs="Times New Roman"/>
          <w:sz w:val="24"/>
          <w:szCs w:val="24"/>
        </w:rPr>
      </w:pPr>
      <w:r w:rsidRPr="007C5FEE">
        <w:rPr>
          <w:rFonts w:ascii="Times New Roman" w:eastAsia="Times New Roman" w:hAnsi="Times New Roman" w:cs="Times New Roman"/>
          <w:sz w:val="24"/>
          <w:szCs w:val="24"/>
        </w:rPr>
        <w:t xml:space="preserve">Although resins based on </w:t>
      </w:r>
      <w:r w:rsidR="000F4708">
        <w:rPr>
          <w:rFonts w:ascii="Times New Roman" w:eastAsia="Times New Roman" w:hAnsi="Times New Roman" w:cs="Times New Roman"/>
          <w:sz w:val="24"/>
          <w:szCs w:val="24"/>
        </w:rPr>
        <w:t xml:space="preserve">epoxy </w:t>
      </w:r>
      <w:r w:rsidRPr="007C5FEE">
        <w:rPr>
          <w:rFonts w:ascii="Times New Roman" w:eastAsia="Times New Roman" w:hAnsi="Times New Roman" w:cs="Times New Roman"/>
          <w:sz w:val="24"/>
          <w:szCs w:val="24"/>
        </w:rPr>
        <w:t>FDCA</w:t>
      </w:r>
      <w:r w:rsidR="000F4708">
        <w:rPr>
          <w:rFonts w:ascii="Times New Roman" w:eastAsia="Times New Roman" w:hAnsi="Times New Roman" w:cs="Times New Roman"/>
          <w:sz w:val="24"/>
          <w:szCs w:val="24"/>
        </w:rPr>
        <w:t xml:space="preserve"> monomers</w:t>
      </w:r>
      <w:r w:rsidRPr="007C5FEE">
        <w:rPr>
          <w:rFonts w:ascii="Times New Roman" w:eastAsia="Times New Roman" w:hAnsi="Times New Roman" w:cs="Times New Roman"/>
          <w:sz w:val="24"/>
          <w:szCs w:val="24"/>
        </w:rPr>
        <w:t xml:space="preserve"> </w:t>
      </w:r>
      <w:r w:rsidR="00190C53" w:rsidRPr="007C5FEE">
        <w:rPr>
          <w:rFonts w:ascii="Times New Roman" w:eastAsia="Times New Roman" w:hAnsi="Times New Roman" w:cs="Times New Roman"/>
          <w:sz w:val="24"/>
          <w:szCs w:val="24"/>
        </w:rPr>
        <w:t>display</w:t>
      </w:r>
      <w:r w:rsidR="00190C53">
        <w:rPr>
          <w:rFonts w:ascii="Times New Roman" w:eastAsia="Times New Roman" w:hAnsi="Times New Roman" w:cs="Times New Roman"/>
          <w:sz w:val="24"/>
          <w:szCs w:val="24"/>
        </w:rPr>
        <w:t>ed</w:t>
      </w:r>
      <w:r w:rsidRPr="007C5FEE">
        <w:rPr>
          <w:rFonts w:ascii="Times New Roman" w:eastAsia="Times New Roman" w:hAnsi="Times New Roman" w:cs="Times New Roman"/>
          <w:sz w:val="24"/>
          <w:szCs w:val="24"/>
        </w:rPr>
        <w:t xml:space="preserve"> great promise due to their enhanced thermal properties and renewable origin, the synthetic routes for producing the key epoxide intermediates are far from</w:t>
      </w:r>
      <w:r w:rsidR="00190C53">
        <w:rPr>
          <w:rFonts w:ascii="Times New Roman" w:eastAsia="Times New Roman" w:hAnsi="Times New Roman" w:cs="Times New Roman"/>
          <w:sz w:val="24"/>
          <w:szCs w:val="24"/>
        </w:rPr>
        <w:t xml:space="preserve"> being</w:t>
      </w:r>
      <w:r w:rsidRPr="007C5FEE">
        <w:rPr>
          <w:rFonts w:ascii="Times New Roman" w:eastAsia="Times New Roman" w:hAnsi="Times New Roman" w:cs="Times New Roman"/>
          <w:sz w:val="24"/>
          <w:szCs w:val="24"/>
        </w:rPr>
        <w:t xml:space="preserve"> environmentally friendly. </w:t>
      </w:r>
    </w:p>
    <w:p w14:paraId="354D59EC" w14:textId="2FD143A5" w:rsidR="00B91BE9" w:rsidRPr="00C925A5" w:rsidRDefault="00B91BE9" w:rsidP="00D46F4C">
      <w:pPr>
        <w:spacing w:after="0" w:line="480" w:lineRule="auto"/>
        <w:jc w:val="both"/>
        <w:rPr>
          <w:rFonts w:ascii="Times New Roman" w:eastAsia="Times New Roman" w:hAnsi="Times New Roman" w:cs="Times New Roman"/>
          <w:sz w:val="24"/>
          <w:szCs w:val="24"/>
        </w:rPr>
      </w:pPr>
      <w:r w:rsidRPr="00C925A5">
        <w:rPr>
          <w:rFonts w:ascii="Times New Roman" w:eastAsia="Times New Roman" w:hAnsi="Times New Roman" w:cs="Times New Roman"/>
          <w:sz w:val="24"/>
          <w:szCs w:val="24"/>
        </w:rPr>
        <w:t>In this context, the synthesis of the diglycidyl ester of 2,5-furandicarboxylic acid (DGF), also known as bis(oxiran-2-ylmethyl) furan-2,5-dicarboxylate, serves as a case study.</w:t>
      </w:r>
    </w:p>
    <w:p w14:paraId="737F7C3C" w14:textId="08493DBE" w:rsidR="00B91BE9" w:rsidRPr="004D2D96" w:rsidRDefault="00B91BE9" w:rsidP="00B91BE9">
      <w:pPr>
        <w:spacing w:line="480" w:lineRule="auto"/>
        <w:jc w:val="both"/>
        <w:rPr>
          <w:rFonts w:ascii="Times New Roman" w:eastAsia="Times New Roman" w:hAnsi="Times New Roman" w:cs="Times New Roman"/>
          <w:sz w:val="24"/>
          <w:szCs w:val="24"/>
          <w:lang w:val="fr-FR"/>
        </w:rPr>
      </w:pPr>
      <w:r w:rsidRPr="00C925A5">
        <w:rPr>
          <w:rFonts w:ascii="Times New Roman" w:eastAsia="Times New Roman" w:hAnsi="Times New Roman" w:cs="Times New Roman"/>
          <w:sz w:val="24"/>
          <w:szCs w:val="24"/>
        </w:rPr>
        <w:t xml:space="preserve">Currently, there are two main methods for synthesizing DGF, both of which present significant environmental challenges. The first method involves the use of chlorinated compounds. Examples include: </w:t>
      </w:r>
      <w:r w:rsidR="00373FCF">
        <w:rPr>
          <w:rFonts w:ascii="Times New Roman" w:eastAsia="Times New Roman" w:hAnsi="Times New Roman" w:cs="Times New Roman"/>
          <w:sz w:val="24"/>
          <w:szCs w:val="24"/>
        </w:rPr>
        <w:t>(</w:t>
      </w:r>
      <w:r w:rsidR="00AD4750">
        <w:rPr>
          <w:rFonts w:ascii="Times New Roman" w:eastAsia="Times New Roman" w:hAnsi="Times New Roman" w:cs="Times New Roman"/>
          <w:sz w:val="24"/>
          <w:szCs w:val="24"/>
        </w:rPr>
        <w:t>i) t</w:t>
      </w:r>
      <w:r w:rsidRPr="00C925A5">
        <w:rPr>
          <w:rFonts w:ascii="Times New Roman" w:eastAsia="Times New Roman" w:hAnsi="Times New Roman" w:cs="Times New Roman"/>
          <w:sz w:val="24"/>
          <w:szCs w:val="24"/>
        </w:rPr>
        <w:t xml:space="preserve">he reaction </w:t>
      </w:r>
      <w:r w:rsidR="009821F2">
        <w:rPr>
          <w:rFonts w:ascii="Times New Roman" w:eastAsia="Times New Roman" w:hAnsi="Times New Roman" w:cs="Times New Roman"/>
          <w:sz w:val="24"/>
          <w:szCs w:val="24"/>
        </w:rPr>
        <w:t xml:space="preserve">of </w:t>
      </w:r>
      <w:r w:rsidRPr="00C925A5">
        <w:rPr>
          <w:rFonts w:ascii="Times New Roman" w:eastAsia="Times New Roman" w:hAnsi="Times New Roman" w:cs="Times New Roman"/>
          <w:sz w:val="24"/>
          <w:szCs w:val="24"/>
        </w:rPr>
        <w:t>epichlorohydrin (ECH) with FDCA</w:t>
      </w:r>
      <w:r w:rsidR="00AD4750">
        <w:rPr>
          <w:rFonts w:ascii="Times New Roman" w:eastAsia="Times New Roman" w:hAnsi="Times New Roman" w:cs="Times New Roman"/>
          <w:sz w:val="24"/>
          <w:szCs w:val="24"/>
        </w:rPr>
        <w:t xml:space="preserve"> </w:t>
      </w:r>
      <w:r w:rsidR="00FD7E85">
        <w:rPr>
          <w:rFonts w:ascii="Times New Roman" w:eastAsia="Times New Roman" w:hAnsi="Times New Roman" w:cs="Times New Roman"/>
          <w:sz w:val="24"/>
          <w:szCs w:val="24"/>
        </w:rPr>
        <w:fldChar w:fldCharType="begin"/>
      </w:r>
      <w:r w:rsidR="00AB279D">
        <w:rPr>
          <w:rFonts w:ascii="Times New Roman" w:eastAsia="Times New Roman" w:hAnsi="Times New Roman" w:cs="Times New Roman"/>
          <w:sz w:val="24"/>
          <w:szCs w:val="24"/>
        </w:rPr>
        <w:instrText xml:space="preserve"> ADDIN ZOTERO_ITEM CSL_CITATION {"citationID":"NtdPgW4e","properties":{"formattedCitation":"(Marotta et al., 2018)","plainCitation":"(Marotta et al., 2018)","noteIndex":0},"citationItems":[{"id":127,"uris":["http://zotero.org/users/11450443/items/BCEK6HME"],"itemData":{"id":127,"type":"article-journal","abstract":"Two eco-respectful, one-step synthetic routes for the preparation of a bio-based epoxy monomer derived from furan precursors are developed.\n          , \n            Two eco-respectful, one-step synthetic routes for the preparation of a bio-based epoxy monomer derived from furan precursors are developed. The diglycidyl ester products are throughly characterized in terms of structure and thermal properties. Gathered results indicate that the two selected approaches allow the preparation of pure, furanic diglycidyl ester, which represents a viable bio-based alternative to its petrochemical aromatic counterpart.","container-title":"RSC Advances","DOI":"10.1039/C8RA02739K","ISSN":"2046-2069","issue":"29","journalAbbreviation":"RSC Adv.","language":"en","page":"16330-16335","source":"DOI.org (Crossref)","title":"Green approaches in the synthesis of furan-based diepoxy monomers","volume":"8","author":[{"family":"Marotta","given":"Angela"},{"family":"Ambrogi","given":"Veronica"},{"family":"Cerruti","given":"Pierfrancesco"},{"family":"Mija","given":"Alice"}],"issued":{"date-parts":[["2018"]]}}}],"schema":"https://github.com/citation-style-language/schema/raw/master/csl-citation.json"} </w:instrText>
      </w:r>
      <w:r w:rsidR="00FD7E85">
        <w:rPr>
          <w:rFonts w:ascii="Times New Roman" w:eastAsia="Times New Roman" w:hAnsi="Times New Roman" w:cs="Times New Roman"/>
          <w:sz w:val="24"/>
          <w:szCs w:val="24"/>
        </w:rPr>
        <w:fldChar w:fldCharType="separate"/>
      </w:r>
      <w:r w:rsidR="00AB279D" w:rsidRPr="00AB279D">
        <w:rPr>
          <w:rFonts w:ascii="Times New Roman" w:hAnsi="Times New Roman" w:cs="Times New Roman"/>
          <w:sz w:val="24"/>
        </w:rPr>
        <w:t>(Marotta et al., 2018)</w:t>
      </w:r>
      <w:r w:rsidR="00FD7E85">
        <w:rPr>
          <w:rFonts w:ascii="Times New Roman" w:eastAsia="Times New Roman" w:hAnsi="Times New Roman" w:cs="Times New Roman"/>
          <w:sz w:val="24"/>
          <w:szCs w:val="24"/>
        </w:rPr>
        <w:fldChar w:fldCharType="end"/>
      </w:r>
      <w:r w:rsidR="00AD4750">
        <w:rPr>
          <w:rFonts w:ascii="Times New Roman" w:eastAsia="Times New Roman" w:hAnsi="Times New Roman" w:cs="Times New Roman"/>
          <w:sz w:val="24"/>
          <w:szCs w:val="24"/>
        </w:rPr>
        <w:t>;</w:t>
      </w:r>
      <w:r w:rsidRPr="00C925A5">
        <w:rPr>
          <w:rFonts w:ascii="Times New Roman" w:eastAsia="Times New Roman" w:hAnsi="Times New Roman" w:cs="Times New Roman"/>
          <w:sz w:val="24"/>
          <w:szCs w:val="24"/>
        </w:rPr>
        <w:t xml:space="preserve"> </w:t>
      </w:r>
      <w:r w:rsidR="00AD4750">
        <w:rPr>
          <w:rFonts w:ascii="Times New Roman" w:eastAsia="Times New Roman" w:hAnsi="Times New Roman" w:cs="Times New Roman"/>
          <w:sz w:val="24"/>
          <w:szCs w:val="24"/>
        </w:rPr>
        <w:t>or</w:t>
      </w:r>
      <w:r w:rsidRPr="00C925A5">
        <w:rPr>
          <w:rFonts w:ascii="Times New Roman" w:eastAsia="Times New Roman" w:hAnsi="Times New Roman" w:cs="Times New Roman"/>
          <w:sz w:val="24"/>
          <w:szCs w:val="24"/>
        </w:rPr>
        <w:t xml:space="preserve"> </w:t>
      </w:r>
      <w:r w:rsidR="00373FCF">
        <w:rPr>
          <w:rFonts w:ascii="Times New Roman" w:eastAsia="Times New Roman" w:hAnsi="Times New Roman" w:cs="Times New Roman"/>
          <w:sz w:val="24"/>
          <w:szCs w:val="24"/>
        </w:rPr>
        <w:t>(</w:t>
      </w:r>
      <w:r w:rsidRPr="00C925A5">
        <w:rPr>
          <w:rFonts w:ascii="Times New Roman" w:eastAsia="Times New Roman" w:hAnsi="Times New Roman" w:cs="Times New Roman"/>
          <w:sz w:val="24"/>
          <w:szCs w:val="24"/>
        </w:rPr>
        <w:t>ii) the reaction of 2,5-furandicarbonyl dichloride with glycidol</w:t>
      </w:r>
      <w:r w:rsidR="00EA0A99">
        <w:rPr>
          <w:rFonts w:ascii="Times New Roman" w:eastAsia="Times New Roman" w:hAnsi="Times New Roman" w:cs="Times New Roman"/>
          <w:sz w:val="24"/>
          <w:szCs w:val="24"/>
        </w:rPr>
        <w:t xml:space="preserve"> </w:t>
      </w:r>
      <w:r w:rsidR="00FD7E85">
        <w:rPr>
          <w:rFonts w:ascii="Times New Roman" w:eastAsia="Times New Roman" w:hAnsi="Times New Roman" w:cs="Times New Roman"/>
          <w:sz w:val="24"/>
          <w:szCs w:val="24"/>
        </w:rPr>
        <w:fldChar w:fldCharType="begin"/>
      </w:r>
      <w:r w:rsidR="00AB279D">
        <w:rPr>
          <w:rFonts w:ascii="Times New Roman" w:eastAsia="Times New Roman" w:hAnsi="Times New Roman" w:cs="Times New Roman"/>
          <w:sz w:val="24"/>
          <w:szCs w:val="24"/>
        </w:rPr>
        <w:instrText xml:space="preserve"> ADDIN ZOTERO_ITEM CSL_CITATION {"citationID":"pgEsOlsi","properties":{"formattedCitation":"(Liu et al., 2020)","plainCitation":"(Liu et al., 2020)","noteIndex":0},"citationItems":[{"id":161,"uris":["http://zotero.org/users/11450443/items/8FTCS84A"],"itemData":{"id":161,"type":"article-journal","abstract":"Epoxy derived from heteroaromatic compounds and its properties are seldom reported. In this work, two model epoxy monomers (EP-B and EP-F) were synthesized from isophthalic acid and 2,5-furandicarboxylic acid. After curing with 4,4-diaminodiphenylmethane (DDM) in a stoichiometric quantity of 2:1, their properties were comparatively investigated, especially the formation and role of hydrogen bonding in them were identiﬁed. Results obtained from diﬀerential scanning calorimetry (DSC), dynamic thermomechanical analysis (DMA), ﬂuorescence emission spectra, and static contact angle measurements showed that the cured EP-F/DDM system exhibited unexpected performance in higher glass transition temperature (Tg), ﬂuorescence intensity, and hydrophilicity. And temperature-dependent Fourier transform infrared (FTIR) analysis further conﬁrmed that it was the more hydrogen bonding in the cured EP-F/DDM, involved with the oxygen heteroatoms in the furan ring, which led to its better properties. This work gives us some new insights into the role of electronegative heteroatoms in epoxy resin synthesized from heteroaromatic compounds.","container-title":"Industrial &amp; Engineering Chemistry Research","DOI":"10.1021/acs.iecr.9b05904","ISSN":"0888-5885, 1520-5045","issue":"5","journalAbbreviation":"Ind. Eng. Chem. Res.","language":"en","page":"1914-1924","source":"DOI.org (Crossref)","title":"Comparative Study on the Properties of Epoxy Derived from Aromatic and Heteroaromatic Compounds: The Role of Hydrogen Bonding","title-short":"Comparative Study on the Properties of Epoxy Derived from Aromatic and Heteroaromatic Compounds","volume":"59","author":[{"family":"Liu","given":"Yuan"},{"family":"Zhao","given":"Jun"},{"family":"Peng","given":"Yunyan"},{"family":"Luo","given":"Jun"},{"family":"Cao","given":"Lijun"},{"family":"Liu","given":"Xiaoqing"}],"issued":{"date-parts":[["2020",2,5]]}}}],"schema":"https://github.com/citation-style-language/schema/raw/master/csl-citation.json"} </w:instrText>
      </w:r>
      <w:r w:rsidR="00FD7E85">
        <w:rPr>
          <w:rFonts w:ascii="Times New Roman" w:eastAsia="Times New Roman" w:hAnsi="Times New Roman" w:cs="Times New Roman"/>
          <w:sz w:val="24"/>
          <w:szCs w:val="24"/>
        </w:rPr>
        <w:fldChar w:fldCharType="separate"/>
      </w:r>
      <w:r w:rsidR="00AB279D" w:rsidRPr="00AB279D">
        <w:rPr>
          <w:rFonts w:ascii="Times New Roman" w:hAnsi="Times New Roman" w:cs="Times New Roman"/>
          <w:sz w:val="24"/>
        </w:rPr>
        <w:t>(Liu et al., 2020)</w:t>
      </w:r>
      <w:r w:rsidR="00FD7E85">
        <w:rPr>
          <w:rFonts w:ascii="Times New Roman" w:eastAsia="Times New Roman" w:hAnsi="Times New Roman" w:cs="Times New Roman"/>
          <w:sz w:val="24"/>
          <w:szCs w:val="24"/>
        </w:rPr>
        <w:fldChar w:fldCharType="end"/>
      </w:r>
      <w:r w:rsidR="00AD4750">
        <w:rPr>
          <w:rFonts w:ascii="Times New Roman" w:eastAsia="Times New Roman" w:hAnsi="Times New Roman" w:cs="Times New Roman"/>
          <w:sz w:val="24"/>
          <w:szCs w:val="24"/>
        </w:rPr>
        <w:t xml:space="preserve"> (Scheme 2, reaction (I)).</w:t>
      </w:r>
      <w:r w:rsidRPr="00C925A5">
        <w:rPr>
          <w:rFonts w:ascii="Times New Roman" w:eastAsia="Times New Roman" w:hAnsi="Times New Roman" w:cs="Times New Roman"/>
          <w:sz w:val="24"/>
          <w:szCs w:val="24"/>
        </w:rPr>
        <w:t xml:space="preserve"> The second method follows a two-step process in which the furan monomer is initially reacted with an allylic compound, such as allyl bromide</w:t>
      </w:r>
      <w:r w:rsidR="004D2D96">
        <w:rPr>
          <w:rFonts w:ascii="Times New Roman" w:eastAsia="Times New Roman" w:hAnsi="Times New Roman" w:cs="Times New Roman"/>
          <w:sz w:val="24"/>
          <w:szCs w:val="24"/>
        </w:rPr>
        <w:t xml:space="preserve"> </w:t>
      </w:r>
      <w:r w:rsidR="00FD7E85">
        <w:rPr>
          <w:rFonts w:ascii="Times New Roman" w:eastAsia="Times New Roman" w:hAnsi="Times New Roman" w:cs="Times New Roman"/>
          <w:sz w:val="24"/>
          <w:szCs w:val="24"/>
        </w:rPr>
        <w:fldChar w:fldCharType="begin"/>
      </w:r>
      <w:r w:rsidR="00AB279D">
        <w:rPr>
          <w:rFonts w:ascii="Times New Roman" w:eastAsia="Times New Roman" w:hAnsi="Times New Roman" w:cs="Times New Roman"/>
          <w:sz w:val="24"/>
          <w:szCs w:val="24"/>
        </w:rPr>
        <w:instrText xml:space="preserve"> ADDIN ZOTERO_ITEM CSL_CITATION {"citationID":"UoVJOBrv","properties":{"formattedCitation":"(Deng et al., 2015; Meng et al., 2019a)","plainCitation":"(Deng et al., 2015; Meng et al., 2019a)","noteIndex":0},"citationItems":[{"id":146,"uris":["http://zotero.org/users/11450443/items/VQQ897PC"],"itemData":{"id":146,"type":"article-journal","abstract":"Based on the properties comparison between FDCA-based epoxy and TPA-based epoxy, FDCA has been regarded as an ideal renewable platform chemical for the synthesis of thermosetting resins with high performance.\n          , \n            \n              A bio-based epoxy monomer, diglycidyl ester of 2,5-furandicarboxylic acid (DGF) was synthesized for the first time from the renewable 2,5-furandicarboxylic acid (FDCA). For comparison study, its petroleum-based counterpart, diglycidyl ester of terephthalic acid (DGT) was also prepared. Their chemical structures were confirmed in detail by\n              1\n              H NMR,\n              13\n              C NMR and FT-IR before they were cured by methylhexahydrophthalic anhydride (MHHPA) and poly(propylene glycol)bis(2-aminopropyl ether) (D230), respectively. The curing behaviors were investigated using differential scanning calorimetry (DSC). The thermal mechanical properties and thermal stabilities of the cured resins were evaluated using dynamic mechanical analysis (DMA) and thermogravimetric analysis (TGA). Results showed that DGF displayed higher curing activity, elevated glass transition temperature and similar mechanical properties compared with those of the cured DGT. This study indicated that FDCA had a huge potential to replace the petroleum-based terephthalic acid in the synthesis of epoxy resins with satisfactory performance.","container-title":"RSC Advances","DOI":"10.1039/C5RA00242G","ISSN":"2046-2069","issue":"21","journalAbbreviation":"RSC Adv.","language":"en","page":"15930-15939","source":"DOI.org (Crossref)","title":"Synthesis and properties of a bio-based epoxy resin from 2,5-furandicarboxylic acid (FDCA)","volume":"5","author":</w:instrText>
      </w:r>
      <w:r w:rsidR="00AB279D" w:rsidRPr="00F847DA">
        <w:rPr>
          <w:rFonts w:ascii="Times New Roman" w:eastAsia="Times New Roman" w:hAnsi="Times New Roman" w:cs="Times New Roman"/>
          <w:sz w:val="24"/>
          <w:szCs w:val="24"/>
        </w:rPr>
        <w:instrText>[{"family":"Deng","given":"Jun"},{"family":"Liu","given":"Xiaoqing"},{"family":"Li","given":"Chao"},{"family":"Jiang","given":"Yanhua"},{"family":"Zhu","given":"Jin"}],"issued":{"date-parts":[["2015"]]}}},{"id":169,"uris":["http://zotero.org/users/11450443/items/DIZB2B98"],"itemData":{"id":169,"type":"article-journal","abstract":"Novel resins were synthesized from diglycidyl ester of 2,5-furandicarboxylic acid (DGF) and 3,3′-diamino diphenylsulfone (33DDS) and 4,4′-diamino diphenyl-sulfone (44DDS), respectively. The networks possessed ultra high sti</w:instrText>
      </w:r>
      <w:r w:rsidR="00AB279D">
        <w:rPr>
          <w:rFonts w:ascii="Times New Roman" w:eastAsia="Times New Roman" w:hAnsi="Times New Roman" w:cs="Times New Roman"/>
          <w:sz w:val="24"/>
          <w:szCs w:val="24"/>
        </w:rPr>
        <w:instrText>ﬀ</w:instrText>
      </w:r>
      <w:r w:rsidR="00AB279D" w:rsidRPr="00F847DA">
        <w:rPr>
          <w:rFonts w:ascii="Times New Roman" w:eastAsia="Times New Roman" w:hAnsi="Times New Roman" w:cs="Times New Roman"/>
          <w:sz w:val="24"/>
          <w:szCs w:val="24"/>
        </w:rPr>
        <w:instrText xml:space="preserve">ness (E'= 4.02 GPa) and the highest Tg (216 °C) in biomass-based epoxy resins to date, which allows their potential applications in many cutting-edge areas.","container-title":"European Polymer Journal","DOI":"10.1016/j.eurpolymj.2019.109292","ISSN":"00143057","journalAbbreviation":"European Polymer Journal","language":"en","page":"109292","source":"DOI.org (Crossref)","title":"New ultrastiff bio-furan epoxy networks with high Tg: Facile synthesis to excellent properties","title-short":"New ultrastiff bio-furan epoxy networks with high Tg","volume":"121","author":[{"family":"Meng","given":"Jingjing"},{"family":"Zeng","given":"Yushun"},{"family":"Chen","given":"Pengfei"},{"family":"Zhang","given":"Jie"},{"family":"Yao","given":"Cheng"},{"family":"Fang","given":"Zheng"},{"family":"Guo","given":"Kai"}],"issued":{"date-parts":[["2019",12]]}}}],"schema":"https://github.com/citation-style-language/schema/raw/master/csl-citation.json"} </w:instrText>
      </w:r>
      <w:r w:rsidR="00FD7E85">
        <w:rPr>
          <w:rFonts w:ascii="Times New Roman" w:eastAsia="Times New Roman" w:hAnsi="Times New Roman" w:cs="Times New Roman"/>
          <w:sz w:val="24"/>
          <w:szCs w:val="24"/>
        </w:rPr>
        <w:fldChar w:fldCharType="separate"/>
      </w:r>
      <w:r w:rsidR="00AB279D" w:rsidRPr="00F847DA">
        <w:rPr>
          <w:rFonts w:ascii="Times New Roman" w:hAnsi="Times New Roman" w:cs="Times New Roman"/>
          <w:sz w:val="24"/>
        </w:rPr>
        <w:t>(Deng et al., 2015; Meng et al., 2019a)</w:t>
      </w:r>
      <w:r w:rsidR="00FD7E85">
        <w:rPr>
          <w:rFonts w:ascii="Times New Roman" w:eastAsia="Times New Roman" w:hAnsi="Times New Roman" w:cs="Times New Roman"/>
          <w:sz w:val="24"/>
          <w:szCs w:val="24"/>
        </w:rPr>
        <w:fldChar w:fldCharType="end"/>
      </w:r>
      <w:r w:rsidR="00EA0A99" w:rsidRPr="00F847DA">
        <w:rPr>
          <w:rFonts w:ascii="Times New Roman" w:eastAsia="Times New Roman" w:hAnsi="Times New Roman" w:cs="Times New Roman"/>
          <w:sz w:val="24"/>
          <w:szCs w:val="24"/>
        </w:rPr>
        <w:t xml:space="preserve"> </w:t>
      </w:r>
      <w:r w:rsidRPr="00F847DA">
        <w:rPr>
          <w:rFonts w:ascii="Times New Roman" w:eastAsia="Times New Roman" w:hAnsi="Times New Roman" w:cs="Times New Roman"/>
          <w:sz w:val="24"/>
          <w:szCs w:val="24"/>
        </w:rPr>
        <w:t>or allyl alcohol</w:t>
      </w:r>
      <w:r w:rsidR="004D2D96" w:rsidRPr="00F847DA">
        <w:rPr>
          <w:rFonts w:ascii="Times New Roman" w:eastAsia="Times New Roman" w:hAnsi="Times New Roman" w:cs="Times New Roman"/>
          <w:sz w:val="24"/>
          <w:szCs w:val="24"/>
        </w:rPr>
        <w:t xml:space="preserve"> </w:t>
      </w:r>
      <w:r w:rsidR="00FD7E85">
        <w:rPr>
          <w:rFonts w:ascii="Times New Roman" w:eastAsia="Times New Roman" w:hAnsi="Times New Roman" w:cs="Times New Roman"/>
          <w:sz w:val="24"/>
          <w:szCs w:val="24"/>
        </w:rPr>
        <w:fldChar w:fldCharType="begin"/>
      </w:r>
      <w:r w:rsidR="00AB279D" w:rsidRPr="00F847DA">
        <w:rPr>
          <w:rFonts w:ascii="Times New Roman" w:eastAsia="Times New Roman" w:hAnsi="Times New Roman" w:cs="Times New Roman"/>
          <w:sz w:val="24"/>
          <w:szCs w:val="24"/>
        </w:rPr>
        <w:instrText xml:space="preserve"> ADDIN ZOTERO_ITEM CSL_CITATION {"citationID":"kDAXLGt7","properties":{"formattedCitation":"(Nameer et al., 2018)","plainCitation":"(Nameer et al., 2018)","noteIndex":0},"citationItems":[{"id":159,"uris":["http://zotero.org/users/11450443/items/87GZDE6M"],"itemData":{"id":159,"type":"article-journal","abstract":"In the pursuit of environmentally friendly building blocks in polymer chemistry the utilization of biobased monomers is highly desired. In the present study, the biobased monomer 2,5-furandicarboxylic acid (FDCA) has been extended into epoxy thermosets. The study presents the synthesis of diallyl furan-2,5-dicarboxy</w:instrText>
      </w:r>
      <w:r w:rsidR="00AB279D" w:rsidRPr="002E69EC">
        <w:rPr>
          <w:rFonts w:ascii="Times New Roman" w:eastAsia="Times New Roman" w:hAnsi="Times New Roman" w:cs="Times New Roman"/>
          <w:sz w:val="24"/>
          <w:szCs w:val="24"/>
        </w:rPr>
        <w:instrText>late (DAFDC) followed by an epoxidation of the allyls to form diglycidyl furan-2,5-dicarboxylate (DGFDC). DGFDC was then copolymerized in both stoichiometric and o</w:instrText>
      </w:r>
      <w:r w:rsidR="00AB279D">
        <w:rPr>
          <w:rFonts w:ascii="Times New Roman" w:eastAsia="Times New Roman" w:hAnsi="Times New Roman" w:cs="Times New Roman"/>
          <w:sz w:val="24"/>
          <w:szCs w:val="24"/>
        </w:rPr>
        <w:instrText>ﬀ</w:instrText>
      </w:r>
      <w:r w:rsidR="00AB279D" w:rsidRPr="002E69EC">
        <w:rPr>
          <w:rFonts w:ascii="Times New Roman" w:eastAsia="Times New Roman" w:hAnsi="Times New Roman" w:cs="Times New Roman"/>
          <w:sz w:val="24"/>
          <w:szCs w:val="24"/>
        </w:rPr>
        <w:instrText xml:space="preserve">-stoichiometric ratios with epoxidized fatty methyl esters to form a range of thermosets. The cross-linking reaction was either thermally or UVinduced cationic polymerization utilizing onium salt initiators where the reactivity was studied by DSC and real-time fourier transform infrared analysis. Furthermore, the structure−property relationships of the </w:instrText>
      </w:r>
      <w:r w:rsidR="00AB279D">
        <w:rPr>
          <w:rFonts w:ascii="Times New Roman" w:eastAsia="Times New Roman" w:hAnsi="Times New Roman" w:cs="Times New Roman"/>
          <w:sz w:val="24"/>
          <w:szCs w:val="24"/>
        </w:rPr>
        <w:instrText>ﬁ</w:instrText>
      </w:r>
      <w:r w:rsidR="00AB279D" w:rsidRPr="002E69EC">
        <w:rPr>
          <w:rFonts w:ascii="Times New Roman" w:eastAsia="Times New Roman" w:hAnsi="Times New Roman" w:cs="Times New Roman"/>
          <w:sz w:val="24"/>
          <w:szCs w:val="24"/>
        </w:rPr>
        <w:instrText>nal thermosets were determined by dynamic mechanical thermal analysis revealing a possibility to tune the properties over a wide range. In addition thermosets were made from diglycidyl Bisphenol-A (DGEBA) with epoxidized fatty methyl esters made for comparative purposes.","container-title"</w:instrText>
      </w:r>
      <w:r w:rsidR="00AB279D">
        <w:rPr>
          <w:rFonts w:ascii="Times New Roman" w:eastAsia="Times New Roman" w:hAnsi="Times New Roman" w:cs="Times New Roman"/>
          <w:sz w:val="24"/>
          <w:szCs w:val="24"/>
        </w:rPr>
        <w:instrText xml:space="preserve">:"ACS Sustainable Chemistry &amp; Engineering","DOI":"10.1021/acssuschemeng.8b01817","ISSN":"2168-0485, 2168-0485","issue":"7","journalAbbreviation":"ACS Sustainable Chem. Eng.","language":"en","page":"9442-9450","source":"DOI.org (Crossref)","title":"Biobased Cationically Polymerizable Epoxy Thermosets from Furan and Fatty Acid Derivatives","volume":"6","author":[{"family":"Nameer","given":"Samer"},{"family":"Larsen","given":"Daniel B."},{"family":"Duus","given":"Jens Ø."},{"family":"Daugaard","given":"Anders E."},{"family":"Johansson","given":"Mats"}],"issued":{"date-parts":[["2018",7,2]]}}}],"schema":"https://github.com/citation-style-language/schema/raw/master/csl-citation.json"} </w:instrText>
      </w:r>
      <w:r w:rsidR="00FD7E85">
        <w:rPr>
          <w:rFonts w:ascii="Times New Roman" w:eastAsia="Times New Roman" w:hAnsi="Times New Roman" w:cs="Times New Roman"/>
          <w:sz w:val="24"/>
          <w:szCs w:val="24"/>
        </w:rPr>
        <w:fldChar w:fldCharType="separate"/>
      </w:r>
      <w:r w:rsidR="00AB279D" w:rsidRPr="00AB279D">
        <w:rPr>
          <w:rFonts w:ascii="Times New Roman" w:hAnsi="Times New Roman" w:cs="Times New Roman"/>
          <w:sz w:val="24"/>
        </w:rPr>
        <w:t>(Nameer et al., 2018)</w:t>
      </w:r>
      <w:r w:rsidR="00FD7E85">
        <w:rPr>
          <w:rFonts w:ascii="Times New Roman" w:eastAsia="Times New Roman" w:hAnsi="Times New Roman" w:cs="Times New Roman"/>
          <w:sz w:val="24"/>
          <w:szCs w:val="24"/>
        </w:rPr>
        <w:fldChar w:fldCharType="end"/>
      </w:r>
      <w:r w:rsidR="004D2D96">
        <w:rPr>
          <w:rFonts w:ascii="Times New Roman" w:eastAsia="Times New Roman" w:hAnsi="Times New Roman" w:cs="Times New Roman"/>
          <w:sz w:val="24"/>
          <w:szCs w:val="24"/>
        </w:rPr>
        <w:t>,</w:t>
      </w:r>
      <w:r w:rsidRPr="00C925A5">
        <w:rPr>
          <w:rFonts w:ascii="Times New Roman" w:eastAsia="Times New Roman" w:hAnsi="Times New Roman" w:cs="Times New Roman"/>
          <w:sz w:val="24"/>
          <w:szCs w:val="24"/>
        </w:rPr>
        <w:t xml:space="preserve"> to form allylic ester derivatives, which are then oxidized to the respective epoxide using strong oxidizing agents like </w:t>
      </w:r>
      <w:r w:rsidRPr="00F847DA">
        <w:rPr>
          <w:rFonts w:ascii="Times New Roman" w:eastAsia="Times New Roman" w:hAnsi="Times New Roman" w:cs="Times New Roman"/>
          <w:i/>
          <w:iCs/>
          <w:sz w:val="24"/>
          <w:szCs w:val="24"/>
        </w:rPr>
        <w:t>m</w:t>
      </w:r>
      <w:r w:rsidRPr="00C925A5">
        <w:rPr>
          <w:rFonts w:ascii="Times New Roman" w:eastAsia="Times New Roman" w:hAnsi="Times New Roman" w:cs="Times New Roman"/>
          <w:sz w:val="24"/>
          <w:szCs w:val="24"/>
        </w:rPr>
        <w:t>-chloroperoxybenzoic acid (</w:t>
      </w:r>
      <w:r w:rsidRPr="00F847DA">
        <w:rPr>
          <w:rFonts w:ascii="Times New Roman" w:eastAsia="Times New Roman" w:hAnsi="Times New Roman" w:cs="Times New Roman"/>
          <w:i/>
          <w:iCs/>
          <w:sz w:val="24"/>
          <w:szCs w:val="24"/>
        </w:rPr>
        <w:t>m</w:t>
      </w:r>
      <w:r w:rsidRPr="00C925A5">
        <w:rPr>
          <w:rFonts w:ascii="Times New Roman" w:eastAsia="Times New Roman" w:hAnsi="Times New Roman" w:cs="Times New Roman"/>
          <w:sz w:val="24"/>
          <w:szCs w:val="24"/>
        </w:rPr>
        <w:t>-CPBA)</w:t>
      </w:r>
      <w:r w:rsidR="004D2D96">
        <w:rPr>
          <w:rFonts w:ascii="Times New Roman" w:eastAsia="Times New Roman" w:hAnsi="Times New Roman" w:cs="Times New Roman"/>
          <w:sz w:val="24"/>
          <w:szCs w:val="24"/>
        </w:rPr>
        <w:t xml:space="preserve"> </w:t>
      </w:r>
      <w:r w:rsidR="00FD7E85">
        <w:rPr>
          <w:rFonts w:ascii="Times New Roman" w:eastAsia="Times New Roman" w:hAnsi="Times New Roman" w:cs="Times New Roman"/>
          <w:sz w:val="24"/>
          <w:szCs w:val="24"/>
        </w:rPr>
        <w:fldChar w:fldCharType="begin"/>
      </w:r>
      <w:r w:rsidR="00AB279D">
        <w:rPr>
          <w:rFonts w:ascii="Times New Roman" w:eastAsia="Times New Roman" w:hAnsi="Times New Roman" w:cs="Times New Roman"/>
          <w:sz w:val="24"/>
          <w:szCs w:val="24"/>
        </w:rPr>
        <w:instrText xml:space="preserve"> ADDIN ZOTERO_ITEM CSL_CITATION {"citationID":"olesZSsK","properties":{"formattedCitation":"(Deng et al., 2015; Meng et al., 2019a; Nameer et al., 2018)","plainCitation":"(Deng et al., 2015; Meng et al., 2019a; Nameer et al., 2018)","noteIndex":0},"citationItems":[{"id":146,"uris":["http://zotero.org/users/11450443/items/VQQ897PC"],"itemData":{"id":146,"type":"article-journal","abstract":"Based on the properties comparison between FDCA-based epoxy and TPA-based epoxy, FDCA has been regarded as an ideal renewable platform chemical for the synthesis of thermosetting resins with high performance.\n          , \n            \n              A bio-based epoxy monomer, diglycidyl ester of 2,5-furandicarboxylic acid (DGF) was synthesized for the first time from the renewable 2,5-furandicarboxylic acid (FDCA). For comparison study, its petroleum-based counterpart, diglycidyl ester of terephthalic acid (DGT) was also prepared. Their chemical structures were confirmed in detail by\n              1\n              H NMR,\n              13\n              C NMR and FT-IR before they were cured by methylhexahydrophthalic anhydride (MHHPA) and poly(propylene glycol)bis(2-aminopropyl ether) (D230), respectively. The curing behaviors were investigated using differential scanning calorimetry (DSC). The thermal mechanical properties and thermal stabilities of the cured resins were evaluated using dynamic mechanical analysis (DMA) and thermogravimetric analysis (TGA). Results showed that DGF displayed higher curing activity, elevated glass transition temperature and similar mechanical properties compared with those of the cured DGT. This study indicated that FDCA had a huge potential to replace the petroleum-based terephthalic acid in the synthesis of epoxy resins with satisfactory performance.","container-title":"RSC Advances","DOI":"10.1039/C5RA00242G","ISSN":"2046-2069","issue":"21","journalAbbreviation":"RSC Adv.","language":"en","page":"15930-15939","source":"DOI.org (Crossref)","title":"Synthesis and properties of a bio-based epoxy resin from 2,5-furandicarboxylic acid (FDCA)","volume":"5","author":[{"family":"Deng","given":"Jun"},{"family":"Liu","given":"Xiaoqing"},{"family":"Li","given":"Chao"},{"family":"Jiang","given":"Yanhua"},{"family":"Zhu","given":"Jin"}],"issued":{"date-parts":[["2015"]]}}},{"id":169,"uris":["http://zotero.org/users/11450443/items/DIZB2B98"],"itemData":{"id":169,"type":"article-journal","abstract":"Novel resins were synthesized from diglycidyl ester of 2,5-furandicarboxylic acid (DGF) and 3,3′-diamino diphenylsulfone (33DDS) and 4,4′-diamino diphenyl-sulfone (44DDS), respectively. The networks possessed ultra high stiﬀness (E'= 4.02 GPa) and the highest Tg (216 °C) in biomass-based epoxy resins to date, which allows their potential applications in many cutting-edge areas.","container-title":"European Polymer Journal","DOI":"10.1016/j.eurpolymj.2019.109292","ISSN":"00143057","journalAbbreviation":"European Polymer Journal","language":"en","page":"109292","source":"DOI.org (Crossref)","title":"New ultrastiff bio-furan epoxy networks with high Tg: Facile synthesis to excellent properties","title-short":"New ultrastiff bio-furan epoxy networks with high Tg","volume":"121","author":[{"family":"Meng","given":"Jingjing"},{"family":"Zeng","given":"Yushun"},{"family":"Chen","given":"Pengfei"},{"family":"Zhang","given":"Jie"},{"family":"Yao","given":"Cheng"},{"family":"Fang","given":"Zheng"},{"family":"Guo","given":"Kai"}],"issued":{"date-parts":[["2019",12]]}}},{"id":159,"uris":["http://zotero.org/users/11450443/items/87GZDE6M"],"itemData":{"id":159,"type":"article-journal","abstract":"In the pursuit of environmentally friendly building blocks in polymer chemistry the utilization of biobased monomers is highly desired. In the present study, the biobased monomer 2,5-furandicarboxylic acid (FDCA) has been extended into epoxy thermosets. The study presents the synthesis of diallyl furan-2,5-dicarboxy</w:instrText>
      </w:r>
      <w:r w:rsidR="00AB279D" w:rsidRPr="00814C63">
        <w:rPr>
          <w:rFonts w:ascii="Times New Roman" w:eastAsia="Times New Roman" w:hAnsi="Times New Roman" w:cs="Times New Roman"/>
          <w:sz w:val="24"/>
          <w:szCs w:val="24"/>
          <w:lang w:val="fr-FR"/>
        </w:rPr>
        <w:instrText>late (DAFDC) followed by an epoxidation of the allyls</w:instrText>
      </w:r>
      <w:r w:rsidR="00AB279D" w:rsidRPr="004D2D96">
        <w:rPr>
          <w:rFonts w:ascii="Times New Roman" w:eastAsia="Times New Roman" w:hAnsi="Times New Roman" w:cs="Times New Roman"/>
          <w:sz w:val="24"/>
          <w:szCs w:val="24"/>
          <w:lang w:val="fr-FR"/>
        </w:rPr>
        <w:instrText xml:space="preserve"> to form diglycidyl furan-2,5-dicarboxylate (DGFDC). DGFDC was then copolymerized in both stoichiometric and o</w:instrText>
      </w:r>
      <w:r w:rsidR="00AB279D">
        <w:rPr>
          <w:rFonts w:ascii="Times New Roman" w:eastAsia="Times New Roman" w:hAnsi="Times New Roman" w:cs="Times New Roman"/>
          <w:sz w:val="24"/>
          <w:szCs w:val="24"/>
        </w:rPr>
        <w:instrText>ﬀ</w:instrText>
      </w:r>
      <w:r w:rsidR="00AB279D" w:rsidRPr="004D2D96">
        <w:rPr>
          <w:rFonts w:ascii="Times New Roman" w:eastAsia="Times New Roman" w:hAnsi="Times New Roman" w:cs="Times New Roman"/>
          <w:sz w:val="24"/>
          <w:szCs w:val="24"/>
          <w:lang w:val="fr-FR"/>
        </w:rPr>
        <w:instrText xml:space="preserve">-stoichiometric ratios with epoxidized fatty methyl esters to form a range of thermosets. The cross-linking reaction was either thermally or UVinduced cationic polymerization utilizing onium salt initiators where the reactivity was studied by DSC and real-time fourier transform infrared analysis. Furthermore, the structure−property relationships of the </w:instrText>
      </w:r>
      <w:r w:rsidR="00AB279D">
        <w:rPr>
          <w:rFonts w:ascii="Times New Roman" w:eastAsia="Times New Roman" w:hAnsi="Times New Roman" w:cs="Times New Roman"/>
          <w:sz w:val="24"/>
          <w:szCs w:val="24"/>
        </w:rPr>
        <w:instrText>ﬁ</w:instrText>
      </w:r>
      <w:r w:rsidR="00AB279D" w:rsidRPr="004D2D96">
        <w:rPr>
          <w:rFonts w:ascii="Times New Roman" w:eastAsia="Times New Roman" w:hAnsi="Times New Roman" w:cs="Times New Roman"/>
          <w:sz w:val="24"/>
          <w:szCs w:val="24"/>
          <w:lang w:val="fr-FR"/>
        </w:rPr>
        <w:instrText xml:space="preserve">nal thermosets were determined by dynamic mechanical thermal analysis revealing a possibility to tune the properties over a wide range. In addition thermosets were made from diglycidyl Bisphenol-A (DGEBA) with epoxidized fatty methyl esters made for comparative purposes.","container-title":"ACS Sustainable Chemistry &amp; Engineering","DOI":"10.1021/acssuschemeng.8b01817","ISSN":"2168-0485, 2168-0485","issue":"7","journalAbbreviation":"ACS Sustainable Chem. Eng.","language":"en","page":"9442-9450","source":"DOI.org (Crossref)","title":"Biobased Cationically Polymerizable Epoxy Thermosets from Furan and Fatty Acid Derivatives","volume":"6","author":[{"family":"Nameer","given":"Samer"},{"family":"Larsen","given":"Daniel B."},{"family":"Duus","given":"Jens Ø."},{"family":"Daugaard","given":"Anders E."},{"family":"Johansson","given":"Mats"}],"issued":{"date-parts":[["2018",7,2]]}}}],"schema":"https://github.com/citation-style-language/schema/raw/master/csl-citation.json"} </w:instrText>
      </w:r>
      <w:r w:rsidR="00FD7E85">
        <w:rPr>
          <w:rFonts w:ascii="Times New Roman" w:eastAsia="Times New Roman" w:hAnsi="Times New Roman" w:cs="Times New Roman"/>
          <w:sz w:val="24"/>
          <w:szCs w:val="24"/>
        </w:rPr>
        <w:fldChar w:fldCharType="separate"/>
      </w:r>
      <w:r w:rsidR="00AB279D" w:rsidRPr="004D2D96">
        <w:rPr>
          <w:rFonts w:ascii="Times New Roman" w:hAnsi="Times New Roman" w:cs="Times New Roman"/>
          <w:sz w:val="24"/>
          <w:lang w:val="fr-FR"/>
        </w:rPr>
        <w:t>(Deng et al., 2015; Meng et al., 2019a; Nameer et al., 2018)</w:t>
      </w:r>
      <w:r w:rsidR="00FD7E85">
        <w:rPr>
          <w:rFonts w:ascii="Times New Roman" w:eastAsia="Times New Roman" w:hAnsi="Times New Roman" w:cs="Times New Roman"/>
          <w:sz w:val="24"/>
          <w:szCs w:val="24"/>
        </w:rPr>
        <w:fldChar w:fldCharType="end"/>
      </w:r>
      <w:r w:rsidR="004D2D96" w:rsidRPr="004D2D96">
        <w:rPr>
          <w:rFonts w:ascii="Times New Roman" w:eastAsia="Times New Roman" w:hAnsi="Times New Roman" w:cs="Times New Roman"/>
          <w:sz w:val="24"/>
          <w:szCs w:val="24"/>
          <w:lang w:val="fr-FR"/>
        </w:rPr>
        <w:t xml:space="preserve"> (Scheme 2, reaction (II)</w:t>
      </w:r>
      <w:r w:rsidR="009821F2">
        <w:rPr>
          <w:rFonts w:ascii="Times New Roman" w:eastAsia="Times New Roman" w:hAnsi="Times New Roman" w:cs="Times New Roman"/>
          <w:sz w:val="24"/>
          <w:szCs w:val="24"/>
          <w:lang w:val="fr-FR"/>
        </w:rPr>
        <w:t>)</w:t>
      </w:r>
      <w:r w:rsidR="004D2D96" w:rsidRPr="004D2D96">
        <w:rPr>
          <w:rFonts w:ascii="Times New Roman" w:eastAsia="Times New Roman" w:hAnsi="Times New Roman" w:cs="Times New Roman"/>
          <w:sz w:val="24"/>
          <w:szCs w:val="24"/>
          <w:lang w:val="fr-FR"/>
        </w:rPr>
        <w:t>.</w:t>
      </w:r>
    </w:p>
    <w:p w14:paraId="0FF948FF" w14:textId="23F7EC07" w:rsidR="005A2036" w:rsidRPr="00755E65" w:rsidRDefault="001834FA" w:rsidP="005A2036">
      <w:pPr>
        <w:spacing w:line="480" w:lineRule="auto"/>
        <w:jc w:val="center"/>
        <w:rPr>
          <w:rFonts w:ascii="Times New Roman" w:hAnsi="Times New Roman" w:cs="Times New Roman"/>
          <w:iCs/>
          <w:sz w:val="20"/>
          <w:szCs w:val="20"/>
        </w:rPr>
      </w:pPr>
      <w:r w:rsidRPr="00755E65">
        <w:rPr>
          <w:noProof/>
        </w:rPr>
        <w:object w:dxaOrig="17232" w:dyaOrig="6310" w14:anchorId="549AE250">
          <v:shape id="_x0000_i1027" type="#_x0000_t75" alt="" style="width:467.85pt;height:171pt;mso-width-percent:0;mso-height-percent:0;mso-width-percent:0;mso-height-percent:0" o:ole="">
            <v:imagedata r:id="rId12" o:title=""/>
          </v:shape>
          <o:OLEObject Type="Embed" ProgID="ChemDraw.Document.6.0" ShapeID="_x0000_i1027" DrawAspect="Content" ObjectID="_1801981037" r:id="rId13"/>
        </w:object>
      </w:r>
    </w:p>
    <w:p w14:paraId="78D17061" w14:textId="57F237F3" w:rsidR="00AE485A" w:rsidRPr="005B2D99" w:rsidRDefault="002F53C4" w:rsidP="00F56BA5">
      <w:pPr>
        <w:spacing w:line="240" w:lineRule="auto"/>
        <w:jc w:val="center"/>
        <w:rPr>
          <w:rFonts w:ascii="Times New Roman" w:hAnsi="Times New Roman" w:cs="Times New Roman"/>
          <w:sz w:val="16"/>
          <w:szCs w:val="16"/>
        </w:rPr>
      </w:pPr>
      <w:r w:rsidRPr="00F56BA5">
        <w:rPr>
          <w:rFonts w:ascii="Times New Roman" w:hAnsi="Times New Roman" w:cs="Times New Roman"/>
          <w:b/>
          <w:bCs/>
          <w:sz w:val="18"/>
          <w:szCs w:val="18"/>
        </w:rPr>
        <w:t>Scheme 2</w:t>
      </w:r>
      <w:r w:rsidR="0079061F" w:rsidRPr="00F56BA5">
        <w:rPr>
          <w:rFonts w:ascii="Times New Roman" w:hAnsi="Times New Roman" w:cs="Times New Roman"/>
          <w:b/>
          <w:bCs/>
          <w:sz w:val="18"/>
          <w:szCs w:val="18"/>
        </w:rPr>
        <w:t xml:space="preserve">- </w:t>
      </w:r>
      <w:r w:rsidR="0079061F" w:rsidRPr="00F56BA5">
        <w:rPr>
          <w:rFonts w:ascii="Times New Roman" w:hAnsi="Times New Roman" w:cs="Times New Roman"/>
          <w:sz w:val="18"/>
          <w:szCs w:val="18"/>
        </w:rPr>
        <w:t>Example</w:t>
      </w:r>
      <w:r w:rsidR="00F56BA5">
        <w:rPr>
          <w:rFonts w:ascii="Times New Roman" w:hAnsi="Times New Roman" w:cs="Times New Roman"/>
          <w:sz w:val="18"/>
          <w:szCs w:val="18"/>
        </w:rPr>
        <w:t>s</w:t>
      </w:r>
      <w:r w:rsidR="0079061F" w:rsidRPr="00F56BA5">
        <w:rPr>
          <w:rFonts w:ascii="Times New Roman" w:hAnsi="Times New Roman" w:cs="Times New Roman"/>
          <w:sz w:val="18"/>
          <w:szCs w:val="18"/>
        </w:rPr>
        <w:t xml:space="preserve"> of FDCA-based epoxy </w:t>
      </w:r>
      <w:r w:rsidR="00755E65" w:rsidRPr="00F56BA5">
        <w:rPr>
          <w:rFonts w:ascii="Times New Roman" w:hAnsi="Times New Roman" w:cs="Times New Roman"/>
          <w:sz w:val="18"/>
          <w:szCs w:val="18"/>
        </w:rPr>
        <w:t>monomers</w:t>
      </w:r>
      <w:r w:rsidR="0079061F" w:rsidRPr="00F56BA5">
        <w:rPr>
          <w:rFonts w:ascii="Times New Roman" w:hAnsi="Times New Roman" w:cs="Times New Roman"/>
          <w:sz w:val="18"/>
          <w:szCs w:val="18"/>
        </w:rPr>
        <w:t xml:space="preserve"> synthesis, with a renewable source and non-green synthesis</w:t>
      </w:r>
      <w:r w:rsidR="00755E65" w:rsidRPr="00F56BA5">
        <w:rPr>
          <w:rFonts w:ascii="Times New Roman" w:hAnsi="Times New Roman" w:cs="Times New Roman"/>
          <w:sz w:val="18"/>
          <w:szCs w:val="18"/>
        </w:rPr>
        <w:t xml:space="preserve"> ((I), (II)) and</w:t>
      </w:r>
      <w:r w:rsidR="00F56BA5">
        <w:rPr>
          <w:rFonts w:ascii="Times New Roman" w:hAnsi="Times New Roman" w:cs="Times New Roman"/>
          <w:sz w:val="18"/>
          <w:szCs w:val="18"/>
        </w:rPr>
        <w:t xml:space="preserve"> </w:t>
      </w:r>
      <w:r w:rsidR="00755E65" w:rsidRPr="00F56BA5">
        <w:rPr>
          <w:rFonts w:ascii="Times New Roman" w:hAnsi="Times New Roman" w:cs="Times New Roman"/>
          <w:sz w:val="18"/>
          <w:szCs w:val="18"/>
        </w:rPr>
        <w:t>our approach (III)</w:t>
      </w:r>
      <w:r w:rsidR="0079061F" w:rsidRPr="00F56BA5">
        <w:rPr>
          <w:rFonts w:ascii="Times New Roman" w:hAnsi="Times New Roman" w:cs="Times New Roman"/>
          <w:sz w:val="18"/>
          <w:szCs w:val="18"/>
        </w:rPr>
        <w:t>.</w:t>
      </w:r>
    </w:p>
    <w:p w14:paraId="1A8F7316" w14:textId="58D45628" w:rsidR="00D46F4C" w:rsidRPr="00755E65" w:rsidRDefault="00EA75E2" w:rsidP="00755E65">
      <w:pPr>
        <w:spacing w:line="480" w:lineRule="auto"/>
        <w:jc w:val="both"/>
        <w:rPr>
          <w:rFonts w:ascii="Times New Roman" w:eastAsia="Times New Roman" w:hAnsi="Times New Roman" w:cs="Times New Roman"/>
          <w:sz w:val="24"/>
          <w:szCs w:val="24"/>
        </w:rPr>
      </w:pPr>
      <w:r w:rsidRPr="00EA75E2">
        <w:rPr>
          <w:rFonts w:ascii="Times New Roman" w:eastAsia="Times New Roman" w:hAnsi="Times New Roman" w:cs="Times New Roman"/>
          <w:sz w:val="24"/>
          <w:szCs w:val="24"/>
        </w:rPr>
        <w:t xml:space="preserve">In the pursuit of alternative halide-free methods, the transesterification of </w:t>
      </w:r>
      <w:r w:rsidR="00EA0A99">
        <w:rPr>
          <w:rFonts w:ascii="Times New Roman" w:eastAsia="Times New Roman" w:hAnsi="Times New Roman" w:cs="Times New Roman"/>
          <w:sz w:val="24"/>
          <w:szCs w:val="24"/>
        </w:rPr>
        <w:t xml:space="preserve">the </w:t>
      </w:r>
      <w:r w:rsidRPr="00EA75E2">
        <w:rPr>
          <w:rFonts w:ascii="Times New Roman" w:eastAsia="Times New Roman" w:hAnsi="Times New Roman" w:cs="Times New Roman"/>
          <w:sz w:val="24"/>
          <w:szCs w:val="24"/>
        </w:rPr>
        <w:t xml:space="preserve">FDCA ester, furan-2,5-dicarboxylate (FDME), with glycidol </w:t>
      </w:r>
      <w:r w:rsidR="00D46F4C">
        <w:rPr>
          <w:rFonts w:ascii="Times New Roman" w:eastAsia="Times New Roman" w:hAnsi="Times New Roman" w:cs="Times New Roman"/>
          <w:sz w:val="24"/>
          <w:szCs w:val="24"/>
        </w:rPr>
        <w:t>was also reported</w:t>
      </w:r>
      <w:r w:rsidRPr="00EA75E2">
        <w:rPr>
          <w:rFonts w:ascii="Times New Roman" w:eastAsia="Times New Roman" w:hAnsi="Times New Roman" w:cs="Times New Roman"/>
          <w:sz w:val="24"/>
          <w:szCs w:val="24"/>
        </w:rPr>
        <w:t xml:space="preserve"> using potassium cyanate (KOCN) as a catalyst</w:t>
      </w:r>
      <w:r w:rsidR="004D2D96">
        <w:rPr>
          <w:rFonts w:ascii="Times New Roman" w:eastAsia="Times New Roman" w:hAnsi="Times New Roman" w:cs="Times New Roman"/>
          <w:sz w:val="24"/>
          <w:szCs w:val="24"/>
        </w:rPr>
        <w:t xml:space="preserve"> </w:t>
      </w:r>
      <w:r w:rsidR="00FD7E85">
        <w:rPr>
          <w:rFonts w:ascii="Times New Roman" w:eastAsia="Times New Roman" w:hAnsi="Times New Roman" w:cs="Times New Roman"/>
          <w:sz w:val="24"/>
          <w:szCs w:val="24"/>
        </w:rPr>
        <w:fldChar w:fldCharType="begin"/>
      </w:r>
      <w:r w:rsidR="00AB279D">
        <w:rPr>
          <w:rFonts w:ascii="Times New Roman" w:eastAsia="Times New Roman" w:hAnsi="Times New Roman" w:cs="Times New Roman"/>
          <w:sz w:val="24"/>
          <w:szCs w:val="24"/>
        </w:rPr>
        <w:instrText xml:space="preserve"> ADDIN ZOTERO_ITEM CSL_CITATION {"citationID":"2ZN8D4cK","properties":{"formattedCitation":"(Marotta et al., 2018)","plainCitation":"(Marotta et al., 2018)","noteIndex":0},"citationItems":[{"id":127,"uris":["http://zotero.org/users/11450443/items/BCEK6HME"],"itemData":{"id":127,"type":"article-journal","abstract":"Two eco-respectful, one-step synthetic routes for the preparation of a bio-based epoxy monomer derived from furan precursors are developed.\n          , \n            Two eco-respectful, one-step synthetic routes for the preparation of a bio-based epoxy monomer derived from furan precursors are developed. The diglycidyl ester products are throughly characterized in terms of structure and thermal properties. Gathered results indicate that the two selected approaches allow the preparation of pure, furanic diglycidyl ester, which represents a viable bio-based alternative to its petrochemical aromatic counterpart.","container-title":"RSC Advances","DOI":"10.1039/C8RA02739K","ISSN":"2046-2069","issue":"29","journalAbbreviation":"RSC Adv.","language":"en","page":"16330-16335","source":"DOI.org (Crossref)","title":"Green approaches in the synthesis of furan-based diepoxy monomers","volume":"8","author":[{"family":"Marotta","given":"Angela"},{"family":"Ambrogi","given":"Veronica"},{"family":"Cerruti","given":"Pierfrancesco"},{"family":"Mija","given":"Alice"}],"issued":{"date-parts":[["2018"]]}}}],"schema":"https://github.com/citation-style-language/schema/raw/master/csl-citation.json"} </w:instrText>
      </w:r>
      <w:r w:rsidR="00FD7E85">
        <w:rPr>
          <w:rFonts w:ascii="Times New Roman" w:eastAsia="Times New Roman" w:hAnsi="Times New Roman" w:cs="Times New Roman"/>
          <w:sz w:val="24"/>
          <w:szCs w:val="24"/>
        </w:rPr>
        <w:fldChar w:fldCharType="separate"/>
      </w:r>
      <w:r w:rsidR="00AB279D" w:rsidRPr="00AB279D">
        <w:rPr>
          <w:rFonts w:ascii="Times New Roman" w:hAnsi="Times New Roman" w:cs="Times New Roman"/>
          <w:sz w:val="24"/>
        </w:rPr>
        <w:t>(Marotta et al., 2018)</w:t>
      </w:r>
      <w:r w:rsidR="00FD7E85">
        <w:rPr>
          <w:rFonts w:ascii="Times New Roman" w:eastAsia="Times New Roman" w:hAnsi="Times New Roman" w:cs="Times New Roman"/>
          <w:sz w:val="24"/>
          <w:szCs w:val="24"/>
        </w:rPr>
        <w:fldChar w:fldCharType="end"/>
      </w:r>
      <w:r w:rsidR="004D2D96">
        <w:rPr>
          <w:rFonts w:ascii="Times New Roman" w:eastAsia="Times New Roman" w:hAnsi="Times New Roman" w:cs="Times New Roman"/>
          <w:sz w:val="24"/>
          <w:szCs w:val="24"/>
        </w:rPr>
        <w:t>.</w:t>
      </w:r>
      <w:r w:rsidRPr="00EA75E2">
        <w:rPr>
          <w:rFonts w:ascii="Times New Roman" w:eastAsia="Times New Roman" w:hAnsi="Times New Roman" w:cs="Times New Roman"/>
          <w:sz w:val="24"/>
          <w:szCs w:val="24"/>
        </w:rPr>
        <w:t xml:space="preserve"> </w:t>
      </w:r>
      <w:r w:rsidR="00B35135">
        <w:rPr>
          <w:rFonts w:ascii="Times New Roman" w:eastAsia="Times New Roman" w:hAnsi="Times New Roman" w:cs="Times New Roman"/>
          <w:sz w:val="24"/>
          <w:szCs w:val="24"/>
        </w:rPr>
        <w:t>However</w:t>
      </w:r>
      <w:r w:rsidR="00AE485A" w:rsidRPr="00AE485A">
        <w:rPr>
          <w:rFonts w:ascii="Times New Roman" w:eastAsia="Times New Roman" w:hAnsi="Times New Roman" w:cs="Times New Roman"/>
          <w:sz w:val="24"/>
          <w:szCs w:val="24"/>
        </w:rPr>
        <w:t>, this approach relies on a highly toxic catalyst and lacks detailed procedural descriptions.</w:t>
      </w:r>
      <w:r w:rsidR="003F4037" w:rsidRPr="003F4037">
        <w:t xml:space="preserve"> </w:t>
      </w:r>
      <w:r w:rsidR="003B0F2E" w:rsidRPr="003F4037">
        <w:rPr>
          <w:rFonts w:ascii="Times New Roman" w:eastAsia="Times New Roman" w:hAnsi="Times New Roman" w:cs="Times New Roman"/>
          <w:sz w:val="24"/>
          <w:szCs w:val="24"/>
        </w:rPr>
        <w:t>Considering</w:t>
      </w:r>
      <w:r w:rsidR="003F4037" w:rsidRPr="003F4037">
        <w:rPr>
          <w:rFonts w:ascii="Times New Roman" w:eastAsia="Times New Roman" w:hAnsi="Times New Roman" w:cs="Times New Roman"/>
          <w:sz w:val="24"/>
          <w:szCs w:val="24"/>
        </w:rPr>
        <w:t xml:space="preserve"> these challenges, the present work investigates alternative and greener synthetic</w:t>
      </w:r>
      <w:r w:rsidR="003F4037">
        <w:rPr>
          <w:rFonts w:ascii="Times New Roman" w:eastAsia="Times New Roman" w:hAnsi="Times New Roman" w:cs="Times New Roman"/>
          <w:sz w:val="24"/>
          <w:szCs w:val="24"/>
        </w:rPr>
        <w:t xml:space="preserve"> </w:t>
      </w:r>
      <w:r w:rsidR="003F4037" w:rsidRPr="003F4037">
        <w:rPr>
          <w:rFonts w:ascii="Times New Roman" w:eastAsia="Times New Roman" w:hAnsi="Times New Roman" w:cs="Times New Roman"/>
          <w:sz w:val="24"/>
          <w:szCs w:val="24"/>
        </w:rPr>
        <w:t>approaches to DGF, starting from FDME utilizing homogeneous, heterogeneous, and</w:t>
      </w:r>
      <w:r w:rsidR="003F4037">
        <w:rPr>
          <w:rFonts w:ascii="Times New Roman" w:eastAsia="Times New Roman" w:hAnsi="Times New Roman" w:cs="Times New Roman"/>
          <w:sz w:val="24"/>
          <w:szCs w:val="24"/>
        </w:rPr>
        <w:t xml:space="preserve"> </w:t>
      </w:r>
      <w:r w:rsidR="003F4037" w:rsidRPr="003F4037">
        <w:rPr>
          <w:rFonts w:ascii="Times New Roman" w:eastAsia="Times New Roman" w:hAnsi="Times New Roman" w:cs="Times New Roman"/>
          <w:sz w:val="24"/>
          <w:szCs w:val="24"/>
        </w:rPr>
        <w:t>enzymatic promoters and catalysts</w:t>
      </w:r>
      <w:r w:rsidR="00887CC3">
        <w:rPr>
          <w:rFonts w:ascii="Times New Roman" w:eastAsia="Times New Roman" w:hAnsi="Times New Roman" w:cs="Times New Roman"/>
          <w:sz w:val="24"/>
          <w:szCs w:val="24"/>
        </w:rPr>
        <w:t xml:space="preserve"> without relying on chlorine chemistry </w:t>
      </w:r>
      <w:r w:rsidR="003F4037" w:rsidRPr="003F4037">
        <w:rPr>
          <w:rFonts w:ascii="Times New Roman" w:eastAsia="Times New Roman" w:hAnsi="Times New Roman" w:cs="Times New Roman"/>
          <w:sz w:val="24"/>
          <w:szCs w:val="24"/>
        </w:rPr>
        <w:t xml:space="preserve">(Scheme </w:t>
      </w:r>
      <w:r w:rsidR="00755E65">
        <w:rPr>
          <w:rFonts w:ascii="Times New Roman" w:eastAsia="Times New Roman" w:hAnsi="Times New Roman" w:cs="Times New Roman"/>
          <w:sz w:val="24"/>
          <w:szCs w:val="24"/>
        </w:rPr>
        <w:t>2, reaction (III)</w:t>
      </w:r>
      <w:r w:rsidR="003F4037" w:rsidRPr="003F4037">
        <w:rPr>
          <w:rFonts w:ascii="Times New Roman" w:eastAsia="Times New Roman" w:hAnsi="Times New Roman" w:cs="Times New Roman"/>
          <w:sz w:val="24"/>
          <w:szCs w:val="24"/>
        </w:rPr>
        <w:t>)</w:t>
      </w:r>
      <w:r w:rsidR="003B0F2E">
        <w:rPr>
          <w:rFonts w:ascii="Times New Roman" w:eastAsia="Times New Roman" w:hAnsi="Times New Roman" w:cs="Times New Roman"/>
          <w:sz w:val="24"/>
          <w:szCs w:val="24"/>
        </w:rPr>
        <w:t xml:space="preserve"> and adopting green media</w:t>
      </w:r>
      <w:r w:rsidR="00D26EF9">
        <w:rPr>
          <w:rFonts w:ascii="Times New Roman" w:eastAsia="Times New Roman" w:hAnsi="Times New Roman" w:cs="Times New Roman"/>
          <w:sz w:val="24"/>
          <w:szCs w:val="24"/>
        </w:rPr>
        <w:t xml:space="preserve"> whenever possible</w:t>
      </w:r>
      <w:r w:rsidR="003F4037" w:rsidRPr="003F4037">
        <w:rPr>
          <w:rFonts w:ascii="Times New Roman" w:eastAsia="Times New Roman" w:hAnsi="Times New Roman" w:cs="Times New Roman"/>
          <w:sz w:val="24"/>
          <w:szCs w:val="24"/>
        </w:rPr>
        <w:t>.</w:t>
      </w:r>
      <w:r w:rsidR="003F4037">
        <w:rPr>
          <w:rFonts w:ascii="Times New Roman" w:eastAsia="Times New Roman" w:hAnsi="Times New Roman" w:cs="Times New Roman"/>
          <w:sz w:val="24"/>
          <w:szCs w:val="24"/>
        </w:rPr>
        <w:t xml:space="preserve"> </w:t>
      </w:r>
      <w:bookmarkEnd w:id="1"/>
    </w:p>
    <w:p w14:paraId="3F14D079" w14:textId="0A78EBF3" w:rsidR="00D07405" w:rsidRPr="00370B37" w:rsidRDefault="00D07405" w:rsidP="00370B37">
      <w:pPr>
        <w:spacing w:line="480" w:lineRule="auto"/>
        <w:jc w:val="both"/>
        <w:rPr>
          <w:rFonts w:ascii="Times New Roman" w:hAnsi="Times New Roman" w:cs="Times New Roman"/>
          <w:b/>
          <w:bCs/>
          <w:sz w:val="28"/>
          <w:szCs w:val="28"/>
        </w:rPr>
      </w:pPr>
      <w:r w:rsidRPr="00370B37">
        <w:rPr>
          <w:rFonts w:ascii="Times New Roman" w:hAnsi="Times New Roman" w:cs="Times New Roman"/>
          <w:b/>
          <w:bCs/>
          <w:sz w:val="28"/>
          <w:szCs w:val="28"/>
        </w:rPr>
        <w:t>Experimental</w:t>
      </w:r>
    </w:p>
    <w:p w14:paraId="45157D88" w14:textId="23C38EC1" w:rsidR="00D07405" w:rsidRPr="00370B37" w:rsidRDefault="00D07405" w:rsidP="00370B37">
      <w:pPr>
        <w:spacing w:line="480" w:lineRule="auto"/>
        <w:jc w:val="both"/>
        <w:rPr>
          <w:rFonts w:ascii="Times New Roman" w:hAnsi="Times New Roman" w:cs="Times New Roman"/>
          <w:b/>
          <w:bCs/>
          <w:i/>
          <w:iCs/>
          <w:sz w:val="24"/>
          <w:szCs w:val="24"/>
        </w:rPr>
      </w:pPr>
      <w:r w:rsidRPr="00370B37">
        <w:rPr>
          <w:rFonts w:ascii="Times New Roman" w:hAnsi="Times New Roman" w:cs="Times New Roman"/>
          <w:b/>
          <w:bCs/>
          <w:i/>
          <w:iCs/>
          <w:sz w:val="24"/>
          <w:szCs w:val="24"/>
        </w:rPr>
        <w:t>General information</w:t>
      </w:r>
    </w:p>
    <w:p w14:paraId="06474965" w14:textId="1FBE5297" w:rsidR="00FF7FF4" w:rsidRDefault="005158F6" w:rsidP="00FF7FF4">
      <w:pPr>
        <w:spacing w:line="480" w:lineRule="auto"/>
        <w:jc w:val="both"/>
        <w:rPr>
          <w:rFonts w:ascii="Times" w:hAnsi="Times" w:cs="Times"/>
          <w:sz w:val="24"/>
          <w:szCs w:val="24"/>
        </w:rPr>
      </w:pPr>
      <w:r w:rsidRPr="003F6D14">
        <w:rPr>
          <w:rFonts w:ascii="Times New Roman" w:hAnsi="Times New Roman" w:cs="Times New Roman"/>
          <w:sz w:val="24"/>
          <w:szCs w:val="24"/>
        </w:rPr>
        <w:t>All reagents and solvents were purchased from Sigma-</w:t>
      </w:r>
      <w:r w:rsidR="00887CC3" w:rsidRPr="003F6D14">
        <w:rPr>
          <w:rFonts w:ascii="Times New Roman" w:hAnsi="Times New Roman" w:cs="Times New Roman"/>
          <w:sz w:val="24"/>
          <w:szCs w:val="24"/>
        </w:rPr>
        <w:t xml:space="preserve">Merck </w:t>
      </w:r>
      <w:r w:rsidRPr="003F6D14">
        <w:rPr>
          <w:rFonts w:ascii="Times New Roman" w:hAnsi="Times New Roman" w:cs="Times New Roman"/>
          <w:sz w:val="24"/>
          <w:szCs w:val="24"/>
        </w:rPr>
        <w:t>and employed without any further purification</w:t>
      </w:r>
      <w:r w:rsidR="002116B5" w:rsidRPr="003F6D14">
        <w:rPr>
          <w:rFonts w:ascii="Times New Roman" w:hAnsi="Times New Roman" w:cs="Times New Roman"/>
          <w:sz w:val="24"/>
          <w:szCs w:val="24"/>
        </w:rPr>
        <w:t xml:space="preserve">. </w:t>
      </w:r>
      <w:r w:rsidR="00891910" w:rsidRPr="003F6D14">
        <w:rPr>
          <w:rFonts w:ascii="Times New Roman" w:hAnsi="Times New Roman" w:cs="Times New Roman"/>
          <w:sz w:val="24"/>
          <w:szCs w:val="24"/>
        </w:rPr>
        <w:t>Reactions</w:t>
      </w:r>
      <w:r w:rsidR="00891910" w:rsidRPr="00A505AF">
        <w:rPr>
          <w:rFonts w:ascii="Times New Roman" w:hAnsi="Times New Roman" w:cs="Times New Roman"/>
          <w:sz w:val="24"/>
          <w:szCs w:val="24"/>
        </w:rPr>
        <w:t xml:space="preserve"> were conducted in </w:t>
      </w:r>
      <w:r w:rsidR="00887CC3">
        <w:rPr>
          <w:rFonts w:ascii="Times New Roman" w:hAnsi="Times New Roman" w:cs="Times New Roman"/>
          <w:sz w:val="24"/>
          <w:szCs w:val="24"/>
        </w:rPr>
        <w:t xml:space="preserve">a </w:t>
      </w:r>
      <w:r w:rsidR="00891910" w:rsidRPr="00A505AF">
        <w:rPr>
          <w:rFonts w:ascii="Times New Roman" w:hAnsi="Times New Roman" w:cs="Times New Roman"/>
          <w:sz w:val="24"/>
          <w:szCs w:val="24"/>
        </w:rPr>
        <w:t xml:space="preserve">Drysyn at the required temperature, measured with a thermocouple. Reactions were monitored by TLC on an aluminum strip coated with silica gel 60 F254 from Merck, revealed under UV light (254 nm) and in the presence of permanganate staining solution. </w:t>
      </w:r>
      <w:r w:rsidR="00891910" w:rsidRPr="00A505AF">
        <w:rPr>
          <w:rFonts w:ascii="Times New Roman" w:hAnsi="Times New Roman" w:cs="Times New Roman"/>
          <w:sz w:val="24"/>
          <w:szCs w:val="24"/>
          <w:vertAlign w:val="superscript"/>
        </w:rPr>
        <w:t>1</w:t>
      </w:r>
      <w:r w:rsidR="00891910" w:rsidRPr="00A505AF">
        <w:rPr>
          <w:rFonts w:ascii="Times New Roman" w:hAnsi="Times New Roman" w:cs="Times New Roman"/>
          <w:sz w:val="24"/>
          <w:szCs w:val="24"/>
        </w:rPr>
        <w:t xml:space="preserve">H NMR spectra of all monomers were conducted through a spectrometer Bruker 400 </w:t>
      </w:r>
      <w:r w:rsidR="00891910" w:rsidRPr="000D0F34">
        <w:rPr>
          <w:rFonts w:ascii="Times New Roman" w:hAnsi="Times New Roman" w:cs="Times New Roman"/>
          <w:sz w:val="24"/>
          <w:szCs w:val="24"/>
        </w:rPr>
        <w:t>MHz in CDCl</w:t>
      </w:r>
      <w:r w:rsidR="00891910" w:rsidRPr="000D0F34">
        <w:rPr>
          <w:rFonts w:ascii="Times New Roman" w:hAnsi="Times New Roman" w:cs="Times New Roman"/>
          <w:sz w:val="24"/>
          <w:szCs w:val="24"/>
          <w:vertAlign w:val="subscript"/>
        </w:rPr>
        <w:t>3</w:t>
      </w:r>
      <w:r w:rsidR="00891910" w:rsidRPr="000D0F34">
        <w:rPr>
          <w:rFonts w:ascii="Times New Roman" w:hAnsi="Times New Roman" w:cs="Times New Roman"/>
          <w:sz w:val="24"/>
          <w:szCs w:val="24"/>
        </w:rPr>
        <w:t xml:space="preserve">. </w:t>
      </w:r>
      <w:r w:rsidR="00891910" w:rsidRPr="000D0F34">
        <w:rPr>
          <w:rFonts w:ascii="Times New Roman" w:hAnsi="Times New Roman" w:cs="Times New Roman"/>
          <w:sz w:val="24"/>
          <w:szCs w:val="24"/>
          <w:vertAlign w:val="superscript"/>
        </w:rPr>
        <w:t>13</w:t>
      </w:r>
      <w:r w:rsidR="00891910" w:rsidRPr="000D0F34">
        <w:rPr>
          <w:rFonts w:ascii="Times New Roman" w:hAnsi="Times New Roman" w:cs="Times New Roman"/>
          <w:sz w:val="24"/>
          <w:szCs w:val="24"/>
        </w:rPr>
        <w:t>C NMR spectra were recorded on Brucker Fourier 400 (101 MHz) in CDCl</w:t>
      </w:r>
      <w:r w:rsidR="00891910" w:rsidRPr="000D0F34">
        <w:rPr>
          <w:rFonts w:ascii="Times New Roman" w:hAnsi="Times New Roman" w:cs="Times New Roman"/>
          <w:sz w:val="24"/>
          <w:szCs w:val="24"/>
          <w:vertAlign w:val="subscript"/>
        </w:rPr>
        <w:t>3</w:t>
      </w:r>
      <w:r w:rsidR="00891910" w:rsidRPr="000D0F34">
        <w:rPr>
          <w:rFonts w:ascii="Times New Roman" w:hAnsi="Times New Roman" w:cs="Times New Roman"/>
          <w:sz w:val="24"/>
          <w:szCs w:val="24"/>
        </w:rPr>
        <w:t xml:space="preserve">. </w:t>
      </w:r>
      <w:r w:rsidR="00032746" w:rsidRPr="000D0F34">
        <w:rPr>
          <w:rFonts w:ascii="Times" w:hAnsi="Times" w:cs="Times"/>
          <w:sz w:val="24"/>
          <w:szCs w:val="24"/>
        </w:rPr>
        <w:t xml:space="preserve">FTIR spectra were acquired with a MIRacle single reflection ATR diamond/ZnSe accessory in a JASCO FT/IR-6200 </w:t>
      </w:r>
      <w:r w:rsidR="00032746" w:rsidRPr="00B336B7">
        <w:rPr>
          <w:rFonts w:ascii="Times" w:hAnsi="Times" w:cs="Times"/>
          <w:sz w:val="24"/>
          <w:szCs w:val="24"/>
        </w:rPr>
        <w:t>instrument.</w:t>
      </w:r>
      <w:r w:rsidR="00624641" w:rsidRPr="00B336B7">
        <w:rPr>
          <w:rFonts w:ascii="Times" w:hAnsi="Times" w:cs="Times"/>
          <w:sz w:val="24"/>
          <w:szCs w:val="24"/>
        </w:rPr>
        <w:t xml:space="preserve"> </w:t>
      </w:r>
      <w:r w:rsidR="007061C2" w:rsidRPr="00B336B7">
        <w:rPr>
          <w:rFonts w:ascii="Times" w:hAnsi="Times" w:cs="Times"/>
          <w:sz w:val="24"/>
          <w:szCs w:val="24"/>
        </w:rPr>
        <w:t xml:space="preserve">Elemental analysis data were acquired with </w:t>
      </w:r>
      <w:r w:rsidR="00796CA9" w:rsidRPr="00B336B7">
        <w:rPr>
          <w:rFonts w:ascii="Times" w:hAnsi="Times" w:cs="Times"/>
          <w:sz w:val="24"/>
          <w:szCs w:val="24"/>
        </w:rPr>
        <w:t xml:space="preserve">a </w:t>
      </w:r>
      <w:r w:rsidR="00CC441E" w:rsidRPr="00B336B7">
        <w:rPr>
          <w:rFonts w:ascii="Times" w:hAnsi="Times" w:cs="Times"/>
          <w:sz w:val="24"/>
          <w:szCs w:val="24"/>
        </w:rPr>
        <w:t>TruSpec Micro CHNS &amp; O Elemental Analyzer (</w:t>
      </w:r>
      <w:r w:rsidR="00486569" w:rsidRPr="00B336B7">
        <w:rPr>
          <w:rFonts w:ascii="Times" w:hAnsi="Times" w:cs="Times"/>
          <w:sz w:val="24"/>
          <w:szCs w:val="24"/>
        </w:rPr>
        <w:t>LECO</w:t>
      </w:r>
      <w:r w:rsidR="00CC441E" w:rsidRPr="00B336B7">
        <w:rPr>
          <w:rFonts w:ascii="Times" w:hAnsi="Times" w:cs="Times"/>
          <w:sz w:val="24"/>
          <w:szCs w:val="24"/>
        </w:rPr>
        <w:t>).</w:t>
      </w:r>
    </w:p>
    <w:p w14:paraId="60AD723D" w14:textId="378E2027" w:rsidR="00891910" w:rsidRPr="00A505AF" w:rsidRDefault="00891910" w:rsidP="00032746">
      <w:pPr>
        <w:spacing w:line="480" w:lineRule="auto"/>
        <w:jc w:val="both"/>
        <w:rPr>
          <w:rFonts w:ascii="Times New Roman" w:hAnsi="Times New Roman" w:cs="Times New Roman"/>
          <w:b/>
          <w:bCs/>
          <w:i/>
          <w:iCs/>
          <w:sz w:val="24"/>
          <w:szCs w:val="24"/>
        </w:rPr>
      </w:pPr>
      <w:r w:rsidRPr="00A505AF">
        <w:rPr>
          <w:rFonts w:ascii="Times New Roman" w:hAnsi="Times New Roman" w:cs="Times New Roman"/>
          <w:b/>
          <w:bCs/>
          <w:i/>
          <w:iCs/>
          <w:sz w:val="24"/>
          <w:szCs w:val="24"/>
        </w:rPr>
        <w:t xml:space="preserve">Synthesis of </w:t>
      </w:r>
      <w:r w:rsidR="00F45FD8" w:rsidRPr="00F45FD8">
        <w:rPr>
          <w:rFonts w:ascii="Times New Roman" w:hAnsi="Times New Roman" w:cs="Times New Roman"/>
          <w:b/>
          <w:bCs/>
          <w:i/>
          <w:iCs/>
          <w:sz w:val="24"/>
          <w:szCs w:val="24"/>
        </w:rPr>
        <w:t xml:space="preserve">diglycidyl ester of 2,5-furandicarboxylic acid </w:t>
      </w:r>
      <w:r w:rsidR="00B57B93" w:rsidRPr="00A505AF">
        <w:rPr>
          <w:rFonts w:ascii="Times New Roman" w:hAnsi="Times New Roman" w:cs="Times New Roman"/>
          <w:b/>
          <w:bCs/>
          <w:i/>
          <w:iCs/>
          <w:sz w:val="24"/>
          <w:szCs w:val="24"/>
        </w:rPr>
        <w:t>(DGF)</w:t>
      </w:r>
      <w:r w:rsidR="00F45FD8">
        <w:rPr>
          <w:rFonts w:ascii="Times New Roman" w:hAnsi="Times New Roman" w:cs="Times New Roman"/>
          <w:b/>
          <w:bCs/>
          <w:i/>
          <w:iCs/>
          <w:sz w:val="24"/>
          <w:szCs w:val="24"/>
        </w:rPr>
        <w:t xml:space="preserve"> via homogenous catalysis</w:t>
      </w:r>
    </w:p>
    <w:bookmarkStart w:id="2" w:name="_Hlk170389972"/>
    <w:p w14:paraId="46A0F546" w14:textId="3708F6A2" w:rsidR="00891910" w:rsidRPr="00A505AF" w:rsidRDefault="001834FA" w:rsidP="00C61058">
      <w:pPr>
        <w:spacing w:line="480" w:lineRule="auto"/>
        <w:jc w:val="center"/>
        <w:rPr>
          <w:rFonts w:ascii="Times New Roman" w:hAnsi="Times New Roman" w:cs="Times New Roman"/>
          <w:sz w:val="24"/>
          <w:szCs w:val="24"/>
        </w:rPr>
      </w:pPr>
      <w:r w:rsidRPr="001834FA">
        <w:rPr>
          <w:rFonts w:ascii="Times New Roman" w:hAnsi="Times New Roman" w:cs="Times New Roman"/>
          <w:noProof/>
          <w:sz w:val="24"/>
          <w:szCs w:val="24"/>
        </w:rPr>
        <w:object w:dxaOrig="3413" w:dyaOrig="1377" w14:anchorId="02A3A3B5">
          <v:shape id="_x0000_i1028" type="#_x0000_t75" alt="" style="width:177.8pt;height:70.7pt;mso-width-percent:0;mso-height-percent:0;mso-width-percent:0;mso-height-percent:0" o:ole="">
            <v:imagedata r:id="rId14" o:title=""/>
          </v:shape>
          <o:OLEObject Type="Embed" ProgID="ChemDraw.Document.6.0" ShapeID="_x0000_i1028" DrawAspect="Content" ObjectID="_1801981038" r:id="rId15"/>
        </w:object>
      </w:r>
      <w:bookmarkEnd w:id="2"/>
    </w:p>
    <w:p w14:paraId="7B16007B" w14:textId="24DAABF8" w:rsidR="00167739" w:rsidRPr="00A505AF" w:rsidRDefault="00167739" w:rsidP="00526FCA">
      <w:pPr>
        <w:spacing w:line="480" w:lineRule="auto"/>
        <w:jc w:val="both"/>
        <w:rPr>
          <w:rFonts w:ascii="Times New Roman" w:hAnsi="Times New Roman" w:cs="Times New Roman"/>
          <w:sz w:val="24"/>
          <w:szCs w:val="24"/>
        </w:rPr>
      </w:pPr>
      <w:r w:rsidRPr="00A505AF">
        <w:rPr>
          <w:rFonts w:ascii="Times New Roman" w:hAnsi="Times New Roman" w:cs="Times New Roman"/>
          <w:sz w:val="24"/>
          <w:szCs w:val="24"/>
        </w:rPr>
        <w:t xml:space="preserve">In a typical reaction </w:t>
      </w:r>
      <w:r w:rsidR="00F45FD8">
        <w:rPr>
          <w:rFonts w:ascii="Times New Roman" w:hAnsi="Times New Roman" w:cs="Times New Roman"/>
          <w:sz w:val="24"/>
          <w:szCs w:val="24"/>
        </w:rPr>
        <w:t>0.</w:t>
      </w:r>
      <w:r w:rsidRPr="00A505AF">
        <w:rPr>
          <w:rFonts w:ascii="Times New Roman" w:hAnsi="Times New Roman" w:cs="Times New Roman"/>
          <w:sz w:val="24"/>
          <w:szCs w:val="24"/>
        </w:rPr>
        <w:t xml:space="preserve">5 g </w:t>
      </w:r>
      <w:r w:rsidR="00F45FD8">
        <w:rPr>
          <w:rFonts w:ascii="Times New Roman" w:hAnsi="Times New Roman" w:cs="Times New Roman"/>
          <w:sz w:val="24"/>
          <w:szCs w:val="24"/>
        </w:rPr>
        <w:t>(</w:t>
      </w:r>
      <w:r w:rsidR="00FB1B39">
        <w:rPr>
          <w:rFonts w:ascii="Times New Roman" w:hAnsi="Times New Roman" w:cs="Times New Roman"/>
          <w:sz w:val="24"/>
          <w:szCs w:val="24"/>
        </w:rPr>
        <w:t xml:space="preserve">2.71 </w:t>
      </w:r>
      <w:r w:rsidR="00F45FD8">
        <w:rPr>
          <w:rFonts w:ascii="Times New Roman" w:hAnsi="Times New Roman" w:cs="Times New Roman"/>
          <w:sz w:val="24"/>
          <w:szCs w:val="24"/>
        </w:rPr>
        <w:t xml:space="preserve">mmol) </w:t>
      </w:r>
      <w:r w:rsidRPr="00A505AF">
        <w:rPr>
          <w:rFonts w:ascii="Times New Roman" w:hAnsi="Times New Roman" w:cs="Times New Roman"/>
          <w:sz w:val="24"/>
          <w:szCs w:val="24"/>
        </w:rPr>
        <w:t>of FDME</w:t>
      </w:r>
      <w:r w:rsidR="001A1CC5">
        <w:rPr>
          <w:rFonts w:ascii="Times New Roman" w:hAnsi="Times New Roman" w:cs="Times New Roman"/>
          <w:sz w:val="24"/>
          <w:szCs w:val="24"/>
        </w:rPr>
        <w:t xml:space="preserve"> </w:t>
      </w:r>
      <w:r w:rsidRPr="00A505AF">
        <w:rPr>
          <w:rFonts w:ascii="Times New Roman" w:hAnsi="Times New Roman" w:cs="Times New Roman"/>
          <w:sz w:val="24"/>
          <w:szCs w:val="24"/>
        </w:rPr>
        <w:t>was reacted with 4</w:t>
      </w:r>
      <w:r w:rsidR="00E53141" w:rsidRPr="00A505AF">
        <w:rPr>
          <w:rFonts w:ascii="Times New Roman" w:hAnsi="Times New Roman" w:cs="Times New Roman"/>
          <w:sz w:val="24"/>
          <w:szCs w:val="24"/>
        </w:rPr>
        <w:t>.0</w:t>
      </w:r>
      <w:r w:rsidRPr="00A505AF">
        <w:rPr>
          <w:rFonts w:ascii="Times New Roman" w:hAnsi="Times New Roman" w:cs="Times New Roman"/>
          <w:sz w:val="24"/>
          <w:szCs w:val="24"/>
        </w:rPr>
        <w:t xml:space="preserve"> mol eq. of glycidol </w:t>
      </w:r>
      <w:r w:rsidR="003A31B5">
        <w:rPr>
          <w:rFonts w:ascii="Times New Roman" w:hAnsi="Times New Roman" w:cs="Times New Roman"/>
          <w:sz w:val="24"/>
          <w:szCs w:val="24"/>
        </w:rPr>
        <w:t>in the presence of</w:t>
      </w:r>
      <w:r w:rsidR="003A31B5" w:rsidRPr="00A505AF">
        <w:rPr>
          <w:rFonts w:ascii="Times New Roman" w:hAnsi="Times New Roman" w:cs="Times New Roman"/>
          <w:sz w:val="24"/>
          <w:szCs w:val="24"/>
        </w:rPr>
        <w:t xml:space="preserve"> </w:t>
      </w:r>
      <w:r w:rsidRPr="00A505AF">
        <w:rPr>
          <w:rFonts w:ascii="Times New Roman" w:hAnsi="Times New Roman" w:cs="Times New Roman"/>
          <w:sz w:val="24"/>
          <w:szCs w:val="24"/>
        </w:rPr>
        <w:t xml:space="preserve">0.1 mol eq. of catalyst in 10 mL of </w:t>
      </w:r>
      <w:r w:rsidR="001A181C" w:rsidRPr="001A181C">
        <w:rPr>
          <w:rFonts w:ascii="Times New Roman" w:hAnsi="Times New Roman" w:cs="Times New Roman"/>
          <w:sz w:val="24"/>
          <w:szCs w:val="24"/>
        </w:rPr>
        <w:t>2-methyltetrahydrofuran (</w:t>
      </w:r>
      <w:r w:rsidR="001A181C">
        <w:rPr>
          <w:rFonts w:ascii="Times New Roman" w:hAnsi="Times New Roman" w:cs="Times New Roman"/>
          <w:sz w:val="24"/>
          <w:szCs w:val="24"/>
        </w:rPr>
        <w:t>2-</w:t>
      </w:r>
      <w:r w:rsidRPr="00A505AF">
        <w:rPr>
          <w:rFonts w:ascii="Times New Roman" w:hAnsi="Times New Roman" w:cs="Times New Roman"/>
          <w:sz w:val="24"/>
          <w:szCs w:val="24"/>
        </w:rPr>
        <w:t>MeTHF</w:t>
      </w:r>
      <w:r w:rsidR="001A181C">
        <w:rPr>
          <w:rFonts w:ascii="Times New Roman" w:hAnsi="Times New Roman" w:cs="Times New Roman"/>
          <w:sz w:val="24"/>
          <w:szCs w:val="24"/>
        </w:rPr>
        <w:t>)</w:t>
      </w:r>
      <w:r w:rsidRPr="00A505AF">
        <w:rPr>
          <w:rFonts w:ascii="Times New Roman" w:hAnsi="Times New Roman" w:cs="Times New Roman"/>
          <w:sz w:val="24"/>
          <w:szCs w:val="24"/>
        </w:rPr>
        <w:t xml:space="preserve"> at 60 °C in a two neck round bottom flask</w:t>
      </w:r>
      <w:r w:rsidR="007731E8">
        <w:rPr>
          <w:rFonts w:ascii="Times New Roman" w:hAnsi="Times New Roman" w:cs="Times New Roman"/>
          <w:sz w:val="24"/>
          <w:szCs w:val="24"/>
        </w:rPr>
        <w:t xml:space="preserve"> with a water condenser</w:t>
      </w:r>
      <w:r w:rsidRPr="00A505AF">
        <w:rPr>
          <w:rFonts w:ascii="Times New Roman" w:hAnsi="Times New Roman" w:cs="Times New Roman"/>
          <w:sz w:val="24"/>
          <w:szCs w:val="24"/>
        </w:rPr>
        <w:t xml:space="preserve">. To </w:t>
      </w:r>
      <w:r w:rsidR="003A31B5">
        <w:rPr>
          <w:rFonts w:ascii="Times New Roman" w:hAnsi="Times New Roman" w:cs="Times New Roman"/>
          <w:sz w:val="24"/>
          <w:szCs w:val="24"/>
        </w:rPr>
        <w:t>drive</w:t>
      </w:r>
      <w:r w:rsidR="003A31B5" w:rsidRPr="00A505AF">
        <w:rPr>
          <w:rFonts w:ascii="Times New Roman" w:hAnsi="Times New Roman" w:cs="Times New Roman"/>
          <w:sz w:val="24"/>
          <w:szCs w:val="24"/>
        </w:rPr>
        <w:t xml:space="preserve"> </w:t>
      </w:r>
      <w:r w:rsidRPr="00A505AF">
        <w:rPr>
          <w:rFonts w:ascii="Times New Roman" w:hAnsi="Times New Roman" w:cs="Times New Roman"/>
          <w:sz w:val="24"/>
          <w:szCs w:val="24"/>
        </w:rPr>
        <w:t xml:space="preserve">the </w:t>
      </w:r>
      <w:r w:rsidR="003A31B5">
        <w:rPr>
          <w:rFonts w:ascii="Times New Roman" w:hAnsi="Times New Roman" w:cs="Times New Roman"/>
          <w:sz w:val="24"/>
          <w:szCs w:val="24"/>
        </w:rPr>
        <w:t xml:space="preserve">equilibrium </w:t>
      </w:r>
      <w:r w:rsidRPr="00A505AF">
        <w:rPr>
          <w:rFonts w:ascii="Times New Roman" w:hAnsi="Times New Roman" w:cs="Times New Roman"/>
          <w:sz w:val="24"/>
          <w:szCs w:val="24"/>
        </w:rPr>
        <w:t xml:space="preserve">reaction </w:t>
      </w:r>
      <w:r w:rsidR="003A31B5">
        <w:rPr>
          <w:rFonts w:ascii="Times New Roman" w:hAnsi="Times New Roman" w:cs="Times New Roman"/>
          <w:sz w:val="24"/>
          <w:szCs w:val="24"/>
        </w:rPr>
        <w:t>towards the product formation</w:t>
      </w:r>
      <w:r w:rsidRPr="00A505AF">
        <w:rPr>
          <w:rFonts w:ascii="Times New Roman" w:hAnsi="Times New Roman" w:cs="Times New Roman"/>
          <w:sz w:val="24"/>
          <w:szCs w:val="24"/>
        </w:rPr>
        <w:t>, N</w:t>
      </w:r>
      <w:r w:rsidRPr="00A505AF">
        <w:rPr>
          <w:rFonts w:ascii="Times New Roman" w:hAnsi="Times New Roman" w:cs="Times New Roman"/>
          <w:sz w:val="24"/>
          <w:szCs w:val="24"/>
          <w:vertAlign w:val="subscript"/>
        </w:rPr>
        <w:t>2</w:t>
      </w:r>
      <w:r w:rsidRPr="00A505AF">
        <w:rPr>
          <w:rFonts w:ascii="Times New Roman" w:hAnsi="Times New Roman" w:cs="Times New Roman"/>
          <w:sz w:val="24"/>
          <w:szCs w:val="24"/>
        </w:rPr>
        <w:t xml:space="preserve"> flow was used, which aided </w:t>
      </w:r>
      <w:r w:rsidR="003A31B5">
        <w:rPr>
          <w:rFonts w:ascii="Times New Roman" w:hAnsi="Times New Roman" w:cs="Times New Roman"/>
          <w:sz w:val="24"/>
          <w:szCs w:val="24"/>
        </w:rPr>
        <w:t>the methanol removal</w:t>
      </w:r>
      <w:r w:rsidRPr="00A505AF">
        <w:rPr>
          <w:rFonts w:ascii="Times New Roman" w:hAnsi="Times New Roman" w:cs="Times New Roman"/>
          <w:sz w:val="24"/>
          <w:szCs w:val="24"/>
        </w:rPr>
        <w:t xml:space="preserve">. </w:t>
      </w:r>
      <w:r w:rsidR="00410142">
        <w:rPr>
          <w:rFonts w:ascii="Times New Roman" w:hAnsi="Times New Roman" w:cs="Times New Roman"/>
          <w:sz w:val="24"/>
          <w:szCs w:val="24"/>
        </w:rPr>
        <w:t xml:space="preserve">The reaction was monitored by </w:t>
      </w:r>
      <w:r w:rsidR="003A31B5" w:rsidRPr="00A505AF">
        <w:rPr>
          <w:rFonts w:ascii="Times New Roman" w:hAnsi="Times New Roman" w:cs="Times New Roman"/>
          <w:sz w:val="24"/>
          <w:szCs w:val="24"/>
          <w:vertAlign w:val="superscript"/>
        </w:rPr>
        <w:t>1</w:t>
      </w:r>
      <w:r w:rsidR="003A31B5" w:rsidRPr="00A505AF">
        <w:rPr>
          <w:rFonts w:ascii="Times New Roman" w:hAnsi="Times New Roman" w:cs="Times New Roman"/>
          <w:sz w:val="24"/>
          <w:szCs w:val="24"/>
        </w:rPr>
        <w:t xml:space="preserve">H </w:t>
      </w:r>
      <w:r w:rsidR="00410142">
        <w:rPr>
          <w:rFonts w:ascii="Times New Roman" w:hAnsi="Times New Roman" w:cs="Times New Roman"/>
          <w:sz w:val="24"/>
          <w:szCs w:val="24"/>
        </w:rPr>
        <w:t>NMR. Upon completion</w:t>
      </w:r>
      <w:r w:rsidR="003A31B5">
        <w:rPr>
          <w:rFonts w:ascii="Times New Roman" w:hAnsi="Times New Roman" w:cs="Times New Roman"/>
          <w:sz w:val="24"/>
          <w:szCs w:val="24"/>
        </w:rPr>
        <w:t>,</w:t>
      </w:r>
      <w:r w:rsidR="00410142">
        <w:rPr>
          <w:rFonts w:ascii="Times New Roman" w:hAnsi="Times New Roman" w:cs="Times New Roman"/>
          <w:sz w:val="24"/>
          <w:szCs w:val="24"/>
        </w:rPr>
        <w:t xml:space="preserve"> </w:t>
      </w:r>
      <w:r w:rsidRPr="00A505AF">
        <w:rPr>
          <w:rFonts w:ascii="Times New Roman" w:hAnsi="Times New Roman" w:cs="Times New Roman"/>
          <w:sz w:val="24"/>
          <w:szCs w:val="24"/>
        </w:rPr>
        <w:t xml:space="preserve">the solvent, if any, was evaporated and </w:t>
      </w:r>
      <w:r w:rsidR="001A181C">
        <w:rPr>
          <w:rFonts w:ascii="Times New Roman" w:hAnsi="Times New Roman" w:cs="Times New Roman"/>
          <w:sz w:val="24"/>
          <w:szCs w:val="24"/>
        </w:rPr>
        <w:t xml:space="preserve">the product was isolated through a </w:t>
      </w:r>
      <w:r w:rsidRPr="00A505AF">
        <w:rPr>
          <w:rFonts w:ascii="Times New Roman" w:hAnsi="Times New Roman" w:cs="Times New Roman"/>
          <w:sz w:val="24"/>
          <w:szCs w:val="24"/>
        </w:rPr>
        <w:t xml:space="preserve">liquid-liquid extraction with ethyl acetate and water. </w:t>
      </w:r>
      <w:r w:rsidR="001A181C">
        <w:rPr>
          <w:rFonts w:ascii="Times New Roman" w:hAnsi="Times New Roman" w:cs="Times New Roman"/>
          <w:sz w:val="24"/>
          <w:szCs w:val="24"/>
        </w:rPr>
        <w:t xml:space="preserve">The pure compound was obtained as </w:t>
      </w:r>
      <w:r w:rsidRPr="00A505AF">
        <w:rPr>
          <w:rFonts w:ascii="Times New Roman" w:hAnsi="Times New Roman" w:cs="Times New Roman"/>
          <w:sz w:val="24"/>
          <w:szCs w:val="24"/>
        </w:rPr>
        <w:t xml:space="preserve">a white solid with 82% isolated yield. </w:t>
      </w:r>
      <w:r w:rsidR="00E53141" w:rsidRPr="00A505AF">
        <w:rPr>
          <w:rFonts w:ascii="Times New Roman" w:hAnsi="Times New Roman" w:cs="Times New Roman"/>
          <w:sz w:val="24"/>
          <w:szCs w:val="24"/>
        </w:rPr>
        <w:t xml:space="preserve">The product can be further purified by recrystallization </w:t>
      </w:r>
      <w:r w:rsidRPr="00A505AF">
        <w:rPr>
          <w:rFonts w:ascii="Times New Roman" w:hAnsi="Times New Roman" w:cs="Times New Roman"/>
          <w:sz w:val="24"/>
          <w:szCs w:val="24"/>
        </w:rPr>
        <w:t xml:space="preserve">in </w:t>
      </w:r>
      <w:r w:rsidR="00E53141" w:rsidRPr="00A505AF">
        <w:rPr>
          <w:rFonts w:ascii="Times New Roman" w:hAnsi="Times New Roman" w:cs="Times New Roman"/>
          <w:sz w:val="24"/>
          <w:szCs w:val="24"/>
        </w:rPr>
        <w:t xml:space="preserve">hot </w:t>
      </w:r>
      <w:r w:rsidRPr="00A505AF">
        <w:rPr>
          <w:rFonts w:ascii="Times New Roman" w:hAnsi="Times New Roman" w:cs="Times New Roman"/>
          <w:sz w:val="24"/>
          <w:szCs w:val="24"/>
        </w:rPr>
        <w:t xml:space="preserve">methanol </w:t>
      </w:r>
      <w:r w:rsidR="00E53141" w:rsidRPr="00A505AF">
        <w:rPr>
          <w:rFonts w:ascii="Times New Roman" w:hAnsi="Times New Roman" w:cs="Times New Roman"/>
          <w:sz w:val="24"/>
          <w:szCs w:val="24"/>
        </w:rPr>
        <w:t xml:space="preserve">(final </w:t>
      </w:r>
      <w:r w:rsidRPr="00A505AF">
        <w:rPr>
          <w:rFonts w:ascii="Times New Roman" w:hAnsi="Times New Roman" w:cs="Times New Roman"/>
          <w:sz w:val="24"/>
          <w:szCs w:val="24"/>
        </w:rPr>
        <w:t xml:space="preserve">yield </w:t>
      </w:r>
      <w:r w:rsidR="001A181C">
        <w:rPr>
          <w:rFonts w:ascii="Times New Roman" w:hAnsi="Times New Roman" w:cs="Times New Roman"/>
          <w:sz w:val="24"/>
          <w:szCs w:val="24"/>
        </w:rPr>
        <w:t xml:space="preserve">of </w:t>
      </w:r>
      <w:r w:rsidRPr="00A505AF">
        <w:rPr>
          <w:rFonts w:ascii="Times New Roman" w:hAnsi="Times New Roman" w:cs="Times New Roman"/>
          <w:sz w:val="24"/>
          <w:szCs w:val="24"/>
        </w:rPr>
        <w:t>64%</w:t>
      </w:r>
      <w:r w:rsidR="00E53141" w:rsidRPr="00A505AF">
        <w:rPr>
          <w:rFonts w:ascii="Times New Roman" w:hAnsi="Times New Roman" w:cs="Times New Roman"/>
          <w:sz w:val="24"/>
          <w:szCs w:val="24"/>
        </w:rPr>
        <w:t>)</w:t>
      </w:r>
      <w:r w:rsidRPr="00A505AF">
        <w:rPr>
          <w:rFonts w:ascii="Times New Roman" w:hAnsi="Times New Roman" w:cs="Times New Roman"/>
          <w:sz w:val="24"/>
          <w:szCs w:val="24"/>
        </w:rPr>
        <w:t>.</w:t>
      </w:r>
    </w:p>
    <w:p w14:paraId="13834445" w14:textId="62F140AB" w:rsidR="004F30CF" w:rsidRPr="002E69EC" w:rsidRDefault="001E2B40" w:rsidP="004D2D96">
      <w:pPr>
        <w:spacing w:after="0" w:line="480" w:lineRule="auto"/>
        <w:jc w:val="both"/>
        <w:rPr>
          <w:rFonts w:ascii="Times New Roman" w:hAnsi="Times New Roman" w:cs="Times New Roman"/>
          <w:sz w:val="24"/>
          <w:szCs w:val="24"/>
        </w:rPr>
      </w:pPr>
      <w:r w:rsidRPr="002E69EC">
        <w:rPr>
          <w:rFonts w:ascii="Times New Roman" w:hAnsi="Times New Roman" w:cs="Times New Roman"/>
          <w:sz w:val="24"/>
          <w:szCs w:val="24"/>
          <w:vertAlign w:val="superscript"/>
        </w:rPr>
        <w:t>1</w:t>
      </w:r>
      <w:r w:rsidRPr="002E69EC">
        <w:rPr>
          <w:rFonts w:ascii="Times New Roman" w:hAnsi="Times New Roman" w:cs="Times New Roman"/>
          <w:sz w:val="24"/>
          <w:szCs w:val="24"/>
        </w:rPr>
        <w:t>H NMR (400 MHz, CDCl</w:t>
      </w:r>
      <w:r w:rsidRPr="002E69EC">
        <w:rPr>
          <w:rFonts w:ascii="Times New Roman" w:hAnsi="Times New Roman" w:cs="Times New Roman"/>
          <w:sz w:val="24"/>
          <w:szCs w:val="24"/>
          <w:vertAlign w:val="subscript"/>
        </w:rPr>
        <w:t>3</w:t>
      </w:r>
      <w:r w:rsidRPr="002E69EC">
        <w:rPr>
          <w:rFonts w:ascii="Times New Roman" w:hAnsi="Times New Roman" w:cs="Times New Roman"/>
          <w:sz w:val="24"/>
          <w:szCs w:val="24"/>
        </w:rPr>
        <w:t xml:space="preserve">) </w:t>
      </w:r>
      <w:r w:rsidRPr="00C73573">
        <w:rPr>
          <w:rFonts w:ascii="Times New Roman" w:hAnsi="Times New Roman" w:cs="Times New Roman"/>
          <w:sz w:val="24"/>
          <w:szCs w:val="24"/>
        </w:rPr>
        <w:t>δ</w:t>
      </w:r>
      <w:r w:rsidRPr="002E69EC">
        <w:rPr>
          <w:rFonts w:ascii="Times New Roman" w:hAnsi="Times New Roman" w:cs="Times New Roman"/>
          <w:sz w:val="24"/>
          <w:szCs w:val="24"/>
        </w:rPr>
        <w:t xml:space="preserve"> 7.27 (d, J = 0.8 Hz, 1H</w:t>
      </w:r>
      <w:r w:rsidR="00C61058" w:rsidRPr="002E69EC">
        <w:rPr>
          <w:rFonts w:ascii="Times New Roman" w:hAnsi="Times New Roman" w:cs="Times New Roman"/>
          <w:sz w:val="24"/>
          <w:szCs w:val="24"/>
          <w:vertAlign w:val="subscript"/>
        </w:rPr>
        <w:t>1</w:t>
      </w:r>
      <w:r w:rsidRPr="002E69EC">
        <w:rPr>
          <w:rFonts w:ascii="Times New Roman" w:hAnsi="Times New Roman" w:cs="Times New Roman"/>
          <w:sz w:val="24"/>
          <w:szCs w:val="24"/>
        </w:rPr>
        <w:t>), 4.65 (dd, J = 12.2, 3.2 Hz, 1H</w:t>
      </w:r>
      <w:r w:rsidR="00C61058" w:rsidRPr="002E69EC">
        <w:rPr>
          <w:rFonts w:ascii="Times New Roman" w:hAnsi="Times New Roman" w:cs="Times New Roman"/>
          <w:sz w:val="24"/>
          <w:szCs w:val="24"/>
          <w:vertAlign w:val="subscript"/>
        </w:rPr>
        <w:t>4</w:t>
      </w:r>
      <w:r w:rsidRPr="002E69EC">
        <w:rPr>
          <w:rFonts w:ascii="Times New Roman" w:hAnsi="Times New Roman" w:cs="Times New Roman"/>
          <w:sz w:val="24"/>
          <w:szCs w:val="24"/>
        </w:rPr>
        <w:t>), 4.20 (dd, J = 12.2, 6.2 Hz, 1H</w:t>
      </w:r>
      <w:r w:rsidR="00C61058" w:rsidRPr="002E69EC">
        <w:rPr>
          <w:rFonts w:ascii="Times New Roman" w:hAnsi="Times New Roman" w:cs="Times New Roman"/>
          <w:sz w:val="24"/>
          <w:szCs w:val="24"/>
          <w:vertAlign w:val="subscript"/>
        </w:rPr>
        <w:t>4</w:t>
      </w:r>
      <w:r w:rsidRPr="002E69EC">
        <w:rPr>
          <w:rFonts w:ascii="Times New Roman" w:hAnsi="Times New Roman" w:cs="Times New Roman"/>
          <w:sz w:val="24"/>
          <w:szCs w:val="24"/>
        </w:rPr>
        <w:t>), 3.37 – 3.30 (m, 1H</w:t>
      </w:r>
      <w:r w:rsidR="00C61058" w:rsidRPr="002E69EC">
        <w:rPr>
          <w:rFonts w:ascii="Times New Roman" w:hAnsi="Times New Roman" w:cs="Times New Roman"/>
          <w:sz w:val="24"/>
          <w:szCs w:val="24"/>
          <w:vertAlign w:val="subscript"/>
        </w:rPr>
        <w:t>5</w:t>
      </w:r>
      <w:r w:rsidRPr="002E69EC">
        <w:rPr>
          <w:rFonts w:ascii="Times New Roman" w:hAnsi="Times New Roman" w:cs="Times New Roman"/>
          <w:sz w:val="24"/>
          <w:szCs w:val="24"/>
        </w:rPr>
        <w:t>), 2.90 (td, J = 4.5, 4.0, 0.8 Hz, 1H</w:t>
      </w:r>
      <w:r w:rsidR="00C61058" w:rsidRPr="002E69EC">
        <w:rPr>
          <w:rFonts w:ascii="Times New Roman" w:hAnsi="Times New Roman" w:cs="Times New Roman"/>
          <w:sz w:val="24"/>
          <w:szCs w:val="24"/>
          <w:vertAlign w:val="subscript"/>
        </w:rPr>
        <w:t>6</w:t>
      </w:r>
      <w:r w:rsidRPr="002E69EC">
        <w:rPr>
          <w:rFonts w:ascii="Times New Roman" w:hAnsi="Times New Roman" w:cs="Times New Roman"/>
          <w:sz w:val="24"/>
          <w:szCs w:val="24"/>
        </w:rPr>
        <w:t>), 2.73 (ddd, J = 4.9, 2.6, 0.8 Hz, 1H</w:t>
      </w:r>
      <w:r w:rsidR="00C61058" w:rsidRPr="002E69EC">
        <w:rPr>
          <w:rFonts w:ascii="Times New Roman" w:hAnsi="Times New Roman" w:cs="Times New Roman"/>
          <w:sz w:val="24"/>
          <w:szCs w:val="24"/>
          <w:vertAlign w:val="subscript"/>
        </w:rPr>
        <w:t>6</w:t>
      </w:r>
      <w:r w:rsidRPr="002E69EC">
        <w:rPr>
          <w:rFonts w:ascii="Times New Roman" w:hAnsi="Times New Roman" w:cs="Times New Roman"/>
          <w:sz w:val="24"/>
          <w:szCs w:val="24"/>
        </w:rPr>
        <w:t>)</w:t>
      </w:r>
      <w:r w:rsidR="00E24D87" w:rsidRPr="002E69EC">
        <w:rPr>
          <w:rFonts w:ascii="Times New Roman" w:hAnsi="Times New Roman" w:cs="Times New Roman"/>
          <w:sz w:val="24"/>
          <w:szCs w:val="24"/>
        </w:rPr>
        <w:t xml:space="preserve">; </w:t>
      </w:r>
      <w:r w:rsidR="00E53141" w:rsidRPr="002E69EC">
        <w:rPr>
          <w:rFonts w:ascii="Times New Roman" w:hAnsi="Times New Roman" w:cs="Times New Roman"/>
          <w:sz w:val="24"/>
          <w:szCs w:val="24"/>
          <w:vertAlign w:val="superscript"/>
        </w:rPr>
        <w:t>13</w:t>
      </w:r>
      <w:r w:rsidR="00E53141" w:rsidRPr="002E69EC">
        <w:rPr>
          <w:rFonts w:ascii="Times New Roman" w:hAnsi="Times New Roman" w:cs="Times New Roman"/>
          <w:sz w:val="24"/>
          <w:szCs w:val="24"/>
        </w:rPr>
        <w:t xml:space="preserve">C NMR </w:t>
      </w:r>
      <w:r w:rsidRPr="002E69EC">
        <w:rPr>
          <w:rFonts w:ascii="Times New Roman" w:hAnsi="Times New Roman" w:cs="Times New Roman"/>
          <w:sz w:val="24"/>
          <w:szCs w:val="24"/>
        </w:rPr>
        <w:t>(101 MHz, CDCl</w:t>
      </w:r>
      <w:r w:rsidRPr="002E69EC">
        <w:rPr>
          <w:rFonts w:ascii="Times New Roman" w:hAnsi="Times New Roman" w:cs="Times New Roman"/>
          <w:sz w:val="24"/>
          <w:szCs w:val="24"/>
          <w:vertAlign w:val="subscript"/>
        </w:rPr>
        <w:t>3</w:t>
      </w:r>
      <w:r w:rsidRPr="002E69EC">
        <w:rPr>
          <w:rFonts w:ascii="Times New Roman" w:hAnsi="Times New Roman" w:cs="Times New Roman"/>
          <w:sz w:val="24"/>
          <w:szCs w:val="24"/>
        </w:rPr>
        <w:t xml:space="preserve">) </w:t>
      </w:r>
      <w:r w:rsidRPr="00C73573">
        <w:rPr>
          <w:rFonts w:ascii="Times New Roman" w:hAnsi="Times New Roman" w:cs="Times New Roman"/>
          <w:sz w:val="24"/>
          <w:szCs w:val="24"/>
        </w:rPr>
        <w:t>δ</w:t>
      </w:r>
      <w:r w:rsidRPr="002E69EC">
        <w:rPr>
          <w:rFonts w:ascii="Times New Roman" w:hAnsi="Times New Roman" w:cs="Times New Roman"/>
          <w:sz w:val="24"/>
          <w:szCs w:val="24"/>
        </w:rPr>
        <w:t xml:space="preserve"> 157.</w:t>
      </w:r>
      <w:r w:rsidR="00373FCF">
        <w:rPr>
          <w:rFonts w:ascii="Times New Roman" w:hAnsi="Times New Roman" w:cs="Times New Roman"/>
          <w:sz w:val="24"/>
          <w:szCs w:val="24"/>
        </w:rPr>
        <w:t>6</w:t>
      </w:r>
      <w:r w:rsidR="00373FCF" w:rsidRPr="002E69EC">
        <w:rPr>
          <w:rFonts w:ascii="Times New Roman" w:hAnsi="Times New Roman" w:cs="Times New Roman"/>
          <w:sz w:val="24"/>
          <w:szCs w:val="24"/>
        </w:rPr>
        <w:t xml:space="preserve"> </w:t>
      </w:r>
      <w:r w:rsidR="00C61058" w:rsidRPr="002E69EC">
        <w:rPr>
          <w:rFonts w:ascii="Times New Roman" w:hAnsi="Times New Roman" w:cs="Times New Roman"/>
          <w:sz w:val="24"/>
          <w:szCs w:val="24"/>
        </w:rPr>
        <w:t>(C</w:t>
      </w:r>
      <w:r w:rsidR="00C61058" w:rsidRPr="002E69EC">
        <w:rPr>
          <w:rFonts w:ascii="Times New Roman" w:hAnsi="Times New Roman" w:cs="Times New Roman"/>
          <w:sz w:val="24"/>
          <w:szCs w:val="24"/>
          <w:vertAlign w:val="subscript"/>
        </w:rPr>
        <w:t>3</w:t>
      </w:r>
      <w:r w:rsidR="00C61058" w:rsidRPr="002E69EC">
        <w:rPr>
          <w:rFonts w:ascii="Times New Roman" w:hAnsi="Times New Roman" w:cs="Times New Roman"/>
          <w:sz w:val="24"/>
          <w:szCs w:val="24"/>
        </w:rPr>
        <w:t>)</w:t>
      </w:r>
      <w:r w:rsidRPr="002E69EC">
        <w:rPr>
          <w:rFonts w:ascii="Times New Roman" w:hAnsi="Times New Roman" w:cs="Times New Roman"/>
          <w:sz w:val="24"/>
          <w:szCs w:val="24"/>
        </w:rPr>
        <w:t>, 146.5</w:t>
      </w:r>
      <w:r w:rsidR="00C61058" w:rsidRPr="002E69EC">
        <w:rPr>
          <w:rFonts w:ascii="Times New Roman" w:hAnsi="Times New Roman" w:cs="Times New Roman"/>
          <w:sz w:val="24"/>
          <w:szCs w:val="24"/>
        </w:rPr>
        <w:t xml:space="preserve"> (C</w:t>
      </w:r>
      <w:r w:rsidR="00C61058" w:rsidRPr="002E69EC">
        <w:rPr>
          <w:rFonts w:ascii="Times New Roman" w:hAnsi="Times New Roman" w:cs="Times New Roman"/>
          <w:sz w:val="24"/>
          <w:szCs w:val="24"/>
          <w:vertAlign w:val="subscript"/>
        </w:rPr>
        <w:t>2</w:t>
      </w:r>
      <w:r w:rsidR="00C61058" w:rsidRPr="002E69EC">
        <w:rPr>
          <w:rFonts w:ascii="Times New Roman" w:hAnsi="Times New Roman" w:cs="Times New Roman"/>
          <w:sz w:val="24"/>
          <w:szCs w:val="24"/>
        </w:rPr>
        <w:t>)</w:t>
      </w:r>
      <w:r w:rsidRPr="002E69EC">
        <w:rPr>
          <w:rFonts w:ascii="Times New Roman" w:hAnsi="Times New Roman" w:cs="Times New Roman"/>
          <w:sz w:val="24"/>
          <w:szCs w:val="24"/>
        </w:rPr>
        <w:t>, 119.0</w:t>
      </w:r>
      <w:r w:rsidR="00C61058" w:rsidRPr="002E69EC">
        <w:rPr>
          <w:rFonts w:ascii="Times New Roman" w:hAnsi="Times New Roman" w:cs="Times New Roman"/>
          <w:sz w:val="24"/>
          <w:szCs w:val="24"/>
        </w:rPr>
        <w:t xml:space="preserve"> (C</w:t>
      </w:r>
      <w:r w:rsidR="00C61058" w:rsidRPr="002E69EC">
        <w:rPr>
          <w:rFonts w:ascii="Times New Roman" w:hAnsi="Times New Roman" w:cs="Times New Roman"/>
          <w:sz w:val="24"/>
          <w:szCs w:val="24"/>
          <w:vertAlign w:val="subscript"/>
        </w:rPr>
        <w:t>1</w:t>
      </w:r>
      <w:r w:rsidR="00C61058" w:rsidRPr="002E69EC">
        <w:rPr>
          <w:rFonts w:ascii="Times New Roman" w:hAnsi="Times New Roman" w:cs="Times New Roman"/>
          <w:sz w:val="24"/>
          <w:szCs w:val="24"/>
        </w:rPr>
        <w:t>)</w:t>
      </w:r>
      <w:r w:rsidRPr="002E69EC">
        <w:rPr>
          <w:rFonts w:ascii="Times New Roman" w:hAnsi="Times New Roman" w:cs="Times New Roman"/>
          <w:sz w:val="24"/>
          <w:szCs w:val="24"/>
        </w:rPr>
        <w:t>, 66.0</w:t>
      </w:r>
      <w:r w:rsidR="00FF7FF4" w:rsidRPr="002E69EC">
        <w:rPr>
          <w:rFonts w:ascii="Times New Roman" w:hAnsi="Times New Roman" w:cs="Times New Roman"/>
          <w:sz w:val="24"/>
          <w:szCs w:val="24"/>
        </w:rPr>
        <w:t xml:space="preserve"> (C</w:t>
      </w:r>
      <w:r w:rsidR="00FF7FF4" w:rsidRPr="002E69EC">
        <w:rPr>
          <w:rFonts w:ascii="Times New Roman" w:hAnsi="Times New Roman" w:cs="Times New Roman"/>
          <w:sz w:val="24"/>
          <w:szCs w:val="24"/>
          <w:vertAlign w:val="subscript"/>
        </w:rPr>
        <w:t>4</w:t>
      </w:r>
      <w:r w:rsidR="00FF7FF4" w:rsidRPr="002E69EC">
        <w:rPr>
          <w:rFonts w:ascii="Times New Roman" w:hAnsi="Times New Roman" w:cs="Times New Roman"/>
          <w:sz w:val="24"/>
          <w:szCs w:val="24"/>
        </w:rPr>
        <w:t>)</w:t>
      </w:r>
      <w:r w:rsidRPr="002E69EC">
        <w:rPr>
          <w:rFonts w:ascii="Times New Roman" w:hAnsi="Times New Roman" w:cs="Times New Roman"/>
          <w:sz w:val="24"/>
          <w:szCs w:val="24"/>
        </w:rPr>
        <w:t>, 49.</w:t>
      </w:r>
      <w:r w:rsidR="00373FCF">
        <w:rPr>
          <w:rFonts w:ascii="Times New Roman" w:hAnsi="Times New Roman" w:cs="Times New Roman"/>
          <w:sz w:val="24"/>
          <w:szCs w:val="24"/>
        </w:rPr>
        <w:t>1</w:t>
      </w:r>
      <w:r w:rsidR="00373FCF" w:rsidRPr="002E69EC">
        <w:rPr>
          <w:rFonts w:ascii="Times New Roman" w:hAnsi="Times New Roman" w:cs="Times New Roman"/>
          <w:sz w:val="24"/>
          <w:szCs w:val="24"/>
        </w:rPr>
        <w:t xml:space="preserve"> </w:t>
      </w:r>
      <w:r w:rsidR="00FF7FF4" w:rsidRPr="002E69EC">
        <w:rPr>
          <w:rFonts w:ascii="Times New Roman" w:hAnsi="Times New Roman" w:cs="Times New Roman"/>
          <w:sz w:val="24"/>
          <w:szCs w:val="24"/>
        </w:rPr>
        <w:t>(C</w:t>
      </w:r>
      <w:r w:rsidR="00FF7FF4" w:rsidRPr="002E69EC">
        <w:rPr>
          <w:rFonts w:ascii="Times New Roman" w:hAnsi="Times New Roman" w:cs="Times New Roman"/>
          <w:sz w:val="24"/>
          <w:szCs w:val="24"/>
          <w:vertAlign w:val="subscript"/>
        </w:rPr>
        <w:t>5</w:t>
      </w:r>
      <w:r w:rsidR="00FF7FF4" w:rsidRPr="002E69EC">
        <w:rPr>
          <w:rFonts w:ascii="Times New Roman" w:hAnsi="Times New Roman" w:cs="Times New Roman"/>
          <w:sz w:val="24"/>
          <w:szCs w:val="24"/>
        </w:rPr>
        <w:t>)</w:t>
      </w:r>
      <w:r w:rsidRPr="002E69EC">
        <w:rPr>
          <w:rFonts w:ascii="Times New Roman" w:hAnsi="Times New Roman" w:cs="Times New Roman"/>
          <w:sz w:val="24"/>
          <w:szCs w:val="24"/>
        </w:rPr>
        <w:t>, 44.8</w:t>
      </w:r>
      <w:r w:rsidR="00FF7FF4" w:rsidRPr="002E69EC">
        <w:rPr>
          <w:rFonts w:ascii="Times New Roman" w:hAnsi="Times New Roman" w:cs="Times New Roman"/>
          <w:sz w:val="24"/>
          <w:szCs w:val="24"/>
        </w:rPr>
        <w:t xml:space="preserve"> (C</w:t>
      </w:r>
      <w:r w:rsidR="00FF7FF4" w:rsidRPr="002E69EC">
        <w:rPr>
          <w:rFonts w:ascii="Times New Roman" w:hAnsi="Times New Roman" w:cs="Times New Roman"/>
          <w:sz w:val="24"/>
          <w:szCs w:val="24"/>
          <w:vertAlign w:val="subscript"/>
        </w:rPr>
        <w:t>6</w:t>
      </w:r>
      <w:r w:rsidR="00FF7FF4" w:rsidRPr="002E69EC">
        <w:rPr>
          <w:rFonts w:ascii="Times New Roman" w:hAnsi="Times New Roman" w:cs="Times New Roman"/>
          <w:sz w:val="24"/>
          <w:szCs w:val="24"/>
        </w:rPr>
        <w:t>)</w:t>
      </w:r>
      <w:r w:rsidRPr="002E69EC">
        <w:rPr>
          <w:rFonts w:ascii="Times New Roman" w:hAnsi="Times New Roman" w:cs="Times New Roman"/>
          <w:sz w:val="24"/>
          <w:szCs w:val="24"/>
        </w:rPr>
        <w:t>.</w:t>
      </w:r>
      <w:r w:rsidR="004F30CF" w:rsidRPr="002E69EC">
        <w:rPr>
          <w:rFonts w:ascii="Times New Roman" w:hAnsi="Times New Roman" w:cs="Times New Roman"/>
          <w:sz w:val="24"/>
          <w:szCs w:val="24"/>
        </w:rPr>
        <w:t xml:space="preserve"> </w:t>
      </w:r>
    </w:p>
    <w:p w14:paraId="7AD74D4F" w14:textId="586E1E0A" w:rsidR="00C956B1" w:rsidRPr="00C73573" w:rsidRDefault="004F30CF" w:rsidP="004D2D96">
      <w:pPr>
        <w:spacing w:after="0" w:line="480" w:lineRule="auto"/>
        <w:jc w:val="both"/>
        <w:rPr>
          <w:rFonts w:ascii="Times New Roman" w:hAnsi="Times New Roman" w:cs="Times New Roman"/>
          <w:sz w:val="24"/>
          <w:szCs w:val="24"/>
          <w:lang w:val="pt-PT"/>
        </w:rPr>
      </w:pPr>
      <w:r w:rsidRPr="00C73573">
        <w:rPr>
          <w:rFonts w:ascii="Times New Roman" w:hAnsi="Times New Roman" w:cs="Times New Roman"/>
          <w:sz w:val="24"/>
          <w:szCs w:val="24"/>
          <w:lang w:val="pt-PT"/>
        </w:rPr>
        <w:t>ATR-FT-IR: 3108, 1710, 1586, 1575, 1521, 1517, 1457, 1448, 1343, 1268, 1133, 1036, 989, 982, 941, 904, 866, 851, 815, 765, 754 cm</w:t>
      </w:r>
      <w:r w:rsidRPr="00C73573">
        <w:rPr>
          <w:rFonts w:ascii="Times New Roman" w:hAnsi="Times New Roman" w:cs="Times New Roman"/>
          <w:sz w:val="24"/>
          <w:szCs w:val="24"/>
          <w:vertAlign w:val="superscript"/>
          <w:lang w:val="pt-PT"/>
        </w:rPr>
        <w:t>-1</w:t>
      </w:r>
      <w:r w:rsidRPr="00C73573">
        <w:rPr>
          <w:rFonts w:ascii="Times New Roman" w:hAnsi="Times New Roman" w:cs="Times New Roman"/>
          <w:sz w:val="24"/>
          <w:szCs w:val="24"/>
          <w:lang w:val="pt-PT"/>
        </w:rPr>
        <w:t>.</w:t>
      </w:r>
    </w:p>
    <w:p w14:paraId="11230DF2" w14:textId="55C057DD" w:rsidR="004F30CF" w:rsidRPr="00C73573" w:rsidRDefault="004F30CF" w:rsidP="004F30CF">
      <w:pPr>
        <w:spacing w:line="259" w:lineRule="auto"/>
        <w:jc w:val="both"/>
        <w:rPr>
          <w:rFonts w:ascii="Times New Roman" w:hAnsi="Times New Roman" w:cs="Times New Roman"/>
          <w:sz w:val="24"/>
          <w:szCs w:val="24"/>
          <w:lang w:val="pt-PT"/>
        </w:rPr>
      </w:pPr>
      <w:r w:rsidRPr="00B820C7">
        <w:rPr>
          <w:rFonts w:ascii="Times New Roman" w:hAnsi="Times New Roman" w:cs="Times New Roman"/>
          <w:sz w:val="24"/>
          <w:szCs w:val="24"/>
          <w:lang w:val="pt-PT"/>
        </w:rPr>
        <w:t>MS: [M+Na]</w:t>
      </w:r>
      <w:r w:rsidRPr="00B820C7">
        <w:rPr>
          <w:rFonts w:ascii="Times New Roman" w:hAnsi="Times New Roman" w:cs="Times New Roman"/>
          <w:sz w:val="24"/>
          <w:szCs w:val="24"/>
          <w:vertAlign w:val="superscript"/>
          <w:lang w:val="pt-PT"/>
        </w:rPr>
        <w:t>+</w:t>
      </w:r>
      <w:r w:rsidRPr="00B820C7">
        <w:rPr>
          <w:rFonts w:ascii="Times New Roman" w:hAnsi="Times New Roman" w:cs="Times New Roman"/>
          <w:sz w:val="24"/>
          <w:szCs w:val="24"/>
          <w:lang w:val="pt-PT"/>
        </w:rPr>
        <w:t xml:space="preserve"> = </w:t>
      </w:r>
      <w:r w:rsidR="00B820C7">
        <w:rPr>
          <w:rFonts w:ascii="Times New Roman" w:hAnsi="Times New Roman" w:cs="Times New Roman"/>
          <w:sz w:val="24"/>
          <w:szCs w:val="24"/>
          <w:lang w:val="pt-PT"/>
        </w:rPr>
        <w:t xml:space="preserve"> Calc. for </w:t>
      </w:r>
      <w:r w:rsidR="00B820C7" w:rsidRPr="00B820C7">
        <w:rPr>
          <w:rFonts w:ascii="Times New Roman" w:hAnsi="Times New Roman" w:cs="Times New Roman"/>
          <w:sz w:val="24"/>
          <w:szCs w:val="24"/>
          <w:lang w:val="pt-PT"/>
        </w:rPr>
        <w:t>C</w:t>
      </w:r>
      <w:r w:rsidR="00B820C7" w:rsidRPr="00B820C7">
        <w:rPr>
          <w:rFonts w:ascii="Times New Roman" w:hAnsi="Times New Roman" w:cs="Times New Roman"/>
          <w:sz w:val="24"/>
          <w:szCs w:val="24"/>
          <w:vertAlign w:val="subscript"/>
          <w:lang w:val="pt-PT"/>
        </w:rPr>
        <w:t>12</w:t>
      </w:r>
      <w:r w:rsidR="00B820C7" w:rsidRPr="00B820C7">
        <w:rPr>
          <w:rFonts w:ascii="Times New Roman" w:hAnsi="Times New Roman" w:cs="Times New Roman"/>
          <w:sz w:val="24"/>
          <w:szCs w:val="24"/>
          <w:lang w:val="pt-PT"/>
        </w:rPr>
        <w:t>H</w:t>
      </w:r>
      <w:r w:rsidR="00B820C7" w:rsidRPr="00B820C7">
        <w:rPr>
          <w:rFonts w:ascii="Times New Roman" w:hAnsi="Times New Roman" w:cs="Times New Roman"/>
          <w:sz w:val="24"/>
          <w:szCs w:val="24"/>
          <w:vertAlign w:val="subscript"/>
          <w:lang w:val="pt-PT"/>
        </w:rPr>
        <w:t>12</w:t>
      </w:r>
      <w:r w:rsidR="00B820C7" w:rsidRPr="00B820C7">
        <w:rPr>
          <w:rFonts w:ascii="Times New Roman" w:hAnsi="Times New Roman" w:cs="Times New Roman"/>
          <w:sz w:val="24"/>
          <w:szCs w:val="24"/>
          <w:lang w:val="pt-PT"/>
        </w:rPr>
        <w:t>NaO</w:t>
      </w:r>
      <w:r w:rsidR="00B820C7" w:rsidRPr="00B820C7">
        <w:rPr>
          <w:rFonts w:ascii="Times New Roman" w:hAnsi="Times New Roman" w:cs="Times New Roman"/>
          <w:sz w:val="24"/>
          <w:szCs w:val="24"/>
          <w:vertAlign w:val="subscript"/>
          <w:lang w:val="pt-PT"/>
        </w:rPr>
        <w:t>7</w:t>
      </w:r>
      <w:r w:rsidR="00B820C7">
        <w:rPr>
          <w:rFonts w:ascii="Times New Roman" w:hAnsi="Times New Roman" w:cs="Times New Roman"/>
          <w:sz w:val="24"/>
          <w:szCs w:val="24"/>
          <w:lang w:val="pt-PT"/>
        </w:rPr>
        <w:t xml:space="preserve"> </w:t>
      </w:r>
      <w:r w:rsidR="00B820C7" w:rsidRPr="00B820C7">
        <w:rPr>
          <w:rFonts w:ascii="Times New Roman" w:hAnsi="Times New Roman" w:cs="Times New Roman"/>
          <w:sz w:val="24"/>
          <w:szCs w:val="24"/>
          <w:lang w:val="pt-PT"/>
        </w:rPr>
        <w:t>291</w:t>
      </w:r>
      <w:r w:rsidR="00B820C7">
        <w:rPr>
          <w:rFonts w:ascii="Times New Roman" w:hAnsi="Times New Roman" w:cs="Times New Roman"/>
          <w:sz w:val="24"/>
          <w:szCs w:val="24"/>
          <w:lang w:val="pt-PT"/>
        </w:rPr>
        <w:t>.</w:t>
      </w:r>
      <w:r w:rsidR="00B820C7" w:rsidRPr="00B820C7">
        <w:rPr>
          <w:rFonts w:ascii="Times New Roman" w:hAnsi="Times New Roman" w:cs="Times New Roman"/>
          <w:sz w:val="24"/>
          <w:szCs w:val="24"/>
          <w:lang w:val="pt-PT"/>
        </w:rPr>
        <w:t>0475</w:t>
      </w:r>
      <w:r w:rsidR="00B820C7">
        <w:rPr>
          <w:rFonts w:ascii="Times New Roman" w:hAnsi="Times New Roman" w:cs="Times New Roman"/>
          <w:sz w:val="24"/>
          <w:szCs w:val="24"/>
          <w:lang w:val="pt-PT"/>
        </w:rPr>
        <w:t xml:space="preserve">; Found </w:t>
      </w:r>
      <w:r w:rsidRPr="00B820C7">
        <w:rPr>
          <w:rFonts w:ascii="Times New Roman" w:hAnsi="Times New Roman" w:cs="Times New Roman"/>
          <w:sz w:val="24"/>
          <w:szCs w:val="24"/>
          <w:lang w:val="pt-PT"/>
        </w:rPr>
        <w:t>291.0481.</w:t>
      </w:r>
    </w:p>
    <w:p w14:paraId="579F30E1" w14:textId="2FD44EC9" w:rsidR="004F30CF" w:rsidRPr="005B2D99" w:rsidRDefault="004F30CF" w:rsidP="005B2D99">
      <w:pPr>
        <w:spacing w:line="480" w:lineRule="auto"/>
        <w:jc w:val="both"/>
        <w:rPr>
          <w:rFonts w:ascii="Times New Roman" w:hAnsi="Times New Roman" w:cs="Times New Roman"/>
        </w:rPr>
      </w:pPr>
      <w:r w:rsidRPr="00C73573">
        <w:rPr>
          <w:rFonts w:ascii="Times New Roman" w:hAnsi="Times New Roman" w:cs="Times New Roman"/>
          <w:sz w:val="24"/>
          <w:szCs w:val="24"/>
        </w:rPr>
        <w:t>Melting Point: 89.97 ºC</w:t>
      </w:r>
    </w:p>
    <w:p w14:paraId="492ACE6B" w14:textId="63520153" w:rsidR="000E5458" w:rsidRPr="004D2D96" w:rsidRDefault="000E5458" w:rsidP="005B2D99">
      <w:pPr>
        <w:spacing w:after="120" w:line="480" w:lineRule="auto"/>
        <w:jc w:val="both"/>
        <w:rPr>
          <w:rFonts w:ascii="Times New Roman" w:hAnsi="Times New Roman" w:cs="Times New Roman"/>
          <w:b/>
          <w:bCs/>
          <w:i/>
          <w:iCs/>
          <w:sz w:val="24"/>
          <w:szCs w:val="24"/>
        </w:rPr>
      </w:pPr>
      <w:r w:rsidRPr="004D2D96">
        <w:rPr>
          <w:rFonts w:ascii="Times New Roman" w:hAnsi="Times New Roman" w:cs="Times New Roman"/>
          <w:b/>
          <w:bCs/>
          <w:i/>
          <w:iCs/>
          <w:sz w:val="24"/>
          <w:szCs w:val="24"/>
        </w:rPr>
        <w:t>Preparation and characterization of supported heterogenous catalysts S-Et</w:t>
      </w:r>
      <w:r w:rsidRPr="004D2D96">
        <w:rPr>
          <w:rFonts w:ascii="Times New Roman" w:hAnsi="Times New Roman" w:cs="Times New Roman"/>
          <w:b/>
          <w:bCs/>
          <w:i/>
          <w:iCs/>
          <w:sz w:val="24"/>
          <w:szCs w:val="24"/>
          <w:vertAlign w:val="subscript"/>
        </w:rPr>
        <w:t>3</w:t>
      </w:r>
      <w:r w:rsidRPr="004D2D96">
        <w:rPr>
          <w:rFonts w:ascii="Times New Roman" w:hAnsi="Times New Roman" w:cs="Times New Roman"/>
          <w:b/>
          <w:bCs/>
          <w:i/>
          <w:iCs/>
          <w:sz w:val="24"/>
          <w:szCs w:val="24"/>
        </w:rPr>
        <w:t>N and S-NMPy</w:t>
      </w:r>
    </w:p>
    <w:p w14:paraId="1200F8FA" w14:textId="747A27EF" w:rsidR="009678E4" w:rsidRDefault="000E5458" w:rsidP="005B2D99">
      <w:pPr>
        <w:spacing w:after="120" w:line="480" w:lineRule="auto"/>
        <w:jc w:val="both"/>
        <w:rPr>
          <w:rFonts w:ascii="Times New Roman" w:hAnsi="Times New Roman" w:cs="Times New Roman"/>
          <w:sz w:val="24"/>
          <w:szCs w:val="24"/>
        </w:rPr>
      </w:pPr>
      <w:r w:rsidRPr="00370B37">
        <w:rPr>
          <w:rFonts w:ascii="Times New Roman" w:hAnsi="Times New Roman" w:cs="Times New Roman"/>
          <w:i/>
          <w:iCs/>
          <w:sz w:val="24"/>
          <w:szCs w:val="24"/>
        </w:rPr>
        <w:t>Synthesis of S-Et</w:t>
      </w:r>
      <w:r w:rsidRPr="00370B37">
        <w:rPr>
          <w:rFonts w:ascii="Times New Roman" w:hAnsi="Times New Roman" w:cs="Times New Roman"/>
          <w:i/>
          <w:iCs/>
          <w:sz w:val="24"/>
          <w:szCs w:val="24"/>
          <w:vertAlign w:val="subscript"/>
        </w:rPr>
        <w:t>3</w:t>
      </w:r>
      <w:r w:rsidRPr="00370B37">
        <w:rPr>
          <w:rFonts w:ascii="Times New Roman" w:hAnsi="Times New Roman" w:cs="Times New Roman"/>
          <w:i/>
          <w:iCs/>
          <w:sz w:val="24"/>
          <w:szCs w:val="24"/>
        </w:rPr>
        <w:t>N:</w:t>
      </w:r>
      <w:r w:rsidRPr="00D843C1">
        <w:rPr>
          <w:rFonts w:ascii="Times New Roman" w:hAnsi="Times New Roman" w:cs="Times New Roman"/>
          <w:sz w:val="24"/>
          <w:szCs w:val="24"/>
        </w:rPr>
        <w:t xml:space="preserve"> </w:t>
      </w:r>
      <w:r w:rsidR="009678E4" w:rsidRPr="009678E4">
        <w:rPr>
          <w:rFonts w:ascii="Times New Roman" w:hAnsi="Times New Roman" w:cs="Times New Roman"/>
          <w:sz w:val="24"/>
          <w:szCs w:val="24"/>
        </w:rPr>
        <w:t>1</w:t>
      </w:r>
      <w:r w:rsidR="001A181C">
        <w:rPr>
          <w:rFonts w:ascii="Times New Roman" w:hAnsi="Times New Roman" w:cs="Times New Roman"/>
          <w:sz w:val="24"/>
          <w:szCs w:val="24"/>
        </w:rPr>
        <w:t>.0</w:t>
      </w:r>
      <w:r w:rsidR="009678E4" w:rsidRPr="009678E4">
        <w:rPr>
          <w:rFonts w:ascii="Times New Roman" w:hAnsi="Times New Roman" w:cs="Times New Roman"/>
          <w:sz w:val="24"/>
          <w:szCs w:val="24"/>
        </w:rPr>
        <w:t xml:space="preserve"> g of Merrifield resin (macroporous resin, 5.5 meq/g, 5.5 mmol) was suspended in 10 mL of </w:t>
      </w:r>
      <w:r w:rsidR="009678E4" w:rsidRPr="00F847DA">
        <w:rPr>
          <w:rFonts w:ascii="Times New Roman" w:hAnsi="Times New Roman" w:cs="Times New Roman"/>
          <w:i/>
          <w:iCs/>
          <w:sz w:val="24"/>
          <w:szCs w:val="24"/>
        </w:rPr>
        <w:t>N</w:t>
      </w:r>
      <w:r w:rsidR="009678E4" w:rsidRPr="009678E4">
        <w:rPr>
          <w:rFonts w:ascii="Times New Roman" w:hAnsi="Times New Roman" w:cs="Times New Roman"/>
          <w:sz w:val="24"/>
          <w:szCs w:val="24"/>
        </w:rPr>
        <w:t>,</w:t>
      </w:r>
      <w:r w:rsidR="009678E4" w:rsidRPr="00F847DA">
        <w:rPr>
          <w:rFonts w:ascii="Times New Roman" w:hAnsi="Times New Roman" w:cs="Times New Roman"/>
          <w:i/>
          <w:iCs/>
          <w:sz w:val="24"/>
          <w:szCs w:val="24"/>
        </w:rPr>
        <w:t>N</w:t>
      </w:r>
      <w:r w:rsidR="009678E4" w:rsidRPr="009678E4">
        <w:rPr>
          <w:rFonts w:ascii="Times New Roman" w:hAnsi="Times New Roman" w:cs="Times New Roman"/>
          <w:sz w:val="24"/>
          <w:szCs w:val="24"/>
        </w:rPr>
        <w:t>-dimethylformamide (DMF) in a reaction vessel. Subsequently, 4</w:t>
      </w:r>
      <w:r w:rsidR="001A181C">
        <w:rPr>
          <w:rFonts w:ascii="Times New Roman" w:hAnsi="Times New Roman" w:cs="Times New Roman"/>
          <w:sz w:val="24"/>
          <w:szCs w:val="24"/>
        </w:rPr>
        <w:t>.0</w:t>
      </w:r>
      <w:r w:rsidR="009678E4" w:rsidRPr="009678E4">
        <w:rPr>
          <w:rFonts w:ascii="Times New Roman" w:hAnsi="Times New Roman" w:cs="Times New Roman"/>
          <w:sz w:val="24"/>
          <w:szCs w:val="24"/>
        </w:rPr>
        <w:t xml:space="preserve"> mL of diethylamine (38.69 mmol) </w:t>
      </w:r>
      <w:r w:rsidR="001A181C">
        <w:rPr>
          <w:rFonts w:ascii="Times New Roman" w:hAnsi="Times New Roman" w:cs="Times New Roman"/>
          <w:sz w:val="24"/>
          <w:szCs w:val="24"/>
        </w:rPr>
        <w:t>were</w:t>
      </w:r>
      <w:r w:rsidR="001A181C" w:rsidRPr="009678E4">
        <w:rPr>
          <w:rFonts w:ascii="Times New Roman" w:hAnsi="Times New Roman" w:cs="Times New Roman"/>
          <w:sz w:val="24"/>
          <w:szCs w:val="24"/>
        </w:rPr>
        <w:t xml:space="preserve"> </w:t>
      </w:r>
      <w:r w:rsidR="009678E4" w:rsidRPr="009678E4">
        <w:rPr>
          <w:rFonts w:ascii="Times New Roman" w:hAnsi="Times New Roman" w:cs="Times New Roman"/>
          <w:sz w:val="24"/>
          <w:szCs w:val="24"/>
        </w:rPr>
        <w:t>added to the suspension. The reaction mixture was stirred at 75 °C for 24 hours to ensure thorough functionalization.</w:t>
      </w:r>
      <w:r w:rsidR="009678E4">
        <w:rPr>
          <w:rFonts w:ascii="Times New Roman" w:hAnsi="Times New Roman" w:cs="Times New Roman"/>
          <w:sz w:val="24"/>
          <w:szCs w:val="24"/>
        </w:rPr>
        <w:t xml:space="preserve"> </w:t>
      </w:r>
      <w:r w:rsidR="009678E4" w:rsidRPr="009678E4">
        <w:rPr>
          <w:rFonts w:ascii="Times New Roman" w:hAnsi="Times New Roman" w:cs="Times New Roman"/>
          <w:sz w:val="24"/>
          <w:szCs w:val="24"/>
        </w:rPr>
        <w:t>After reaction</w:t>
      </w:r>
      <w:r w:rsidR="001A181C">
        <w:rPr>
          <w:rFonts w:ascii="Times New Roman" w:hAnsi="Times New Roman" w:cs="Times New Roman"/>
          <w:sz w:val="24"/>
          <w:szCs w:val="24"/>
        </w:rPr>
        <w:t xml:space="preserve"> completion</w:t>
      </w:r>
      <w:r w:rsidR="009678E4" w:rsidRPr="009678E4">
        <w:rPr>
          <w:rFonts w:ascii="Times New Roman" w:hAnsi="Times New Roman" w:cs="Times New Roman"/>
          <w:sz w:val="24"/>
          <w:szCs w:val="24"/>
        </w:rPr>
        <w:t>, the polymer was isolated by vacuum filtration and washed with methanol (3 × 20 mL) to remove residual reagents and byproducts. The resulting functionalized polymer was dried in a vacuum oven at 50 °C until a constant weight was achieved.</w:t>
      </w:r>
    </w:p>
    <w:p w14:paraId="7D70C973" w14:textId="412A6211" w:rsidR="000E5458" w:rsidRPr="00294346" w:rsidRDefault="000E5458" w:rsidP="004D2D96">
      <w:pPr>
        <w:spacing w:after="0" w:line="480" w:lineRule="auto"/>
        <w:jc w:val="both"/>
        <w:rPr>
          <w:rFonts w:ascii="Times New Roman" w:hAnsi="Times New Roman" w:cs="Times New Roman"/>
          <w:sz w:val="24"/>
          <w:szCs w:val="24"/>
        </w:rPr>
      </w:pPr>
      <w:r w:rsidRPr="00294346">
        <w:rPr>
          <w:rFonts w:ascii="Times New Roman" w:hAnsi="Times New Roman" w:cs="Times New Roman"/>
        </w:rPr>
        <w:t>ATR-FT-IR</w:t>
      </w:r>
      <w:r w:rsidRPr="00294346">
        <w:rPr>
          <w:rFonts w:ascii="Times New Roman" w:hAnsi="Times New Roman" w:cs="Times New Roman"/>
          <w:sz w:val="24"/>
          <w:szCs w:val="24"/>
        </w:rPr>
        <w:t>: 2966, 2927, 2797, 1508, 1448, 1382, 1369, 1288, 1199, 1165, 1058, 1019, 843, 823, 809, 771 cm</w:t>
      </w:r>
      <w:r w:rsidRPr="00294346">
        <w:rPr>
          <w:rFonts w:ascii="Times New Roman" w:hAnsi="Times New Roman" w:cs="Times New Roman"/>
          <w:sz w:val="24"/>
          <w:szCs w:val="24"/>
          <w:vertAlign w:val="superscript"/>
        </w:rPr>
        <w:t>-1</w:t>
      </w:r>
      <w:r w:rsidRPr="00294346">
        <w:rPr>
          <w:rFonts w:ascii="Times New Roman" w:hAnsi="Times New Roman" w:cs="Times New Roman"/>
          <w:sz w:val="24"/>
          <w:szCs w:val="24"/>
        </w:rPr>
        <w:t>.</w:t>
      </w:r>
    </w:p>
    <w:p w14:paraId="6AED366A" w14:textId="77777777" w:rsidR="000E5458" w:rsidRDefault="000E5458" w:rsidP="005B2D99">
      <w:pPr>
        <w:spacing w:after="120" w:line="480" w:lineRule="auto"/>
        <w:jc w:val="both"/>
        <w:rPr>
          <w:rFonts w:ascii="Times New Roman" w:hAnsi="Times New Roman" w:cs="Times New Roman"/>
          <w:b/>
          <w:bCs/>
          <w:sz w:val="24"/>
          <w:szCs w:val="24"/>
        </w:rPr>
      </w:pPr>
      <w:r w:rsidRPr="003502E7">
        <w:rPr>
          <w:rFonts w:ascii="Times New Roman" w:hAnsi="Times New Roman" w:cs="Times New Roman"/>
          <w:sz w:val="24"/>
          <w:szCs w:val="24"/>
        </w:rPr>
        <w:t>Elemental analysis, experimental: %N 6</w:t>
      </w:r>
      <w:r>
        <w:rPr>
          <w:rFonts w:ascii="Times New Roman" w:hAnsi="Times New Roman" w:cs="Times New Roman"/>
          <w:sz w:val="24"/>
          <w:szCs w:val="24"/>
        </w:rPr>
        <w:t>.</w:t>
      </w:r>
      <w:r w:rsidRPr="003502E7">
        <w:rPr>
          <w:rFonts w:ascii="Times New Roman" w:hAnsi="Times New Roman" w:cs="Times New Roman"/>
          <w:sz w:val="24"/>
          <w:szCs w:val="24"/>
        </w:rPr>
        <w:t>73; Loading of compound</w:t>
      </w:r>
      <w:r>
        <w:rPr>
          <w:rFonts w:ascii="Times New Roman" w:hAnsi="Times New Roman" w:cs="Times New Roman"/>
          <w:sz w:val="24"/>
          <w:szCs w:val="24"/>
        </w:rPr>
        <w:t xml:space="preserve"> </w:t>
      </w:r>
      <w:r w:rsidRPr="004D2D96">
        <w:rPr>
          <w:rFonts w:ascii="Times New Roman" w:hAnsi="Times New Roman" w:cs="Times New Roman"/>
          <w:sz w:val="24"/>
          <w:szCs w:val="24"/>
        </w:rPr>
        <w:t>S-Et</w:t>
      </w:r>
      <w:r w:rsidRPr="004D2D96">
        <w:rPr>
          <w:rFonts w:ascii="Times New Roman" w:hAnsi="Times New Roman" w:cs="Times New Roman"/>
          <w:sz w:val="24"/>
          <w:szCs w:val="24"/>
          <w:vertAlign w:val="subscript"/>
        </w:rPr>
        <w:t>3</w:t>
      </w:r>
      <w:r w:rsidRPr="004D2D96">
        <w:rPr>
          <w:rFonts w:ascii="Times New Roman" w:hAnsi="Times New Roman" w:cs="Times New Roman"/>
          <w:sz w:val="24"/>
          <w:szCs w:val="24"/>
        </w:rPr>
        <w:t>N</w:t>
      </w:r>
      <w:r w:rsidRPr="003502E7">
        <w:rPr>
          <w:rFonts w:ascii="Times New Roman" w:hAnsi="Times New Roman" w:cs="Times New Roman"/>
          <w:sz w:val="24"/>
          <w:szCs w:val="24"/>
        </w:rPr>
        <w:t>: 4</w:t>
      </w:r>
      <w:r>
        <w:rPr>
          <w:rFonts w:ascii="Times New Roman" w:hAnsi="Times New Roman" w:cs="Times New Roman"/>
          <w:sz w:val="24"/>
          <w:szCs w:val="24"/>
        </w:rPr>
        <w:t>.</w:t>
      </w:r>
      <w:r w:rsidRPr="003502E7">
        <w:rPr>
          <w:rFonts w:ascii="Times New Roman" w:hAnsi="Times New Roman" w:cs="Times New Roman"/>
          <w:sz w:val="24"/>
          <w:szCs w:val="24"/>
        </w:rPr>
        <w:t>78 meq/g.</w:t>
      </w:r>
    </w:p>
    <w:p w14:paraId="029CF67E" w14:textId="76BF3131" w:rsidR="00FE3EB8" w:rsidRDefault="000E5458" w:rsidP="004D2D96">
      <w:pPr>
        <w:spacing w:after="0" w:line="480" w:lineRule="auto"/>
        <w:jc w:val="both"/>
        <w:rPr>
          <w:rFonts w:ascii="Times New Roman" w:hAnsi="Times New Roman" w:cs="Times New Roman"/>
          <w:sz w:val="24"/>
          <w:szCs w:val="24"/>
        </w:rPr>
      </w:pPr>
      <w:r w:rsidRPr="00370B37">
        <w:rPr>
          <w:rFonts w:ascii="Times New Roman" w:hAnsi="Times New Roman" w:cs="Times New Roman"/>
          <w:i/>
          <w:iCs/>
          <w:sz w:val="24"/>
          <w:szCs w:val="24"/>
        </w:rPr>
        <w:t>Synthesis of S-NMPy:</w:t>
      </w:r>
      <w:r w:rsidRPr="00D843C1">
        <w:rPr>
          <w:rFonts w:ascii="Times New Roman" w:hAnsi="Times New Roman" w:cs="Times New Roman"/>
          <w:sz w:val="24"/>
          <w:szCs w:val="24"/>
        </w:rPr>
        <w:t xml:space="preserve"> </w:t>
      </w:r>
      <w:r w:rsidR="00FE3EB8" w:rsidRPr="00FE3EB8">
        <w:rPr>
          <w:rFonts w:ascii="Times New Roman" w:hAnsi="Times New Roman" w:cs="Times New Roman"/>
          <w:sz w:val="24"/>
          <w:szCs w:val="24"/>
        </w:rPr>
        <w:t>1</w:t>
      </w:r>
      <w:r w:rsidR="001A181C">
        <w:rPr>
          <w:rFonts w:ascii="Times New Roman" w:hAnsi="Times New Roman" w:cs="Times New Roman"/>
          <w:sz w:val="24"/>
          <w:szCs w:val="24"/>
        </w:rPr>
        <w:t>.0</w:t>
      </w:r>
      <w:r w:rsidR="00FE3EB8" w:rsidRPr="00FE3EB8">
        <w:rPr>
          <w:rFonts w:ascii="Times New Roman" w:hAnsi="Times New Roman" w:cs="Times New Roman"/>
          <w:sz w:val="24"/>
          <w:szCs w:val="24"/>
        </w:rPr>
        <w:t xml:space="preserve"> g of Merrifield resin (macroporous resin, 5.5 meq/g, 5.5 mmol) was suspended in 10 mL of DMF in a reaction vessel. Subsequently, 1.36 mL of pyrrolidine (16.5 mmol) </w:t>
      </w:r>
      <w:r w:rsidR="001A181C">
        <w:rPr>
          <w:rFonts w:ascii="Times New Roman" w:hAnsi="Times New Roman" w:cs="Times New Roman"/>
          <w:sz w:val="24"/>
          <w:szCs w:val="24"/>
        </w:rPr>
        <w:t>were</w:t>
      </w:r>
      <w:r w:rsidR="001A181C" w:rsidRPr="00FE3EB8">
        <w:rPr>
          <w:rFonts w:ascii="Times New Roman" w:hAnsi="Times New Roman" w:cs="Times New Roman"/>
          <w:sz w:val="24"/>
          <w:szCs w:val="24"/>
        </w:rPr>
        <w:t xml:space="preserve"> </w:t>
      </w:r>
      <w:r w:rsidR="00FE3EB8" w:rsidRPr="00FE3EB8">
        <w:rPr>
          <w:rFonts w:ascii="Times New Roman" w:hAnsi="Times New Roman" w:cs="Times New Roman"/>
          <w:sz w:val="24"/>
          <w:szCs w:val="24"/>
        </w:rPr>
        <w:t>added to the suspension. The reaction mixture was stirred at 75 °C for 24 hours to promote functionalization.</w:t>
      </w:r>
      <w:r w:rsidR="001A181C">
        <w:rPr>
          <w:rFonts w:ascii="Times New Roman" w:hAnsi="Times New Roman" w:cs="Times New Roman"/>
          <w:sz w:val="24"/>
          <w:szCs w:val="24"/>
        </w:rPr>
        <w:t xml:space="preserve"> </w:t>
      </w:r>
      <w:r w:rsidR="00FE3EB8" w:rsidRPr="00FE3EB8">
        <w:rPr>
          <w:rFonts w:ascii="Times New Roman" w:hAnsi="Times New Roman" w:cs="Times New Roman"/>
          <w:sz w:val="24"/>
          <w:szCs w:val="24"/>
        </w:rPr>
        <w:t xml:space="preserve">After </w:t>
      </w:r>
      <w:r w:rsidR="001A181C">
        <w:rPr>
          <w:rFonts w:ascii="Times New Roman" w:hAnsi="Times New Roman" w:cs="Times New Roman"/>
          <w:sz w:val="24"/>
          <w:szCs w:val="24"/>
        </w:rPr>
        <w:t xml:space="preserve">reaction </w:t>
      </w:r>
      <w:r w:rsidR="00FE3EB8" w:rsidRPr="00FE3EB8">
        <w:rPr>
          <w:rFonts w:ascii="Times New Roman" w:hAnsi="Times New Roman" w:cs="Times New Roman"/>
          <w:sz w:val="24"/>
          <w:szCs w:val="24"/>
        </w:rPr>
        <w:t xml:space="preserve">completion, the polymer was isolated by vacuum filtration and thoroughly washed with methanol (3 × 20 mL) to remove residual reagents and byproducts. The resulting functionalized polymer was dried </w:t>
      </w:r>
      <w:r w:rsidR="00FE3EB8" w:rsidRPr="009678E4">
        <w:rPr>
          <w:rFonts w:ascii="Times New Roman" w:hAnsi="Times New Roman" w:cs="Times New Roman"/>
          <w:sz w:val="24"/>
          <w:szCs w:val="24"/>
        </w:rPr>
        <w:t>in a vacuum oven at 50 °C until a constant weight was achieved</w:t>
      </w:r>
      <w:r w:rsidR="003B53E9">
        <w:rPr>
          <w:rFonts w:ascii="Times New Roman" w:hAnsi="Times New Roman" w:cs="Times New Roman"/>
          <w:sz w:val="24"/>
          <w:szCs w:val="24"/>
        </w:rPr>
        <w:t>.</w:t>
      </w:r>
    </w:p>
    <w:p w14:paraId="18984E2F" w14:textId="514C992B" w:rsidR="000E5458" w:rsidRPr="00294346" w:rsidRDefault="000E5458" w:rsidP="004D2D96">
      <w:pPr>
        <w:spacing w:after="0" w:line="480" w:lineRule="auto"/>
        <w:jc w:val="both"/>
        <w:rPr>
          <w:rFonts w:ascii="Times New Roman" w:hAnsi="Times New Roman" w:cs="Times New Roman"/>
          <w:sz w:val="24"/>
          <w:szCs w:val="24"/>
        </w:rPr>
      </w:pPr>
      <w:r w:rsidRPr="00294346">
        <w:rPr>
          <w:rFonts w:ascii="Times New Roman" w:hAnsi="Times New Roman" w:cs="Times New Roman"/>
        </w:rPr>
        <w:t>ATR-FT-IR</w:t>
      </w:r>
      <w:r w:rsidRPr="00294346">
        <w:rPr>
          <w:rFonts w:ascii="Times New Roman" w:hAnsi="Times New Roman" w:cs="Times New Roman"/>
          <w:sz w:val="24"/>
          <w:szCs w:val="24"/>
        </w:rPr>
        <w:t>: 2962, 2924, 2873, 2777, 2729, 1509, 1445, 1421, 1374, 1347, 1347, 1324, 1290, 1252, 1252, 1199, 1125, 1019, 879, 841, 820, 627, 616 cm</w:t>
      </w:r>
      <w:r w:rsidRPr="00294346">
        <w:rPr>
          <w:rFonts w:ascii="Times New Roman" w:hAnsi="Times New Roman" w:cs="Times New Roman"/>
          <w:sz w:val="24"/>
          <w:szCs w:val="24"/>
          <w:vertAlign w:val="superscript"/>
        </w:rPr>
        <w:t>-1</w:t>
      </w:r>
      <w:r w:rsidRPr="00294346">
        <w:rPr>
          <w:rFonts w:ascii="Times New Roman" w:hAnsi="Times New Roman" w:cs="Times New Roman"/>
          <w:sz w:val="24"/>
          <w:szCs w:val="24"/>
        </w:rPr>
        <w:t>.</w:t>
      </w:r>
    </w:p>
    <w:p w14:paraId="25FC1F91" w14:textId="77777777" w:rsidR="000E5458" w:rsidRDefault="000E5458" w:rsidP="005B2D99">
      <w:pPr>
        <w:spacing w:after="120" w:line="480" w:lineRule="auto"/>
        <w:jc w:val="both"/>
        <w:rPr>
          <w:rFonts w:ascii="Times New Roman" w:hAnsi="Times New Roman" w:cs="Times New Roman"/>
          <w:b/>
          <w:bCs/>
          <w:sz w:val="24"/>
          <w:szCs w:val="24"/>
        </w:rPr>
      </w:pPr>
      <w:r w:rsidRPr="00913130">
        <w:rPr>
          <w:rFonts w:ascii="Times New Roman" w:hAnsi="Times New Roman" w:cs="Times New Roman"/>
          <w:sz w:val="24"/>
          <w:szCs w:val="24"/>
        </w:rPr>
        <w:t>Elemental analysis, experimental: %N 7</w:t>
      </w:r>
      <w:r>
        <w:rPr>
          <w:rFonts w:ascii="Times New Roman" w:hAnsi="Times New Roman" w:cs="Times New Roman"/>
          <w:sz w:val="24"/>
          <w:szCs w:val="24"/>
        </w:rPr>
        <w:t>.</w:t>
      </w:r>
      <w:r w:rsidRPr="00913130">
        <w:rPr>
          <w:rFonts w:ascii="Times New Roman" w:hAnsi="Times New Roman" w:cs="Times New Roman"/>
          <w:sz w:val="24"/>
          <w:szCs w:val="24"/>
        </w:rPr>
        <w:t>176; Loading of compound</w:t>
      </w:r>
      <w:r>
        <w:rPr>
          <w:rFonts w:ascii="Times New Roman" w:hAnsi="Times New Roman" w:cs="Times New Roman"/>
          <w:sz w:val="24"/>
          <w:szCs w:val="24"/>
        </w:rPr>
        <w:t xml:space="preserve"> </w:t>
      </w:r>
      <w:r w:rsidRPr="004D2D96">
        <w:rPr>
          <w:rFonts w:ascii="Times New Roman" w:hAnsi="Times New Roman" w:cs="Times New Roman"/>
          <w:sz w:val="24"/>
          <w:szCs w:val="24"/>
        </w:rPr>
        <w:t>S-NMPy</w:t>
      </w:r>
      <w:r w:rsidRPr="00913130">
        <w:rPr>
          <w:rFonts w:ascii="Times New Roman" w:hAnsi="Times New Roman" w:cs="Times New Roman"/>
          <w:sz w:val="24"/>
          <w:szCs w:val="24"/>
        </w:rPr>
        <w:t>: 4</w:t>
      </w:r>
      <w:r>
        <w:rPr>
          <w:rFonts w:ascii="Times New Roman" w:hAnsi="Times New Roman" w:cs="Times New Roman"/>
          <w:sz w:val="24"/>
          <w:szCs w:val="24"/>
        </w:rPr>
        <w:t>.</w:t>
      </w:r>
      <w:r w:rsidRPr="00913130">
        <w:rPr>
          <w:rFonts w:ascii="Times New Roman" w:hAnsi="Times New Roman" w:cs="Times New Roman"/>
          <w:sz w:val="24"/>
          <w:szCs w:val="24"/>
        </w:rPr>
        <w:t>99 meq/g</w:t>
      </w:r>
      <w:r>
        <w:rPr>
          <w:rFonts w:ascii="Times New Roman" w:hAnsi="Times New Roman" w:cs="Times New Roman"/>
          <w:sz w:val="24"/>
          <w:szCs w:val="24"/>
        </w:rPr>
        <w:t>.</w:t>
      </w:r>
    </w:p>
    <w:p w14:paraId="14DE8B42" w14:textId="2C23F349" w:rsidR="00563965" w:rsidRPr="004D2D96" w:rsidRDefault="00563965" w:rsidP="005B2D99">
      <w:pPr>
        <w:spacing w:after="120" w:line="480" w:lineRule="auto"/>
        <w:jc w:val="both"/>
        <w:rPr>
          <w:rFonts w:ascii="Times New Roman" w:hAnsi="Times New Roman" w:cs="Times New Roman"/>
          <w:b/>
          <w:bCs/>
          <w:i/>
          <w:iCs/>
          <w:sz w:val="24"/>
          <w:szCs w:val="24"/>
        </w:rPr>
      </w:pPr>
      <w:r w:rsidRPr="004D2D96">
        <w:rPr>
          <w:rFonts w:ascii="Times New Roman" w:hAnsi="Times New Roman" w:cs="Times New Roman"/>
          <w:b/>
          <w:bCs/>
          <w:i/>
          <w:iCs/>
          <w:sz w:val="24"/>
          <w:szCs w:val="24"/>
        </w:rPr>
        <w:t>Synthesis of DGF via supported heterogenous catalysts S-Et</w:t>
      </w:r>
      <w:r w:rsidRPr="004D2D96">
        <w:rPr>
          <w:rFonts w:ascii="Times New Roman" w:hAnsi="Times New Roman" w:cs="Times New Roman"/>
          <w:b/>
          <w:bCs/>
          <w:i/>
          <w:iCs/>
          <w:sz w:val="24"/>
          <w:szCs w:val="24"/>
          <w:vertAlign w:val="subscript"/>
        </w:rPr>
        <w:t>3</w:t>
      </w:r>
      <w:r w:rsidRPr="004D2D96">
        <w:rPr>
          <w:rFonts w:ascii="Times New Roman" w:hAnsi="Times New Roman" w:cs="Times New Roman"/>
          <w:b/>
          <w:bCs/>
          <w:i/>
          <w:iCs/>
          <w:sz w:val="24"/>
          <w:szCs w:val="24"/>
        </w:rPr>
        <w:t>N and S-NMPy</w:t>
      </w:r>
    </w:p>
    <w:p w14:paraId="0729EA10" w14:textId="4758DA1D" w:rsidR="00E926C0" w:rsidRPr="005B2D99" w:rsidRDefault="001A181C" w:rsidP="00E926C0">
      <w:pPr>
        <w:spacing w:after="120" w:line="480" w:lineRule="auto"/>
        <w:jc w:val="both"/>
        <w:rPr>
          <w:rFonts w:ascii="Times New Roman" w:hAnsi="Times New Roman" w:cs="Times New Roman"/>
          <w:sz w:val="24"/>
          <w:szCs w:val="24"/>
        </w:rPr>
      </w:pPr>
      <w:r>
        <w:rPr>
          <w:rFonts w:ascii="Times New Roman" w:hAnsi="Times New Roman" w:cs="Times New Roman"/>
          <w:sz w:val="24"/>
          <w:szCs w:val="24"/>
        </w:rPr>
        <w:t xml:space="preserve">In a typical reaction, </w:t>
      </w:r>
      <w:r w:rsidR="00E926C0" w:rsidRPr="005B2D99">
        <w:rPr>
          <w:rFonts w:ascii="Times New Roman" w:hAnsi="Times New Roman" w:cs="Times New Roman"/>
          <w:sz w:val="24"/>
          <w:szCs w:val="24"/>
        </w:rPr>
        <w:t>100 mg of dry catalyst (S-Et</w:t>
      </w:r>
      <w:r w:rsidR="00E926C0" w:rsidRPr="005B2D99">
        <w:rPr>
          <w:rFonts w:ascii="Times New Roman" w:hAnsi="Times New Roman" w:cs="Times New Roman"/>
          <w:sz w:val="24"/>
          <w:szCs w:val="24"/>
          <w:vertAlign w:val="subscript"/>
        </w:rPr>
        <w:t>3</w:t>
      </w:r>
      <w:r w:rsidR="00E926C0" w:rsidRPr="005B2D99">
        <w:rPr>
          <w:rFonts w:ascii="Times New Roman" w:hAnsi="Times New Roman" w:cs="Times New Roman"/>
          <w:sz w:val="24"/>
          <w:szCs w:val="24"/>
        </w:rPr>
        <w:t>N or S-NMPy) and 50 mg of activated molecular sieve</w:t>
      </w:r>
      <w:r>
        <w:rPr>
          <w:rFonts w:ascii="Times New Roman" w:hAnsi="Times New Roman" w:cs="Times New Roman"/>
          <w:sz w:val="24"/>
          <w:szCs w:val="24"/>
        </w:rPr>
        <w:t>s</w:t>
      </w:r>
      <w:r w:rsidR="00E926C0" w:rsidRPr="005B2D99">
        <w:rPr>
          <w:rFonts w:ascii="Times New Roman" w:hAnsi="Times New Roman" w:cs="Times New Roman"/>
          <w:sz w:val="24"/>
          <w:szCs w:val="24"/>
        </w:rPr>
        <w:t xml:space="preserve"> (4 Å) were suspended in a solution of 100 mg of FDME (0.54 mmol) dissolved in 1</w:t>
      </w:r>
      <w:r>
        <w:rPr>
          <w:rFonts w:ascii="Times New Roman" w:hAnsi="Times New Roman" w:cs="Times New Roman"/>
          <w:sz w:val="24"/>
          <w:szCs w:val="24"/>
        </w:rPr>
        <w:t>.0</w:t>
      </w:r>
      <w:r w:rsidR="00E926C0" w:rsidRPr="005B2D99">
        <w:rPr>
          <w:rFonts w:ascii="Times New Roman" w:hAnsi="Times New Roman" w:cs="Times New Roman"/>
          <w:sz w:val="24"/>
          <w:szCs w:val="24"/>
        </w:rPr>
        <w:t xml:space="preserve"> mL of 2-MeTHF. The reaction mixture was stirred at 60 °C, and 88 µL of glycidol (1.32 mmol) </w:t>
      </w:r>
      <w:r>
        <w:rPr>
          <w:rFonts w:ascii="Times New Roman" w:hAnsi="Times New Roman" w:cs="Times New Roman"/>
          <w:sz w:val="24"/>
          <w:szCs w:val="24"/>
        </w:rPr>
        <w:t>were</w:t>
      </w:r>
      <w:r w:rsidRPr="005B2D99">
        <w:rPr>
          <w:rFonts w:ascii="Times New Roman" w:hAnsi="Times New Roman" w:cs="Times New Roman"/>
          <w:sz w:val="24"/>
          <w:szCs w:val="24"/>
        </w:rPr>
        <w:t xml:space="preserve"> </w:t>
      </w:r>
      <w:r w:rsidR="00E926C0" w:rsidRPr="005B2D99">
        <w:rPr>
          <w:rFonts w:ascii="Times New Roman" w:hAnsi="Times New Roman" w:cs="Times New Roman"/>
          <w:sz w:val="24"/>
          <w:szCs w:val="24"/>
        </w:rPr>
        <w:t>added dropwise.</w:t>
      </w:r>
      <w:r w:rsidR="00E926C0">
        <w:rPr>
          <w:rFonts w:ascii="Times New Roman" w:hAnsi="Times New Roman" w:cs="Times New Roman"/>
          <w:sz w:val="24"/>
          <w:szCs w:val="24"/>
        </w:rPr>
        <w:t xml:space="preserve"> </w:t>
      </w:r>
      <w:r w:rsidR="00E926C0" w:rsidRPr="005B2D99">
        <w:rPr>
          <w:rFonts w:ascii="Times New Roman" w:hAnsi="Times New Roman" w:cs="Times New Roman"/>
          <w:sz w:val="24"/>
          <w:szCs w:val="24"/>
        </w:rPr>
        <w:t>The mixture was then heated at 60 °C for 6</w:t>
      </w:r>
      <w:r w:rsidR="00E926C0">
        <w:rPr>
          <w:rFonts w:ascii="Times New Roman" w:hAnsi="Times New Roman" w:cs="Times New Roman"/>
          <w:sz w:val="24"/>
          <w:szCs w:val="24"/>
        </w:rPr>
        <w:t xml:space="preserve"> hours</w:t>
      </w:r>
      <w:r w:rsidR="00E926C0" w:rsidRPr="005B2D99">
        <w:rPr>
          <w:rFonts w:ascii="Times New Roman" w:hAnsi="Times New Roman" w:cs="Times New Roman"/>
          <w:sz w:val="24"/>
          <w:szCs w:val="24"/>
        </w:rPr>
        <w:t xml:space="preserve">. After cooling to room temperature, the reaction </w:t>
      </w:r>
      <w:r>
        <w:rPr>
          <w:rFonts w:ascii="Times New Roman" w:hAnsi="Times New Roman" w:cs="Times New Roman"/>
          <w:sz w:val="24"/>
          <w:szCs w:val="24"/>
        </w:rPr>
        <w:t>crude</w:t>
      </w:r>
      <w:r w:rsidRPr="005B2D99">
        <w:rPr>
          <w:rFonts w:ascii="Times New Roman" w:hAnsi="Times New Roman" w:cs="Times New Roman"/>
          <w:sz w:val="24"/>
          <w:szCs w:val="24"/>
        </w:rPr>
        <w:t xml:space="preserve"> </w:t>
      </w:r>
      <w:r w:rsidR="00E926C0" w:rsidRPr="005B2D99">
        <w:rPr>
          <w:rFonts w:ascii="Times New Roman" w:hAnsi="Times New Roman" w:cs="Times New Roman"/>
          <w:sz w:val="24"/>
          <w:szCs w:val="24"/>
        </w:rPr>
        <w:t>was filtered to remove the catalyst and molecular sieves. The solvent was subsequently removed under reduced pressure. The resulting white solid was dried under vacuum to constant weight for further characterization.</w:t>
      </w:r>
    </w:p>
    <w:p w14:paraId="39957167" w14:textId="77777777" w:rsidR="00FD2C82" w:rsidRDefault="00FD2C82" w:rsidP="005B2D99">
      <w:pPr>
        <w:spacing w:after="120" w:line="480" w:lineRule="auto"/>
        <w:jc w:val="both"/>
        <w:rPr>
          <w:rFonts w:ascii="Times New Roman" w:hAnsi="Times New Roman" w:cs="Times New Roman"/>
          <w:b/>
          <w:bCs/>
          <w:i/>
          <w:iCs/>
          <w:sz w:val="24"/>
          <w:szCs w:val="24"/>
        </w:rPr>
      </w:pPr>
    </w:p>
    <w:p w14:paraId="60A0DD3C" w14:textId="33575CF2" w:rsidR="00563965" w:rsidRPr="004D2D96" w:rsidRDefault="00563965" w:rsidP="005B2D99">
      <w:pPr>
        <w:spacing w:after="120" w:line="480" w:lineRule="auto"/>
        <w:jc w:val="both"/>
        <w:rPr>
          <w:rFonts w:ascii="Times New Roman" w:hAnsi="Times New Roman" w:cs="Times New Roman"/>
          <w:b/>
          <w:bCs/>
          <w:i/>
          <w:iCs/>
          <w:sz w:val="24"/>
          <w:szCs w:val="24"/>
        </w:rPr>
      </w:pPr>
      <w:r w:rsidRPr="004D2D96">
        <w:rPr>
          <w:rFonts w:ascii="Times New Roman" w:hAnsi="Times New Roman" w:cs="Times New Roman"/>
          <w:b/>
          <w:bCs/>
          <w:i/>
          <w:iCs/>
          <w:sz w:val="24"/>
          <w:szCs w:val="24"/>
        </w:rPr>
        <w:t>Preparation and characterization of supported ionic liquids (SILLPs)</w:t>
      </w:r>
    </w:p>
    <w:p w14:paraId="16543D1D" w14:textId="797E60AD" w:rsidR="00563965" w:rsidRDefault="00563965" w:rsidP="005B2D99">
      <w:pPr>
        <w:spacing w:after="120" w:line="480" w:lineRule="auto"/>
        <w:jc w:val="both"/>
        <w:rPr>
          <w:rFonts w:ascii="Times New Roman" w:hAnsi="Times New Roman" w:cs="Times New Roman"/>
          <w:sz w:val="24"/>
          <w:szCs w:val="24"/>
        </w:rPr>
      </w:pPr>
      <w:bookmarkStart w:id="3" w:name="_Hlk189819104"/>
      <w:r w:rsidRPr="00370B37">
        <w:rPr>
          <w:rFonts w:ascii="Times New Roman" w:hAnsi="Times New Roman" w:cs="Times New Roman"/>
          <w:i/>
          <w:iCs/>
          <w:sz w:val="24"/>
          <w:szCs w:val="24"/>
        </w:rPr>
        <w:t>SILLP-1 (BuIMCl):</w:t>
      </w:r>
      <w:r w:rsidRPr="009170C5">
        <w:rPr>
          <w:rFonts w:ascii="Times New Roman" w:hAnsi="Times New Roman" w:cs="Times New Roman"/>
          <w:b/>
          <w:bCs/>
          <w:sz w:val="24"/>
          <w:szCs w:val="24"/>
        </w:rPr>
        <w:t xml:space="preserve"> </w:t>
      </w:r>
      <w:bookmarkEnd w:id="3"/>
      <w:r w:rsidR="00284241" w:rsidRPr="00284241">
        <w:rPr>
          <w:rFonts w:ascii="Times New Roman" w:hAnsi="Times New Roman" w:cs="Times New Roman"/>
          <w:sz w:val="24"/>
          <w:szCs w:val="24"/>
        </w:rPr>
        <w:t>5</w:t>
      </w:r>
      <w:r w:rsidR="009E6A66">
        <w:rPr>
          <w:rFonts w:ascii="Times New Roman" w:hAnsi="Times New Roman" w:cs="Times New Roman"/>
          <w:sz w:val="24"/>
          <w:szCs w:val="24"/>
        </w:rPr>
        <w:t>.0</w:t>
      </w:r>
      <w:r w:rsidR="00284241" w:rsidRPr="00284241">
        <w:rPr>
          <w:rFonts w:ascii="Times New Roman" w:hAnsi="Times New Roman" w:cs="Times New Roman"/>
          <w:sz w:val="24"/>
          <w:szCs w:val="24"/>
        </w:rPr>
        <w:t xml:space="preserve"> g of Merrifield resin (macroporous resin, 5.5 meq/g, 27.5 mmol) was suspended in 75 mL of DMF in a reaction flask. To this suspension, 12 mL of 1-butylimidazole (91 mmol) </w:t>
      </w:r>
      <w:r w:rsidR="009E6A66">
        <w:rPr>
          <w:rFonts w:ascii="Times New Roman" w:hAnsi="Times New Roman" w:cs="Times New Roman"/>
          <w:sz w:val="24"/>
          <w:szCs w:val="24"/>
        </w:rPr>
        <w:t>were</w:t>
      </w:r>
      <w:r w:rsidR="009E6A66" w:rsidRPr="00284241">
        <w:rPr>
          <w:rFonts w:ascii="Times New Roman" w:hAnsi="Times New Roman" w:cs="Times New Roman"/>
          <w:sz w:val="24"/>
          <w:szCs w:val="24"/>
        </w:rPr>
        <w:t xml:space="preserve"> </w:t>
      </w:r>
      <w:r w:rsidR="00284241" w:rsidRPr="00284241">
        <w:rPr>
          <w:rFonts w:ascii="Times New Roman" w:hAnsi="Times New Roman" w:cs="Times New Roman"/>
          <w:sz w:val="24"/>
          <w:szCs w:val="24"/>
        </w:rPr>
        <w:t>added. The reaction mixture was stirred at 50 °C for 24 hours to facilitate functionalization.</w:t>
      </w:r>
      <w:r w:rsidR="00284241">
        <w:rPr>
          <w:rFonts w:ascii="Times New Roman" w:hAnsi="Times New Roman" w:cs="Times New Roman"/>
          <w:sz w:val="24"/>
          <w:szCs w:val="24"/>
        </w:rPr>
        <w:t xml:space="preserve"> </w:t>
      </w:r>
      <w:r w:rsidR="00284241" w:rsidRPr="00284241">
        <w:rPr>
          <w:rFonts w:ascii="Times New Roman" w:hAnsi="Times New Roman" w:cs="Times New Roman"/>
          <w:sz w:val="24"/>
          <w:szCs w:val="24"/>
        </w:rPr>
        <w:t xml:space="preserve">After </w:t>
      </w:r>
      <w:r w:rsidR="009E6A66">
        <w:rPr>
          <w:rFonts w:ascii="Times New Roman" w:hAnsi="Times New Roman" w:cs="Times New Roman"/>
          <w:sz w:val="24"/>
          <w:szCs w:val="24"/>
        </w:rPr>
        <w:t xml:space="preserve">reaction </w:t>
      </w:r>
      <w:r w:rsidR="00284241" w:rsidRPr="00284241">
        <w:rPr>
          <w:rFonts w:ascii="Times New Roman" w:hAnsi="Times New Roman" w:cs="Times New Roman"/>
          <w:sz w:val="24"/>
          <w:szCs w:val="24"/>
        </w:rPr>
        <w:t>completion, the polymer was recovered by vacuum filtration and washed thoroughly with methanol (3 × 20 mL) to remove unreacted reagents and byproducts. The functionalized polymer was dried in a vacuum oven at 50 °C until constant weight was achieved.</w:t>
      </w:r>
    </w:p>
    <w:p w14:paraId="38B92DBE" w14:textId="128A4450" w:rsidR="00563965" w:rsidRPr="00177EBA" w:rsidRDefault="00563965" w:rsidP="004D2D96">
      <w:pPr>
        <w:spacing w:after="0" w:line="480" w:lineRule="auto"/>
        <w:jc w:val="both"/>
        <w:rPr>
          <w:rFonts w:ascii="Times New Roman" w:hAnsi="Times New Roman" w:cs="Times New Roman"/>
          <w:sz w:val="24"/>
          <w:szCs w:val="24"/>
        </w:rPr>
      </w:pPr>
      <w:r w:rsidRPr="003D3719">
        <w:rPr>
          <w:rFonts w:ascii="Times New Roman" w:hAnsi="Times New Roman" w:cs="Times New Roman"/>
        </w:rPr>
        <w:t>ATR-FT-IR</w:t>
      </w:r>
      <w:r w:rsidR="009E6A66">
        <w:rPr>
          <w:rFonts w:ascii="Times New Roman" w:hAnsi="Times New Roman" w:cs="Times New Roman"/>
          <w:sz w:val="24"/>
          <w:szCs w:val="24"/>
        </w:rPr>
        <w:t>: 3132</w:t>
      </w:r>
      <w:r>
        <w:rPr>
          <w:rFonts w:ascii="Times New Roman" w:hAnsi="Times New Roman" w:cs="Times New Roman"/>
          <w:sz w:val="24"/>
          <w:szCs w:val="24"/>
        </w:rPr>
        <w:t>, 3054, 2959, 2929, 2871, 1637, 1558, 1456, 1424, 1361, 1328, 1155, 851, 816, 751 cm</w:t>
      </w:r>
      <w:r w:rsidRPr="00177EBA">
        <w:rPr>
          <w:rFonts w:ascii="Times New Roman" w:hAnsi="Times New Roman" w:cs="Times New Roman"/>
          <w:sz w:val="24"/>
          <w:szCs w:val="24"/>
          <w:vertAlign w:val="superscript"/>
        </w:rPr>
        <w:t>-1</w:t>
      </w:r>
      <w:r>
        <w:rPr>
          <w:rFonts w:ascii="Times New Roman" w:hAnsi="Times New Roman" w:cs="Times New Roman"/>
          <w:sz w:val="24"/>
          <w:szCs w:val="24"/>
        </w:rPr>
        <w:t>.</w:t>
      </w:r>
    </w:p>
    <w:p w14:paraId="331CB24F" w14:textId="77777777" w:rsidR="00563965" w:rsidRPr="00742689" w:rsidRDefault="00563965" w:rsidP="005B2D99">
      <w:pPr>
        <w:spacing w:after="120" w:line="480" w:lineRule="auto"/>
        <w:jc w:val="both"/>
        <w:rPr>
          <w:rFonts w:ascii="Times New Roman" w:hAnsi="Times New Roman" w:cs="Times New Roman"/>
          <w:sz w:val="24"/>
          <w:szCs w:val="24"/>
        </w:rPr>
      </w:pPr>
      <w:r w:rsidRPr="00742689">
        <w:rPr>
          <w:rFonts w:ascii="Times New Roman" w:hAnsi="Times New Roman" w:cs="Times New Roman"/>
          <w:sz w:val="24"/>
          <w:szCs w:val="24"/>
        </w:rPr>
        <w:t>Elemental analysis, experimental: %N 8</w:t>
      </w:r>
      <w:r>
        <w:rPr>
          <w:rFonts w:ascii="Times New Roman" w:hAnsi="Times New Roman" w:cs="Times New Roman"/>
          <w:sz w:val="24"/>
          <w:szCs w:val="24"/>
        </w:rPr>
        <w:t>.</w:t>
      </w:r>
      <w:r w:rsidRPr="00742689">
        <w:rPr>
          <w:rFonts w:ascii="Times New Roman" w:hAnsi="Times New Roman" w:cs="Times New Roman"/>
          <w:sz w:val="24"/>
          <w:szCs w:val="24"/>
        </w:rPr>
        <w:t>75; Loading of compound</w:t>
      </w:r>
      <w:r>
        <w:rPr>
          <w:rFonts w:ascii="Times New Roman" w:hAnsi="Times New Roman" w:cs="Times New Roman"/>
          <w:sz w:val="24"/>
          <w:szCs w:val="24"/>
        </w:rPr>
        <w:t xml:space="preserve"> </w:t>
      </w:r>
      <w:r w:rsidRPr="004D2D96">
        <w:rPr>
          <w:rFonts w:ascii="Times New Roman" w:hAnsi="Times New Roman" w:cs="Times New Roman"/>
          <w:sz w:val="24"/>
          <w:szCs w:val="24"/>
        </w:rPr>
        <w:t>SILLP-1</w:t>
      </w:r>
      <w:r w:rsidRPr="00742689">
        <w:rPr>
          <w:rFonts w:ascii="Times New Roman" w:hAnsi="Times New Roman" w:cs="Times New Roman"/>
          <w:sz w:val="24"/>
          <w:szCs w:val="24"/>
        </w:rPr>
        <w:t>: 3</w:t>
      </w:r>
      <w:r>
        <w:rPr>
          <w:rFonts w:ascii="Times New Roman" w:hAnsi="Times New Roman" w:cs="Times New Roman"/>
          <w:sz w:val="24"/>
          <w:szCs w:val="24"/>
        </w:rPr>
        <w:t>.</w:t>
      </w:r>
      <w:r w:rsidRPr="00742689">
        <w:rPr>
          <w:rFonts w:ascii="Times New Roman" w:hAnsi="Times New Roman" w:cs="Times New Roman"/>
          <w:sz w:val="24"/>
          <w:szCs w:val="24"/>
        </w:rPr>
        <w:t>12 meq/g.</w:t>
      </w:r>
    </w:p>
    <w:p w14:paraId="74154695" w14:textId="20884B0B" w:rsidR="00CD00FD" w:rsidRDefault="00563965" w:rsidP="004D2D96">
      <w:pPr>
        <w:spacing w:after="0" w:line="480" w:lineRule="auto"/>
        <w:jc w:val="both"/>
        <w:rPr>
          <w:rFonts w:ascii="Times New Roman" w:hAnsi="Times New Roman" w:cs="Times New Roman"/>
          <w:sz w:val="24"/>
          <w:szCs w:val="24"/>
        </w:rPr>
      </w:pPr>
      <w:bookmarkStart w:id="4" w:name="_Hlk189819058"/>
      <w:r w:rsidRPr="00370B37">
        <w:rPr>
          <w:rFonts w:ascii="Times New Roman" w:hAnsi="Times New Roman" w:cs="Times New Roman"/>
          <w:i/>
          <w:iCs/>
          <w:sz w:val="24"/>
          <w:szCs w:val="24"/>
        </w:rPr>
        <w:t>SILLP-2 (BuIMNO</w:t>
      </w:r>
      <w:r w:rsidRPr="00370B37">
        <w:rPr>
          <w:rFonts w:ascii="Times New Roman" w:hAnsi="Times New Roman" w:cs="Times New Roman"/>
          <w:i/>
          <w:iCs/>
          <w:sz w:val="24"/>
          <w:szCs w:val="24"/>
          <w:vertAlign w:val="subscript"/>
        </w:rPr>
        <w:t>3</w:t>
      </w:r>
      <w:r w:rsidRPr="00370B37">
        <w:rPr>
          <w:rFonts w:ascii="Times New Roman" w:hAnsi="Times New Roman" w:cs="Times New Roman"/>
          <w:i/>
          <w:iCs/>
          <w:sz w:val="24"/>
          <w:szCs w:val="24"/>
        </w:rPr>
        <w:t>):</w:t>
      </w:r>
      <w:r w:rsidRPr="009170C5">
        <w:rPr>
          <w:rFonts w:ascii="Times New Roman" w:hAnsi="Times New Roman" w:cs="Times New Roman"/>
          <w:b/>
          <w:bCs/>
          <w:sz w:val="24"/>
          <w:szCs w:val="24"/>
        </w:rPr>
        <w:t xml:space="preserve"> </w:t>
      </w:r>
      <w:r w:rsidR="00CD00FD" w:rsidRPr="00CD00FD">
        <w:rPr>
          <w:rFonts w:ascii="Times New Roman" w:hAnsi="Times New Roman" w:cs="Times New Roman"/>
          <w:sz w:val="24"/>
          <w:szCs w:val="24"/>
        </w:rPr>
        <w:t xml:space="preserve">250 mg of </w:t>
      </w:r>
      <w:r w:rsidR="00CD00FD" w:rsidRPr="004D2D96">
        <w:rPr>
          <w:rFonts w:ascii="Times New Roman" w:hAnsi="Times New Roman" w:cs="Times New Roman"/>
          <w:sz w:val="24"/>
          <w:szCs w:val="24"/>
        </w:rPr>
        <w:t>SILLP-1</w:t>
      </w:r>
      <w:r w:rsidR="00CD00FD" w:rsidRPr="00CD00FD">
        <w:rPr>
          <w:rFonts w:ascii="Times New Roman" w:hAnsi="Times New Roman" w:cs="Times New Roman"/>
          <w:sz w:val="24"/>
          <w:szCs w:val="24"/>
        </w:rPr>
        <w:t xml:space="preserve"> (macroporous resin, 5.5 meq/g, 1.375 mmol) </w:t>
      </w:r>
      <w:r w:rsidR="009E6A66">
        <w:rPr>
          <w:rFonts w:ascii="Times New Roman" w:hAnsi="Times New Roman" w:cs="Times New Roman"/>
          <w:sz w:val="24"/>
          <w:szCs w:val="24"/>
        </w:rPr>
        <w:t xml:space="preserve">were </w:t>
      </w:r>
      <w:r w:rsidR="00CD00FD" w:rsidRPr="00CD00FD">
        <w:rPr>
          <w:rFonts w:ascii="Times New Roman" w:hAnsi="Times New Roman" w:cs="Times New Roman"/>
          <w:sz w:val="24"/>
          <w:szCs w:val="24"/>
        </w:rPr>
        <w:t>suspended in 27.5 mL of 1 M NaOH and stirred at room temperature for 24 hours. The polymer was then washed with water (3 × 10 mL) and suspended in 7 mL of 1 M HNO</w:t>
      </w:r>
      <w:r w:rsidR="00CD00FD" w:rsidRPr="004D2D96">
        <w:rPr>
          <w:rFonts w:ascii="Times New Roman" w:hAnsi="Times New Roman" w:cs="Times New Roman"/>
          <w:sz w:val="24"/>
          <w:szCs w:val="24"/>
          <w:vertAlign w:val="subscript"/>
        </w:rPr>
        <w:t>3</w:t>
      </w:r>
      <w:r w:rsidR="00CD00FD" w:rsidRPr="00CD00FD">
        <w:rPr>
          <w:rFonts w:ascii="Times New Roman" w:hAnsi="Times New Roman" w:cs="Times New Roman"/>
          <w:sz w:val="24"/>
          <w:szCs w:val="24"/>
        </w:rPr>
        <w:t>, followed by stirring at room temperature for another 24 hours.</w:t>
      </w:r>
      <w:r w:rsidR="00CD00FD">
        <w:rPr>
          <w:rFonts w:ascii="Times New Roman" w:hAnsi="Times New Roman" w:cs="Times New Roman"/>
          <w:sz w:val="24"/>
          <w:szCs w:val="24"/>
        </w:rPr>
        <w:t xml:space="preserve"> </w:t>
      </w:r>
      <w:r w:rsidR="00CD00FD" w:rsidRPr="00CD00FD">
        <w:rPr>
          <w:rFonts w:ascii="Times New Roman" w:hAnsi="Times New Roman" w:cs="Times New Roman"/>
          <w:sz w:val="24"/>
          <w:szCs w:val="24"/>
        </w:rPr>
        <w:t>The polymer was filtered under vacuum, washed with water (3 × 10 mL), and dried in a vacuum oven at 50 °C until constant weight.</w:t>
      </w:r>
    </w:p>
    <w:p w14:paraId="5ACB306E" w14:textId="3B5CD99E" w:rsidR="00563965" w:rsidRDefault="00563965" w:rsidP="004D2D96">
      <w:pPr>
        <w:spacing w:after="0" w:line="480" w:lineRule="auto"/>
        <w:jc w:val="both"/>
        <w:rPr>
          <w:rFonts w:ascii="Times New Roman" w:hAnsi="Times New Roman" w:cs="Times New Roman"/>
          <w:sz w:val="24"/>
          <w:szCs w:val="24"/>
        </w:rPr>
      </w:pPr>
      <w:r w:rsidRPr="003D3719">
        <w:rPr>
          <w:rFonts w:ascii="Times New Roman" w:hAnsi="Times New Roman" w:cs="Times New Roman"/>
        </w:rPr>
        <w:t>ATR-FT-IR</w:t>
      </w:r>
      <w:r>
        <w:rPr>
          <w:rFonts w:ascii="Times New Roman" w:hAnsi="Times New Roman" w:cs="Times New Roman"/>
          <w:sz w:val="24"/>
          <w:szCs w:val="24"/>
        </w:rPr>
        <w:t>: 3146, 3103, 2963, 2932, 2874, 1636, 1561, 1454, 1331, 1155, 827, 749 cm</w:t>
      </w:r>
      <w:r w:rsidRPr="00177EBA">
        <w:rPr>
          <w:rFonts w:ascii="Times New Roman" w:hAnsi="Times New Roman" w:cs="Times New Roman"/>
          <w:sz w:val="24"/>
          <w:szCs w:val="24"/>
          <w:vertAlign w:val="superscript"/>
        </w:rPr>
        <w:t>-1</w:t>
      </w:r>
      <w:r>
        <w:rPr>
          <w:rFonts w:ascii="Times New Roman" w:hAnsi="Times New Roman" w:cs="Times New Roman"/>
          <w:sz w:val="24"/>
          <w:szCs w:val="24"/>
        </w:rPr>
        <w:t>.</w:t>
      </w:r>
    </w:p>
    <w:p w14:paraId="400DC2BA" w14:textId="77777777" w:rsidR="00563965" w:rsidRDefault="00563965" w:rsidP="005B2D99">
      <w:pPr>
        <w:spacing w:after="120" w:line="480" w:lineRule="auto"/>
        <w:jc w:val="both"/>
        <w:rPr>
          <w:rFonts w:ascii="Times New Roman" w:hAnsi="Times New Roman" w:cs="Times New Roman"/>
          <w:b/>
          <w:bCs/>
          <w:sz w:val="24"/>
          <w:szCs w:val="24"/>
        </w:rPr>
      </w:pPr>
      <w:r w:rsidRPr="00825D5F">
        <w:rPr>
          <w:rFonts w:ascii="Times New Roman" w:hAnsi="Times New Roman" w:cs="Times New Roman"/>
          <w:sz w:val="24"/>
          <w:szCs w:val="24"/>
        </w:rPr>
        <w:t>Elemental analysis, experimental: %N 12</w:t>
      </w:r>
      <w:r>
        <w:rPr>
          <w:rFonts w:ascii="Times New Roman" w:hAnsi="Times New Roman" w:cs="Times New Roman"/>
          <w:sz w:val="24"/>
          <w:szCs w:val="24"/>
        </w:rPr>
        <w:t>.</w:t>
      </w:r>
      <w:r w:rsidRPr="00825D5F">
        <w:rPr>
          <w:rFonts w:ascii="Times New Roman" w:hAnsi="Times New Roman" w:cs="Times New Roman"/>
          <w:sz w:val="24"/>
          <w:szCs w:val="24"/>
        </w:rPr>
        <w:t>72; Loading of compound</w:t>
      </w:r>
      <w:r>
        <w:rPr>
          <w:rFonts w:ascii="Times New Roman" w:hAnsi="Times New Roman" w:cs="Times New Roman"/>
          <w:sz w:val="24"/>
          <w:szCs w:val="24"/>
        </w:rPr>
        <w:t xml:space="preserve"> </w:t>
      </w:r>
      <w:r w:rsidRPr="004D2D96">
        <w:rPr>
          <w:rFonts w:ascii="Times New Roman" w:hAnsi="Times New Roman" w:cs="Times New Roman"/>
          <w:sz w:val="24"/>
          <w:szCs w:val="24"/>
        </w:rPr>
        <w:t>SILLP-2</w:t>
      </w:r>
      <w:r w:rsidRPr="00825D5F">
        <w:rPr>
          <w:rFonts w:ascii="Times New Roman" w:hAnsi="Times New Roman" w:cs="Times New Roman"/>
          <w:sz w:val="24"/>
          <w:szCs w:val="24"/>
        </w:rPr>
        <w:t>: 3.03 meq/g.</w:t>
      </w:r>
    </w:p>
    <w:p w14:paraId="37593E51" w14:textId="353077AD" w:rsidR="00563965" w:rsidRDefault="00563965" w:rsidP="004D2D96">
      <w:pPr>
        <w:spacing w:after="0" w:line="480" w:lineRule="auto"/>
        <w:jc w:val="both"/>
        <w:rPr>
          <w:rFonts w:ascii="Times New Roman" w:hAnsi="Times New Roman" w:cs="Times New Roman"/>
          <w:sz w:val="24"/>
          <w:szCs w:val="24"/>
        </w:rPr>
      </w:pPr>
      <w:r w:rsidRPr="00370B37">
        <w:rPr>
          <w:rFonts w:ascii="Times New Roman" w:hAnsi="Times New Roman" w:cs="Times New Roman"/>
          <w:i/>
          <w:iCs/>
          <w:sz w:val="24"/>
          <w:szCs w:val="24"/>
        </w:rPr>
        <w:t>SILLP-3 (TributylamineCl):</w:t>
      </w:r>
      <w:r w:rsidRPr="009170C5">
        <w:rPr>
          <w:rFonts w:ascii="Times New Roman" w:hAnsi="Times New Roman" w:cs="Times New Roman"/>
          <w:b/>
          <w:bCs/>
          <w:sz w:val="24"/>
          <w:szCs w:val="24"/>
        </w:rPr>
        <w:t xml:space="preserve"> </w:t>
      </w:r>
      <w:r w:rsidR="00313D98" w:rsidRPr="00313D98">
        <w:rPr>
          <w:rFonts w:ascii="Times New Roman" w:hAnsi="Times New Roman" w:cs="Times New Roman"/>
          <w:sz w:val="24"/>
          <w:szCs w:val="24"/>
        </w:rPr>
        <w:t>2</w:t>
      </w:r>
      <w:r w:rsidR="009E6A66">
        <w:rPr>
          <w:rFonts w:ascii="Times New Roman" w:hAnsi="Times New Roman" w:cs="Times New Roman"/>
          <w:sz w:val="24"/>
          <w:szCs w:val="24"/>
        </w:rPr>
        <w:t>.0</w:t>
      </w:r>
      <w:r w:rsidR="00313D98" w:rsidRPr="00313D98">
        <w:rPr>
          <w:rFonts w:ascii="Times New Roman" w:hAnsi="Times New Roman" w:cs="Times New Roman"/>
          <w:sz w:val="24"/>
          <w:szCs w:val="24"/>
        </w:rPr>
        <w:t xml:space="preserve"> g of Merrifield resin (macroporous resin, 5.5 meq/g, 11 mmol) was suspended in 10 mL of acetonitrile. Then, 3.27 mL of tributylamine (13.7 mmol) </w:t>
      </w:r>
      <w:r w:rsidR="009E6A66">
        <w:rPr>
          <w:rFonts w:ascii="Times New Roman" w:hAnsi="Times New Roman" w:cs="Times New Roman"/>
          <w:sz w:val="24"/>
          <w:szCs w:val="24"/>
        </w:rPr>
        <w:t>were</w:t>
      </w:r>
      <w:r w:rsidR="009E6A66" w:rsidRPr="00313D98">
        <w:rPr>
          <w:rFonts w:ascii="Times New Roman" w:hAnsi="Times New Roman" w:cs="Times New Roman"/>
          <w:sz w:val="24"/>
          <w:szCs w:val="24"/>
        </w:rPr>
        <w:t xml:space="preserve"> </w:t>
      </w:r>
      <w:r w:rsidR="00313D98" w:rsidRPr="00313D98">
        <w:rPr>
          <w:rFonts w:ascii="Times New Roman" w:hAnsi="Times New Roman" w:cs="Times New Roman"/>
          <w:sz w:val="24"/>
          <w:szCs w:val="24"/>
        </w:rPr>
        <w:t>added to the mixture. The reaction was stirred at 60 °C for 24 hours.</w:t>
      </w:r>
      <w:r w:rsidR="00313D98">
        <w:rPr>
          <w:rFonts w:ascii="Times New Roman" w:hAnsi="Times New Roman" w:cs="Times New Roman"/>
          <w:sz w:val="24"/>
          <w:szCs w:val="24"/>
        </w:rPr>
        <w:t xml:space="preserve"> </w:t>
      </w:r>
      <w:r w:rsidR="00313D98" w:rsidRPr="00313D98">
        <w:rPr>
          <w:rFonts w:ascii="Times New Roman" w:hAnsi="Times New Roman" w:cs="Times New Roman"/>
          <w:sz w:val="24"/>
          <w:szCs w:val="24"/>
        </w:rPr>
        <w:t>After the reaction, the polymer was recovered by vacuum filtration and washed thoroughly with methanol (3 × 20 mL). The final product was dried in a vacuum oven at 50 °C until constant weight.</w:t>
      </w:r>
    </w:p>
    <w:p w14:paraId="75B8684A" w14:textId="77777777" w:rsidR="00563965" w:rsidRDefault="00563965" w:rsidP="004D2D96">
      <w:pPr>
        <w:spacing w:after="0" w:line="480" w:lineRule="auto"/>
        <w:jc w:val="both"/>
        <w:rPr>
          <w:rFonts w:ascii="Times New Roman" w:hAnsi="Times New Roman" w:cs="Times New Roman"/>
          <w:sz w:val="24"/>
          <w:szCs w:val="24"/>
        </w:rPr>
      </w:pPr>
      <w:r w:rsidRPr="003D3719">
        <w:rPr>
          <w:rFonts w:ascii="Times New Roman" w:hAnsi="Times New Roman" w:cs="Times New Roman"/>
        </w:rPr>
        <w:t>ATR-FT-IR</w:t>
      </w:r>
      <w:r>
        <w:rPr>
          <w:rFonts w:ascii="Times New Roman" w:hAnsi="Times New Roman" w:cs="Times New Roman"/>
          <w:sz w:val="24"/>
          <w:szCs w:val="24"/>
        </w:rPr>
        <w:t>: 2960, 2926, 2869, 1731, 1622, 1512, 1464, 1376, 1170, 1060, 860, 860, 860, 860, 860, 817, 735 cm</w:t>
      </w:r>
      <w:r w:rsidRPr="00177EBA">
        <w:rPr>
          <w:rFonts w:ascii="Times New Roman" w:hAnsi="Times New Roman" w:cs="Times New Roman"/>
          <w:sz w:val="24"/>
          <w:szCs w:val="24"/>
          <w:vertAlign w:val="superscript"/>
        </w:rPr>
        <w:t>-1</w:t>
      </w:r>
      <w:r>
        <w:rPr>
          <w:rFonts w:ascii="Times New Roman" w:hAnsi="Times New Roman" w:cs="Times New Roman"/>
          <w:sz w:val="24"/>
          <w:szCs w:val="24"/>
        </w:rPr>
        <w:t>.</w:t>
      </w:r>
    </w:p>
    <w:p w14:paraId="3E85C7EF" w14:textId="77777777" w:rsidR="00563965" w:rsidRDefault="00563965" w:rsidP="009E6A66">
      <w:pPr>
        <w:spacing w:after="120" w:line="480" w:lineRule="auto"/>
        <w:jc w:val="both"/>
        <w:rPr>
          <w:rFonts w:ascii="Times New Roman" w:hAnsi="Times New Roman" w:cs="Times New Roman"/>
          <w:sz w:val="24"/>
          <w:szCs w:val="24"/>
        </w:rPr>
      </w:pPr>
      <w:r w:rsidRPr="009E414E">
        <w:rPr>
          <w:rFonts w:ascii="Times New Roman" w:hAnsi="Times New Roman" w:cs="Times New Roman"/>
          <w:sz w:val="24"/>
          <w:szCs w:val="24"/>
        </w:rPr>
        <w:t>Elemental analysis, experimental: %N 3</w:t>
      </w:r>
      <w:r>
        <w:rPr>
          <w:rFonts w:ascii="Times New Roman" w:hAnsi="Times New Roman" w:cs="Times New Roman"/>
          <w:sz w:val="24"/>
          <w:szCs w:val="24"/>
        </w:rPr>
        <w:t>.</w:t>
      </w:r>
      <w:r w:rsidRPr="009E414E">
        <w:rPr>
          <w:rFonts w:ascii="Times New Roman" w:hAnsi="Times New Roman" w:cs="Times New Roman"/>
          <w:sz w:val="24"/>
          <w:szCs w:val="24"/>
        </w:rPr>
        <w:t>63; Loading of compound</w:t>
      </w:r>
      <w:r>
        <w:rPr>
          <w:rFonts w:ascii="Times New Roman" w:hAnsi="Times New Roman" w:cs="Times New Roman"/>
          <w:sz w:val="24"/>
          <w:szCs w:val="24"/>
        </w:rPr>
        <w:t xml:space="preserve"> </w:t>
      </w:r>
      <w:r w:rsidRPr="004D2D96">
        <w:rPr>
          <w:rFonts w:ascii="Times New Roman" w:hAnsi="Times New Roman" w:cs="Times New Roman"/>
          <w:sz w:val="24"/>
          <w:szCs w:val="24"/>
        </w:rPr>
        <w:t>SILLP-3</w:t>
      </w:r>
      <w:r w:rsidRPr="009E414E">
        <w:rPr>
          <w:rFonts w:ascii="Times New Roman" w:hAnsi="Times New Roman" w:cs="Times New Roman"/>
          <w:sz w:val="24"/>
          <w:szCs w:val="24"/>
        </w:rPr>
        <w:t>: 2</w:t>
      </w:r>
      <w:r>
        <w:rPr>
          <w:rFonts w:ascii="Times New Roman" w:hAnsi="Times New Roman" w:cs="Times New Roman"/>
          <w:sz w:val="24"/>
          <w:szCs w:val="24"/>
        </w:rPr>
        <w:t>.</w:t>
      </w:r>
      <w:r w:rsidRPr="009E414E">
        <w:rPr>
          <w:rFonts w:ascii="Times New Roman" w:hAnsi="Times New Roman" w:cs="Times New Roman"/>
          <w:sz w:val="24"/>
          <w:szCs w:val="24"/>
        </w:rPr>
        <w:t>59 meq/g.</w:t>
      </w:r>
    </w:p>
    <w:p w14:paraId="0715E2AD" w14:textId="567CE71A" w:rsidR="00563965" w:rsidRDefault="00563965" w:rsidP="004D2D96">
      <w:pPr>
        <w:spacing w:after="0" w:line="480" w:lineRule="auto"/>
        <w:jc w:val="both"/>
        <w:rPr>
          <w:rFonts w:ascii="Times New Roman" w:hAnsi="Times New Roman" w:cs="Times New Roman"/>
          <w:sz w:val="24"/>
          <w:szCs w:val="24"/>
        </w:rPr>
      </w:pPr>
      <w:r w:rsidRPr="00370B37">
        <w:rPr>
          <w:rFonts w:ascii="Times New Roman" w:hAnsi="Times New Roman" w:cs="Times New Roman"/>
          <w:i/>
          <w:iCs/>
          <w:sz w:val="24"/>
          <w:szCs w:val="24"/>
        </w:rPr>
        <w:t>SILLP-4 (TributylamineNO</w:t>
      </w:r>
      <w:r w:rsidRPr="00370B37">
        <w:rPr>
          <w:rFonts w:ascii="Times New Roman" w:hAnsi="Times New Roman" w:cs="Times New Roman"/>
          <w:i/>
          <w:iCs/>
          <w:sz w:val="24"/>
          <w:szCs w:val="24"/>
          <w:vertAlign w:val="subscript"/>
        </w:rPr>
        <w:t>3</w:t>
      </w:r>
      <w:r w:rsidRPr="00370B37">
        <w:rPr>
          <w:rFonts w:ascii="Times New Roman" w:hAnsi="Times New Roman" w:cs="Times New Roman"/>
          <w:i/>
          <w:iCs/>
          <w:sz w:val="24"/>
          <w:szCs w:val="24"/>
        </w:rPr>
        <w:t>):</w:t>
      </w:r>
      <w:r w:rsidRPr="009170C5">
        <w:rPr>
          <w:rFonts w:ascii="Times New Roman" w:hAnsi="Times New Roman" w:cs="Times New Roman"/>
          <w:b/>
          <w:bCs/>
          <w:sz w:val="24"/>
          <w:szCs w:val="24"/>
        </w:rPr>
        <w:t xml:space="preserve"> </w:t>
      </w:r>
      <w:r w:rsidR="00B80CA1" w:rsidRPr="00B80CA1">
        <w:rPr>
          <w:rFonts w:ascii="Times New Roman" w:hAnsi="Times New Roman" w:cs="Times New Roman"/>
          <w:sz w:val="24"/>
          <w:szCs w:val="24"/>
        </w:rPr>
        <w:t xml:space="preserve">250 mg of SILLP-3 (macroporous resin, 5.5 meq/g, 1.37 mmol) </w:t>
      </w:r>
      <w:r w:rsidR="009E6A66">
        <w:rPr>
          <w:rFonts w:ascii="Times New Roman" w:hAnsi="Times New Roman" w:cs="Times New Roman"/>
          <w:sz w:val="24"/>
          <w:szCs w:val="24"/>
        </w:rPr>
        <w:t xml:space="preserve">were </w:t>
      </w:r>
      <w:r w:rsidR="00B80CA1" w:rsidRPr="00B80CA1">
        <w:rPr>
          <w:rFonts w:ascii="Times New Roman" w:hAnsi="Times New Roman" w:cs="Times New Roman"/>
          <w:sz w:val="24"/>
          <w:szCs w:val="24"/>
        </w:rPr>
        <w:t>suspended in 27.5 mL of 1 M NaOH and stirred at room temperature for 24 hours. The polymer was then washed with water (3 × 10 mL) and resuspended in 7 mL of 1 M HNO</w:t>
      </w:r>
      <w:r w:rsidR="00B80CA1" w:rsidRPr="004D2D96">
        <w:rPr>
          <w:rFonts w:ascii="Times New Roman" w:hAnsi="Times New Roman" w:cs="Times New Roman"/>
          <w:sz w:val="24"/>
          <w:szCs w:val="24"/>
          <w:vertAlign w:val="subscript"/>
        </w:rPr>
        <w:t>3</w:t>
      </w:r>
      <w:r w:rsidR="00B80CA1" w:rsidRPr="00B80CA1">
        <w:rPr>
          <w:rFonts w:ascii="Times New Roman" w:hAnsi="Times New Roman" w:cs="Times New Roman"/>
          <w:sz w:val="24"/>
          <w:szCs w:val="24"/>
        </w:rPr>
        <w:t>, followed by stirring at room temperature for another 24 hours.</w:t>
      </w:r>
      <w:r w:rsidR="00B80CA1">
        <w:rPr>
          <w:rFonts w:ascii="Times New Roman" w:hAnsi="Times New Roman" w:cs="Times New Roman"/>
          <w:sz w:val="24"/>
          <w:szCs w:val="24"/>
        </w:rPr>
        <w:t xml:space="preserve"> </w:t>
      </w:r>
      <w:r w:rsidR="00B80CA1" w:rsidRPr="00B80CA1">
        <w:rPr>
          <w:rFonts w:ascii="Times New Roman" w:hAnsi="Times New Roman" w:cs="Times New Roman"/>
          <w:sz w:val="24"/>
          <w:szCs w:val="24"/>
        </w:rPr>
        <w:t>The treated polymer was filtered under vacuum, washed with water (3 × 10 mL), and dried in a vacuum oven at 50 °C until constant weight.</w:t>
      </w:r>
    </w:p>
    <w:p w14:paraId="6DA5CC27" w14:textId="77777777" w:rsidR="00563965" w:rsidRPr="0014128B" w:rsidRDefault="00563965" w:rsidP="009E6A66">
      <w:pPr>
        <w:spacing w:after="120" w:line="480" w:lineRule="auto"/>
        <w:jc w:val="both"/>
        <w:rPr>
          <w:rFonts w:ascii="Times New Roman" w:hAnsi="Times New Roman" w:cs="Times New Roman"/>
          <w:sz w:val="24"/>
          <w:szCs w:val="24"/>
        </w:rPr>
      </w:pPr>
      <w:r w:rsidRPr="0014128B">
        <w:rPr>
          <w:rFonts w:ascii="Times New Roman" w:hAnsi="Times New Roman" w:cs="Times New Roman"/>
        </w:rPr>
        <w:t>ATR-FT-IR</w:t>
      </w:r>
      <w:r w:rsidRPr="0014128B">
        <w:rPr>
          <w:rFonts w:ascii="Times New Roman" w:hAnsi="Times New Roman" w:cs="Times New Roman"/>
          <w:sz w:val="24"/>
          <w:szCs w:val="24"/>
        </w:rPr>
        <w:t>: 2962, 2931, 2874, 1623, 1457, 1326, 1142, 1115, 1037, 863, 828, 736 cm</w:t>
      </w:r>
      <w:r w:rsidRPr="0014128B">
        <w:rPr>
          <w:rFonts w:ascii="Times New Roman" w:hAnsi="Times New Roman" w:cs="Times New Roman"/>
          <w:sz w:val="24"/>
          <w:szCs w:val="24"/>
          <w:vertAlign w:val="superscript"/>
        </w:rPr>
        <w:t>-1</w:t>
      </w:r>
      <w:r w:rsidRPr="0014128B">
        <w:rPr>
          <w:rFonts w:ascii="Times New Roman" w:hAnsi="Times New Roman" w:cs="Times New Roman"/>
          <w:sz w:val="24"/>
          <w:szCs w:val="24"/>
        </w:rPr>
        <w:t>.</w:t>
      </w:r>
    </w:p>
    <w:p w14:paraId="0C95F50C" w14:textId="77777777" w:rsidR="00563965" w:rsidRDefault="00563965" w:rsidP="009E6A66">
      <w:pPr>
        <w:spacing w:after="120" w:line="480" w:lineRule="auto"/>
        <w:jc w:val="both"/>
        <w:rPr>
          <w:rFonts w:ascii="Times New Roman" w:hAnsi="Times New Roman" w:cs="Times New Roman"/>
          <w:b/>
          <w:bCs/>
          <w:sz w:val="24"/>
          <w:szCs w:val="24"/>
        </w:rPr>
      </w:pPr>
      <w:r w:rsidRPr="004A6E24">
        <w:rPr>
          <w:rFonts w:ascii="Times New Roman" w:hAnsi="Times New Roman" w:cs="Times New Roman"/>
          <w:sz w:val="24"/>
          <w:szCs w:val="24"/>
        </w:rPr>
        <w:t>Elemental analysis, experimental: %N 6</w:t>
      </w:r>
      <w:r>
        <w:rPr>
          <w:rFonts w:ascii="Times New Roman" w:hAnsi="Times New Roman" w:cs="Times New Roman"/>
          <w:sz w:val="24"/>
          <w:szCs w:val="24"/>
        </w:rPr>
        <w:t>.</w:t>
      </w:r>
      <w:r w:rsidRPr="004A6E24">
        <w:rPr>
          <w:rFonts w:ascii="Times New Roman" w:hAnsi="Times New Roman" w:cs="Times New Roman"/>
          <w:sz w:val="24"/>
          <w:szCs w:val="24"/>
        </w:rPr>
        <w:t>68; Loading of compound</w:t>
      </w:r>
      <w:r>
        <w:rPr>
          <w:rFonts w:ascii="Times New Roman" w:hAnsi="Times New Roman" w:cs="Times New Roman"/>
          <w:sz w:val="24"/>
          <w:szCs w:val="24"/>
        </w:rPr>
        <w:t xml:space="preserve"> </w:t>
      </w:r>
      <w:r w:rsidRPr="004D2D96">
        <w:rPr>
          <w:rFonts w:ascii="Times New Roman" w:hAnsi="Times New Roman" w:cs="Times New Roman"/>
          <w:sz w:val="24"/>
          <w:szCs w:val="24"/>
        </w:rPr>
        <w:t>SILLP-4</w:t>
      </w:r>
      <w:r w:rsidRPr="009E6A66">
        <w:rPr>
          <w:rFonts w:ascii="Times New Roman" w:hAnsi="Times New Roman" w:cs="Times New Roman"/>
          <w:sz w:val="24"/>
          <w:szCs w:val="24"/>
        </w:rPr>
        <w:t>:</w:t>
      </w:r>
      <w:r w:rsidRPr="004A6E24">
        <w:rPr>
          <w:rFonts w:ascii="Times New Roman" w:hAnsi="Times New Roman" w:cs="Times New Roman"/>
          <w:sz w:val="24"/>
          <w:szCs w:val="24"/>
        </w:rPr>
        <w:t xml:space="preserve"> 2</w:t>
      </w:r>
      <w:r>
        <w:rPr>
          <w:rFonts w:ascii="Times New Roman" w:hAnsi="Times New Roman" w:cs="Times New Roman"/>
          <w:sz w:val="24"/>
          <w:szCs w:val="24"/>
        </w:rPr>
        <w:t>.</w:t>
      </w:r>
      <w:r w:rsidRPr="004A6E24">
        <w:rPr>
          <w:rFonts w:ascii="Times New Roman" w:hAnsi="Times New Roman" w:cs="Times New Roman"/>
          <w:sz w:val="24"/>
          <w:szCs w:val="24"/>
        </w:rPr>
        <w:t>39 meq/g.</w:t>
      </w:r>
    </w:p>
    <w:p w14:paraId="248C75AF" w14:textId="148C110C" w:rsidR="0078648D" w:rsidRPr="0078648D" w:rsidRDefault="00563965" w:rsidP="00370B37">
      <w:pPr>
        <w:spacing w:after="120" w:line="480" w:lineRule="auto"/>
        <w:jc w:val="both"/>
        <w:rPr>
          <w:rFonts w:ascii="Times New Roman" w:hAnsi="Times New Roman" w:cs="Times New Roman"/>
          <w:sz w:val="24"/>
          <w:szCs w:val="24"/>
        </w:rPr>
      </w:pPr>
      <w:r w:rsidRPr="00370B37">
        <w:rPr>
          <w:rFonts w:ascii="Times New Roman" w:hAnsi="Times New Roman" w:cs="Times New Roman"/>
          <w:i/>
          <w:iCs/>
          <w:sz w:val="24"/>
          <w:szCs w:val="24"/>
          <w:lang w:val="de-DE"/>
        </w:rPr>
        <w:t>SILLP-5 (IM-SO</w:t>
      </w:r>
      <w:r w:rsidRPr="00370B37">
        <w:rPr>
          <w:rFonts w:ascii="Times New Roman" w:hAnsi="Times New Roman" w:cs="Times New Roman"/>
          <w:i/>
          <w:iCs/>
          <w:sz w:val="24"/>
          <w:szCs w:val="24"/>
          <w:vertAlign w:val="subscript"/>
          <w:lang w:val="de-DE"/>
        </w:rPr>
        <w:t>3</w:t>
      </w:r>
      <w:r w:rsidRPr="00370B37">
        <w:rPr>
          <w:rFonts w:ascii="Times New Roman" w:hAnsi="Times New Roman" w:cs="Times New Roman"/>
          <w:i/>
          <w:iCs/>
          <w:sz w:val="24"/>
          <w:szCs w:val="24"/>
          <w:lang w:val="de-DE"/>
        </w:rPr>
        <w:t>-Sc(OTf</w:t>
      </w:r>
      <w:r w:rsidRPr="00370B37">
        <w:rPr>
          <w:rFonts w:ascii="Times New Roman" w:hAnsi="Times New Roman" w:cs="Times New Roman"/>
          <w:i/>
          <w:iCs/>
          <w:sz w:val="24"/>
          <w:szCs w:val="24"/>
          <w:vertAlign w:val="subscript"/>
          <w:lang w:val="de-DE"/>
        </w:rPr>
        <w:t>2</w:t>
      </w:r>
      <w:r w:rsidRPr="00370B37">
        <w:rPr>
          <w:rFonts w:ascii="Times New Roman" w:hAnsi="Times New Roman" w:cs="Times New Roman"/>
          <w:i/>
          <w:iCs/>
          <w:sz w:val="24"/>
          <w:szCs w:val="24"/>
          <w:lang w:val="de-DE"/>
        </w:rPr>
        <w:t>)):</w:t>
      </w:r>
      <w:r w:rsidR="00370B37">
        <w:rPr>
          <w:rFonts w:ascii="Times New Roman" w:hAnsi="Times New Roman" w:cs="Times New Roman"/>
          <w:b/>
          <w:bCs/>
          <w:i/>
          <w:iCs/>
          <w:sz w:val="24"/>
          <w:szCs w:val="24"/>
          <w:lang w:val="de-DE"/>
        </w:rPr>
        <w:t xml:space="preserve"> </w:t>
      </w:r>
      <w:r w:rsidR="0078648D" w:rsidRPr="00B336B7">
        <w:rPr>
          <w:rFonts w:ascii="Times New Roman" w:hAnsi="Times New Roman" w:cs="Times New Roman"/>
          <w:sz w:val="24"/>
          <w:szCs w:val="24"/>
        </w:rPr>
        <w:t xml:space="preserve">The synthesis and characterization of SILLP-5 </w:t>
      </w:r>
      <w:r w:rsidR="001E790D" w:rsidRPr="00B336B7">
        <w:rPr>
          <w:rFonts w:ascii="Times New Roman" w:hAnsi="Times New Roman" w:cs="Times New Roman"/>
          <w:sz w:val="24"/>
          <w:szCs w:val="24"/>
        </w:rPr>
        <w:t>was performed as reported in previous literature [</w:t>
      </w:r>
      <w:r w:rsidR="003B63B0" w:rsidRPr="00B336B7">
        <w:rPr>
          <w:rFonts w:ascii="Times New Roman" w:hAnsi="Times New Roman" w:cs="Times New Roman"/>
          <w:sz w:val="24"/>
          <w:szCs w:val="24"/>
        </w:rPr>
        <w:t xml:space="preserve">Peris </w:t>
      </w:r>
      <w:r w:rsidR="00990141" w:rsidRPr="00B336B7">
        <w:rPr>
          <w:rFonts w:ascii="Times New Roman" w:hAnsi="Times New Roman" w:cs="Times New Roman"/>
          <w:sz w:val="24"/>
          <w:szCs w:val="24"/>
        </w:rPr>
        <w:t>e</w:t>
      </w:r>
      <w:r w:rsidR="003B63B0" w:rsidRPr="00B336B7">
        <w:rPr>
          <w:rFonts w:ascii="Times New Roman" w:hAnsi="Times New Roman" w:cs="Times New Roman"/>
          <w:sz w:val="24"/>
          <w:szCs w:val="24"/>
        </w:rPr>
        <w:t>t al. 2019</w:t>
      </w:r>
      <w:r w:rsidR="001E790D" w:rsidRPr="00B336B7">
        <w:rPr>
          <w:rFonts w:ascii="Times New Roman" w:hAnsi="Times New Roman" w:cs="Times New Roman"/>
          <w:sz w:val="24"/>
          <w:szCs w:val="24"/>
        </w:rPr>
        <w:t>]</w:t>
      </w:r>
      <w:r w:rsidR="0078648D" w:rsidRPr="00B336B7">
        <w:rPr>
          <w:rFonts w:ascii="Times New Roman" w:hAnsi="Times New Roman" w:cs="Times New Roman"/>
          <w:sz w:val="24"/>
          <w:szCs w:val="24"/>
        </w:rPr>
        <w:t>.</w:t>
      </w:r>
    </w:p>
    <w:p w14:paraId="6F182E23" w14:textId="529FFF15" w:rsidR="0078648D" w:rsidRPr="0078648D" w:rsidRDefault="00563965" w:rsidP="00370B37">
      <w:pPr>
        <w:spacing w:after="120" w:line="480" w:lineRule="auto"/>
        <w:jc w:val="both"/>
        <w:rPr>
          <w:rFonts w:ascii="Times New Roman" w:hAnsi="Times New Roman" w:cs="Times New Roman"/>
          <w:sz w:val="24"/>
          <w:szCs w:val="24"/>
        </w:rPr>
      </w:pPr>
      <w:r w:rsidRPr="00370B37">
        <w:rPr>
          <w:rFonts w:ascii="Times New Roman" w:hAnsi="Times New Roman" w:cs="Times New Roman"/>
          <w:i/>
          <w:iCs/>
          <w:sz w:val="24"/>
          <w:szCs w:val="24"/>
        </w:rPr>
        <w:t>SILLP-6 (IM-SO</w:t>
      </w:r>
      <w:r w:rsidRPr="00370B37">
        <w:rPr>
          <w:rFonts w:ascii="Times New Roman" w:hAnsi="Times New Roman" w:cs="Times New Roman"/>
          <w:i/>
          <w:iCs/>
          <w:sz w:val="24"/>
          <w:szCs w:val="24"/>
          <w:vertAlign w:val="subscript"/>
        </w:rPr>
        <w:t>3</w:t>
      </w:r>
      <w:r w:rsidRPr="00370B37">
        <w:rPr>
          <w:rFonts w:ascii="Times New Roman" w:hAnsi="Times New Roman" w:cs="Times New Roman"/>
          <w:i/>
          <w:iCs/>
          <w:sz w:val="24"/>
          <w:szCs w:val="24"/>
        </w:rPr>
        <w:t>H):</w:t>
      </w:r>
      <w:r w:rsidR="00370B37">
        <w:rPr>
          <w:rFonts w:ascii="Times New Roman" w:hAnsi="Times New Roman" w:cs="Times New Roman"/>
          <w:b/>
          <w:bCs/>
          <w:i/>
          <w:iCs/>
          <w:sz w:val="24"/>
          <w:szCs w:val="24"/>
        </w:rPr>
        <w:t xml:space="preserve"> </w:t>
      </w:r>
      <w:r w:rsidR="0078648D" w:rsidRPr="00B336B7">
        <w:rPr>
          <w:rFonts w:ascii="Times New Roman" w:hAnsi="Times New Roman" w:cs="Times New Roman"/>
          <w:sz w:val="24"/>
          <w:szCs w:val="24"/>
        </w:rPr>
        <w:t xml:space="preserve">The synthesis and characterization of SILLP-6 </w:t>
      </w:r>
      <w:r w:rsidR="001E790D" w:rsidRPr="00B336B7">
        <w:rPr>
          <w:rFonts w:ascii="Times New Roman" w:hAnsi="Times New Roman" w:cs="Times New Roman"/>
          <w:sz w:val="24"/>
          <w:szCs w:val="24"/>
        </w:rPr>
        <w:t>was performed as reported in previous literature [</w:t>
      </w:r>
      <w:r w:rsidR="003B63B0" w:rsidRPr="00B336B7">
        <w:rPr>
          <w:rFonts w:ascii="Times New Roman" w:hAnsi="Times New Roman" w:cs="Times New Roman"/>
          <w:sz w:val="24"/>
          <w:szCs w:val="24"/>
        </w:rPr>
        <w:t xml:space="preserve">Peris </w:t>
      </w:r>
      <w:r w:rsidR="00990141" w:rsidRPr="00B336B7">
        <w:rPr>
          <w:rFonts w:ascii="Times New Roman" w:hAnsi="Times New Roman" w:cs="Times New Roman"/>
          <w:sz w:val="24"/>
          <w:szCs w:val="24"/>
        </w:rPr>
        <w:t>e</w:t>
      </w:r>
      <w:r w:rsidR="003B63B0" w:rsidRPr="00B336B7">
        <w:rPr>
          <w:rFonts w:ascii="Times New Roman" w:hAnsi="Times New Roman" w:cs="Times New Roman"/>
          <w:sz w:val="24"/>
          <w:szCs w:val="24"/>
        </w:rPr>
        <w:t>t al. 2019</w:t>
      </w:r>
      <w:r w:rsidR="001E790D" w:rsidRPr="00B336B7">
        <w:rPr>
          <w:rFonts w:ascii="Times New Roman" w:hAnsi="Times New Roman" w:cs="Times New Roman"/>
          <w:sz w:val="24"/>
          <w:szCs w:val="24"/>
        </w:rPr>
        <w:t>]</w:t>
      </w:r>
      <w:r w:rsidR="003B63B0" w:rsidRPr="00B336B7">
        <w:rPr>
          <w:rFonts w:ascii="Times New Roman" w:hAnsi="Times New Roman" w:cs="Times New Roman"/>
          <w:sz w:val="24"/>
          <w:szCs w:val="24"/>
        </w:rPr>
        <w:t>.</w:t>
      </w:r>
    </w:p>
    <w:p w14:paraId="565EBE9C" w14:textId="23F6A619" w:rsidR="00563965" w:rsidRPr="004D2D96" w:rsidRDefault="00563965" w:rsidP="009E6A66">
      <w:pPr>
        <w:spacing w:after="120" w:line="480" w:lineRule="auto"/>
        <w:jc w:val="both"/>
        <w:rPr>
          <w:rFonts w:ascii="Times New Roman" w:hAnsi="Times New Roman" w:cs="Times New Roman"/>
          <w:b/>
          <w:bCs/>
          <w:i/>
          <w:iCs/>
          <w:sz w:val="24"/>
          <w:szCs w:val="24"/>
        </w:rPr>
      </w:pPr>
      <w:bookmarkStart w:id="5" w:name="_Hlk187254686"/>
      <w:bookmarkEnd w:id="4"/>
      <w:r w:rsidRPr="004D2D96">
        <w:rPr>
          <w:rFonts w:ascii="Times New Roman" w:hAnsi="Times New Roman" w:cs="Times New Roman"/>
          <w:b/>
          <w:bCs/>
          <w:i/>
          <w:iCs/>
          <w:sz w:val="24"/>
          <w:szCs w:val="24"/>
        </w:rPr>
        <w:t>Preparation and characterization of enzymes with supported ionic liquids (SILLPs)</w:t>
      </w:r>
    </w:p>
    <w:p w14:paraId="0BC3429D" w14:textId="06667EE1" w:rsidR="00563965" w:rsidRDefault="00563965" w:rsidP="009E6A66">
      <w:pPr>
        <w:spacing w:after="120" w:line="480" w:lineRule="auto"/>
        <w:jc w:val="both"/>
        <w:rPr>
          <w:rFonts w:ascii="Times New Roman" w:hAnsi="Times New Roman" w:cs="Times New Roman"/>
          <w:sz w:val="24"/>
          <w:szCs w:val="24"/>
        </w:rPr>
      </w:pPr>
      <w:r w:rsidRPr="00B10836">
        <w:rPr>
          <w:rFonts w:ascii="Times New Roman" w:hAnsi="Times New Roman" w:cs="Times New Roman"/>
          <w:i/>
          <w:iCs/>
          <w:sz w:val="24"/>
          <w:szCs w:val="24"/>
        </w:rPr>
        <w:t>General procedure for the synthesis of SILLPs:</w:t>
      </w:r>
      <w:r>
        <w:rPr>
          <w:rFonts w:ascii="Times New Roman" w:hAnsi="Times New Roman" w:cs="Times New Roman"/>
          <w:sz w:val="24"/>
          <w:szCs w:val="24"/>
        </w:rPr>
        <w:t xml:space="preserve"> </w:t>
      </w:r>
      <w:r w:rsidRPr="00F6757E">
        <w:rPr>
          <w:rFonts w:ascii="Times New Roman" w:hAnsi="Times New Roman" w:cs="Times New Roman"/>
          <w:sz w:val="24"/>
          <w:szCs w:val="24"/>
        </w:rPr>
        <w:t>A Merrifield resin (2</w:t>
      </w:r>
      <w:r w:rsidR="003C28C7">
        <w:rPr>
          <w:rFonts w:ascii="Times New Roman" w:hAnsi="Times New Roman" w:cs="Times New Roman"/>
          <w:sz w:val="24"/>
          <w:szCs w:val="24"/>
        </w:rPr>
        <w:t>.0</w:t>
      </w:r>
      <w:r w:rsidRPr="00F6757E">
        <w:rPr>
          <w:rFonts w:ascii="Times New Roman" w:hAnsi="Times New Roman" w:cs="Times New Roman"/>
          <w:sz w:val="24"/>
          <w:szCs w:val="24"/>
        </w:rPr>
        <w:t xml:space="preserve"> g, </w:t>
      </w:r>
      <w:r>
        <w:rPr>
          <w:rFonts w:ascii="Times New Roman" w:hAnsi="Times New Roman" w:cs="Times New Roman"/>
          <w:sz w:val="24"/>
          <w:szCs w:val="24"/>
        </w:rPr>
        <w:t>mocroporous or gel type</w:t>
      </w:r>
      <w:r w:rsidRPr="00F6757E">
        <w:rPr>
          <w:rFonts w:ascii="Times New Roman" w:hAnsi="Times New Roman" w:cs="Times New Roman"/>
          <w:sz w:val="24"/>
          <w:szCs w:val="24"/>
        </w:rPr>
        <w:t xml:space="preserve">) was suspended in 25 mL of the corresponding imidazole. The system was heated at 80 </w:t>
      </w:r>
      <w:r>
        <w:rPr>
          <w:rFonts w:ascii="Times New Roman" w:hAnsi="Times New Roman" w:cs="Times New Roman"/>
          <w:sz w:val="24"/>
          <w:szCs w:val="24"/>
        </w:rPr>
        <w:t>º</w:t>
      </w:r>
      <w:r w:rsidRPr="00F6757E">
        <w:rPr>
          <w:rFonts w:ascii="Times New Roman" w:hAnsi="Times New Roman" w:cs="Times New Roman"/>
          <w:sz w:val="24"/>
          <w:szCs w:val="24"/>
        </w:rPr>
        <w:t xml:space="preserve">C. After </w:t>
      </w:r>
      <w:r>
        <w:rPr>
          <w:rFonts w:ascii="Times New Roman" w:hAnsi="Times New Roman" w:cs="Times New Roman"/>
          <w:sz w:val="24"/>
          <w:szCs w:val="24"/>
        </w:rPr>
        <w:t>24</w:t>
      </w:r>
      <w:r w:rsidRPr="00F6757E">
        <w:rPr>
          <w:rFonts w:ascii="Times New Roman" w:hAnsi="Times New Roman" w:cs="Times New Roman"/>
          <w:sz w:val="24"/>
          <w:szCs w:val="24"/>
        </w:rPr>
        <w:t xml:space="preserve"> h, the polymer was filtered, washed with DMF (3 × 20 mL), MeOH (3 × 20 mL), CH</w:t>
      </w:r>
      <w:r w:rsidRPr="003B68F9">
        <w:rPr>
          <w:rFonts w:ascii="Times New Roman" w:hAnsi="Times New Roman" w:cs="Times New Roman"/>
          <w:sz w:val="24"/>
          <w:szCs w:val="24"/>
          <w:vertAlign w:val="subscript"/>
        </w:rPr>
        <w:t>2</w:t>
      </w:r>
      <w:r w:rsidRPr="00F6757E">
        <w:rPr>
          <w:rFonts w:ascii="Times New Roman" w:hAnsi="Times New Roman" w:cs="Times New Roman"/>
          <w:sz w:val="24"/>
          <w:szCs w:val="24"/>
        </w:rPr>
        <w:t>Cl</w:t>
      </w:r>
      <w:r w:rsidRPr="003B68F9">
        <w:rPr>
          <w:rFonts w:ascii="Times New Roman" w:hAnsi="Times New Roman" w:cs="Times New Roman"/>
          <w:sz w:val="24"/>
          <w:szCs w:val="24"/>
          <w:vertAlign w:val="subscript"/>
        </w:rPr>
        <w:t>2</w:t>
      </w:r>
      <w:r w:rsidRPr="00F6757E">
        <w:rPr>
          <w:rFonts w:ascii="Times New Roman" w:hAnsi="Times New Roman" w:cs="Times New Roman"/>
          <w:sz w:val="24"/>
          <w:szCs w:val="24"/>
        </w:rPr>
        <w:t xml:space="preserve"> (3 × 20 mL) and dried under vacuum at </w:t>
      </w:r>
      <w:r>
        <w:rPr>
          <w:rFonts w:ascii="Times New Roman" w:hAnsi="Times New Roman" w:cs="Times New Roman"/>
          <w:sz w:val="24"/>
          <w:szCs w:val="24"/>
        </w:rPr>
        <w:t>50</w:t>
      </w:r>
      <w:r w:rsidRPr="00F6757E">
        <w:rPr>
          <w:rFonts w:ascii="Times New Roman" w:hAnsi="Times New Roman" w:cs="Times New Roman"/>
          <w:sz w:val="24"/>
          <w:szCs w:val="24"/>
        </w:rPr>
        <w:t xml:space="preserve"> </w:t>
      </w:r>
      <w:r w:rsidRPr="00370B37">
        <w:rPr>
          <w:rFonts w:ascii="Times New Roman" w:hAnsi="Times New Roman" w:cs="Times New Roman"/>
          <w:sz w:val="24"/>
          <w:szCs w:val="24"/>
        </w:rPr>
        <w:t>ºC</w:t>
      </w:r>
      <w:r w:rsidR="008B1DED" w:rsidRPr="00370B37">
        <w:rPr>
          <w:rFonts w:ascii="Times New Roman" w:hAnsi="Times New Roman" w:cs="Times New Roman"/>
          <w:sz w:val="24"/>
          <w:szCs w:val="24"/>
        </w:rPr>
        <w:t xml:space="preserve"> (</w:t>
      </w:r>
      <w:r w:rsidR="001E790D" w:rsidRPr="00370B37">
        <w:rPr>
          <w:rFonts w:ascii="Times New Roman" w:hAnsi="Times New Roman" w:cs="Times New Roman"/>
          <w:sz w:val="24"/>
          <w:szCs w:val="24"/>
        </w:rPr>
        <w:t xml:space="preserve">Burguete </w:t>
      </w:r>
      <w:r w:rsidR="00990141" w:rsidRPr="00370B37">
        <w:rPr>
          <w:rFonts w:ascii="Times New Roman" w:hAnsi="Times New Roman" w:cs="Times New Roman"/>
          <w:sz w:val="24"/>
          <w:szCs w:val="24"/>
        </w:rPr>
        <w:t>e</w:t>
      </w:r>
      <w:r w:rsidR="001E790D" w:rsidRPr="00370B37">
        <w:rPr>
          <w:rFonts w:ascii="Times New Roman" w:hAnsi="Times New Roman" w:cs="Times New Roman"/>
          <w:sz w:val="24"/>
          <w:szCs w:val="24"/>
        </w:rPr>
        <w:t>t al., 2011)</w:t>
      </w:r>
      <w:r w:rsidRPr="00370B37">
        <w:rPr>
          <w:rFonts w:ascii="Times New Roman" w:hAnsi="Times New Roman" w:cs="Times New Roman"/>
          <w:sz w:val="24"/>
          <w:szCs w:val="24"/>
        </w:rPr>
        <w:t>.</w:t>
      </w:r>
    </w:p>
    <w:p w14:paraId="5CDF2FA4" w14:textId="37DC25F4" w:rsidR="00563965" w:rsidRPr="002E69EC" w:rsidRDefault="00563965" w:rsidP="009E6A66">
      <w:pPr>
        <w:spacing w:after="120" w:line="480" w:lineRule="auto"/>
        <w:jc w:val="both"/>
        <w:rPr>
          <w:rFonts w:ascii="Times New Roman" w:hAnsi="Times New Roman" w:cs="Times New Roman"/>
          <w:sz w:val="24"/>
          <w:szCs w:val="24"/>
        </w:rPr>
      </w:pPr>
      <w:r w:rsidRPr="00B10836">
        <w:rPr>
          <w:rFonts w:ascii="Times New Roman" w:hAnsi="Times New Roman" w:cs="Times New Roman"/>
          <w:i/>
          <w:iCs/>
          <w:sz w:val="24"/>
          <w:szCs w:val="24"/>
        </w:rPr>
        <w:t xml:space="preserve">Lipase immobilisation on to </w:t>
      </w:r>
      <w:r w:rsidRPr="00B336B7">
        <w:rPr>
          <w:rFonts w:ascii="Times New Roman" w:hAnsi="Times New Roman" w:cs="Times New Roman"/>
          <w:i/>
          <w:iCs/>
          <w:sz w:val="24"/>
          <w:szCs w:val="24"/>
        </w:rPr>
        <w:t>SILLPs</w:t>
      </w:r>
      <w:r w:rsidRPr="00B336B7">
        <w:rPr>
          <w:rFonts w:ascii="Times New Roman" w:hAnsi="Times New Roman" w:cs="Times New Roman"/>
          <w:sz w:val="24"/>
          <w:szCs w:val="24"/>
        </w:rPr>
        <w:t xml:space="preserve"> </w:t>
      </w:r>
      <w:r w:rsidR="00990141" w:rsidRPr="00B336B7">
        <w:rPr>
          <w:rFonts w:ascii="Times New Roman" w:hAnsi="Times New Roman" w:cs="Times New Roman"/>
          <w:sz w:val="24"/>
          <w:szCs w:val="24"/>
        </w:rPr>
        <w:t>was performed as reported in previous literature [</w:t>
      </w:r>
      <w:r w:rsidR="00D62C35" w:rsidRPr="00B336B7">
        <w:rPr>
          <w:rFonts w:ascii="Times New Roman" w:hAnsi="Times New Roman" w:cs="Times New Roman"/>
          <w:sz w:val="24"/>
          <w:szCs w:val="24"/>
        </w:rPr>
        <w:t>Lozano et al. 2012</w:t>
      </w:r>
      <w:r w:rsidR="00990141" w:rsidRPr="00B336B7">
        <w:rPr>
          <w:rFonts w:ascii="Times New Roman" w:hAnsi="Times New Roman" w:cs="Times New Roman"/>
          <w:sz w:val="24"/>
          <w:szCs w:val="24"/>
        </w:rPr>
        <w:t>]</w:t>
      </w:r>
      <w:r w:rsidR="00D62C35" w:rsidRPr="00B336B7">
        <w:rPr>
          <w:rFonts w:ascii="Times New Roman" w:hAnsi="Times New Roman" w:cs="Times New Roman"/>
          <w:sz w:val="24"/>
          <w:szCs w:val="24"/>
        </w:rPr>
        <w:t xml:space="preserve"> </w:t>
      </w:r>
      <w:r w:rsidR="00976100" w:rsidRPr="00B336B7">
        <w:rPr>
          <w:rFonts w:ascii="Times New Roman" w:hAnsi="Times New Roman" w:cs="Times New Roman"/>
          <w:sz w:val="24"/>
          <w:szCs w:val="24"/>
        </w:rPr>
        <w:t>(I. R</w:t>
      </w:r>
      <w:r w:rsidR="00976100" w:rsidRPr="00B336B7">
        <w:rPr>
          <w:rFonts w:ascii="Times New Roman" w:hAnsi="Times New Roman" w:cs="Times New Roman"/>
          <w:sz w:val="24"/>
          <w:szCs w:val="24"/>
          <w:vertAlign w:val="subscript"/>
        </w:rPr>
        <w:t>1</w:t>
      </w:r>
      <w:r w:rsidR="00976100" w:rsidRPr="00B336B7">
        <w:rPr>
          <w:rFonts w:ascii="Times New Roman" w:hAnsi="Times New Roman" w:cs="Times New Roman"/>
          <w:sz w:val="24"/>
          <w:szCs w:val="24"/>
        </w:rPr>
        <w:t>= H-, R</w:t>
      </w:r>
      <w:r w:rsidR="00976100" w:rsidRPr="00B336B7">
        <w:rPr>
          <w:rFonts w:ascii="Times New Roman" w:hAnsi="Times New Roman" w:cs="Times New Roman"/>
          <w:sz w:val="24"/>
          <w:szCs w:val="24"/>
          <w:vertAlign w:val="subscript"/>
        </w:rPr>
        <w:t>2</w:t>
      </w:r>
      <w:r w:rsidR="00976100" w:rsidRPr="00B336B7">
        <w:rPr>
          <w:rFonts w:ascii="Times New Roman" w:hAnsi="Times New Roman" w:cs="Times New Roman"/>
          <w:sz w:val="24"/>
          <w:szCs w:val="24"/>
        </w:rPr>
        <w:t>= CH</w:t>
      </w:r>
      <w:r w:rsidR="00976100" w:rsidRPr="00B336B7">
        <w:rPr>
          <w:rFonts w:ascii="Times New Roman" w:hAnsi="Times New Roman" w:cs="Times New Roman"/>
          <w:sz w:val="24"/>
          <w:szCs w:val="24"/>
          <w:vertAlign w:val="subscript"/>
        </w:rPr>
        <w:t>3</w:t>
      </w:r>
      <w:r w:rsidR="00976100" w:rsidRPr="00B336B7">
        <w:rPr>
          <w:rFonts w:ascii="Times New Roman" w:hAnsi="Times New Roman" w:cs="Times New Roman"/>
          <w:sz w:val="24"/>
          <w:szCs w:val="24"/>
        </w:rPr>
        <w:t xml:space="preserve">- (3.10 mg CALB / g) </w:t>
      </w:r>
      <w:r w:rsidR="00B05391" w:rsidRPr="00B336B7">
        <w:rPr>
          <w:rFonts w:ascii="Times New Roman" w:hAnsi="Times New Roman" w:cs="Times New Roman"/>
          <w:sz w:val="24"/>
          <w:szCs w:val="24"/>
        </w:rPr>
        <w:t>microporous;</w:t>
      </w:r>
      <w:r w:rsidR="00976100" w:rsidRPr="00B336B7">
        <w:rPr>
          <w:rFonts w:ascii="Times New Roman" w:hAnsi="Times New Roman" w:cs="Times New Roman"/>
          <w:sz w:val="24"/>
          <w:szCs w:val="24"/>
        </w:rPr>
        <w:t xml:space="preserve"> II. </w:t>
      </w:r>
      <w:r w:rsidR="00976100" w:rsidRPr="00B336B7">
        <w:rPr>
          <w:rFonts w:ascii="Times New Roman" w:hAnsi="Times New Roman" w:cs="Times New Roman"/>
          <w:sz w:val="24"/>
          <w:szCs w:val="24"/>
          <w:lang w:val="pt-PT"/>
        </w:rPr>
        <w:t>R</w:t>
      </w:r>
      <w:r w:rsidR="00976100" w:rsidRPr="00B336B7">
        <w:rPr>
          <w:rFonts w:ascii="Times New Roman" w:hAnsi="Times New Roman" w:cs="Times New Roman"/>
          <w:sz w:val="24"/>
          <w:szCs w:val="24"/>
          <w:vertAlign w:val="subscript"/>
          <w:lang w:val="pt-PT"/>
        </w:rPr>
        <w:t>1</w:t>
      </w:r>
      <w:r w:rsidR="00976100" w:rsidRPr="00B336B7">
        <w:rPr>
          <w:rFonts w:ascii="Times New Roman" w:hAnsi="Times New Roman" w:cs="Times New Roman"/>
          <w:sz w:val="24"/>
          <w:szCs w:val="24"/>
          <w:lang w:val="pt-PT"/>
        </w:rPr>
        <w:t>= H-, R</w:t>
      </w:r>
      <w:r w:rsidR="00976100" w:rsidRPr="00B336B7">
        <w:rPr>
          <w:rFonts w:ascii="Times New Roman" w:hAnsi="Times New Roman" w:cs="Times New Roman"/>
          <w:sz w:val="24"/>
          <w:szCs w:val="24"/>
          <w:vertAlign w:val="subscript"/>
          <w:lang w:val="pt-PT"/>
        </w:rPr>
        <w:t>2</w:t>
      </w:r>
      <w:r w:rsidR="00976100" w:rsidRPr="00B336B7">
        <w:rPr>
          <w:rFonts w:ascii="Times New Roman" w:hAnsi="Times New Roman" w:cs="Times New Roman"/>
          <w:sz w:val="24"/>
          <w:szCs w:val="24"/>
          <w:lang w:val="pt-PT"/>
        </w:rPr>
        <w:t>= CH</w:t>
      </w:r>
      <w:r w:rsidR="00976100" w:rsidRPr="00B336B7">
        <w:rPr>
          <w:rFonts w:ascii="Times New Roman" w:hAnsi="Times New Roman" w:cs="Times New Roman"/>
          <w:sz w:val="24"/>
          <w:szCs w:val="24"/>
          <w:vertAlign w:val="subscript"/>
          <w:lang w:val="pt-PT"/>
        </w:rPr>
        <w:t>3</w:t>
      </w:r>
      <w:r w:rsidR="00976100" w:rsidRPr="00B336B7">
        <w:rPr>
          <w:rFonts w:ascii="Times New Roman" w:hAnsi="Times New Roman" w:cs="Times New Roman"/>
          <w:sz w:val="24"/>
          <w:szCs w:val="24"/>
          <w:lang w:val="pt-PT"/>
        </w:rPr>
        <w:t>(CH</w:t>
      </w:r>
      <w:r w:rsidR="00976100" w:rsidRPr="00B336B7">
        <w:rPr>
          <w:rFonts w:ascii="Times New Roman" w:hAnsi="Times New Roman" w:cs="Times New Roman"/>
          <w:sz w:val="24"/>
          <w:szCs w:val="24"/>
          <w:vertAlign w:val="subscript"/>
          <w:lang w:val="pt-PT"/>
        </w:rPr>
        <w:t>2</w:t>
      </w:r>
      <w:r w:rsidR="00976100" w:rsidRPr="00B336B7">
        <w:rPr>
          <w:rFonts w:ascii="Times New Roman" w:hAnsi="Times New Roman" w:cs="Times New Roman"/>
          <w:sz w:val="24"/>
          <w:szCs w:val="24"/>
          <w:lang w:val="pt-PT"/>
        </w:rPr>
        <w:t>)</w:t>
      </w:r>
      <w:r w:rsidR="00976100" w:rsidRPr="00B336B7">
        <w:rPr>
          <w:rFonts w:ascii="Times New Roman" w:hAnsi="Times New Roman" w:cs="Times New Roman"/>
          <w:sz w:val="24"/>
          <w:szCs w:val="24"/>
          <w:vertAlign w:val="subscript"/>
          <w:lang w:val="pt-PT"/>
        </w:rPr>
        <w:t>3</w:t>
      </w:r>
      <w:r w:rsidR="00976100" w:rsidRPr="00B336B7">
        <w:rPr>
          <w:rFonts w:ascii="Times New Roman" w:hAnsi="Times New Roman" w:cs="Times New Roman"/>
          <w:sz w:val="24"/>
          <w:szCs w:val="24"/>
          <w:lang w:val="pt-PT"/>
        </w:rPr>
        <w:t>- (4.81 mg CALB / g)</w:t>
      </w:r>
      <w:r w:rsidR="00B05391" w:rsidRPr="00B336B7">
        <w:rPr>
          <w:rFonts w:ascii="Times New Roman" w:hAnsi="Times New Roman" w:cs="Times New Roman"/>
          <w:sz w:val="24"/>
          <w:szCs w:val="24"/>
          <w:lang w:val="pt-PT"/>
        </w:rPr>
        <w:t>;</w:t>
      </w:r>
      <w:r w:rsidR="00976100" w:rsidRPr="00B336B7">
        <w:rPr>
          <w:rFonts w:ascii="Times New Roman" w:hAnsi="Times New Roman" w:cs="Times New Roman"/>
          <w:sz w:val="24"/>
          <w:szCs w:val="24"/>
          <w:lang w:val="pt-PT"/>
        </w:rPr>
        <w:t xml:space="preserve"> III. R</w:t>
      </w:r>
      <w:r w:rsidR="00976100" w:rsidRPr="00B336B7">
        <w:rPr>
          <w:rFonts w:ascii="Times New Roman" w:hAnsi="Times New Roman" w:cs="Times New Roman"/>
          <w:sz w:val="24"/>
          <w:szCs w:val="24"/>
          <w:vertAlign w:val="subscript"/>
          <w:lang w:val="pt-PT"/>
        </w:rPr>
        <w:t>1</w:t>
      </w:r>
      <w:r w:rsidR="00976100" w:rsidRPr="00B336B7">
        <w:rPr>
          <w:rFonts w:ascii="Times New Roman" w:hAnsi="Times New Roman" w:cs="Times New Roman"/>
          <w:sz w:val="24"/>
          <w:szCs w:val="24"/>
          <w:lang w:val="pt-PT"/>
        </w:rPr>
        <w:t>= CH</w:t>
      </w:r>
      <w:r w:rsidR="00976100" w:rsidRPr="00B336B7">
        <w:rPr>
          <w:rFonts w:ascii="Times New Roman" w:hAnsi="Times New Roman" w:cs="Times New Roman"/>
          <w:sz w:val="24"/>
          <w:szCs w:val="24"/>
          <w:vertAlign w:val="subscript"/>
          <w:lang w:val="pt-PT"/>
        </w:rPr>
        <w:t>3</w:t>
      </w:r>
      <w:r w:rsidR="00976100" w:rsidRPr="00B336B7">
        <w:rPr>
          <w:rFonts w:ascii="Times New Roman" w:hAnsi="Times New Roman" w:cs="Times New Roman"/>
          <w:sz w:val="24"/>
          <w:szCs w:val="24"/>
          <w:lang w:val="pt-PT"/>
        </w:rPr>
        <w:t>-, R</w:t>
      </w:r>
      <w:r w:rsidR="00976100" w:rsidRPr="00B336B7">
        <w:rPr>
          <w:rFonts w:ascii="Times New Roman" w:hAnsi="Times New Roman" w:cs="Times New Roman"/>
          <w:sz w:val="24"/>
          <w:szCs w:val="24"/>
          <w:vertAlign w:val="subscript"/>
          <w:lang w:val="pt-PT"/>
        </w:rPr>
        <w:t>2</w:t>
      </w:r>
      <w:r w:rsidR="00976100" w:rsidRPr="00B336B7">
        <w:rPr>
          <w:rFonts w:ascii="Times New Roman" w:hAnsi="Times New Roman" w:cs="Times New Roman"/>
          <w:sz w:val="24"/>
          <w:szCs w:val="24"/>
          <w:lang w:val="pt-PT"/>
        </w:rPr>
        <w:t>= CH</w:t>
      </w:r>
      <w:r w:rsidR="00976100" w:rsidRPr="00B336B7">
        <w:rPr>
          <w:rFonts w:ascii="Times New Roman" w:hAnsi="Times New Roman" w:cs="Times New Roman"/>
          <w:sz w:val="24"/>
          <w:szCs w:val="24"/>
          <w:vertAlign w:val="subscript"/>
          <w:lang w:val="pt-PT"/>
        </w:rPr>
        <w:t>3</w:t>
      </w:r>
      <w:r w:rsidR="00976100" w:rsidRPr="00B336B7">
        <w:rPr>
          <w:rFonts w:ascii="Times New Roman" w:hAnsi="Times New Roman" w:cs="Times New Roman"/>
          <w:sz w:val="24"/>
          <w:szCs w:val="24"/>
          <w:lang w:val="pt-PT"/>
        </w:rPr>
        <w:t>(CH</w:t>
      </w:r>
      <w:r w:rsidR="00976100" w:rsidRPr="00B336B7">
        <w:rPr>
          <w:rFonts w:ascii="Times New Roman" w:hAnsi="Times New Roman" w:cs="Times New Roman"/>
          <w:sz w:val="24"/>
          <w:szCs w:val="24"/>
          <w:vertAlign w:val="subscript"/>
          <w:lang w:val="pt-PT"/>
        </w:rPr>
        <w:t>2</w:t>
      </w:r>
      <w:r w:rsidR="00976100" w:rsidRPr="00B336B7">
        <w:rPr>
          <w:rFonts w:ascii="Times New Roman" w:hAnsi="Times New Roman" w:cs="Times New Roman"/>
          <w:sz w:val="24"/>
          <w:szCs w:val="24"/>
          <w:lang w:val="pt-PT"/>
        </w:rPr>
        <w:t>)</w:t>
      </w:r>
      <w:r w:rsidR="00976100" w:rsidRPr="00B336B7">
        <w:rPr>
          <w:rFonts w:ascii="Times New Roman" w:hAnsi="Times New Roman" w:cs="Times New Roman"/>
          <w:sz w:val="24"/>
          <w:szCs w:val="24"/>
          <w:vertAlign w:val="subscript"/>
          <w:lang w:val="pt-PT"/>
        </w:rPr>
        <w:t>9</w:t>
      </w:r>
      <w:r w:rsidR="00976100" w:rsidRPr="00B336B7">
        <w:rPr>
          <w:rFonts w:ascii="Times New Roman" w:hAnsi="Times New Roman" w:cs="Times New Roman"/>
          <w:sz w:val="24"/>
          <w:szCs w:val="24"/>
          <w:lang w:val="pt-PT"/>
        </w:rPr>
        <w:t>- (3.32 mg CALB / g)</w:t>
      </w:r>
      <w:r w:rsidR="00B05391" w:rsidRPr="00B336B7">
        <w:rPr>
          <w:rFonts w:ascii="Times New Roman" w:hAnsi="Times New Roman" w:cs="Times New Roman"/>
          <w:sz w:val="24"/>
          <w:szCs w:val="24"/>
          <w:lang w:val="pt-PT"/>
        </w:rPr>
        <w:t>;</w:t>
      </w:r>
      <w:r w:rsidR="00976100" w:rsidRPr="00B336B7">
        <w:rPr>
          <w:rFonts w:ascii="Times New Roman" w:hAnsi="Times New Roman" w:cs="Times New Roman"/>
          <w:sz w:val="24"/>
          <w:szCs w:val="24"/>
          <w:lang w:val="pt-PT"/>
        </w:rPr>
        <w:t xml:space="preserve"> IV. R</w:t>
      </w:r>
      <w:r w:rsidR="00976100" w:rsidRPr="00B336B7">
        <w:rPr>
          <w:rFonts w:ascii="Times New Roman" w:hAnsi="Times New Roman" w:cs="Times New Roman"/>
          <w:sz w:val="24"/>
          <w:szCs w:val="24"/>
          <w:vertAlign w:val="subscript"/>
          <w:lang w:val="pt-PT"/>
        </w:rPr>
        <w:t>1</w:t>
      </w:r>
      <w:r w:rsidR="00976100" w:rsidRPr="00B336B7">
        <w:rPr>
          <w:rFonts w:ascii="Times New Roman" w:hAnsi="Times New Roman" w:cs="Times New Roman"/>
          <w:sz w:val="24"/>
          <w:szCs w:val="24"/>
          <w:lang w:val="pt-PT"/>
        </w:rPr>
        <w:t>= H-, R</w:t>
      </w:r>
      <w:r w:rsidR="00976100" w:rsidRPr="00B336B7">
        <w:rPr>
          <w:rFonts w:ascii="Times New Roman" w:hAnsi="Times New Roman" w:cs="Times New Roman"/>
          <w:sz w:val="24"/>
          <w:szCs w:val="24"/>
          <w:vertAlign w:val="subscript"/>
          <w:lang w:val="pt-PT"/>
        </w:rPr>
        <w:t>2</w:t>
      </w:r>
      <w:r w:rsidR="00976100" w:rsidRPr="00B336B7">
        <w:rPr>
          <w:rFonts w:ascii="Times New Roman" w:hAnsi="Times New Roman" w:cs="Times New Roman"/>
          <w:sz w:val="24"/>
          <w:szCs w:val="24"/>
          <w:lang w:val="pt-PT"/>
        </w:rPr>
        <w:t>= CH</w:t>
      </w:r>
      <w:r w:rsidR="00976100" w:rsidRPr="00B336B7">
        <w:rPr>
          <w:rFonts w:ascii="Times New Roman" w:hAnsi="Times New Roman" w:cs="Times New Roman"/>
          <w:sz w:val="24"/>
          <w:szCs w:val="24"/>
          <w:vertAlign w:val="subscript"/>
          <w:lang w:val="pt-PT"/>
        </w:rPr>
        <w:t>3</w:t>
      </w:r>
      <w:r w:rsidR="00976100" w:rsidRPr="00B336B7">
        <w:rPr>
          <w:rFonts w:ascii="Times New Roman" w:hAnsi="Times New Roman" w:cs="Times New Roman"/>
          <w:sz w:val="24"/>
          <w:szCs w:val="24"/>
          <w:lang w:val="pt-PT"/>
        </w:rPr>
        <w:t>- (3.32 mg CALB / g)</w:t>
      </w:r>
      <w:r w:rsidR="00B05391" w:rsidRPr="00B336B7">
        <w:rPr>
          <w:rFonts w:ascii="Times New Roman" w:hAnsi="Times New Roman" w:cs="Times New Roman"/>
          <w:sz w:val="24"/>
          <w:szCs w:val="24"/>
          <w:lang w:val="pt-PT"/>
        </w:rPr>
        <w:t>;</w:t>
      </w:r>
      <w:r w:rsidR="00976100" w:rsidRPr="00B336B7">
        <w:rPr>
          <w:rFonts w:ascii="Times New Roman" w:hAnsi="Times New Roman" w:cs="Times New Roman"/>
          <w:sz w:val="24"/>
          <w:szCs w:val="24"/>
          <w:lang w:val="pt-PT"/>
        </w:rPr>
        <w:t xml:space="preserve"> V.  R</w:t>
      </w:r>
      <w:r w:rsidR="00976100" w:rsidRPr="00B336B7">
        <w:rPr>
          <w:rFonts w:ascii="Times New Roman" w:hAnsi="Times New Roman" w:cs="Times New Roman"/>
          <w:sz w:val="24"/>
          <w:szCs w:val="24"/>
          <w:vertAlign w:val="subscript"/>
          <w:lang w:val="pt-PT"/>
        </w:rPr>
        <w:t>1</w:t>
      </w:r>
      <w:r w:rsidR="00976100" w:rsidRPr="00B336B7">
        <w:rPr>
          <w:rFonts w:ascii="Times New Roman" w:hAnsi="Times New Roman" w:cs="Times New Roman"/>
          <w:sz w:val="24"/>
          <w:szCs w:val="24"/>
          <w:lang w:val="pt-PT"/>
        </w:rPr>
        <w:t>= H-, R</w:t>
      </w:r>
      <w:r w:rsidR="00976100" w:rsidRPr="00B336B7">
        <w:rPr>
          <w:rFonts w:ascii="Times New Roman" w:hAnsi="Times New Roman" w:cs="Times New Roman"/>
          <w:sz w:val="24"/>
          <w:szCs w:val="24"/>
          <w:vertAlign w:val="subscript"/>
          <w:lang w:val="pt-PT"/>
        </w:rPr>
        <w:t>2</w:t>
      </w:r>
      <w:r w:rsidR="00976100" w:rsidRPr="00B336B7">
        <w:rPr>
          <w:rFonts w:ascii="Times New Roman" w:hAnsi="Times New Roman" w:cs="Times New Roman"/>
          <w:sz w:val="24"/>
          <w:szCs w:val="24"/>
          <w:lang w:val="pt-PT"/>
        </w:rPr>
        <w:t>= CH</w:t>
      </w:r>
      <w:r w:rsidR="00976100" w:rsidRPr="00B336B7">
        <w:rPr>
          <w:rFonts w:ascii="Times New Roman" w:hAnsi="Times New Roman" w:cs="Times New Roman"/>
          <w:sz w:val="24"/>
          <w:szCs w:val="24"/>
          <w:vertAlign w:val="subscript"/>
          <w:lang w:val="pt-PT"/>
        </w:rPr>
        <w:t>3</w:t>
      </w:r>
      <w:r w:rsidR="00976100" w:rsidRPr="00B336B7">
        <w:rPr>
          <w:rFonts w:ascii="Times New Roman" w:hAnsi="Times New Roman" w:cs="Times New Roman"/>
          <w:sz w:val="24"/>
          <w:szCs w:val="24"/>
          <w:lang w:val="pt-PT"/>
        </w:rPr>
        <w:t>(CH</w:t>
      </w:r>
      <w:r w:rsidR="00976100" w:rsidRPr="00B336B7">
        <w:rPr>
          <w:rFonts w:ascii="Times New Roman" w:hAnsi="Times New Roman" w:cs="Times New Roman"/>
          <w:sz w:val="24"/>
          <w:szCs w:val="24"/>
          <w:vertAlign w:val="subscript"/>
          <w:lang w:val="pt-PT"/>
        </w:rPr>
        <w:t>2</w:t>
      </w:r>
      <w:r w:rsidR="00976100" w:rsidRPr="00B336B7">
        <w:rPr>
          <w:rFonts w:ascii="Times New Roman" w:hAnsi="Times New Roman" w:cs="Times New Roman"/>
          <w:sz w:val="24"/>
          <w:szCs w:val="24"/>
          <w:lang w:val="pt-PT"/>
        </w:rPr>
        <w:t>)</w:t>
      </w:r>
      <w:r w:rsidR="00976100" w:rsidRPr="00B336B7">
        <w:rPr>
          <w:rFonts w:ascii="Times New Roman" w:hAnsi="Times New Roman" w:cs="Times New Roman"/>
          <w:sz w:val="24"/>
          <w:szCs w:val="24"/>
          <w:vertAlign w:val="subscript"/>
          <w:lang w:val="pt-PT"/>
        </w:rPr>
        <w:t>3</w:t>
      </w:r>
      <w:r w:rsidR="00976100" w:rsidRPr="00B336B7">
        <w:rPr>
          <w:rFonts w:ascii="Times New Roman" w:hAnsi="Times New Roman" w:cs="Times New Roman"/>
          <w:sz w:val="24"/>
          <w:szCs w:val="24"/>
          <w:lang w:val="pt-PT"/>
        </w:rPr>
        <w:t>- (3.10 mg CALB / g)</w:t>
      </w:r>
      <w:r w:rsidR="00B05391" w:rsidRPr="00B336B7">
        <w:rPr>
          <w:rFonts w:ascii="Times New Roman" w:hAnsi="Times New Roman" w:cs="Times New Roman"/>
          <w:sz w:val="24"/>
          <w:szCs w:val="24"/>
          <w:lang w:val="pt-PT"/>
        </w:rPr>
        <w:t>;</w:t>
      </w:r>
      <w:r w:rsidR="00976100" w:rsidRPr="00B336B7">
        <w:rPr>
          <w:rFonts w:ascii="Times New Roman" w:hAnsi="Times New Roman" w:cs="Times New Roman"/>
          <w:sz w:val="24"/>
          <w:szCs w:val="24"/>
          <w:lang w:val="pt-PT"/>
        </w:rPr>
        <w:t xml:space="preserve"> VI. </w:t>
      </w:r>
      <w:r w:rsidR="00976100" w:rsidRPr="00B336B7">
        <w:rPr>
          <w:rFonts w:ascii="Times New Roman" w:hAnsi="Times New Roman" w:cs="Times New Roman"/>
          <w:sz w:val="24"/>
          <w:szCs w:val="24"/>
        </w:rPr>
        <w:t>R</w:t>
      </w:r>
      <w:r w:rsidR="00976100" w:rsidRPr="00B336B7">
        <w:rPr>
          <w:rFonts w:ascii="Times New Roman" w:hAnsi="Times New Roman" w:cs="Times New Roman"/>
          <w:sz w:val="24"/>
          <w:szCs w:val="24"/>
          <w:vertAlign w:val="subscript"/>
        </w:rPr>
        <w:t>1</w:t>
      </w:r>
      <w:r w:rsidR="00976100" w:rsidRPr="00B336B7">
        <w:rPr>
          <w:rFonts w:ascii="Times New Roman" w:hAnsi="Times New Roman" w:cs="Times New Roman"/>
          <w:sz w:val="24"/>
          <w:szCs w:val="24"/>
        </w:rPr>
        <w:t>= CH</w:t>
      </w:r>
      <w:r w:rsidR="00976100" w:rsidRPr="00B336B7">
        <w:rPr>
          <w:rFonts w:ascii="Times New Roman" w:hAnsi="Times New Roman" w:cs="Times New Roman"/>
          <w:sz w:val="24"/>
          <w:szCs w:val="24"/>
          <w:vertAlign w:val="subscript"/>
        </w:rPr>
        <w:t>3</w:t>
      </w:r>
      <w:r w:rsidR="00976100" w:rsidRPr="00B336B7">
        <w:rPr>
          <w:rFonts w:ascii="Times New Roman" w:hAnsi="Times New Roman" w:cs="Times New Roman"/>
          <w:sz w:val="24"/>
          <w:szCs w:val="24"/>
        </w:rPr>
        <w:t>-, R</w:t>
      </w:r>
      <w:r w:rsidR="00976100" w:rsidRPr="00B336B7">
        <w:rPr>
          <w:rFonts w:ascii="Times New Roman" w:hAnsi="Times New Roman" w:cs="Times New Roman"/>
          <w:sz w:val="24"/>
          <w:szCs w:val="24"/>
          <w:vertAlign w:val="subscript"/>
        </w:rPr>
        <w:t>2</w:t>
      </w:r>
      <w:r w:rsidR="00976100" w:rsidRPr="00B336B7">
        <w:rPr>
          <w:rFonts w:ascii="Times New Roman" w:hAnsi="Times New Roman" w:cs="Times New Roman"/>
          <w:sz w:val="24"/>
          <w:szCs w:val="24"/>
        </w:rPr>
        <w:t>= CH</w:t>
      </w:r>
      <w:r w:rsidR="00976100" w:rsidRPr="00B336B7">
        <w:rPr>
          <w:rFonts w:ascii="Times New Roman" w:hAnsi="Times New Roman" w:cs="Times New Roman"/>
          <w:sz w:val="24"/>
          <w:szCs w:val="24"/>
          <w:vertAlign w:val="subscript"/>
        </w:rPr>
        <w:t>3</w:t>
      </w:r>
      <w:r w:rsidR="00976100" w:rsidRPr="00B336B7">
        <w:rPr>
          <w:rFonts w:ascii="Times New Roman" w:hAnsi="Times New Roman" w:cs="Times New Roman"/>
          <w:sz w:val="24"/>
          <w:szCs w:val="24"/>
        </w:rPr>
        <w:t>(CH</w:t>
      </w:r>
      <w:r w:rsidR="00976100" w:rsidRPr="00B336B7">
        <w:rPr>
          <w:rFonts w:ascii="Times New Roman" w:hAnsi="Times New Roman" w:cs="Times New Roman"/>
          <w:sz w:val="24"/>
          <w:szCs w:val="24"/>
          <w:vertAlign w:val="subscript"/>
        </w:rPr>
        <w:t>2</w:t>
      </w:r>
      <w:r w:rsidR="00976100" w:rsidRPr="00B336B7">
        <w:rPr>
          <w:rFonts w:ascii="Times New Roman" w:hAnsi="Times New Roman" w:cs="Times New Roman"/>
          <w:sz w:val="24"/>
          <w:szCs w:val="24"/>
        </w:rPr>
        <w:t>)</w:t>
      </w:r>
      <w:r w:rsidR="00976100" w:rsidRPr="00B336B7">
        <w:rPr>
          <w:rFonts w:ascii="Times New Roman" w:hAnsi="Times New Roman" w:cs="Times New Roman"/>
          <w:sz w:val="24"/>
          <w:szCs w:val="24"/>
          <w:vertAlign w:val="subscript"/>
        </w:rPr>
        <w:t>9</w:t>
      </w:r>
      <w:r w:rsidR="00976100" w:rsidRPr="00B336B7">
        <w:rPr>
          <w:rFonts w:ascii="Times New Roman" w:hAnsi="Times New Roman" w:cs="Times New Roman"/>
          <w:sz w:val="24"/>
          <w:szCs w:val="24"/>
        </w:rPr>
        <w:t>- (3.69 mg CALB / g)</w:t>
      </w:r>
      <w:r w:rsidR="00B05391" w:rsidRPr="00B336B7">
        <w:rPr>
          <w:rFonts w:ascii="Times New Roman" w:hAnsi="Times New Roman" w:cs="Times New Roman"/>
          <w:sz w:val="24"/>
          <w:szCs w:val="24"/>
        </w:rPr>
        <w:t>).</w:t>
      </w:r>
    </w:p>
    <w:bookmarkEnd w:id="5"/>
    <w:p w14:paraId="47B59BD6" w14:textId="7E2698AC" w:rsidR="00563965" w:rsidRPr="004D2D96" w:rsidRDefault="00563965" w:rsidP="0024391E">
      <w:pPr>
        <w:spacing w:after="0" w:line="480" w:lineRule="auto"/>
        <w:jc w:val="both"/>
        <w:rPr>
          <w:rFonts w:ascii="Times New Roman" w:hAnsi="Times New Roman" w:cs="Times New Roman"/>
          <w:b/>
          <w:bCs/>
          <w:i/>
          <w:iCs/>
          <w:sz w:val="24"/>
          <w:szCs w:val="24"/>
        </w:rPr>
      </w:pPr>
      <w:r w:rsidRPr="004D2D96">
        <w:rPr>
          <w:rFonts w:ascii="Times New Roman" w:hAnsi="Times New Roman" w:cs="Times New Roman"/>
          <w:b/>
          <w:bCs/>
          <w:i/>
          <w:iCs/>
          <w:sz w:val="24"/>
          <w:szCs w:val="24"/>
        </w:rPr>
        <w:t xml:space="preserve">Synthesis of DGF </w:t>
      </w:r>
      <w:r w:rsidR="006B6362" w:rsidRPr="004D2D96">
        <w:rPr>
          <w:rFonts w:ascii="Times New Roman" w:hAnsi="Times New Roman" w:cs="Times New Roman"/>
          <w:b/>
          <w:bCs/>
          <w:i/>
          <w:iCs/>
          <w:sz w:val="24"/>
          <w:szCs w:val="24"/>
        </w:rPr>
        <w:t xml:space="preserve">catalyzed by immobilized catalyst </w:t>
      </w:r>
      <w:r w:rsidR="00E44371" w:rsidRPr="004D2D96">
        <w:rPr>
          <w:rFonts w:ascii="Times New Roman" w:hAnsi="Times New Roman" w:cs="Times New Roman"/>
          <w:b/>
          <w:bCs/>
          <w:i/>
          <w:iCs/>
          <w:sz w:val="24"/>
          <w:szCs w:val="24"/>
        </w:rPr>
        <w:t>based on SILLPs</w:t>
      </w:r>
    </w:p>
    <w:p w14:paraId="1D283CFB" w14:textId="4D4E1C3E" w:rsidR="00563965" w:rsidRDefault="00563965" w:rsidP="009E6A66">
      <w:pPr>
        <w:spacing w:after="120" w:line="480" w:lineRule="auto"/>
        <w:jc w:val="both"/>
        <w:rPr>
          <w:rFonts w:ascii="Times New Roman" w:hAnsi="Times New Roman" w:cs="Times New Roman"/>
          <w:sz w:val="24"/>
          <w:szCs w:val="24"/>
        </w:rPr>
      </w:pPr>
      <w:r>
        <w:rPr>
          <w:rFonts w:ascii="Times New Roman" w:hAnsi="Times New Roman" w:cs="Times New Roman"/>
          <w:sz w:val="24"/>
          <w:szCs w:val="24"/>
        </w:rPr>
        <w:t xml:space="preserve">100 mg of dry catalyst and 50 mg of activated molecular </w:t>
      </w:r>
      <w:r w:rsidRPr="00F45673">
        <w:rPr>
          <w:rFonts w:ascii="Times New Roman" w:hAnsi="Times New Roman" w:cs="Times New Roman"/>
          <w:sz w:val="24"/>
          <w:szCs w:val="24"/>
        </w:rPr>
        <w:t>sieve</w:t>
      </w:r>
      <w:r w:rsidR="003C28C7">
        <w:rPr>
          <w:rFonts w:ascii="Times New Roman" w:hAnsi="Times New Roman" w:cs="Times New Roman"/>
          <w:sz w:val="24"/>
          <w:szCs w:val="24"/>
        </w:rPr>
        <w:t>s</w:t>
      </w:r>
      <w:r w:rsidRPr="00F45673">
        <w:rPr>
          <w:rFonts w:ascii="Times New Roman" w:hAnsi="Times New Roman" w:cs="Times New Roman"/>
          <w:sz w:val="24"/>
          <w:szCs w:val="24"/>
        </w:rPr>
        <w:t xml:space="preserve"> (4Å)</w:t>
      </w:r>
      <w:r>
        <w:rPr>
          <w:rFonts w:ascii="Times New Roman" w:hAnsi="Times New Roman" w:cs="Times New Roman"/>
          <w:sz w:val="24"/>
          <w:szCs w:val="24"/>
        </w:rPr>
        <w:t xml:space="preserve"> were suspended in a solution of 100 mg of FDME (0.54 mmol) in 1</w:t>
      </w:r>
      <w:r w:rsidR="003C28C7">
        <w:rPr>
          <w:rFonts w:ascii="Times New Roman" w:hAnsi="Times New Roman" w:cs="Times New Roman"/>
          <w:sz w:val="24"/>
          <w:szCs w:val="24"/>
        </w:rPr>
        <w:t>.0</w:t>
      </w:r>
      <w:r>
        <w:rPr>
          <w:rFonts w:ascii="Times New Roman" w:hAnsi="Times New Roman" w:cs="Times New Roman"/>
          <w:sz w:val="24"/>
          <w:szCs w:val="24"/>
        </w:rPr>
        <w:t xml:space="preserve"> mL of 2-MeTHF. </w:t>
      </w:r>
      <w:r w:rsidRPr="00F7018F">
        <w:rPr>
          <w:rFonts w:ascii="Times New Roman" w:hAnsi="Times New Roman" w:cs="Times New Roman"/>
          <w:sz w:val="24"/>
          <w:szCs w:val="24"/>
        </w:rPr>
        <w:t xml:space="preserve">The mixture was stirred at </w:t>
      </w:r>
      <w:r>
        <w:rPr>
          <w:rFonts w:ascii="Times New Roman" w:hAnsi="Times New Roman" w:cs="Times New Roman"/>
          <w:sz w:val="24"/>
          <w:szCs w:val="24"/>
        </w:rPr>
        <w:t>60 º</w:t>
      </w:r>
      <w:r w:rsidRPr="00F7018F">
        <w:rPr>
          <w:rFonts w:ascii="Times New Roman" w:hAnsi="Times New Roman" w:cs="Times New Roman"/>
          <w:sz w:val="24"/>
          <w:szCs w:val="24"/>
        </w:rPr>
        <w:t xml:space="preserve">C </w:t>
      </w:r>
      <w:r>
        <w:rPr>
          <w:rFonts w:ascii="Times New Roman" w:hAnsi="Times New Roman" w:cs="Times New Roman"/>
          <w:sz w:val="24"/>
          <w:szCs w:val="24"/>
        </w:rPr>
        <w:t xml:space="preserve">and 88 µL of glycidol (1.32 mmol) </w:t>
      </w:r>
      <w:r w:rsidR="003C28C7">
        <w:rPr>
          <w:rFonts w:ascii="Times New Roman" w:hAnsi="Times New Roman" w:cs="Times New Roman"/>
          <w:sz w:val="24"/>
          <w:szCs w:val="24"/>
        </w:rPr>
        <w:t xml:space="preserve">were </w:t>
      </w:r>
      <w:r>
        <w:rPr>
          <w:rFonts w:ascii="Times New Roman" w:hAnsi="Times New Roman" w:cs="Times New Roman"/>
          <w:sz w:val="24"/>
          <w:szCs w:val="24"/>
        </w:rPr>
        <w:t>added. Then, the mixture was heated for 6 hours</w:t>
      </w:r>
      <w:r w:rsidRPr="00193E61">
        <w:rPr>
          <w:rFonts w:ascii="Times New Roman" w:hAnsi="Times New Roman" w:cs="Times New Roman"/>
          <w:sz w:val="24"/>
          <w:szCs w:val="24"/>
        </w:rPr>
        <w:t xml:space="preserve"> </w:t>
      </w:r>
      <w:r>
        <w:rPr>
          <w:rFonts w:ascii="Times New Roman" w:hAnsi="Times New Roman" w:cs="Times New Roman"/>
          <w:sz w:val="24"/>
          <w:szCs w:val="24"/>
        </w:rPr>
        <w:t xml:space="preserve">Finally, the mixture reaction was </w:t>
      </w:r>
      <w:r w:rsidR="003C28C7">
        <w:rPr>
          <w:rFonts w:ascii="Times New Roman" w:hAnsi="Times New Roman" w:cs="Times New Roman"/>
          <w:sz w:val="24"/>
          <w:szCs w:val="24"/>
        </w:rPr>
        <w:t>filtered</w:t>
      </w:r>
      <w:r>
        <w:rPr>
          <w:rFonts w:ascii="Times New Roman" w:hAnsi="Times New Roman" w:cs="Times New Roman"/>
          <w:sz w:val="24"/>
          <w:szCs w:val="24"/>
        </w:rPr>
        <w:t xml:space="preserve"> and the solvent </w:t>
      </w:r>
      <w:r w:rsidRPr="00193E61">
        <w:rPr>
          <w:rFonts w:ascii="Times New Roman" w:hAnsi="Times New Roman" w:cs="Times New Roman"/>
          <w:sz w:val="24"/>
          <w:szCs w:val="24"/>
        </w:rPr>
        <w:t>was removed under reduced pressure. The product obtained was dried in a vacuum pump.</w:t>
      </w:r>
    </w:p>
    <w:p w14:paraId="435A7705" w14:textId="72BAED29" w:rsidR="00A505AF" w:rsidRPr="00C925A5" w:rsidRDefault="00A505AF">
      <w:pPr>
        <w:spacing w:after="160" w:line="259" w:lineRule="auto"/>
        <w:rPr>
          <w:rFonts w:ascii="Times New Roman" w:hAnsi="Times New Roman" w:cs="Times New Roman"/>
          <w:sz w:val="24"/>
          <w:szCs w:val="24"/>
        </w:rPr>
      </w:pPr>
      <w:r w:rsidRPr="00C925A5">
        <w:rPr>
          <w:rFonts w:ascii="Times New Roman" w:hAnsi="Times New Roman" w:cs="Times New Roman"/>
          <w:sz w:val="24"/>
          <w:szCs w:val="24"/>
        </w:rPr>
        <w:br w:type="page"/>
      </w:r>
    </w:p>
    <w:p w14:paraId="47AA31A3" w14:textId="6B93D5A8" w:rsidR="005158F6" w:rsidRPr="00A505AF" w:rsidRDefault="005158F6" w:rsidP="00370B37">
      <w:pPr>
        <w:spacing w:line="480" w:lineRule="auto"/>
        <w:jc w:val="both"/>
        <w:rPr>
          <w:rFonts w:ascii="Times New Roman" w:hAnsi="Times New Roman" w:cs="Times New Roman"/>
          <w:b/>
          <w:bCs/>
          <w:sz w:val="28"/>
          <w:szCs w:val="28"/>
        </w:rPr>
      </w:pPr>
      <w:r w:rsidRPr="00A505AF">
        <w:rPr>
          <w:rFonts w:ascii="Times New Roman" w:hAnsi="Times New Roman" w:cs="Times New Roman"/>
          <w:b/>
          <w:bCs/>
          <w:sz w:val="28"/>
          <w:szCs w:val="28"/>
        </w:rPr>
        <w:t>Results &amp; discussion</w:t>
      </w:r>
    </w:p>
    <w:p w14:paraId="16A0DE5B" w14:textId="01A07079" w:rsidR="00EF63B0" w:rsidRPr="00A505AF" w:rsidRDefault="00EF63B0" w:rsidP="004D2D96">
      <w:pPr>
        <w:spacing w:after="0" w:line="480" w:lineRule="auto"/>
        <w:jc w:val="both"/>
        <w:rPr>
          <w:rFonts w:ascii="Times New Roman" w:hAnsi="Times New Roman" w:cs="Times New Roman"/>
          <w:b/>
          <w:bCs/>
          <w:i/>
          <w:iCs/>
          <w:sz w:val="24"/>
          <w:szCs w:val="24"/>
        </w:rPr>
      </w:pPr>
      <w:bookmarkStart w:id="6" w:name="_Hlk164179006"/>
      <w:r w:rsidRPr="00A505AF">
        <w:rPr>
          <w:rFonts w:ascii="Times New Roman" w:hAnsi="Times New Roman" w:cs="Times New Roman"/>
          <w:b/>
          <w:bCs/>
          <w:i/>
          <w:iCs/>
          <w:sz w:val="24"/>
          <w:szCs w:val="24"/>
        </w:rPr>
        <w:t xml:space="preserve">DGF synthesis via homogenous catalysis </w:t>
      </w:r>
    </w:p>
    <w:p w14:paraId="4E7287C7" w14:textId="0F1A7855" w:rsidR="00115D5D" w:rsidRDefault="000E2584" w:rsidP="004D2D96">
      <w:pPr>
        <w:spacing w:after="0" w:line="480" w:lineRule="auto"/>
        <w:jc w:val="both"/>
        <w:rPr>
          <w:rFonts w:ascii="Times New Roman" w:hAnsi="Times New Roman" w:cs="Times New Roman"/>
          <w:sz w:val="24"/>
          <w:szCs w:val="24"/>
        </w:rPr>
      </w:pPr>
      <w:r>
        <w:rPr>
          <w:rFonts w:ascii="Times New Roman" w:hAnsi="Times New Roman" w:cs="Times New Roman"/>
          <w:sz w:val="24"/>
          <w:szCs w:val="24"/>
        </w:rPr>
        <w:t>T</w:t>
      </w:r>
      <w:r w:rsidR="00B80890">
        <w:rPr>
          <w:rFonts w:ascii="Times New Roman" w:hAnsi="Times New Roman" w:cs="Times New Roman"/>
          <w:sz w:val="24"/>
          <w:szCs w:val="24"/>
        </w:rPr>
        <w:t>he s</w:t>
      </w:r>
      <w:r w:rsidR="00B80890" w:rsidRPr="00B80890">
        <w:rPr>
          <w:rFonts w:ascii="Times New Roman" w:hAnsi="Times New Roman" w:cs="Times New Roman"/>
          <w:sz w:val="24"/>
          <w:szCs w:val="24"/>
        </w:rPr>
        <w:t xml:space="preserve">ynthesis of </w:t>
      </w:r>
      <w:r w:rsidR="003C28C7">
        <w:rPr>
          <w:rFonts w:ascii="Times New Roman" w:hAnsi="Times New Roman" w:cs="Times New Roman"/>
          <w:sz w:val="24"/>
          <w:szCs w:val="24"/>
        </w:rPr>
        <w:t xml:space="preserve">the </w:t>
      </w:r>
      <w:r w:rsidR="00B80890" w:rsidRPr="00B80890">
        <w:rPr>
          <w:rFonts w:ascii="Times New Roman" w:hAnsi="Times New Roman" w:cs="Times New Roman"/>
          <w:sz w:val="24"/>
          <w:szCs w:val="24"/>
        </w:rPr>
        <w:t xml:space="preserve">diglycidyl ester of 2,5-furandicarboxylic acid (DGF) </w:t>
      </w:r>
      <w:r w:rsidR="00B80890">
        <w:rPr>
          <w:rFonts w:ascii="Times New Roman" w:hAnsi="Times New Roman" w:cs="Times New Roman"/>
          <w:sz w:val="24"/>
          <w:szCs w:val="24"/>
        </w:rPr>
        <w:t xml:space="preserve">was </w:t>
      </w:r>
      <w:r>
        <w:rPr>
          <w:rFonts w:ascii="Times New Roman" w:hAnsi="Times New Roman" w:cs="Times New Roman"/>
          <w:sz w:val="24"/>
          <w:szCs w:val="24"/>
        </w:rPr>
        <w:t xml:space="preserve">firstly </w:t>
      </w:r>
      <w:r w:rsidR="00B80890">
        <w:rPr>
          <w:rFonts w:ascii="Times New Roman" w:hAnsi="Times New Roman" w:cs="Times New Roman"/>
          <w:sz w:val="24"/>
          <w:szCs w:val="24"/>
        </w:rPr>
        <w:t xml:space="preserve">investigated </w:t>
      </w:r>
      <w:r w:rsidR="00E865F3">
        <w:rPr>
          <w:rFonts w:ascii="Times New Roman" w:hAnsi="Times New Roman" w:cs="Times New Roman"/>
          <w:sz w:val="24"/>
          <w:szCs w:val="24"/>
        </w:rPr>
        <w:t xml:space="preserve">employing </w:t>
      </w:r>
      <w:r w:rsidR="00FC2788">
        <w:rPr>
          <w:rFonts w:ascii="Times New Roman" w:hAnsi="Times New Roman" w:cs="Times New Roman"/>
          <w:sz w:val="24"/>
          <w:szCs w:val="24"/>
        </w:rPr>
        <w:t>a</w:t>
      </w:r>
      <w:r w:rsidR="00B80890" w:rsidRPr="00B80890">
        <w:rPr>
          <w:rFonts w:ascii="Times New Roman" w:hAnsi="Times New Roman" w:cs="Times New Roman"/>
          <w:sz w:val="24"/>
          <w:szCs w:val="24"/>
        </w:rPr>
        <w:t xml:space="preserve"> homogenous catalysis</w:t>
      </w:r>
      <w:r w:rsidR="00B80890">
        <w:rPr>
          <w:rFonts w:ascii="Times New Roman" w:hAnsi="Times New Roman" w:cs="Times New Roman"/>
          <w:sz w:val="24"/>
          <w:szCs w:val="24"/>
        </w:rPr>
        <w:t>. In</w:t>
      </w:r>
      <w:r w:rsidR="00A23658" w:rsidRPr="00A505AF">
        <w:rPr>
          <w:rFonts w:ascii="Times New Roman" w:hAnsi="Times New Roman" w:cs="Times New Roman"/>
          <w:sz w:val="24"/>
          <w:szCs w:val="24"/>
        </w:rPr>
        <w:t xml:space="preserve"> a typical reaction </w:t>
      </w:r>
      <w:r w:rsidR="000669EB" w:rsidRPr="00A505AF">
        <w:rPr>
          <w:rFonts w:ascii="Times New Roman" w:hAnsi="Times New Roman" w:cs="Times New Roman"/>
          <w:sz w:val="24"/>
          <w:szCs w:val="24"/>
        </w:rPr>
        <w:t xml:space="preserve">FDME, synthesized </w:t>
      </w:r>
      <w:r w:rsidR="00B80890">
        <w:rPr>
          <w:rFonts w:ascii="Times New Roman" w:hAnsi="Times New Roman" w:cs="Times New Roman"/>
          <w:sz w:val="24"/>
          <w:szCs w:val="24"/>
        </w:rPr>
        <w:t xml:space="preserve">according to </w:t>
      </w:r>
      <w:r w:rsidR="000669EB" w:rsidRPr="00A505AF">
        <w:rPr>
          <w:rFonts w:ascii="Times New Roman" w:hAnsi="Times New Roman" w:cs="Times New Roman"/>
          <w:sz w:val="24"/>
          <w:szCs w:val="24"/>
        </w:rPr>
        <w:t>previously reported procedure</w:t>
      </w:r>
      <w:r w:rsidR="00346CAF" w:rsidRPr="00A505AF">
        <w:rPr>
          <w:rFonts w:ascii="Times New Roman" w:hAnsi="Times New Roman" w:cs="Times New Roman"/>
          <w:sz w:val="24"/>
          <w:szCs w:val="24"/>
        </w:rPr>
        <w:t>s</w:t>
      </w:r>
      <w:r w:rsidR="00BF3014">
        <w:rPr>
          <w:rFonts w:ascii="Times New Roman" w:hAnsi="Times New Roman" w:cs="Times New Roman"/>
          <w:sz w:val="24"/>
          <w:szCs w:val="24"/>
        </w:rPr>
        <w:t xml:space="preserve"> </w:t>
      </w:r>
      <w:r w:rsidR="00DD0468">
        <w:rPr>
          <w:rFonts w:ascii="Times New Roman" w:hAnsi="Times New Roman" w:cs="Times New Roman"/>
          <w:sz w:val="24"/>
          <w:szCs w:val="24"/>
        </w:rPr>
        <w:fldChar w:fldCharType="begin"/>
      </w:r>
      <w:r w:rsidR="00AB279D">
        <w:rPr>
          <w:rFonts w:ascii="Times New Roman" w:hAnsi="Times New Roman" w:cs="Times New Roman"/>
          <w:sz w:val="24"/>
          <w:szCs w:val="24"/>
        </w:rPr>
        <w:instrText xml:space="preserve"> ADDIN ZOTERO_ITEM CSL_CITATION {"citationID":"IDJloLGe","properties":{"formattedCitation":"(Trapasso et al., 2023, 2022)","plainCitation":"(Trapasso et al., 2023, 2022)","noteIndex":0},"citationItems":[{"id":173,"uris":["http://zotero.org/users/11450443/items/ELQBQ4GF"],"itemData":{"id":173,"type":"article-journal","abstract":"2,5-furandicarboxylic acid (FDCA) is one of the most studied bio-based monomers, being considered the best substitute for fossil-derived terephthalic acid in plastic production. FDCA is employed in the preparation of polyethylene furanoate (PEF), demonstrating superior mechanical and thermal proprieties compared to the widely used polyethylene terephthalate (PET). Nevertheless, FDCA synthesis mostly relies on the oxidation of the bio-based platform chemical hydroxymethyl furfural (HMF), whose notoriously instable nature renders FDCA yield and industrial scale-up production complicated. On the contrary, FDCA esters are less studied, even though they have greater solubility in organic media, which would favor their isolation and potential application as monomers for PEF. On these premises, we report herein an alternative green synthetic approach to FDCA methyl ester (FDME) using galactaric acid as the substrate, dimethyl carbonate (DMC) as the green media, and Fe2(SO4)3 as the heterogeneous Lewis acid. Optimization of the reaction conditions allowed the selective production of FDME in a 70% isolated yield; product purification was achieved via flash column chromatography over silica. Furthermore, it was possible to employ up to 5.0 g of galactaric acid in a single reaction, leading to a good isolated yield of FDME.","container-title":"Catalysts","DOI":"10.3390/catal13071114","ISSN":"2073-4344","issue":"7","journalAbbreviation":"Catalysts","language":"en","page":"1114","source":"DOI.org (Crossref)","title":"Iron(III) Sulfate-Mediated Synthesis of 2,5-Furandicarboxylic Acid Dimethyl Ester from Galactaric Acid","volume":"13","author":[{"family":"Trapasso","given":"Giacomo"},{"family":"Chícharo","given":"Beatriz"},{"family":"Gherardi","given":"Thomas"},{"family":"Redolfi-Bristol","given":"Davide"},{"family":"Aricò","given":"Fabio"}],"issued":{"date-parts":[["2023",7,17]]}}},{"id":175,"uris":["http://zotero.org/users/11450443/items/EM923WUS"],"itemData":{"id":175,"type":"article-journal","abstract":"A simple procedure for the one-pot synthesis of 2,5-furandicarboxylic acid dimethyl ester (FDME) from galactaric (mucic) acid\n              via\n              dimethyl carbonate (DMC) chemistry is presented. The compound was isolated as a white powder in 70% yield.\n            \n          , \n            \n              A convenient and simple procedure for the one-pot synthesis of 2,5-furandicarboxylic acid dimethyl ester (FDME) from galactaric (mucic) acid\n              via\n              dimethyl carbonate (DMC) chemistry is presented. Optimization of the reaction conditions showed that when galactaric acid was reacted with DMC in the presence of Amberlyst-36 for 2 hours at 200 °C, FDME formed as the main product. The compound was isolated as a pure crystalline powder in 70% yield using a simple custom-made purification protocol. The reaction intermediates of this one-pot procedure were identified and a possible reaction mechanism was proposed.","container-title":"Green Chemistry","DOI":"10.1039/D1GC04408G","ISSN":"1463-9262, 1463-9270","issue":"7","journalAbbreviation":"Green Chem.","language":"en","page":"2766-2771","source":"DOI.org (Crossref)","title":"Synthesis of 2,5-furandicarboxylic acid dimethyl ester from galactaric acid &lt;i&gt;via&lt;/i&gt; dimethyl carbonate chemistry","volume":"24","author":[{"family":"Trapasso","given":"Giacomo"},{"family":"Annatelli","given":"Mattia"},{"family":"Dalla Torre","given":"Davide"},{"family":"Aricò","given":"Fabio"}],"issued":{"date-parts":[["2022"]]}}}],"schema":"https://github.com/citation-style-language/schema/raw/master/csl-citation.json"} </w:instrText>
      </w:r>
      <w:r w:rsidR="00DD0468">
        <w:rPr>
          <w:rFonts w:ascii="Times New Roman" w:hAnsi="Times New Roman" w:cs="Times New Roman"/>
          <w:sz w:val="24"/>
          <w:szCs w:val="24"/>
        </w:rPr>
        <w:fldChar w:fldCharType="separate"/>
      </w:r>
      <w:r w:rsidR="00AB279D" w:rsidRPr="00AB279D">
        <w:rPr>
          <w:rFonts w:ascii="Times New Roman" w:hAnsi="Times New Roman" w:cs="Times New Roman"/>
          <w:sz w:val="24"/>
        </w:rPr>
        <w:t>(Trapasso et al., 2023, 2022)</w:t>
      </w:r>
      <w:r w:rsidR="00DD0468">
        <w:rPr>
          <w:rFonts w:ascii="Times New Roman" w:hAnsi="Times New Roman" w:cs="Times New Roman"/>
          <w:sz w:val="24"/>
          <w:szCs w:val="24"/>
        </w:rPr>
        <w:fldChar w:fldCharType="end"/>
      </w:r>
      <w:r w:rsidR="00BF3014">
        <w:rPr>
          <w:rFonts w:ascii="Times New Roman" w:hAnsi="Times New Roman" w:cs="Times New Roman"/>
          <w:sz w:val="24"/>
          <w:szCs w:val="24"/>
        </w:rPr>
        <w:t>,</w:t>
      </w:r>
      <w:r w:rsidR="00E24D87">
        <w:rPr>
          <w:rFonts w:ascii="Times New Roman" w:hAnsi="Times New Roman" w:cs="Times New Roman"/>
          <w:sz w:val="24"/>
          <w:szCs w:val="24"/>
        </w:rPr>
        <w:t xml:space="preserve"> </w:t>
      </w:r>
      <w:r w:rsidR="000669EB" w:rsidRPr="00A505AF">
        <w:rPr>
          <w:rFonts w:ascii="Times New Roman" w:hAnsi="Times New Roman" w:cs="Times New Roman"/>
          <w:sz w:val="24"/>
          <w:szCs w:val="24"/>
        </w:rPr>
        <w:t xml:space="preserve">was reacted with </w:t>
      </w:r>
      <w:r w:rsidR="00B80890">
        <w:rPr>
          <w:rFonts w:ascii="Times New Roman" w:hAnsi="Times New Roman" w:cs="Times New Roman"/>
          <w:sz w:val="24"/>
          <w:szCs w:val="24"/>
        </w:rPr>
        <w:t xml:space="preserve">an excess </w:t>
      </w:r>
      <w:r w:rsidR="000669EB" w:rsidRPr="00A505AF">
        <w:rPr>
          <w:rFonts w:ascii="Times New Roman" w:hAnsi="Times New Roman" w:cs="Times New Roman"/>
          <w:sz w:val="24"/>
          <w:szCs w:val="24"/>
        </w:rPr>
        <w:t xml:space="preserve">of glycidol </w:t>
      </w:r>
      <w:r w:rsidR="00B80890">
        <w:rPr>
          <w:rFonts w:ascii="Times New Roman" w:hAnsi="Times New Roman" w:cs="Times New Roman"/>
          <w:sz w:val="24"/>
          <w:szCs w:val="24"/>
        </w:rPr>
        <w:t>(</w:t>
      </w:r>
      <w:r w:rsidR="00B80890" w:rsidRPr="00A505AF">
        <w:rPr>
          <w:rFonts w:ascii="Times New Roman" w:hAnsi="Times New Roman" w:cs="Times New Roman"/>
          <w:sz w:val="24"/>
          <w:szCs w:val="24"/>
        </w:rPr>
        <w:t>4.0 mol eq.</w:t>
      </w:r>
      <w:r w:rsidR="00B80890">
        <w:rPr>
          <w:rFonts w:ascii="Times New Roman" w:hAnsi="Times New Roman" w:cs="Times New Roman"/>
          <w:sz w:val="24"/>
          <w:szCs w:val="24"/>
        </w:rPr>
        <w:t>)</w:t>
      </w:r>
      <w:r w:rsidR="00B80890" w:rsidRPr="00A505AF">
        <w:rPr>
          <w:rFonts w:ascii="Times New Roman" w:hAnsi="Times New Roman" w:cs="Times New Roman"/>
          <w:sz w:val="24"/>
          <w:szCs w:val="24"/>
        </w:rPr>
        <w:t xml:space="preserve"> </w:t>
      </w:r>
      <w:r w:rsidR="00420BF8">
        <w:rPr>
          <w:rFonts w:ascii="Times New Roman" w:hAnsi="Times New Roman" w:cs="Times New Roman"/>
          <w:sz w:val="24"/>
          <w:szCs w:val="24"/>
        </w:rPr>
        <w:t>in the presence of a</w:t>
      </w:r>
      <w:r w:rsidR="000669EB" w:rsidRPr="00A505AF">
        <w:rPr>
          <w:rFonts w:ascii="Times New Roman" w:hAnsi="Times New Roman" w:cs="Times New Roman"/>
          <w:sz w:val="24"/>
          <w:szCs w:val="24"/>
        </w:rPr>
        <w:t xml:space="preserve"> </w:t>
      </w:r>
      <w:r w:rsidR="00DF444C">
        <w:rPr>
          <w:rFonts w:ascii="Times New Roman" w:hAnsi="Times New Roman" w:cs="Times New Roman"/>
          <w:sz w:val="24"/>
          <w:szCs w:val="24"/>
        </w:rPr>
        <w:t>base</w:t>
      </w:r>
      <w:r w:rsidR="00420BF8">
        <w:rPr>
          <w:rFonts w:ascii="Times New Roman" w:hAnsi="Times New Roman" w:cs="Times New Roman"/>
          <w:sz w:val="24"/>
          <w:szCs w:val="24"/>
        </w:rPr>
        <w:t xml:space="preserve"> (10% mol)</w:t>
      </w:r>
      <w:r w:rsidR="00E54843" w:rsidRPr="00A505AF">
        <w:rPr>
          <w:rFonts w:ascii="Times New Roman" w:hAnsi="Times New Roman" w:cs="Times New Roman"/>
          <w:sz w:val="24"/>
          <w:szCs w:val="24"/>
        </w:rPr>
        <w:t xml:space="preserve"> </w:t>
      </w:r>
      <w:r w:rsidR="00346CAF" w:rsidRPr="00A505AF">
        <w:rPr>
          <w:rFonts w:ascii="Times New Roman" w:hAnsi="Times New Roman" w:cs="Times New Roman"/>
          <w:sz w:val="24"/>
          <w:szCs w:val="24"/>
        </w:rPr>
        <w:t xml:space="preserve">at 60 °C </w:t>
      </w:r>
      <w:r w:rsidR="00DF444C">
        <w:rPr>
          <w:rFonts w:ascii="Times New Roman" w:hAnsi="Times New Roman" w:cs="Times New Roman"/>
          <w:sz w:val="24"/>
          <w:szCs w:val="24"/>
        </w:rPr>
        <w:t>(Table 1)</w:t>
      </w:r>
      <w:r w:rsidR="00420BF8">
        <w:rPr>
          <w:rFonts w:ascii="Times New Roman" w:hAnsi="Times New Roman" w:cs="Times New Roman"/>
          <w:sz w:val="24"/>
          <w:szCs w:val="24"/>
        </w:rPr>
        <w:t xml:space="preserve"> for 2 hours</w:t>
      </w:r>
      <w:bookmarkStart w:id="7" w:name="_Hlk187985159"/>
      <w:r w:rsidR="00E54843" w:rsidRPr="00A505AF">
        <w:rPr>
          <w:rFonts w:ascii="Times New Roman" w:hAnsi="Times New Roman" w:cs="Times New Roman"/>
          <w:sz w:val="24"/>
          <w:szCs w:val="24"/>
        </w:rPr>
        <w:t xml:space="preserve">. </w:t>
      </w:r>
      <w:r w:rsidR="00E44371" w:rsidRPr="00E44371">
        <w:rPr>
          <w:rFonts w:ascii="Times New Roman" w:hAnsi="Times New Roman" w:cs="Times New Roman"/>
          <w:sz w:val="24"/>
          <w:szCs w:val="24"/>
        </w:rPr>
        <w:t>To drive the reaction equilibrium toward the desired product, an N₂ flow was employed to facilitate the removal of methanol</w:t>
      </w:r>
      <w:r w:rsidR="00E865F3">
        <w:rPr>
          <w:rFonts w:ascii="Times New Roman" w:hAnsi="Times New Roman" w:cs="Times New Roman"/>
          <w:sz w:val="24"/>
          <w:szCs w:val="24"/>
        </w:rPr>
        <w:t xml:space="preserve"> forming as by-product of the transesterification</w:t>
      </w:r>
      <w:r w:rsidR="00E44371" w:rsidRPr="00E44371">
        <w:rPr>
          <w:rFonts w:ascii="Times New Roman" w:hAnsi="Times New Roman" w:cs="Times New Roman"/>
          <w:sz w:val="24"/>
          <w:szCs w:val="24"/>
        </w:rPr>
        <w:t>.</w:t>
      </w:r>
    </w:p>
    <w:p w14:paraId="78F73150" w14:textId="2AA5DB17" w:rsidR="00852036" w:rsidRPr="00A505AF" w:rsidRDefault="00115D5D" w:rsidP="00E44371">
      <w:pPr>
        <w:spacing w:line="480" w:lineRule="auto"/>
        <w:jc w:val="both"/>
        <w:rPr>
          <w:rFonts w:ascii="Times New Roman" w:hAnsi="Times New Roman" w:cs="Times New Roman"/>
          <w:sz w:val="24"/>
          <w:szCs w:val="24"/>
        </w:rPr>
      </w:pPr>
      <w:r w:rsidRPr="00115D5D">
        <w:rPr>
          <w:rFonts w:ascii="Times New Roman" w:hAnsi="Times New Roman" w:cs="Times New Roman"/>
          <w:sz w:val="24"/>
          <w:szCs w:val="24"/>
        </w:rPr>
        <w:t>It is important to note that glycidol can easily undergo homo-polymerization even at room temperature, which results in the formation of highly branched polymers</w:t>
      </w:r>
      <w:r w:rsidR="00BF3014">
        <w:rPr>
          <w:rFonts w:ascii="Times New Roman" w:hAnsi="Times New Roman" w:cs="Times New Roman"/>
          <w:sz w:val="24"/>
          <w:szCs w:val="24"/>
        </w:rPr>
        <w:t xml:space="preserve"> </w:t>
      </w:r>
      <w:r w:rsidR="000568C8">
        <w:rPr>
          <w:rFonts w:ascii="Times New Roman" w:hAnsi="Times New Roman" w:cs="Times New Roman"/>
          <w:sz w:val="24"/>
          <w:szCs w:val="24"/>
        </w:rPr>
        <w:fldChar w:fldCharType="begin"/>
      </w:r>
      <w:r w:rsidR="00BF3014">
        <w:rPr>
          <w:rFonts w:ascii="Times New Roman" w:hAnsi="Times New Roman" w:cs="Times New Roman"/>
          <w:sz w:val="24"/>
          <w:szCs w:val="24"/>
        </w:rPr>
        <w:instrText xml:space="preserve"> ADDIN ZOTERO_ITEM CSL_CITATION {"citationID":"tr3uE41h","properties":{"formattedCitation":"(Sandler and Berg, 1966; Trzebicka et al., 2024)","plainCitation":"(Sandler and Berg, 1966; Trzebicka et al., 2024)","noteIndex":0},"citationItems":[{"id":468,"uris":["http://zotero.org/users/11450443/items/Q7E43LKU"],"itemData":{"id":468,"type":"article-journal","abstract":"Abstract\n            Glycidol has been shown to be easily polymerized at room temperature in the presence of triethylamine, pyridine, lithium hydroxide, potassium hydroxide, sodium hydroxide, sodium methoxide, sodium amide, and other catalysts. Its reactivity with these catalysts is vastly greater than that of propylene oxide. Evidence is presented to support the structural assignment for polyglycidol and the mechanism of polymerization.","container-title":"Journal of Polymer Science Part A-1: Polymer Chemistry","DOI":"10.1002/pol.1966.150040523","ISSN":"0449-296X, 1542-9350","issue":"5","journalAbbreviation":"J. Polym. Sci. A‐1 Polym. Chem.","language":"en","license":"http://onlinelibrary.wiley.com/termsAndConditions#vor","page":"1253-1259","source":"DOI.org (Crossref)","title":"Room temperature polymerization of glycidol","volume":"4","author":[{"family":"Sandler","given":"Stanley R."},{"family":"Berg","given":"Florence R."}],"issued":{"date-parts":[["1966",5]]}}},{"id":470,"uris":["http://zotero.org/users/11450443/items/ND39X4ET"],"itemData":{"id":470,"type":"article-journal","DOI":"https://doi.org/10.1002/pat.6418","ISSN":"1042-7147","issue":"5","journalAbbreviation":"Polym Adv Technol.","title":"Ring-opening (co)polymerization strategies of selected oxacyclic monomers to control and provide tailored polymers with desired properties","volume":"35","author":[{"family":"Trzebicka","given":"Barbara"},{"family":"Watach","given":"Wojciech"},{"family":"Kurcok","given":"Piotr"},{"family":"Kowalczuk","given":"Marek"}],"issued":{"date-parts":[["2024"]]}}}],"schema":"https://github.com/citation-style-language/schema/raw/master/csl-citation.json"} </w:instrText>
      </w:r>
      <w:r w:rsidR="000568C8">
        <w:rPr>
          <w:rFonts w:ascii="Times New Roman" w:hAnsi="Times New Roman" w:cs="Times New Roman"/>
          <w:sz w:val="24"/>
          <w:szCs w:val="24"/>
        </w:rPr>
        <w:fldChar w:fldCharType="separate"/>
      </w:r>
      <w:r w:rsidR="00BF3014" w:rsidRPr="00BF3014">
        <w:rPr>
          <w:rFonts w:ascii="Times New Roman" w:hAnsi="Times New Roman" w:cs="Times New Roman"/>
          <w:sz w:val="24"/>
        </w:rPr>
        <w:t>(Sandler and Berg, 1966; Trzebicka et al., 2024)</w:t>
      </w:r>
      <w:r w:rsidR="000568C8">
        <w:rPr>
          <w:rFonts w:ascii="Times New Roman" w:hAnsi="Times New Roman" w:cs="Times New Roman"/>
          <w:sz w:val="24"/>
          <w:szCs w:val="24"/>
        </w:rPr>
        <w:fldChar w:fldCharType="end"/>
      </w:r>
      <w:r w:rsidRPr="00115D5D">
        <w:rPr>
          <w:rFonts w:ascii="Times New Roman" w:hAnsi="Times New Roman" w:cs="Times New Roman"/>
          <w:sz w:val="24"/>
          <w:szCs w:val="24"/>
        </w:rPr>
        <w:t xml:space="preserve">. This tendency underscores the necessity of adding a solvent to the reaction mixture. In this case, we chose to use </w:t>
      </w:r>
      <w:r w:rsidR="009B65DA">
        <w:rPr>
          <w:rFonts w:ascii="Times New Roman" w:hAnsi="Times New Roman" w:cs="Times New Roman"/>
          <w:sz w:val="24"/>
          <w:szCs w:val="24"/>
        </w:rPr>
        <w:t>2-</w:t>
      </w:r>
      <w:r w:rsidRPr="00115D5D">
        <w:rPr>
          <w:rFonts w:ascii="Times New Roman" w:hAnsi="Times New Roman" w:cs="Times New Roman"/>
          <w:sz w:val="24"/>
          <w:szCs w:val="24"/>
        </w:rPr>
        <w:t>MeTHF, since it is considered a green solvent.</w:t>
      </w:r>
      <w:r>
        <w:rPr>
          <w:rFonts w:ascii="Times New Roman" w:hAnsi="Times New Roman" w:cs="Times New Roman"/>
          <w:sz w:val="24"/>
          <w:szCs w:val="24"/>
        </w:rPr>
        <w:t xml:space="preserve"> </w:t>
      </w:r>
    </w:p>
    <w:bookmarkEnd w:id="6"/>
    <w:bookmarkEnd w:id="7"/>
    <w:p w14:paraId="22EA2F1B" w14:textId="2C216327" w:rsidR="00A94F1A" w:rsidRPr="008D70F7" w:rsidRDefault="00A94F1A" w:rsidP="00167739">
      <w:pPr>
        <w:spacing w:line="480" w:lineRule="auto"/>
        <w:jc w:val="both"/>
        <w:rPr>
          <w:rFonts w:ascii="Times New Roman" w:hAnsi="Times New Roman" w:cs="Times New Roman"/>
          <w:sz w:val="18"/>
          <w:szCs w:val="18"/>
        </w:rPr>
      </w:pPr>
      <w:r w:rsidRPr="008D70F7">
        <w:rPr>
          <w:rFonts w:ascii="Times New Roman" w:hAnsi="Times New Roman" w:cs="Times New Roman"/>
          <w:b/>
          <w:bCs/>
          <w:sz w:val="18"/>
          <w:szCs w:val="18"/>
        </w:rPr>
        <w:t xml:space="preserve">Table </w:t>
      </w:r>
      <w:r w:rsidRPr="008D70F7">
        <w:rPr>
          <w:rFonts w:ascii="Times New Roman" w:hAnsi="Times New Roman" w:cs="Times New Roman"/>
          <w:b/>
          <w:bCs/>
          <w:i/>
          <w:iCs/>
          <w:sz w:val="18"/>
          <w:szCs w:val="18"/>
        </w:rPr>
        <w:fldChar w:fldCharType="begin"/>
      </w:r>
      <w:r w:rsidRPr="008D70F7">
        <w:rPr>
          <w:rFonts w:ascii="Times New Roman" w:hAnsi="Times New Roman" w:cs="Times New Roman"/>
          <w:b/>
          <w:bCs/>
          <w:sz w:val="18"/>
          <w:szCs w:val="18"/>
        </w:rPr>
        <w:instrText xml:space="preserve"> SEQ Table \* ARABIC </w:instrText>
      </w:r>
      <w:r w:rsidRPr="008D70F7">
        <w:rPr>
          <w:rFonts w:ascii="Times New Roman" w:hAnsi="Times New Roman" w:cs="Times New Roman"/>
          <w:b/>
          <w:bCs/>
          <w:i/>
          <w:iCs/>
          <w:sz w:val="18"/>
          <w:szCs w:val="18"/>
        </w:rPr>
        <w:fldChar w:fldCharType="separate"/>
      </w:r>
      <w:r w:rsidR="00B820C7">
        <w:rPr>
          <w:rFonts w:ascii="Times New Roman" w:hAnsi="Times New Roman" w:cs="Times New Roman"/>
          <w:b/>
          <w:bCs/>
          <w:noProof/>
          <w:sz w:val="18"/>
          <w:szCs w:val="18"/>
        </w:rPr>
        <w:t>1</w:t>
      </w:r>
      <w:r w:rsidRPr="008D70F7">
        <w:rPr>
          <w:rFonts w:ascii="Times New Roman" w:hAnsi="Times New Roman" w:cs="Times New Roman"/>
          <w:b/>
          <w:bCs/>
          <w:i/>
          <w:iCs/>
          <w:sz w:val="18"/>
          <w:szCs w:val="18"/>
        </w:rPr>
        <w:fldChar w:fldCharType="end"/>
      </w:r>
      <w:r w:rsidRPr="008D70F7">
        <w:rPr>
          <w:rFonts w:ascii="Times New Roman" w:hAnsi="Times New Roman" w:cs="Times New Roman"/>
          <w:b/>
          <w:bCs/>
          <w:sz w:val="18"/>
          <w:szCs w:val="18"/>
        </w:rPr>
        <w:t xml:space="preserve">- </w:t>
      </w:r>
      <w:r w:rsidR="009B65DA" w:rsidRPr="008D70F7">
        <w:rPr>
          <w:rFonts w:ascii="Times New Roman" w:hAnsi="Times New Roman" w:cs="Times New Roman"/>
          <w:sz w:val="18"/>
          <w:szCs w:val="18"/>
        </w:rPr>
        <w:t xml:space="preserve">Catalyst </w:t>
      </w:r>
      <w:r w:rsidRPr="008D70F7">
        <w:rPr>
          <w:rFonts w:ascii="Times New Roman" w:hAnsi="Times New Roman" w:cs="Times New Roman"/>
          <w:sz w:val="18"/>
          <w:szCs w:val="18"/>
        </w:rPr>
        <w:t>screening for the synthesis of DGFDC.</w:t>
      </w:r>
    </w:p>
    <w:p w14:paraId="3FFAA8C3" w14:textId="4E17AA60" w:rsidR="00E24D87" w:rsidRPr="00A505AF" w:rsidRDefault="001834FA" w:rsidP="00BF3014">
      <w:pPr>
        <w:spacing w:after="0" w:line="480" w:lineRule="auto"/>
        <w:jc w:val="both"/>
        <w:rPr>
          <w:rFonts w:ascii="Times New Roman" w:hAnsi="Times New Roman" w:cs="Times New Roman"/>
          <w:i/>
          <w:iCs/>
          <w:sz w:val="18"/>
          <w:szCs w:val="18"/>
        </w:rPr>
      </w:pPr>
      <w:r>
        <w:rPr>
          <w:noProof/>
        </w:rPr>
        <w:object w:dxaOrig="12019" w:dyaOrig="1228" w14:anchorId="7AA9C29C">
          <v:shape id="_x0000_i1029" type="#_x0000_t75" alt="" style="width:467.55pt;height:48.3pt;mso-width-percent:0;mso-height-percent:0;mso-width-percent:0;mso-height-percent:0" o:ole="">
            <v:imagedata r:id="rId16" o:title=""/>
          </v:shape>
          <o:OLEObject Type="Embed" ProgID="ChemDraw.Document.6.0" ShapeID="_x0000_i1029" DrawAspect="Content" ObjectID="_1801981039" r:id="rId17"/>
        </w:object>
      </w:r>
    </w:p>
    <w:tbl>
      <w:tblPr>
        <w:tblStyle w:val="GridTable1Light-Accent31"/>
        <w:tblW w:w="7605" w:type="dxa"/>
        <w:jc w:val="center"/>
        <w:tblLook w:val="04A0" w:firstRow="1" w:lastRow="0" w:firstColumn="1" w:lastColumn="0" w:noHBand="0" w:noVBand="1"/>
      </w:tblPr>
      <w:tblGrid>
        <w:gridCol w:w="421"/>
        <w:gridCol w:w="1093"/>
        <w:gridCol w:w="850"/>
        <w:gridCol w:w="851"/>
        <w:gridCol w:w="1000"/>
        <w:gridCol w:w="1028"/>
        <w:gridCol w:w="1127"/>
        <w:gridCol w:w="1235"/>
      </w:tblGrid>
      <w:tr w:rsidR="00DF444C" w:rsidRPr="00A505AF" w14:paraId="1FE25759" w14:textId="77777777" w:rsidTr="00420BF8">
        <w:trPr>
          <w:cnfStyle w:val="100000000000" w:firstRow="1" w:lastRow="0" w:firstColumn="0" w:lastColumn="0" w:oddVBand="0" w:evenVBand="0" w:oddHBand="0" w:evenHBand="0" w:firstRowFirstColumn="0" w:firstRowLastColumn="0" w:lastRowFirstColumn="0" w:lastRowLastColumn="0"/>
          <w:trHeight w:val="336"/>
          <w:jc w:val="center"/>
        </w:trPr>
        <w:tc>
          <w:tcPr>
            <w:cnfStyle w:val="001000000000" w:firstRow="0" w:lastRow="0" w:firstColumn="1" w:lastColumn="0" w:oddVBand="0" w:evenVBand="0" w:oddHBand="0" w:evenHBand="0" w:firstRowFirstColumn="0" w:firstRowLastColumn="0" w:lastRowFirstColumn="0" w:lastRowLastColumn="0"/>
            <w:tcW w:w="421" w:type="dxa"/>
            <w:vMerge w:val="restart"/>
            <w:tcBorders>
              <w:top w:val="thinThickSmallGap" w:sz="24" w:space="0" w:color="auto"/>
              <w:left w:val="nil"/>
              <w:right w:val="nil"/>
            </w:tcBorders>
            <w:noWrap/>
            <w:vAlign w:val="center"/>
            <w:hideMark/>
          </w:tcPr>
          <w:p w14:paraId="4EA6C52C" w14:textId="77777777" w:rsidR="00DF444C" w:rsidRPr="00DF444C" w:rsidRDefault="00DF444C" w:rsidP="00E24D87">
            <w:pPr>
              <w:spacing w:after="0" w:line="240" w:lineRule="auto"/>
              <w:jc w:val="center"/>
              <w:rPr>
                <w:rFonts w:ascii="Times New Roman" w:eastAsia="Times New Roman" w:hAnsi="Times New Roman" w:cs="Times New Roman"/>
                <w:color w:val="000000"/>
                <w:sz w:val="20"/>
                <w:szCs w:val="20"/>
                <w14:ligatures w14:val="none"/>
              </w:rPr>
            </w:pPr>
            <w:r w:rsidRPr="00DF444C">
              <w:rPr>
                <w:rFonts w:ascii="Times New Roman" w:eastAsia="Times New Roman" w:hAnsi="Times New Roman" w:cs="Times New Roman"/>
                <w:color w:val="000000"/>
                <w:sz w:val="20"/>
                <w:szCs w:val="20"/>
                <w14:ligatures w14:val="none"/>
              </w:rPr>
              <w:t>#</w:t>
            </w:r>
          </w:p>
        </w:tc>
        <w:tc>
          <w:tcPr>
            <w:tcW w:w="1093" w:type="dxa"/>
            <w:vMerge w:val="restart"/>
            <w:tcBorders>
              <w:top w:val="thinThickSmallGap" w:sz="24" w:space="0" w:color="auto"/>
              <w:left w:val="nil"/>
              <w:right w:val="nil"/>
            </w:tcBorders>
            <w:noWrap/>
            <w:vAlign w:val="center"/>
            <w:hideMark/>
          </w:tcPr>
          <w:p w14:paraId="6EE6F808" w14:textId="3D2BB1CB" w:rsidR="00DF444C" w:rsidRPr="00DF444C" w:rsidRDefault="00DF444C" w:rsidP="00E24D87">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0"/>
                <w:szCs w:val="20"/>
                <w14:ligatures w14:val="none"/>
              </w:rPr>
            </w:pPr>
            <w:r w:rsidRPr="00DF444C">
              <w:rPr>
                <w:rFonts w:ascii="Times New Roman" w:eastAsia="Times New Roman" w:hAnsi="Times New Roman" w:cs="Times New Roman"/>
                <w:color w:val="000000"/>
                <w:sz w:val="20"/>
                <w:szCs w:val="20"/>
                <w14:ligatures w14:val="none"/>
              </w:rPr>
              <w:t>Catalyst</w:t>
            </w:r>
          </w:p>
        </w:tc>
        <w:tc>
          <w:tcPr>
            <w:tcW w:w="850" w:type="dxa"/>
            <w:vMerge w:val="restart"/>
            <w:tcBorders>
              <w:top w:val="thinThickSmallGap" w:sz="24" w:space="0" w:color="auto"/>
              <w:left w:val="nil"/>
              <w:right w:val="nil"/>
            </w:tcBorders>
            <w:noWrap/>
            <w:vAlign w:val="center"/>
            <w:hideMark/>
          </w:tcPr>
          <w:p w14:paraId="5CE46F0C" w14:textId="49C0453E" w:rsidR="00DF444C" w:rsidRPr="00DF444C" w:rsidRDefault="00DF444C" w:rsidP="00E24D87">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0"/>
                <w:szCs w:val="20"/>
                <w14:ligatures w14:val="none"/>
              </w:rPr>
            </w:pPr>
            <w:r w:rsidRPr="00DF444C">
              <w:rPr>
                <w:rFonts w:ascii="Times New Roman" w:eastAsia="Times New Roman" w:hAnsi="Times New Roman" w:cs="Times New Roman"/>
                <w:color w:val="000000"/>
                <w:sz w:val="20"/>
                <w:szCs w:val="20"/>
                <w14:ligatures w14:val="none"/>
              </w:rPr>
              <w:t xml:space="preserve">t </w:t>
            </w:r>
          </w:p>
          <w:p w14:paraId="2DC63CF3" w14:textId="0C48B8C1" w:rsidR="00DF444C" w:rsidRPr="00DF444C" w:rsidRDefault="00DF444C" w:rsidP="00E24D87">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0"/>
                <w:szCs w:val="20"/>
                <w14:ligatures w14:val="none"/>
              </w:rPr>
            </w:pPr>
            <w:r w:rsidRPr="00DF444C">
              <w:rPr>
                <w:rFonts w:ascii="Times New Roman" w:eastAsia="Times New Roman" w:hAnsi="Times New Roman" w:cs="Times New Roman"/>
                <w:color w:val="000000"/>
                <w:sz w:val="20"/>
                <w:szCs w:val="20"/>
                <w14:ligatures w14:val="none"/>
              </w:rPr>
              <w:t>(h)</w:t>
            </w:r>
          </w:p>
        </w:tc>
        <w:tc>
          <w:tcPr>
            <w:tcW w:w="851" w:type="dxa"/>
            <w:vMerge w:val="restart"/>
            <w:tcBorders>
              <w:top w:val="thinThickSmallGap" w:sz="24" w:space="0" w:color="auto"/>
              <w:left w:val="nil"/>
              <w:right w:val="nil"/>
            </w:tcBorders>
            <w:noWrap/>
            <w:vAlign w:val="center"/>
            <w:hideMark/>
          </w:tcPr>
          <w:p w14:paraId="2D5BFBBC" w14:textId="77777777" w:rsidR="00DF444C" w:rsidRPr="00DF444C" w:rsidRDefault="00DF444C" w:rsidP="00E24D87">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0"/>
                <w:szCs w:val="20"/>
                <w14:ligatures w14:val="none"/>
              </w:rPr>
            </w:pPr>
            <w:r w:rsidRPr="00DF444C">
              <w:rPr>
                <w:rFonts w:ascii="Times New Roman" w:eastAsia="Times New Roman" w:hAnsi="Times New Roman" w:cs="Times New Roman"/>
                <w:color w:val="000000"/>
                <w:sz w:val="20"/>
                <w:szCs w:val="20"/>
                <w14:ligatures w14:val="none"/>
              </w:rPr>
              <w:t>T</w:t>
            </w:r>
          </w:p>
          <w:p w14:paraId="291CFB70" w14:textId="7E2D5D29" w:rsidR="00DF444C" w:rsidRPr="00DF444C" w:rsidRDefault="00DF444C" w:rsidP="00E24D87">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0"/>
                <w:szCs w:val="20"/>
                <w14:ligatures w14:val="none"/>
              </w:rPr>
            </w:pPr>
            <w:r w:rsidRPr="00DF444C">
              <w:rPr>
                <w:rFonts w:ascii="Times New Roman" w:eastAsia="Times New Roman" w:hAnsi="Times New Roman" w:cs="Times New Roman"/>
                <w:color w:val="000000"/>
                <w:sz w:val="20"/>
                <w:szCs w:val="20"/>
                <w14:ligatures w14:val="none"/>
              </w:rPr>
              <w:t>(°C)</w:t>
            </w:r>
          </w:p>
        </w:tc>
        <w:tc>
          <w:tcPr>
            <w:tcW w:w="1000" w:type="dxa"/>
            <w:vMerge w:val="restart"/>
            <w:tcBorders>
              <w:top w:val="thinThickSmallGap" w:sz="24" w:space="0" w:color="auto"/>
              <w:left w:val="nil"/>
              <w:right w:val="nil"/>
            </w:tcBorders>
            <w:noWrap/>
            <w:vAlign w:val="center"/>
            <w:hideMark/>
          </w:tcPr>
          <w:p w14:paraId="11DDBD07" w14:textId="77777777" w:rsidR="00DF444C" w:rsidRDefault="00DF444C" w:rsidP="00E24D87">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0"/>
                <w:szCs w:val="20"/>
                <w14:ligatures w14:val="none"/>
              </w:rPr>
            </w:pPr>
            <w:r w:rsidRPr="00DF444C">
              <w:rPr>
                <w:rFonts w:ascii="Times New Roman" w:eastAsia="Times New Roman" w:hAnsi="Times New Roman" w:cs="Times New Roman"/>
                <w:color w:val="000000"/>
                <w:sz w:val="20"/>
                <w:szCs w:val="20"/>
                <w14:ligatures w14:val="none"/>
              </w:rPr>
              <w:t xml:space="preserve">Conv. </w:t>
            </w:r>
          </w:p>
          <w:p w14:paraId="57E6C443" w14:textId="702D3882" w:rsidR="00DF444C" w:rsidRPr="00DF444C" w:rsidRDefault="00DF444C" w:rsidP="00E24D87">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0"/>
                <w:szCs w:val="20"/>
                <w14:ligatures w14:val="none"/>
              </w:rPr>
            </w:pPr>
            <w:r w:rsidRPr="00DF444C">
              <w:rPr>
                <w:rFonts w:ascii="Times New Roman" w:eastAsia="Times New Roman" w:hAnsi="Times New Roman" w:cs="Times New Roman"/>
                <w:color w:val="000000"/>
                <w:sz w:val="20"/>
                <w:szCs w:val="20"/>
                <w14:ligatures w14:val="none"/>
              </w:rPr>
              <w:t>(%)</w:t>
            </w:r>
          </w:p>
        </w:tc>
        <w:tc>
          <w:tcPr>
            <w:tcW w:w="2155" w:type="dxa"/>
            <w:gridSpan w:val="2"/>
            <w:tcBorders>
              <w:top w:val="thinThickSmallGap" w:sz="24" w:space="0" w:color="auto"/>
              <w:left w:val="nil"/>
              <w:bottom w:val="single" w:sz="4" w:space="0" w:color="D9D9D9" w:themeColor="background1" w:themeShade="D9"/>
              <w:right w:val="nil"/>
            </w:tcBorders>
            <w:noWrap/>
            <w:vAlign w:val="center"/>
            <w:hideMark/>
          </w:tcPr>
          <w:p w14:paraId="4B04309B" w14:textId="7CFED301" w:rsidR="00DF444C" w:rsidRPr="00DF444C" w:rsidRDefault="00DF444C" w:rsidP="00E24D87">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0"/>
                <w:szCs w:val="20"/>
                <w14:ligatures w14:val="none"/>
              </w:rPr>
            </w:pPr>
            <w:r w:rsidRPr="00DF444C">
              <w:rPr>
                <w:rFonts w:ascii="Times New Roman" w:eastAsia="Times New Roman" w:hAnsi="Times New Roman" w:cs="Times New Roman"/>
                <w:color w:val="000000"/>
                <w:sz w:val="20"/>
                <w:szCs w:val="20"/>
                <w14:ligatures w14:val="none"/>
              </w:rPr>
              <w:t>Selectivity (%)</w:t>
            </w:r>
            <w:r w:rsidRPr="00DF444C">
              <w:rPr>
                <w:rFonts w:ascii="Times New Roman" w:eastAsia="Times New Roman" w:hAnsi="Times New Roman" w:cs="Times New Roman"/>
                <w:color w:val="000000"/>
                <w:sz w:val="20"/>
                <w:szCs w:val="20"/>
                <w:vertAlign w:val="superscript"/>
                <w14:ligatures w14:val="none"/>
              </w:rPr>
              <w:t>a</w:t>
            </w:r>
          </w:p>
        </w:tc>
        <w:tc>
          <w:tcPr>
            <w:tcW w:w="1235" w:type="dxa"/>
            <w:vMerge w:val="restart"/>
            <w:tcBorders>
              <w:top w:val="thinThickSmallGap" w:sz="24" w:space="0" w:color="auto"/>
              <w:left w:val="nil"/>
              <w:right w:val="nil"/>
            </w:tcBorders>
            <w:vAlign w:val="center"/>
            <w:hideMark/>
          </w:tcPr>
          <w:p w14:paraId="3DAC8A4F" w14:textId="5724AD97" w:rsidR="00DF444C" w:rsidRPr="00DF444C" w:rsidRDefault="00DF444C" w:rsidP="00E24D87">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0"/>
                <w:szCs w:val="20"/>
                <w14:ligatures w14:val="none"/>
              </w:rPr>
            </w:pPr>
            <w:r w:rsidRPr="00DF444C">
              <w:rPr>
                <w:rFonts w:ascii="Times New Roman" w:eastAsia="Times New Roman" w:hAnsi="Times New Roman" w:cs="Times New Roman"/>
                <w:color w:val="000000"/>
                <w:sz w:val="20"/>
                <w:szCs w:val="20"/>
                <w14:ligatures w14:val="none"/>
              </w:rPr>
              <w:t>DGF Yield</w:t>
            </w:r>
          </w:p>
          <w:p w14:paraId="7AC98438" w14:textId="77A6063B" w:rsidR="00DF444C" w:rsidRPr="00DF444C" w:rsidRDefault="00DF444C" w:rsidP="00E24D87">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0"/>
                <w:szCs w:val="20"/>
                <w14:ligatures w14:val="none"/>
              </w:rPr>
            </w:pPr>
            <w:r w:rsidRPr="00DF444C">
              <w:rPr>
                <w:rFonts w:ascii="Times New Roman" w:eastAsia="Times New Roman" w:hAnsi="Times New Roman" w:cs="Times New Roman"/>
                <w:color w:val="000000"/>
                <w:sz w:val="20"/>
                <w:szCs w:val="20"/>
                <w14:ligatures w14:val="none"/>
              </w:rPr>
              <w:t>(%)</w:t>
            </w:r>
            <w:r w:rsidRPr="00DF444C">
              <w:rPr>
                <w:rFonts w:ascii="Times New Roman" w:eastAsia="Times New Roman" w:hAnsi="Times New Roman" w:cs="Times New Roman"/>
                <w:color w:val="000000"/>
                <w:sz w:val="20"/>
                <w:szCs w:val="20"/>
                <w:vertAlign w:val="superscript"/>
                <w14:ligatures w14:val="none"/>
              </w:rPr>
              <w:t>a</w:t>
            </w:r>
          </w:p>
        </w:tc>
      </w:tr>
      <w:tr w:rsidR="00DF444C" w:rsidRPr="00A505AF" w14:paraId="61DACF3A" w14:textId="77777777" w:rsidTr="00420BF8">
        <w:trPr>
          <w:trHeight w:val="275"/>
          <w:jc w:val="center"/>
        </w:trPr>
        <w:tc>
          <w:tcPr>
            <w:cnfStyle w:val="001000000000" w:firstRow="0" w:lastRow="0" w:firstColumn="1" w:lastColumn="0" w:oddVBand="0" w:evenVBand="0" w:oddHBand="0" w:evenHBand="0" w:firstRowFirstColumn="0" w:firstRowLastColumn="0" w:lastRowFirstColumn="0" w:lastRowLastColumn="0"/>
            <w:tcW w:w="421" w:type="dxa"/>
            <w:vMerge/>
            <w:tcBorders>
              <w:left w:val="nil"/>
              <w:bottom w:val="single" w:sz="12" w:space="0" w:color="auto"/>
              <w:right w:val="nil"/>
            </w:tcBorders>
            <w:vAlign w:val="center"/>
            <w:hideMark/>
          </w:tcPr>
          <w:p w14:paraId="493DC6AD" w14:textId="77777777" w:rsidR="00DF444C" w:rsidRPr="00DF444C" w:rsidRDefault="00DF444C" w:rsidP="00E24D87">
            <w:pPr>
              <w:spacing w:after="0" w:line="240" w:lineRule="auto"/>
              <w:jc w:val="center"/>
              <w:rPr>
                <w:rFonts w:ascii="Times New Roman" w:eastAsia="Times New Roman" w:hAnsi="Times New Roman" w:cs="Times New Roman"/>
                <w:color w:val="000000"/>
                <w:sz w:val="20"/>
                <w:szCs w:val="20"/>
                <w14:ligatures w14:val="none"/>
              </w:rPr>
            </w:pPr>
          </w:p>
        </w:tc>
        <w:tc>
          <w:tcPr>
            <w:tcW w:w="1093" w:type="dxa"/>
            <w:vMerge/>
            <w:tcBorders>
              <w:left w:val="nil"/>
              <w:bottom w:val="single" w:sz="12" w:space="0" w:color="auto"/>
              <w:right w:val="nil"/>
            </w:tcBorders>
            <w:vAlign w:val="center"/>
            <w:hideMark/>
          </w:tcPr>
          <w:p w14:paraId="61FBB06A" w14:textId="77777777" w:rsidR="00DF444C" w:rsidRPr="00DF444C" w:rsidRDefault="00DF444C" w:rsidP="00E24D8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14:ligatures w14:val="none"/>
              </w:rPr>
            </w:pPr>
          </w:p>
        </w:tc>
        <w:tc>
          <w:tcPr>
            <w:tcW w:w="850" w:type="dxa"/>
            <w:vMerge/>
            <w:tcBorders>
              <w:left w:val="nil"/>
              <w:bottom w:val="single" w:sz="12" w:space="0" w:color="auto"/>
              <w:right w:val="nil"/>
            </w:tcBorders>
            <w:vAlign w:val="center"/>
            <w:hideMark/>
          </w:tcPr>
          <w:p w14:paraId="0FABBCFC" w14:textId="77777777" w:rsidR="00DF444C" w:rsidRPr="00DF444C" w:rsidRDefault="00DF444C" w:rsidP="00E24D8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14:ligatures w14:val="none"/>
              </w:rPr>
            </w:pPr>
          </w:p>
        </w:tc>
        <w:tc>
          <w:tcPr>
            <w:tcW w:w="851" w:type="dxa"/>
            <w:vMerge/>
            <w:tcBorders>
              <w:left w:val="nil"/>
              <w:bottom w:val="single" w:sz="12" w:space="0" w:color="auto"/>
              <w:right w:val="nil"/>
            </w:tcBorders>
            <w:vAlign w:val="center"/>
            <w:hideMark/>
          </w:tcPr>
          <w:p w14:paraId="4A7DC74B" w14:textId="77777777" w:rsidR="00DF444C" w:rsidRPr="00DF444C" w:rsidRDefault="00DF444C" w:rsidP="00E24D8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14:ligatures w14:val="none"/>
              </w:rPr>
            </w:pPr>
          </w:p>
        </w:tc>
        <w:tc>
          <w:tcPr>
            <w:tcW w:w="1000" w:type="dxa"/>
            <w:vMerge/>
            <w:tcBorders>
              <w:left w:val="nil"/>
              <w:bottom w:val="single" w:sz="12" w:space="0" w:color="auto"/>
              <w:right w:val="nil"/>
            </w:tcBorders>
            <w:vAlign w:val="center"/>
            <w:hideMark/>
          </w:tcPr>
          <w:p w14:paraId="5653677B" w14:textId="77777777" w:rsidR="00DF444C" w:rsidRPr="00DF444C" w:rsidRDefault="00DF444C" w:rsidP="00E24D8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14:ligatures w14:val="none"/>
              </w:rPr>
            </w:pPr>
          </w:p>
        </w:tc>
        <w:tc>
          <w:tcPr>
            <w:tcW w:w="1028" w:type="dxa"/>
            <w:tcBorders>
              <w:top w:val="single" w:sz="4" w:space="0" w:color="D9D9D9" w:themeColor="background1" w:themeShade="D9"/>
              <w:left w:val="nil"/>
              <w:bottom w:val="single" w:sz="12" w:space="0" w:color="auto"/>
              <w:right w:val="nil"/>
            </w:tcBorders>
            <w:noWrap/>
            <w:vAlign w:val="center"/>
          </w:tcPr>
          <w:p w14:paraId="58B5AE5A" w14:textId="0CF52F7F" w:rsidR="00DF444C" w:rsidRPr="00DF444C" w:rsidRDefault="00DF444C" w:rsidP="00E24D8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14:ligatures w14:val="none"/>
              </w:rPr>
            </w:pPr>
            <w:r w:rsidRPr="00DF444C">
              <w:rPr>
                <w:rFonts w:ascii="Times New Roman" w:eastAsia="Times New Roman" w:hAnsi="Times New Roman" w:cs="Times New Roman"/>
                <w:b/>
                <w:bCs/>
                <w:color w:val="000000"/>
                <w:sz w:val="20"/>
                <w:szCs w:val="20"/>
                <w14:ligatures w14:val="none"/>
              </w:rPr>
              <w:t>DGF</w:t>
            </w:r>
          </w:p>
        </w:tc>
        <w:tc>
          <w:tcPr>
            <w:tcW w:w="1127" w:type="dxa"/>
            <w:tcBorders>
              <w:top w:val="single" w:sz="4" w:space="0" w:color="D9D9D9" w:themeColor="background1" w:themeShade="D9"/>
              <w:left w:val="nil"/>
              <w:bottom w:val="single" w:sz="12" w:space="0" w:color="auto"/>
              <w:right w:val="nil"/>
            </w:tcBorders>
            <w:noWrap/>
            <w:vAlign w:val="center"/>
          </w:tcPr>
          <w:p w14:paraId="4CEE9646" w14:textId="6E73D9C1" w:rsidR="00DF444C" w:rsidRPr="00DF444C" w:rsidRDefault="00DF444C" w:rsidP="00E24D8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14:ligatures w14:val="none"/>
              </w:rPr>
            </w:pPr>
            <w:r w:rsidRPr="00DF444C">
              <w:rPr>
                <w:rFonts w:ascii="Times New Roman" w:eastAsia="Times New Roman" w:hAnsi="Times New Roman" w:cs="Times New Roman"/>
                <w:b/>
                <w:bCs/>
                <w:color w:val="000000"/>
                <w:sz w:val="20"/>
                <w:szCs w:val="20"/>
                <w14:ligatures w14:val="none"/>
              </w:rPr>
              <w:t xml:space="preserve">MGF </w:t>
            </w:r>
          </w:p>
        </w:tc>
        <w:tc>
          <w:tcPr>
            <w:tcW w:w="1235" w:type="dxa"/>
            <w:vMerge/>
            <w:tcBorders>
              <w:left w:val="nil"/>
              <w:bottom w:val="single" w:sz="12" w:space="0" w:color="auto"/>
              <w:right w:val="nil"/>
            </w:tcBorders>
            <w:vAlign w:val="center"/>
            <w:hideMark/>
          </w:tcPr>
          <w:p w14:paraId="7807E4A0" w14:textId="1A36A6DF" w:rsidR="00DF444C" w:rsidRPr="00DF444C" w:rsidRDefault="00DF444C" w:rsidP="00E24D8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14:ligatures w14:val="none"/>
              </w:rPr>
            </w:pPr>
          </w:p>
        </w:tc>
      </w:tr>
      <w:tr w:rsidR="00B93AE0" w:rsidRPr="00A505AF" w14:paraId="32708190" w14:textId="77777777" w:rsidTr="00BF3014">
        <w:trPr>
          <w:trHeight w:val="300"/>
          <w:jc w:val="center"/>
        </w:trPr>
        <w:tc>
          <w:tcPr>
            <w:cnfStyle w:val="001000000000" w:firstRow="0" w:lastRow="0" w:firstColumn="1" w:lastColumn="0" w:oddVBand="0" w:evenVBand="0" w:oddHBand="0" w:evenHBand="0" w:firstRowFirstColumn="0" w:firstRowLastColumn="0" w:lastRowFirstColumn="0" w:lastRowLastColumn="0"/>
            <w:tcW w:w="0" w:type="dxa"/>
            <w:tcBorders>
              <w:top w:val="single" w:sz="12" w:space="0" w:color="auto"/>
              <w:left w:val="nil"/>
              <w:bottom w:val="nil"/>
              <w:right w:val="nil"/>
            </w:tcBorders>
            <w:noWrap/>
            <w:vAlign w:val="center"/>
            <w:hideMark/>
          </w:tcPr>
          <w:p w14:paraId="43F9CA86" w14:textId="410B3790" w:rsidR="00B93AE0" w:rsidRPr="00DF444C" w:rsidRDefault="00DF444C" w:rsidP="00E24D87">
            <w:pPr>
              <w:spacing w:after="0" w:line="240" w:lineRule="auto"/>
              <w:jc w:val="center"/>
              <w:rPr>
                <w:rFonts w:ascii="Times New Roman" w:eastAsia="Times New Roman" w:hAnsi="Times New Roman" w:cs="Times New Roman"/>
                <w:color w:val="000000"/>
                <w:sz w:val="20"/>
                <w:szCs w:val="20"/>
                <w14:ligatures w14:val="none"/>
              </w:rPr>
            </w:pPr>
            <w:r>
              <w:rPr>
                <w:rFonts w:ascii="Times New Roman" w:eastAsia="Times New Roman" w:hAnsi="Times New Roman" w:cs="Times New Roman"/>
                <w:color w:val="000000"/>
                <w:sz w:val="20"/>
                <w:szCs w:val="20"/>
                <w14:ligatures w14:val="none"/>
              </w:rPr>
              <w:t>1</w:t>
            </w:r>
          </w:p>
        </w:tc>
        <w:tc>
          <w:tcPr>
            <w:tcW w:w="0" w:type="dxa"/>
            <w:tcBorders>
              <w:top w:val="single" w:sz="12" w:space="0" w:color="auto"/>
              <w:left w:val="nil"/>
              <w:bottom w:val="nil"/>
              <w:right w:val="nil"/>
            </w:tcBorders>
            <w:noWrap/>
            <w:vAlign w:val="center"/>
          </w:tcPr>
          <w:p w14:paraId="60DB54F0" w14:textId="38C0990C" w:rsidR="00B93AE0" w:rsidRPr="00DF444C" w:rsidRDefault="00B93AE0" w:rsidP="00E24D8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14:ligatures w14:val="none"/>
              </w:rPr>
            </w:pPr>
            <w:bookmarkStart w:id="8" w:name="_Hlk170482129"/>
            <w:r w:rsidRPr="00DF444C">
              <w:rPr>
                <w:rFonts w:ascii="Times New Roman" w:eastAsia="Times New Roman" w:hAnsi="Times New Roman" w:cs="Times New Roman"/>
                <w:color w:val="000000"/>
                <w:sz w:val="20"/>
                <w:szCs w:val="20"/>
                <w14:ligatures w14:val="none"/>
              </w:rPr>
              <w:t>Et₃N</w:t>
            </w:r>
            <w:bookmarkEnd w:id="8"/>
          </w:p>
        </w:tc>
        <w:tc>
          <w:tcPr>
            <w:tcW w:w="0" w:type="dxa"/>
            <w:tcBorders>
              <w:top w:val="single" w:sz="12" w:space="0" w:color="auto"/>
              <w:left w:val="nil"/>
              <w:bottom w:val="nil"/>
              <w:right w:val="nil"/>
            </w:tcBorders>
            <w:noWrap/>
            <w:vAlign w:val="center"/>
          </w:tcPr>
          <w:p w14:paraId="5956685B" w14:textId="0718DBAA" w:rsidR="00B93AE0" w:rsidRPr="00DF444C" w:rsidRDefault="00B93AE0" w:rsidP="00E24D8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14:ligatures w14:val="none"/>
              </w:rPr>
            </w:pPr>
            <w:r w:rsidRPr="00DF444C">
              <w:rPr>
                <w:rFonts w:ascii="Times New Roman" w:eastAsia="Times New Roman" w:hAnsi="Times New Roman" w:cs="Times New Roman"/>
                <w:color w:val="000000"/>
                <w:sz w:val="20"/>
                <w:szCs w:val="20"/>
                <w14:ligatures w14:val="none"/>
              </w:rPr>
              <w:t>2</w:t>
            </w:r>
          </w:p>
        </w:tc>
        <w:tc>
          <w:tcPr>
            <w:tcW w:w="0" w:type="dxa"/>
            <w:tcBorders>
              <w:top w:val="single" w:sz="12" w:space="0" w:color="auto"/>
              <w:left w:val="nil"/>
              <w:bottom w:val="nil"/>
              <w:right w:val="nil"/>
            </w:tcBorders>
            <w:noWrap/>
            <w:vAlign w:val="center"/>
          </w:tcPr>
          <w:p w14:paraId="62EE5DD9" w14:textId="0154FAEE" w:rsidR="00B93AE0" w:rsidRPr="00DF444C" w:rsidRDefault="00B93AE0" w:rsidP="00E24D8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14:ligatures w14:val="none"/>
              </w:rPr>
            </w:pPr>
            <w:r w:rsidRPr="00DF444C">
              <w:rPr>
                <w:rFonts w:ascii="Times New Roman" w:eastAsia="Times New Roman" w:hAnsi="Times New Roman" w:cs="Times New Roman"/>
                <w:color w:val="000000"/>
                <w:sz w:val="20"/>
                <w:szCs w:val="20"/>
                <w14:ligatures w14:val="none"/>
              </w:rPr>
              <w:t>60</w:t>
            </w:r>
          </w:p>
        </w:tc>
        <w:tc>
          <w:tcPr>
            <w:tcW w:w="0" w:type="dxa"/>
            <w:tcBorders>
              <w:top w:val="single" w:sz="12" w:space="0" w:color="auto"/>
              <w:left w:val="nil"/>
              <w:bottom w:val="nil"/>
              <w:right w:val="nil"/>
            </w:tcBorders>
            <w:noWrap/>
            <w:vAlign w:val="center"/>
          </w:tcPr>
          <w:p w14:paraId="6D933229" w14:textId="15174524" w:rsidR="00B93AE0" w:rsidRPr="00DF444C" w:rsidRDefault="00B93AE0" w:rsidP="00E24D8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14:ligatures w14:val="none"/>
              </w:rPr>
            </w:pPr>
            <w:r w:rsidRPr="00DF444C">
              <w:rPr>
                <w:rFonts w:ascii="Times New Roman" w:eastAsia="Times New Roman" w:hAnsi="Times New Roman" w:cs="Times New Roman"/>
                <w:color w:val="000000"/>
                <w:sz w:val="20"/>
                <w:szCs w:val="20"/>
                <w14:ligatures w14:val="none"/>
              </w:rPr>
              <w:t xml:space="preserve">72 </w:t>
            </w:r>
          </w:p>
        </w:tc>
        <w:tc>
          <w:tcPr>
            <w:tcW w:w="0" w:type="dxa"/>
            <w:tcBorders>
              <w:top w:val="single" w:sz="12" w:space="0" w:color="auto"/>
              <w:left w:val="nil"/>
              <w:bottom w:val="nil"/>
              <w:right w:val="nil"/>
            </w:tcBorders>
            <w:noWrap/>
            <w:vAlign w:val="center"/>
          </w:tcPr>
          <w:p w14:paraId="42F8310D" w14:textId="3DEF1E9F" w:rsidR="00B93AE0" w:rsidRPr="00DF444C" w:rsidRDefault="00B93AE0" w:rsidP="00E24D8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14:ligatures w14:val="none"/>
              </w:rPr>
            </w:pPr>
            <w:r w:rsidRPr="00DF444C">
              <w:rPr>
                <w:rFonts w:ascii="Times New Roman" w:eastAsia="Times New Roman" w:hAnsi="Times New Roman" w:cs="Times New Roman"/>
                <w:color w:val="000000"/>
                <w:sz w:val="20"/>
                <w:szCs w:val="20"/>
                <w14:ligatures w14:val="none"/>
              </w:rPr>
              <w:t xml:space="preserve">30 </w:t>
            </w:r>
          </w:p>
        </w:tc>
        <w:tc>
          <w:tcPr>
            <w:tcW w:w="0" w:type="dxa"/>
            <w:tcBorders>
              <w:top w:val="single" w:sz="12" w:space="0" w:color="auto"/>
              <w:left w:val="nil"/>
              <w:bottom w:val="nil"/>
              <w:right w:val="nil"/>
            </w:tcBorders>
            <w:noWrap/>
            <w:vAlign w:val="center"/>
          </w:tcPr>
          <w:p w14:paraId="467E97C3" w14:textId="72660A61" w:rsidR="00B93AE0" w:rsidRPr="00DF444C" w:rsidRDefault="00B93AE0" w:rsidP="00E24D8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14:ligatures w14:val="none"/>
              </w:rPr>
            </w:pPr>
            <w:r w:rsidRPr="00DF444C">
              <w:rPr>
                <w:rFonts w:ascii="Times New Roman" w:eastAsia="Times New Roman" w:hAnsi="Times New Roman" w:cs="Times New Roman"/>
                <w:color w:val="000000"/>
                <w:sz w:val="20"/>
                <w:szCs w:val="20"/>
                <w14:ligatures w14:val="none"/>
              </w:rPr>
              <w:t xml:space="preserve">70 </w:t>
            </w:r>
          </w:p>
        </w:tc>
        <w:tc>
          <w:tcPr>
            <w:tcW w:w="0" w:type="dxa"/>
            <w:tcBorders>
              <w:top w:val="single" w:sz="12" w:space="0" w:color="auto"/>
              <w:left w:val="nil"/>
              <w:bottom w:val="nil"/>
              <w:right w:val="nil"/>
            </w:tcBorders>
            <w:vAlign w:val="center"/>
          </w:tcPr>
          <w:p w14:paraId="0190FE18" w14:textId="16003539" w:rsidR="00B93AE0" w:rsidRPr="00DF444C" w:rsidRDefault="00B93AE0" w:rsidP="00E24D8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14:ligatures w14:val="none"/>
              </w:rPr>
            </w:pPr>
            <w:r w:rsidRPr="00DF444C">
              <w:rPr>
                <w:rFonts w:ascii="Times New Roman" w:eastAsia="Times New Roman" w:hAnsi="Times New Roman" w:cs="Times New Roman"/>
                <w:color w:val="000000"/>
                <w:sz w:val="20"/>
                <w:szCs w:val="20"/>
                <w14:ligatures w14:val="none"/>
              </w:rPr>
              <w:t xml:space="preserve">22 </w:t>
            </w:r>
          </w:p>
        </w:tc>
      </w:tr>
      <w:tr w:rsidR="00DF444C" w:rsidRPr="00A505AF" w14:paraId="60BF7BBA" w14:textId="77777777" w:rsidTr="00BF3014">
        <w:trPr>
          <w:trHeight w:val="300"/>
          <w:jc w:val="center"/>
        </w:trPr>
        <w:tc>
          <w:tcPr>
            <w:cnfStyle w:val="001000000000" w:firstRow="0" w:lastRow="0" w:firstColumn="1" w:lastColumn="0" w:oddVBand="0" w:evenVBand="0" w:oddHBand="0" w:evenHBand="0" w:firstRowFirstColumn="0" w:firstRowLastColumn="0" w:lastRowFirstColumn="0" w:lastRowLastColumn="0"/>
            <w:tcW w:w="0" w:type="dxa"/>
            <w:tcBorders>
              <w:top w:val="nil"/>
              <w:left w:val="nil"/>
              <w:bottom w:val="single" w:sz="4" w:space="0" w:color="auto"/>
              <w:right w:val="nil"/>
            </w:tcBorders>
            <w:noWrap/>
            <w:vAlign w:val="center"/>
          </w:tcPr>
          <w:p w14:paraId="68D898B0" w14:textId="20ED7FC3" w:rsidR="00DF444C" w:rsidRDefault="00DF444C" w:rsidP="00DF444C">
            <w:pPr>
              <w:spacing w:after="0" w:line="240" w:lineRule="auto"/>
              <w:jc w:val="center"/>
              <w:rPr>
                <w:rFonts w:ascii="Times New Roman" w:eastAsia="Times New Roman" w:hAnsi="Times New Roman" w:cs="Times New Roman"/>
                <w:color w:val="000000"/>
                <w:sz w:val="20"/>
                <w:szCs w:val="20"/>
                <w14:ligatures w14:val="none"/>
              </w:rPr>
            </w:pPr>
            <w:r>
              <w:rPr>
                <w:rFonts w:ascii="Times New Roman" w:eastAsia="Times New Roman" w:hAnsi="Times New Roman" w:cs="Times New Roman"/>
                <w:color w:val="000000"/>
                <w:sz w:val="20"/>
                <w:szCs w:val="20"/>
                <w14:ligatures w14:val="none"/>
              </w:rPr>
              <w:t>2</w:t>
            </w:r>
          </w:p>
        </w:tc>
        <w:tc>
          <w:tcPr>
            <w:tcW w:w="0" w:type="dxa"/>
            <w:tcBorders>
              <w:top w:val="nil"/>
              <w:left w:val="nil"/>
              <w:bottom w:val="single" w:sz="4" w:space="0" w:color="auto"/>
              <w:right w:val="nil"/>
            </w:tcBorders>
            <w:noWrap/>
            <w:vAlign w:val="center"/>
          </w:tcPr>
          <w:p w14:paraId="5866943E" w14:textId="5B17657F" w:rsidR="00DF444C" w:rsidRPr="00DF444C" w:rsidRDefault="00DF444C" w:rsidP="00DF444C">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14:ligatures w14:val="none"/>
              </w:rPr>
            </w:pPr>
            <w:r w:rsidRPr="00DF444C">
              <w:rPr>
                <w:rFonts w:ascii="Times New Roman" w:eastAsia="Times New Roman" w:hAnsi="Times New Roman" w:cs="Times New Roman"/>
                <w:color w:val="000000"/>
                <w:sz w:val="20"/>
                <w:szCs w:val="20"/>
                <w14:ligatures w14:val="none"/>
              </w:rPr>
              <w:t>Et₃N</w:t>
            </w:r>
          </w:p>
        </w:tc>
        <w:tc>
          <w:tcPr>
            <w:tcW w:w="0" w:type="dxa"/>
            <w:tcBorders>
              <w:top w:val="nil"/>
              <w:left w:val="nil"/>
              <w:bottom w:val="single" w:sz="4" w:space="0" w:color="auto"/>
              <w:right w:val="nil"/>
            </w:tcBorders>
            <w:noWrap/>
            <w:vAlign w:val="center"/>
          </w:tcPr>
          <w:p w14:paraId="7251F579" w14:textId="69766556" w:rsidR="00DF444C" w:rsidRPr="00DF444C" w:rsidRDefault="00DF444C" w:rsidP="00DF444C">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14:ligatures w14:val="none"/>
              </w:rPr>
            </w:pPr>
            <w:r w:rsidRPr="00DF444C">
              <w:rPr>
                <w:rFonts w:ascii="Times New Roman" w:eastAsia="Times New Roman" w:hAnsi="Times New Roman" w:cs="Times New Roman"/>
                <w:color w:val="000000"/>
                <w:sz w:val="20"/>
                <w:szCs w:val="20"/>
                <w14:ligatures w14:val="none"/>
              </w:rPr>
              <w:t>5</w:t>
            </w:r>
          </w:p>
        </w:tc>
        <w:tc>
          <w:tcPr>
            <w:tcW w:w="0" w:type="dxa"/>
            <w:tcBorders>
              <w:top w:val="nil"/>
              <w:left w:val="nil"/>
              <w:bottom w:val="single" w:sz="4" w:space="0" w:color="auto"/>
              <w:right w:val="nil"/>
            </w:tcBorders>
            <w:noWrap/>
            <w:vAlign w:val="center"/>
          </w:tcPr>
          <w:p w14:paraId="4D4312D3" w14:textId="587B02B7" w:rsidR="00DF444C" w:rsidRPr="00DF444C" w:rsidRDefault="00DF444C" w:rsidP="00DF444C">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14:ligatures w14:val="none"/>
              </w:rPr>
            </w:pPr>
            <w:r w:rsidRPr="00DF444C">
              <w:rPr>
                <w:rFonts w:ascii="Times New Roman" w:eastAsia="Times New Roman" w:hAnsi="Times New Roman" w:cs="Times New Roman"/>
                <w:color w:val="000000"/>
                <w:sz w:val="20"/>
                <w:szCs w:val="20"/>
                <w14:ligatures w14:val="none"/>
              </w:rPr>
              <w:t>60</w:t>
            </w:r>
          </w:p>
        </w:tc>
        <w:tc>
          <w:tcPr>
            <w:tcW w:w="0" w:type="dxa"/>
            <w:tcBorders>
              <w:top w:val="nil"/>
              <w:left w:val="nil"/>
              <w:bottom w:val="single" w:sz="4" w:space="0" w:color="auto"/>
              <w:right w:val="nil"/>
            </w:tcBorders>
            <w:noWrap/>
            <w:vAlign w:val="center"/>
          </w:tcPr>
          <w:p w14:paraId="213609D6" w14:textId="2565774B" w:rsidR="00DF444C" w:rsidRPr="00DF444C" w:rsidRDefault="00DF444C" w:rsidP="00DF444C">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14:ligatures w14:val="none"/>
              </w:rPr>
            </w:pPr>
            <w:r w:rsidRPr="00DF444C">
              <w:rPr>
                <w:rFonts w:ascii="Times New Roman" w:eastAsia="Times New Roman" w:hAnsi="Times New Roman" w:cs="Times New Roman"/>
                <w:color w:val="000000"/>
                <w:sz w:val="20"/>
                <w:szCs w:val="20"/>
                <w14:ligatures w14:val="none"/>
              </w:rPr>
              <w:t>100</w:t>
            </w:r>
          </w:p>
        </w:tc>
        <w:tc>
          <w:tcPr>
            <w:tcW w:w="0" w:type="dxa"/>
            <w:tcBorders>
              <w:top w:val="nil"/>
              <w:left w:val="nil"/>
              <w:bottom w:val="single" w:sz="4" w:space="0" w:color="auto"/>
              <w:right w:val="nil"/>
            </w:tcBorders>
            <w:noWrap/>
            <w:vAlign w:val="center"/>
          </w:tcPr>
          <w:p w14:paraId="312420C6" w14:textId="5A86A4C5" w:rsidR="00DF444C" w:rsidRPr="00DF444C" w:rsidRDefault="00DF444C" w:rsidP="00DF444C">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14:ligatures w14:val="none"/>
              </w:rPr>
            </w:pPr>
            <w:r w:rsidRPr="00DF444C">
              <w:rPr>
                <w:rFonts w:ascii="Times New Roman" w:eastAsia="Times New Roman" w:hAnsi="Times New Roman" w:cs="Times New Roman"/>
                <w:color w:val="000000"/>
                <w:sz w:val="20"/>
                <w:szCs w:val="20"/>
                <w14:ligatures w14:val="none"/>
              </w:rPr>
              <w:t>100</w:t>
            </w:r>
          </w:p>
        </w:tc>
        <w:tc>
          <w:tcPr>
            <w:tcW w:w="0" w:type="dxa"/>
            <w:tcBorders>
              <w:top w:val="nil"/>
              <w:left w:val="nil"/>
              <w:bottom w:val="single" w:sz="4" w:space="0" w:color="auto"/>
              <w:right w:val="nil"/>
            </w:tcBorders>
            <w:noWrap/>
            <w:vAlign w:val="center"/>
          </w:tcPr>
          <w:p w14:paraId="520A1116" w14:textId="2269D5BE" w:rsidR="00DF444C" w:rsidRPr="00DF444C" w:rsidRDefault="00DF444C" w:rsidP="00DF444C">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14:ligatures w14:val="none"/>
              </w:rPr>
            </w:pPr>
            <w:r>
              <w:rPr>
                <w:rFonts w:ascii="Times New Roman" w:eastAsia="Times New Roman" w:hAnsi="Times New Roman" w:cs="Times New Roman"/>
                <w:color w:val="000000"/>
                <w:sz w:val="20"/>
                <w:szCs w:val="20"/>
                <w14:ligatures w14:val="none"/>
              </w:rPr>
              <w:t>0</w:t>
            </w:r>
          </w:p>
        </w:tc>
        <w:tc>
          <w:tcPr>
            <w:tcW w:w="0" w:type="dxa"/>
            <w:tcBorders>
              <w:top w:val="nil"/>
              <w:left w:val="nil"/>
              <w:bottom w:val="single" w:sz="4" w:space="0" w:color="auto"/>
              <w:right w:val="nil"/>
            </w:tcBorders>
            <w:vAlign w:val="center"/>
          </w:tcPr>
          <w:p w14:paraId="673E6BEE" w14:textId="46D64EDE" w:rsidR="00DF444C" w:rsidRPr="00DF444C" w:rsidRDefault="00DF444C" w:rsidP="00DF444C">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14:ligatures w14:val="none"/>
              </w:rPr>
            </w:pPr>
            <w:r w:rsidRPr="00DF444C">
              <w:rPr>
                <w:rFonts w:ascii="Times New Roman" w:eastAsia="Times New Roman" w:hAnsi="Times New Roman" w:cs="Times New Roman"/>
                <w:color w:val="000000"/>
                <w:sz w:val="20"/>
                <w:szCs w:val="20"/>
                <w14:ligatures w14:val="none"/>
              </w:rPr>
              <w:t>100</w:t>
            </w:r>
          </w:p>
        </w:tc>
      </w:tr>
      <w:tr w:rsidR="00DF444C" w:rsidRPr="00A505AF" w14:paraId="030766B4" w14:textId="77777777" w:rsidTr="00BF3014">
        <w:trPr>
          <w:trHeight w:val="300"/>
          <w:jc w:val="center"/>
        </w:trPr>
        <w:tc>
          <w:tcPr>
            <w:cnfStyle w:val="001000000000" w:firstRow="0" w:lastRow="0" w:firstColumn="1" w:lastColumn="0" w:oddVBand="0" w:evenVBand="0" w:oddHBand="0" w:evenHBand="0" w:firstRowFirstColumn="0" w:firstRowLastColumn="0" w:lastRowFirstColumn="0" w:lastRowLastColumn="0"/>
            <w:tcW w:w="0" w:type="dxa"/>
            <w:tcBorders>
              <w:top w:val="single" w:sz="4" w:space="0" w:color="auto"/>
              <w:left w:val="nil"/>
              <w:bottom w:val="single" w:sz="4" w:space="0" w:color="auto"/>
              <w:right w:val="nil"/>
            </w:tcBorders>
            <w:noWrap/>
            <w:vAlign w:val="center"/>
            <w:hideMark/>
          </w:tcPr>
          <w:p w14:paraId="2127368D" w14:textId="299F2E29" w:rsidR="00DF444C" w:rsidRPr="00DF444C" w:rsidRDefault="00DF444C" w:rsidP="00DF444C">
            <w:pPr>
              <w:spacing w:after="0" w:line="240" w:lineRule="auto"/>
              <w:jc w:val="center"/>
              <w:rPr>
                <w:rFonts w:ascii="Times New Roman" w:eastAsia="Times New Roman" w:hAnsi="Times New Roman" w:cs="Times New Roman"/>
                <w:color w:val="000000"/>
                <w:sz w:val="20"/>
                <w:szCs w:val="20"/>
                <w14:ligatures w14:val="none"/>
              </w:rPr>
            </w:pPr>
            <w:r>
              <w:rPr>
                <w:rFonts w:ascii="Times New Roman" w:eastAsia="Times New Roman" w:hAnsi="Times New Roman" w:cs="Times New Roman"/>
                <w:color w:val="000000"/>
                <w:sz w:val="20"/>
                <w:szCs w:val="20"/>
                <w14:ligatures w14:val="none"/>
              </w:rPr>
              <w:t>3</w:t>
            </w:r>
          </w:p>
        </w:tc>
        <w:tc>
          <w:tcPr>
            <w:tcW w:w="0" w:type="dxa"/>
            <w:tcBorders>
              <w:top w:val="single" w:sz="4" w:space="0" w:color="auto"/>
              <w:left w:val="nil"/>
              <w:bottom w:val="single" w:sz="4" w:space="0" w:color="auto"/>
              <w:right w:val="nil"/>
            </w:tcBorders>
            <w:noWrap/>
            <w:vAlign w:val="center"/>
          </w:tcPr>
          <w:p w14:paraId="786477E7" w14:textId="455D459F" w:rsidR="00DF444C" w:rsidRPr="00DF444C" w:rsidRDefault="00DF444C" w:rsidP="00DF444C">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14:ligatures w14:val="none"/>
              </w:rPr>
            </w:pPr>
            <w:r w:rsidRPr="00DF444C">
              <w:rPr>
                <w:rFonts w:ascii="Times New Roman" w:eastAsia="Times New Roman" w:hAnsi="Times New Roman" w:cs="Times New Roman"/>
                <w:color w:val="000000"/>
                <w:sz w:val="20"/>
                <w:szCs w:val="20"/>
                <w14:ligatures w14:val="none"/>
              </w:rPr>
              <w:t>DABCO</w:t>
            </w:r>
          </w:p>
        </w:tc>
        <w:tc>
          <w:tcPr>
            <w:tcW w:w="0" w:type="dxa"/>
            <w:tcBorders>
              <w:top w:val="single" w:sz="4" w:space="0" w:color="auto"/>
              <w:left w:val="nil"/>
              <w:bottom w:val="single" w:sz="4" w:space="0" w:color="auto"/>
              <w:right w:val="nil"/>
            </w:tcBorders>
            <w:noWrap/>
            <w:vAlign w:val="center"/>
          </w:tcPr>
          <w:p w14:paraId="4158D5B6" w14:textId="2644CC64" w:rsidR="00DF444C" w:rsidRPr="00DF444C" w:rsidRDefault="00DF444C" w:rsidP="00DF444C">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14:ligatures w14:val="none"/>
              </w:rPr>
            </w:pPr>
            <w:r w:rsidRPr="00DF444C">
              <w:rPr>
                <w:rFonts w:ascii="Times New Roman" w:eastAsia="Times New Roman" w:hAnsi="Times New Roman" w:cs="Times New Roman"/>
                <w:color w:val="000000"/>
                <w:sz w:val="20"/>
                <w:szCs w:val="20"/>
                <w14:ligatures w14:val="none"/>
              </w:rPr>
              <w:t>2</w:t>
            </w:r>
          </w:p>
        </w:tc>
        <w:tc>
          <w:tcPr>
            <w:tcW w:w="0" w:type="dxa"/>
            <w:tcBorders>
              <w:top w:val="single" w:sz="4" w:space="0" w:color="auto"/>
              <w:left w:val="nil"/>
              <w:bottom w:val="single" w:sz="4" w:space="0" w:color="auto"/>
              <w:right w:val="nil"/>
            </w:tcBorders>
            <w:noWrap/>
            <w:vAlign w:val="center"/>
          </w:tcPr>
          <w:p w14:paraId="080B81DC" w14:textId="3861D3D2" w:rsidR="00DF444C" w:rsidRPr="00DF444C" w:rsidRDefault="00DF444C" w:rsidP="00DF444C">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14:ligatures w14:val="none"/>
              </w:rPr>
            </w:pPr>
            <w:r w:rsidRPr="00DF444C">
              <w:rPr>
                <w:rFonts w:ascii="Times New Roman" w:eastAsia="Times New Roman" w:hAnsi="Times New Roman" w:cs="Times New Roman"/>
                <w:color w:val="000000"/>
                <w:sz w:val="20"/>
                <w:szCs w:val="20"/>
                <w14:ligatures w14:val="none"/>
              </w:rPr>
              <w:t>60</w:t>
            </w:r>
          </w:p>
        </w:tc>
        <w:tc>
          <w:tcPr>
            <w:tcW w:w="0" w:type="dxa"/>
            <w:tcBorders>
              <w:top w:val="single" w:sz="4" w:space="0" w:color="auto"/>
              <w:left w:val="nil"/>
              <w:bottom w:val="single" w:sz="4" w:space="0" w:color="auto"/>
              <w:right w:val="nil"/>
            </w:tcBorders>
            <w:noWrap/>
            <w:vAlign w:val="center"/>
          </w:tcPr>
          <w:p w14:paraId="3C818720" w14:textId="1C0801AC" w:rsidR="00DF444C" w:rsidRPr="00DF444C" w:rsidRDefault="00DF444C" w:rsidP="00DF444C">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14:ligatures w14:val="none"/>
              </w:rPr>
            </w:pPr>
            <w:r w:rsidRPr="00DF444C">
              <w:rPr>
                <w:rFonts w:ascii="Times New Roman" w:eastAsia="Times New Roman" w:hAnsi="Times New Roman" w:cs="Times New Roman"/>
                <w:color w:val="000000"/>
                <w:sz w:val="20"/>
                <w:szCs w:val="20"/>
                <w14:ligatures w14:val="none"/>
              </w:rPr>
              <w:t>61</w:t>
            </w:r>
          </w:p>
        </w:tc>
        <w:tc>
          <w:tcPr>
            <w:tcW w:w="0" w:type="dxa"/>
            <w:tcBorders>
              <w:top w:val="single" w:sz="4" w:space="0" w:color="auto"/>
              <w:left w:val="nil"/>
              <w:bottom w:val="single" w:sz="4" w:space="0" w:color="auto"/>
              <w:right w:val="nil"/>
            </w:tcBorders>
            <w:noWrap/>
            <w:vAlign w:val="center"/>
          </w:tcPr>
          <w:p w14:paraId="5029A4ED" w14:textId="424B1B86" w:rsidR="00DF444C" w:rsidRPr="00DF444C" w:rsidRDefault="00DF444C" w:rsidP="00DF444C">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14:ligatures w14:val="none"/>
              </w:rPr>
            </w:pPr>
            <w:r w:rsidRPr="00DF444C">
              <w:rPr>
                <w:rFonts w:ascii="Times New Roman" w:eastAsia="Times New Roman" w:hAnsi="Times New Roman" w:cs="Times New Roman"/>
                <w:color w:val="000000"/>
                <w:sz w:val="20"/>
                <w:szCs w:val="20"/>
                <w14:ligatures w14:val="none"/>
              </w:rPr>
              <w:t>23</w:t>
            </w:r>
          </w:p>
        </w:tc>
        <w:tc>
          <w:tcPr>
            <w:tcW w:w="0" w:type="dxa"/>
            <w:tcBorders>
              <w:top w:val="single" w:sz="4" w:space="0" w:color="auto"/>
              <w:left w:val="nil"/>
              <w:bottom w:val="single" w:sz="4" w:space="0" w:color="auto"/>
              <w:right w:val="nil"/>
            </w:tcBorders>
            <w:noWrap/>
            <w:vAlign w:val="center"/>
          </w:tcPr>
          <w:p w14:paraId="68A8EAD1" w14:textId="61283F75" w:rsidR="00DF444C" w:rsidRPr="00DF444C" w:rsidRDefault="00DF444C" w:rsidP="00DF444C">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14:ligatures w14:val="none"/>
              </w:rPr>
            </w:pPr>
            <w:r w:rsidRPr="00DF444C">
              <w:rPr>
                <w:rFonts w:ascii="Times New Roman" w:eastAsia="Times New Roman" w:hAnsi="Times New Roman" w:cs="Times New Roman"/>
                <w:color w:val="000000"/>
                <w:sz w:val="20"/>
                <w:szCs w:val="20"/>
                <w14:ligatures w14:val="none"/>
              </w:rPr>
              <w:t>77</w:t>
            </w:r>
          </w:p>
        </w:tc>
        <w:tc>
          <w:tcPr>
            <w:tcW w:w="0" w:type="dxa"/>
            <w:tcBorders>
              <w:top w:val="single" w:sz="4" w:space="0" w:color="auto"/>
              <w:left w:val="nil"/>
              <w:bottom w:val="single" w:sz="4" w:space="0" w:color="auto"/>
              <w:right w:val="nil"/>
            </w:tcBorders>
            <w:vAlign w:val="center"/>
          </w:tcPr>
          <w:p w14:paraId="33454225" w14:textId="7725986F" w:rsidR="00DF444C" w:rsidRPr="00DF444C" w:rsidRDefault="00DF444C" w:rsidP="00DF444C">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14:ligatures w14:val="none"/>
              </w:rPr>
            </w:pPr>
            <w:r w:rsidRPr="00DF444C">
              <w:rPr>
                <w:rFonts w:ascii="Times New Roman" w:eastAsia="Times New Roman" w:hAnsi="Times New Roman" w:cs="Times New Roman"/>
                <w:color w:val="000000"/>
                <w:sz w:val="20"/>
                <w:szCs w:val="20"/>
                <w14:ligatures w14:val="none"/>
              </w:rPr>
              <w:t>14</w:t>
            </w:r>
          </w:p>
        </w:tc>
      </w:tr>
      <w:tr w:rsidR="00DF444C" w:rsidRPr="00A505AF" w14:paraId="17451D52" w14:textId="77777777" w:rsidTr="00BF3014">
        <w:trPr>
          <w:trHeight w:val="300"/>
          <w:jc w:val="center"/>
        </w:trPr>
        <w:tc>
          <w:tcPr>
            <w:cnfStyle w:val="001000000000" w:firstRow="0" w:lastRow="0" w:firstColumn="1" w:lastColumn="0" w:oddVBand="0" w:evenVBand="0" w:oddHBand="0" w:evenHBand="0" w:firstRowFirstColumn="0" w:firstRowLastColumn="0" w:lastRowFirstColumn="0" w:lastRowLastColumn="0"/>
            <w:tcW w:w="0" w:type="dxa"/>
            <w:tcBorders>
              <w:top w:val="single" w:sz="4" w:space="0" w:color="auto"/>
              <w:left w:val="nil"/>
              <w:bottom w:val="nil"/>
              <w:right w:val="nil"/>
            </w:tcBorders>
            <w:noWrap/>
            <w:vAlign w:val="center"/>
            <w:hideMark/>
          </w:tcPr>
          <w:p w14:paraId="4DFBB206" w14:textId="46EB2B05" w:rsidR="00DF444C" w:rsidRPr="00DF444C" w:rsidRDefault="00DF444C" w:rsidP="00DF444C">
            <w:pPr>
              <w:spacing w:after="0" w:line="240" w:lineRule="auto"/>
              <w:jc w:val="center"/>
              <w:rPr>
                <w:rFonts w:ascii="Times New Roman" w:eastAsia="Times New Roman" w:hAnsi="Times New Roman" w:cs="Times New Roman"/>
                <w:color w:val="000000"/>
                <w:sz w:val="20"/>
                <w:szCs w:val="20"/>
                <w14:ligatures w14:val="none"/>
              </w:rPr>
            </w:pPr>
            <w:r>
              <w:rPr>
                <w:rFonts w:ascii="Times New Roman" w:eastAsia="Times New Roman" w:hAnsi="Times New Roman" w:cs="Times New Roman"/>
                <w:color w:val="000000"/>
                <w:sz w:val="20"/>
                <w:szCs w:val="20"/>
                <w14:ligatures w14:val="none"/>
              </w:rPr>
              <w:t>4</w:t>
            </w:r>
          </w:p>
        </w:tc>
        <w:tc>
          <w:tcPr>
            <w:tcW w:w="0" w:type="dxa"/>
            <w:tcBorders>
              <w:top w:val="single" w:sz="4" w:space="0" w:color="auto"/>
              <w:left w:val="nil"/>
              <w:bottom w:val="nil"/>
              <w:right w:val="nil"/>
            </w:tcBorders>
            <w:noWrap/>
            <w:vAlign w:val="center"/>
          </w:tcPr>
          <w:p w14:paraId="4BE97795" w14:textId="7525BFD9" w:rsidR="00DF444C" w:rsidRPr="00DF444C" w:rsidRDefault="00DF444C" w:rsidP="00DF444C">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14:ligatures w14:val="none"/>
              </w:rPr>
            </w:pPr>
            <w:r w:rsidRPr="00DF444C">
              <w:rPr>
                <w:rFonts w:ascii="Times New Roman" w:eastAsia="Times New Roman" w:hAnsi="Times New Roman" w:cs="Times New Roman"/>
                <w:color w:val="000000"/>
                <w:sz w:val="20"/>
                <w:szCs w:val="20"/>
                <w14:ligatures w14:val="none"/>
              </w:rPr>
              <w:t>NMPy</w:t>
            </w:r>
          </w:p>
        </w:tc>
        <w:tc>
          <w:tcPr>
            <w:tcW w:w="0" w:type="dxa"/>
            <w:tcBorders>
              <w:top w:val="single" w:sz="4" w:space="0" w:color="auto"/>
              <w:left w:val="nil"/>
              <w:bottom w:val="nil"/>
              <w:right w:val="nil"/>
            </w:tcBorders>
            <w:noWrap/>
            <w:vAlign w:val="center"/>
          </w:tcPr>
          <w:p w14:paraId="569D7315" w14:textId="503BBC61" w:rsidR="00DF444C" w:rsidRPr="00DF444C" w:rsidRDefault="00DF444C" w:rsidP="00DF444C">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14:ligatures w14:val="none"/>
              </w:rPr>
            </w:pPr>
            <w:r w:rsidRPr="00DF444C">
              <w:rPr>
                <w:rFonts w:ascii="Times New Roman" w:eastAsia="Times New Roman" w:hAnsi="Times New Roman" w:cs="Times New Roman"/>
                <w:color w:val="000000"/>
                <w:sz w:val="20"/>
                <w:szCs w:val="20"/>
                <w14:ligatures w14:val="none"/>
              </w:rPr>
              <w:t>2</w:t>
            </w:r>
          </w:p>
        </w:tc>
        <w:tc>
          <w:tcPr>
            <w:tcW w:w="0" w:type="dxa"/>
            <w:tcBorders>
              <w:top w:val="single" w:sz="4" w:space="0" w:color="auto"/>
              <w:left w:val="nil"/>
              <w:bottom w:val="nil"/>
              <w:right w:val="nil"/>
            </w:tcBorders>
            <w:noWrap/>
            <w:vAlign w:val="center"/>
          </w:tcPr>
          <w:p w14:paraId="7154D24E" w14:textId="1709A6DD" w:rsidR="00DF444C" w:rsidRPr="00DF444C" w:rsidRDefault="00DF444C" w:rsidP="00DF444C">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14:ligatures w14:val="none"/>
              </w:rPr>
            </w:pPr>
            <w:r w:rsidRPr="00DF444C">
              <w:rPr>
                <w:rFonts w:ascii="Times New Roman" w:eastAsia="Times New Roman" w:hAnsi="Times New Roman" w:cs="Times New Roman"/>
                <w:color w:val="000000"/>
                <w:sz w:val="20"/>
                <w:szCs w:val="20"/>
                <w14:ligatures w14:val="none"/>
              </w:rPr>
              <w:t>60</w:t>
            </w:r>
          </w:p>
        </w:tc>
        <w:tc>
          <w:tcPr>
            <w:tcW w:w="0" w:type="dxa"/>
            <w:tcBorders>
              <w:top w:val="single" w:sz="4" w:space="0" w:color="auto"/>
              <w:left w:val="nil"/>
              <w:bottom w:val="nil"/>
              <w:right w:val="nil"/>
            </w:tcBorders>
            <w:noWrap/>
            <w:vAlign w:val="center"/>
          </w:tcPr>
          <w:p w14:paraId="5E14E6D5" w14:textId="41144305" w:rsidR="00DF444C" w:rsidRPr="00DF444C" w:rsidRDefault="00DF444C" w:rsidP="00DF444C">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14:ligatures w14:val="none"/>
              </w:rPr>
            </w:pPr>
            <w:r w:rsidRPr="00DF444C">
              <w:rPr>
                <w:rFonts w:ascii="Times New Roman" w:eastAsia="Times New Roman" w:hAnsi="Times New Roman" w:cs="Times New Roman"/>
                <w:color w:val="000000"/>
                <w:sz w:val="20"/>
                <w:szCs w:val="20"/>
                <w14:ligatures w14:val="none"/>
              </w:rPr>
              <w:t xml:space="preserve">74 </w:t>
            </w:r>
          </w:p>
        </w:tc>
        <w:tc>
          <w:tcPr>
            <w:tcW w:w="0" w:type="dxa"/>
            <w:tcBorders>
              <w:top w:val="single" w:sz="4" w:space="0" w:color="auto"/>
              <w:left w:val="nil"/>
              <w:bottom w:val="nil"/>
              <w:right w:val="nil"/>
            </w:tcBorders>
            <w:noWrap/>
            <w:vAlign w:val="center"/>
          </w:tcPr>
          <w:p w14:paraId="62E853D1" w14:textId="3584584E" w:rsidR="00DF444C" w:rsidRPr="00DF444C" w:rsidRDefault="00DF444C" w:rsidP="00DF444C">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14:ligatures w14:val="none"/>
              </w:rPr>
            </w:pPr>
            <w:r w:rsidRPr="00DF444C">
              <w:rPr>
                <w:rFonts w:ascii="Times New Roman" w:eastAsia="Times New Roman" w:hAnsi="Times New Roman" w:cs="Times New Roman"/>
                <w:color w:val="000000"/>
                <w:sz w:val="20"/>
                <w:szCs w:val="20"/>
                <w14:ligatures w14:val="none"/>
              </w:rPr>
              <w:t xml:space="preserve">30 </w:t>
            </w:r>
          </w:p>
        </w:tc>
        <w:tc>
          <w:tcPr>
            <w:tcW w:w="0" w:type="dxa"/>
            <w:tcBorders>
              <w:top w:val="single" w:sz="4" w:space="0" w:color="auto"/>
              <w:left w:val="nil"/>
              <w:bottom w:val="nil"/>
              <w:right w:val="nil"/>
            </w:tcBorders>
            <w:noWrap/>
            <w:vAlign w:val="center"/>
          </w:tcPr>
          <w:p w14:paraId="05E45BFC" w14:textId="5E4E6D9C" w:rsidR="00DF444C" w:rsidRPr="00DF444C" w:rsidRDefault="00DF444C" w:rsidP="00DF444C">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14:ligatures w14:val="none"/>
              </w:rPr>
            </w:pPr>
            <w:r w:rsidRPr="00DF444C">
              <w:rPr>
                <w:rFonts w:ascii="Times New Roman" w:eastAsia="Times New Roman" w:hAnsi="Times New Roman" w:cs="Times New Roman"/>
                <w:color w:val="000000"/>
                <w:sz w:val="20"/>
                <w:szCs w:val="20"/>
                <w14:ligatures w14:val="none"/>
              </w:rPr>
              <w:t xml:space="preserve">70 </w:t>
            </w:r>
          </w:p>
        </w:tc>
        <w:tc>
          <w:tcPr>
            <w:tcW w:w="0" w:type="dxa"/>
            <w:tcBorders>
              <w:top w:val="single" w:sz="4" w:space="0" w:color="auto"/>
              <w:left w:val="nil"/>
              <w:bottom w:val="nil"/>
              <w:right w:val="nil"/>
            </w:tcBorders>
            <w:vAlign w:val="center"/>
          </w:tcPr>
          <w:p w14:paraId="24A98AF8" w14:textId="7ECB15B4" w:rsidR="00DF444C" w:rsidRPr="00DF444C" w:rsidRDefault="00DF444C" w:rsidP="00DF444C">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14:ligatures w14:val="none"/>
              </w:rPr>
            </w:pPr>
            <w:r w:rsidRPr="00DF444C">
              <w:rPr>
                <w:rFonts w:ascii="Times New Roman" w:eastAsia="Times New Roman" w:hAnsi="Times New Roman" w:cs="Times New Roman"/>
                <w:color w:val="000000"/>
                <w:sz w:val="20"/>
                <w:szCs w:val="20"/>
                <w14:ligatures w14:val="none"/>
              </w:rPr>
              <w:t>22</w:t>
            </w:r>
          </w:p>
        </w:tc>
      </w:tr>
      <w:tr w:rsidR="00DF444C" w:rsidRPr="00A505AF" w14:paraId="63659247" w14:textId="77777777" w:rsidTr="00BF3014">
        <w:trPr>
          <w:trHeight w:val="300"/>
          <w:jc w:val="center"/>
        </w:trPr>
        <w:tc>
          <w:tcPr>
            <w:cnfStyle w:val="001000000000" w:firstRow="0" w:lastRow="0" w:firstColumn="1" w:lastColumn="0" w:oddVBand="0" w:evenVBand="0" w:oddHBand="0" w:evenHBand="0" w:firstRowFirstColumn="0" w:firstRowLastColumn="0" w:lastRowFirstColumn="0" w:lastRowLastColumn="0"/>
            <w:tcW w:w="0" w:type="dxa"/>
            <w:tcBorders>
              <w:top w:val="nil"/>
              <w:left w:val="nil"/>
              <w:bottom w:val="single" w:sz="4" w:space="0" w:color="auto"/>
              <w:right w:val="nil"/>
            </w:tcBorders>
            <w:noWrap/>
            <w:vAlign w:val="center"/>
          </w:tcPr>
          <w:p w14:paraId="4DE65D6E" w14:textId="591BB514" w:rsidR="00DF444C" w:rsidRDefault="00DF444C" w:rsidP="00DF444C">
            <w:pPr>
              <w:spacing w:after="0" w:line="240" w:lineRule="auto"/>
              <w:jc w:val="center"/>
              <w:rPr>
                <w:rFonts w:ascii="Times New Roman" w:eastAsia="Times New Roman" w:hAnsi="Times New Roman" w:cs="Times New Roman"/>
                <w:color w:val="000000"/>
                <w:sz w:val="20"/>
                <w:szCs w:val="20"/>
                <w14:ligatures w14:val="none"/>
              </w:rPr>
            </w:pPr>
            <w:r>
              <w:rPr>
                <w:rFonts w:ascii="Times New Roman" w:eastAsia="Times New Roman" w:hAnsi="Times New Roman" w:cs="Times New Roman"/>
                <w:color w:val="000000"/>
                <w:sz w:val="20"/>
                <w:szCs w:val="20"/>
                <w14:ligatures w14:val="none"/>
              </w:rPr>
              <w:t>5</w:t>
            </w:r>
          </w:p>
        </w:tc>
        <w:tc>
          <w:tcPr>
            <w:tcW w:w="0" w:type="dxa"/>
            <w:tcBorders>
              <w:top w:val="nil"/>
              <w:left w:val="nil"/>
              <w:bottom w:val="single" w:sz="4" w:space="0" w:color="auto"/>
              <w:right w:val="nil"/>
            </w:tcBorders>
            <w:noWrap/>
            <w:vAlign w:val="center"/>
          </w:tcPr>
          <w:p w14:paraId="199B1177" w14:textId="15417411" w:rsidR="00DF444C" w:rsidRPr="00DF444C" w:rsidRDefault="00DF444C" w:rsidP="00DF444C">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14:ligatures w14:val="none"/>
              </w:rPr>
            </w:pPr>
            <w:r w:rsidRPr="00DF444C">
              <w:rPr>
                <w:rFonts w:ascii="Times New Roman" w:eastAsia="Times New Roman" w:hAnsi="Times New Roman" w:cs="Times New Roman"/>
                <w:color w:val="000000"/>
                <w:sz w:val="20"/>
                <w:szCs w:val="20"/>
                <w14:ligatures w14:val="none"/>
              </w:rPr>
              <w:t>NMPy</w:t>
            </w:r>
          </w:p>
        </w:tc>
        <w:tc>
          <w:tcPr>
            <w:tcW w:w="0" w:type="dxa"/>
            <w:tcBorders>
              <w:top w:val="nil"/>
              <w:left w:val="nil"/>
              <w:bottom w:val="single" w:sz="4" w:space="0" w:color="auto"/>
              <w:right w:val="nil"/>
            </w:tcBorders>
            <w:noWrap/>
            <w:vAlign w:val="center"/>
          </w:tcPr>
          <w:p w14:paraId="6CF9C729" w14:textId="4273F615" w:rsidR="00DF444C" w:rsidRPr="00DF444C" w:rsidRDefault="00DF444C" w:rsidP="00DF444C">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14:ligatures w14:val="none"/>
              </w:rPr>
            </w:pPr>
            <w:r w:rsidRPr="00DF444C">
              <w:rPr>
                <w:rFonts w:ascii="Times New Roman" w:eastAsia="Times New Roman" w:hAnsi="Times New Roman" w:cs="Times New Roman"/>
                <w:color w:val="000000"/>
                <w:sz w:val="20"/>
                <w:szCs w:val="20"/>
                <w14:ligatures w14:val="none"/>
              </w:rPr>
              <w:t>7</w:t>
            </w:r>
          </w:p>
        </w:tc>
        <w:tc>
          <w:tcPr>
            <w:tcW w:w="0" w:type="dxa"/>
            <w:tcBorders>
              <w:top w:val="nil"/>
              <w:left w:val="nil"/>
              <w:bottom w:val="single" w:sz="4" w:space="0" w:color="auto"/>
              <w:right w:val="nil"/>
            </w:tcBorders>
            <w:noWrap/>
            <w:vAlign w:val="center"/>
          </w:tcPr>
          <w:p w14:paraId="455A744B" w14:textId="41655719" w:rsidR="00DF444C" w:rsidRPr="00DF444C" w:rsidRDefault="00DF444C" w:rsidP="00DF444C">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14:ligatures w14:val="none"/>
              </w:rPr>
            </w:pPr>
            <w:r w:rsidRPr="00DF444C">
              <w:rPr>
                <w:rFonts w:ascii="Times New Roman" w:eastAsia="Times New Roman" w:hAnsi="Times New Roman" w:cs="Times New Roman"/>
                <w:color w:val="000000"/>
                <w:sz w:val="20"/>
                <w:szCs w:val="20"/>
                <w14:ligatures w14:val="none"/>
              </w:rPr>
              <w:t>60</w:t>
            </w:r>
          </w:p>
        </w:tc>
        <w:tc>
          <w:tcPr>
            <w:tcW w:w="0" w:type="dxa"/>
            <w:tcBorders>
              <w:top w:val="nil"/>
              <w:left w:val="nil"/>
              <w:bottom w:val="single" w:sz="4" w:space="0" w:color="auto"/>
              <w:right w:val="nil"/>
            </w:tcBorders>
            <w:noWrap/>
            <w:vAlign w:val="center"/>
          </w:tcPr>
          <w:p w14:paraId="3A2C3996" w14:textId="19607895" w:rsidR="00DF444C" w:rsidRPr="00DF444C" w:rsidRDefault="00DF444C" w:rsidP="00DF444C">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14:ligatures w14:val="none"/>
              </w:rPr>
            </w:pPr>
            <w:r>
              <w:rPr>
                <w:rFonts w:ascii="Times New Roman" w:eastAsia="Times New Roman" w:hAnsi="Times New Roman" w:cs="Times New Roman"/>
                <w:color w:val="000000"/>
                <w:sz w:val="20"/>
                <w:szCs w:val="20"/>
                <w14:ligatures w14:val="none"/>
              </w:rPr>
              <w:t>1</w:t>
            </w:r>
            <w:r w:rsidRPr="00DF444C">
              <w:rPr>
                <w:rFonts w:ascii="Times New Roman" w:eastAsia="Times New Roman" w:hAnsi="Times New Roman" w:cs="Times New Roman"/>
                <w:color w:val="000000"/>
                <w:sz w:val="20"/>
                <w:szCs w:val="20"/>
                <w14:ligatures w14:val="none"/>
              </w:rPr>
              <w:t>00</w:t>
            </w:r>
          </w:p>
        </w:tc>
        <w:tc>
          <w:tcPr>
            <w:tcW w:w="0" w:type="dxa"/>
            <w:tcBorders>
              <w:top w:val="nil"/>
              <w:left w:val="nil"/>
              <w:bottom w:val="single" w:sz="4" w:space="0" w:color="auto"/>
              <w:right w:val="nil"/>
            </w:tcBorders>
            <w:noWrap/>
            <w:vAlign w:val="center"/>
          </w:tcPr>
          <w:p w14:paraId="4DAA0F40" w14:textId="69B2FC39" w:rsidR="00DF444C" w:rsidRPr="00DF444C" w:rsidRDefault="00DF444C" w:rsidP="00DF444C">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14:ligatures w14:val="none"/>
              </w:rPr>
            </w:pPr>
            <w:r w:rsidRPr="00DF444C">
              <w:rPr>
                <w:rFonts w:ascii="Times New Roman" w:eastAsia="Times New Roman" w:hAnsi="Times New Roman" w:cs="Times New Roman"/>
                <w:color w:val="000000"/>
                <w:sz w:val="20"/>
                <w:szCs w:val="20"/>
                <w14:ligatures w14:val="none"/>
              </w:rPr>
              <w:t>85</w:t>
            </w:r>
          </w:p>
        </w:tc>
        <w:tc>
          <w:tcPr>
            <w:tcW w:w="0" w:type="dxa"/>
            <w:tcBorders>
              <w:top w:val="nil"/>
              <w:left w:val="nil"/>
              <w:bottom w:val="single" w:sz="4" w:space="0" w:color="auto"/>
              <w:right w:val="nil"/>
            </w:tcBorders>
            <w:noWrap/>
            <w:vAlign w:val="center"/>
          </w:tcPr>
          <w:p w14:paraId="1017E956" w14:textId="0CA7F980" w:rsidR="00DF444C" w:rsidRPr="00DF444C" w:rsidRDefault="00DF444C" w:rsidP="00DF444C">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14:ligatures w14:val="none"/>
              </w:rPr>
            </w:pPr>
            <w:r w:rsidRPr="00DF444C">
              <w:rPr>
                <w:rFonts w:ascii="Times New Roman" w:eastAsia="Times New Roman" w:hAnsi="Times New Roman" w:cs="Times New Roman"/>
                <w:color w:val="000000"/>
                <w:sz w:val="20"/>
                <w:szCs w:val="20"/>
                <w14:ligatures w14:val="none"/>
              </w:rPr>
              <w:t>15</w:t>
            </w:r>
          </w:p>
        </w:tc>
        <w:tc>
          <w:tcPr>
            <w:tcW w:w="0" w:type="dxa"/>
            <w:tcBorders>
              <w:top w:val="nil"/>
              <w:left w:val="nil"/>
              <w:bottom w:val="single" w:sz="4" w:space="0" w:color="auto"/>
              <w:right w:val="nil"/>
            </w:tcBorders>
            <w:vAlign w:val="center"/>
          </w:tcPr>
          <w:p w14:paraId="005F4EFB" w14:textId="42D7658A" w:rsidR="00DF444C" w:rsidRPr="00DF444C" w:rsidRDefault="00DF444C" w:rsidP="00DF444C">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14:ligatures w14:val="none"/>
              </w:rPr>
            </w:pPr>
            <w:r w:rsidRPr="00DF444C">
              <w:rPr>
                <w:rFonts w:ascii="Times New Roman" w:eastAsia="Times New Roman" w:hAnsi="Times New Roman" w:cs="Times New Roman"/>
                <w:color w:val="000000"/>
                <w:sz w:val="20"/>
                <w:szCs w:val="20"/>
                <w14:ligatures w14:val="none"/>
              </w:rPr>
              <w:t>8</w:t>
            </w:r>
            <w:r>
              <w:rPr>
                <w:rFonts w:ascii="Times New Roman" w:eastAsia="Times New Roman" w:hAnsi="Times New Roman" w:cs="Times New Roman"/>
                <w:color w:val="000000"/>
                <w:sz w:val="20"/>
                <w:szCs w:val="20"/>
                <w14:ligatures w14:val="none"/>
              </w:rPr>
              <w:t>5</w:t>
            </w:r>
          </w:p>
        </w:tc>
      </w:tr>
      <w:tr w:rsidR="00DF444C" w:rsidRPr="00A505AF" w14:paraId="4932C793" w14:textId="77777777" w:rsidTr="00BF3014">
        <w:trPr>
          <w:trHeight w:val="300"/>
          <w:jc w:val="center"/>
        </w:trPr>
        <w:tc>
          <w:tcPr>
            <w:cnfStyle w:val="001000000000" w:firstRow="0" w:lastRow="0" w:firstColumn="1" w:lastColumn="0" w:oddVBand="0" w:evenVBand="0" w:oddHBand="0" w:evenHBand="0" w:firstRowFirstColumn="0" w:firstRowLastColumn="0" w:lastRowFirstColumn="0" w:lastRowLastColumn="0"/>
            <w:tcW w:w="0" w:type="dxa"/>
            <w:tcBorders>
              <w:top w:val="single" w:sz="4" w:space="0" w:color="auto"/>
              <w:left w:val="nil"/>
              <w:bottom w:val="nil"/>
              <w:right w:val="nil"/>
            </w:tcBorders>
            <w:noWrap/>
            <w:vAlign w:val="center"/>
            <w:hideMark/>
          </w:tcPr>
          <w:p w14:paraId="5182825E" w14:textId="40C10B9A" w:rsidR="00DF444C" w:rsidRPr="00DF444C" w:rsidRDefault="00DF444C" w:rsidP="00DF444C">
            <w:pPr>
              <w:spacing w:after="0" w:line="240" w:lineRule="auto"/>
              <w:jc w:val="center"/>
              <w:rPr>
                <w:rFonts w:ascii="Times New Roman" w:eastAsia="Times New Roman" w:hAnsi="Times New Roman" w:cs="Times New Roman"/>
                <w:color w:val="000000"/>
                <w:sz w:val="20"/>
                <w:szCs w:val="20"/>
                <w14:ligatures w14:val="none"/>
              </w:rPr>
            </w:pPr>
            <w:r>
              <w:rPr>
                <w:rFonts w:ascii="Times New Roman" w:eastAsia="Times New Roman" w:hAnsi="Times New Roman" w:cs="Times New Roman"/>
                <w:color w:val="000000"/>
                <w:sz w:val="20"/>
                <w:szCs w:val="20"/>
                <w14:ligatures w14:val="none"/>
              </w:rPr>
              <w:t>6</w:t>
            </w:r>
          </w:p>
        </w:tc>
        <w:tc>
          <w:tcPr>
            <w:tcW w:w="0" w:type="dxa"/>
            <w:tcBorders>
              <w:top w:val="single" w:sz="4" w:space="0" w:color="auto"/>
              <w:left w:val="nil"/>
              <w:bottom w:val="nil"/>
              <w:right w:val="nil"/>
            </w:tcBorders>
            <w:noWrap/>
            <w:vAlign w:val="center"/>
          </w:tcPr>
          <w:p w14:paraId="16D0371A" w14:textId="5E0160C5" w:rsidR="00DF444C" w:rsidRPr="00DF444C" w:rsidRDefault="00DF444C" w:rsidP="00DF444C">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14:ligatures w14:val="none"/>
              </w:rPr>
            </w:pPr>
            <w:r w:rsidRPr="00DF444C">
              <w:rPr>
                <w:rFonts w:ascii="Times New Roman" w:eastAsia="Times New Roman" w:hAnsi="Times New Roman" w:cs="Times New Roman"/>
                <w:color w:val="000000"/>
                <w:sz w:val="20"/>
                <w:szCs w:val="20"/>
                <w14:ligatures w14:val="none"/>
              </w:rPr>
              <w:t>TBD</w:t>
            </w:r>
          </w:p>
        </w:tc>
        <w:tc>
          <w:tcPr>
            <w:tcW w:w="0" w:type="dxa"/>
            <w:tcBorders>
              <w:top w:val="single" w:sz="4" w:space="0" w:color="auto"/>
              <w:left w:val="nil"/>
              <w:bottom w:val="nil"/>
              <w:right w:val="nil"/>
            </w:tcBorders>
            <w:noWrap/>
            <w:vAlign w:val="center"/>
          </w:tcPr>
          <w:p w14:paraId="4CDEA9F3" w14:textId="75EA3E47" w:rsidR="00DF444C" w:rsidRPr="00DF444C" w:rsidRDefault="00DF444C" w:rsidP="00DF444C">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14:ligatures w14:val="none"/>
              </w:rPr>
            </w:pPr>
            <w:r w:rsidRPr="00DF444C">
              <w:rPr>
                <w:rFonts w:ascii="Times New Roman" w:eastAsia="Times New Roman" w:hAnsi="Times New Roman" w:cs="Times New Roman"/>
                <w:color w:val="000000"/>
                <w:sz w:val="20"/>
                <w:szCs w:val="20"/>
                <w14:ligatures w14:val="none"/>
              </w:rPr>
              <w:t>2</w:t>
            </w:r>
          </w:p>
        </w:tc>
        <w:tc>
          <w:tcPr>
            <w:tcW w:w="0" w:type="dxa"/>
            <w:tcBorders>
              <w:top w:val="single" w:sz="4" w:space="0" w:color="auto"/>
              <w:left w:val="nil"/>
              <w:bottom w:val="nil"/>
              <w:right w:val="nil"/>
            </w:tcBorders>
            <w:noWrap/>
            <w:vAlign w:val="center"/>
          </w:tcPr>
          <w:p w14:paraId="152AB063" w14:textId="36642C65" w:rsidR="00DF444C" w:rsidRPr="00DF444C" w:rsidRDefault="00DF444C" w:rsidP="00DF444C">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14:ligatures w14:val="none"/>
              </w:rPr>
            </w:pPr>
            <w:r w:rsidRPr="00DF444C">
              <w:rPr>
                <w:rFonts w:ascii="Times New Roman" w:eastAsia="Times New Roman" w:hAnsi="Times New Roman" w:cs="Times New Roman"/>
                <w:color w:val="000000"/>
                <w:sz w:val="20"/>
                <w:szCs w:val="20"/>
                <w14:ligatures w14:val="none"/>
              </w:rPr>
              <w:t>60</w:t>
            </w:r>
          </w:p>
        </w:tc>
        <w:tc>
          <w:tcPr>
            <w:tcW w:w="0" w:type="dxa"/>
            <w:tcBorders>
              <w:top w:val="single" w:sz="4" w:space="0" w:color="auto"/>
              <w:left w:val="nil"/>
              <w:bottom w:val="nil"/>
              <w:right w:val="nil"/>
            </w:tcBorders>
            <w:noWrap/>
            <w:vAlign w:val="center"/>
          </w:tcPr>
          <w:p w14:paraId="21BD8907" w14:textId="3C07E93F" w:rsidR="00DF444C" w:rsidRPr="00DF444C" w:rsidRDefault="00DF444C" w:rsidP="00DF444C">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14:ligatures w14:val="none"/>
              </w:rPr>
            </w:pPr>
            <w:r w:rsidRPr="00DF444C">
              <w:rPr>
                <w:rFonts w:ascii="Times New Roman" w:eastAsia="Times New Roman" w:hAnsi="Times New Roman" w:cs="Times New Roman"/>
                <w:color w:val="000000"/>
                <w:sz w:val="20"/>
                <w:szCs w:val="20"/>
                <w14:ligatures w14:val="none"/>
              </w:rPr>
              <w:t>62</w:t>
            </w:r>
          </w:p>
        </w:tc>
        <w:tc>
          <w:tcPr>
            <w:tcW w:w="0" w:type="dxa"/>
            <w:tcBorders>
              <w:top w:val="single" w:sz="4" w:space="0" w:color="auto"/>
              <w:left w:val="nil"/>
              <w:bottom w:val="nil"/>
              <w:right w:val="nil"/>
            </w:tcBorders>
            <w:noWrap/>
            <w:vAlign w:val="center"/>
          </w:tcPr>
          <w:p w14:paraId="7F3E9AD2" w14:textId="7DA5FF21" w:rsidR="00DF444C" w:rsidRPr="00DF444C" w:rsidRDefault="00DF444C" w:rsidP="00DF444C">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14:ligatures w14:val="none"/>
              </w:rPr>
            </w:pPr>
            <w:r w:rsidRPr="00DF444C">
              <w:rPr>
                <w:rFonts w:ascii="Times New Roman" w:eastAsia="Times New Roman" w:hAnsi="Times New Roman" w:cs="Times New Roman"/>
                <w:color w:val="000000"/>
                <w:sz w:val="20"/>
                <w:szCs w:val="20"/>
                <w14:ligatures w14:val="none"/>
              </w:rPr>
              <w:t>23</w:t>
            </w:r>
          </w:p>
        </w:tc>
        <w:tc>
          <w:tcPr>
            <w:tcW w:w="0" w:type="dxa"/>
            <w:tcBorders>
              <w:top w:val="single" w:sz="4" w:space="0" w:color="auto"/>
              <w:left w:val="nil"/>
              <w:bottom w:val="nil"/>
              <w:right w:val="nil"/>
            </w:tcBorders>
            <w:noWrap/>
            <w:vAlign w:val="center"/>
          </w:tcPr>
          <w:p w14:paraId="1FC65CDB" w14:textId="7AA0720C" w:rsidR="00DF444C" w:rsidRPr="00DF444C" w:rsidRDefault="00DF444C" w:rsidP="00DF444C">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14:ligatures w14:val="none"/>
              </w:rPr>
            </w:pPr>
            <w:r w:rsidRPr="00DF444C">
              <w:rPr>
                <w:rFonts w:ascii="Times New Roman" w:eastAsia="Times New Roman" w:hAnsi="Times New Roman" w:cs="Times New Roman"/>
                <w:color w:val="000000"/>
                <w:sz w:val="20"/>
                <w:szCs w:val="20"/>
                <w14:ligatures w14:val="none"/>
              </w:rPr>
              <w:t>77</w:t>
            </w:r>
          </w:p>
        </w:tc>
        <w:tc>
          <w:tcPr>
            <w:tcW w:w="0" w:type="dxa"/>
            <w:tcBorders>
              <w:top w:val="single" w:sz="4" w:space="0" w:color="auto"/>
              <w:left w:val="nil"/>
              <w:bottom w:val="nil"/>
              <w:right w:val="nil"/>
            </w:tcBorders>
            <w:vAlign w:val="center"/>
          </w:tcPr>
          <w:p w14:paraId="17E50D0F" w14:textId="53C76CE4" w:rsidR="00DF444C" w:rsidRPr="00DF444C" w:rsidRDefault="00DF444C" w:rsidP="00DF444C">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14:ligatures w14:val="none"/>
              </w:rPr>
            </w:pPr>
            <w:r w:rsidRPr="00DF444C">
              <w:rPr>
                <w:rFonts w:ascii="Times New Roman" w:eastAsia="Times New Roman" w:hAnsi="Times New Roman" w:cs="Times New Roman"/>
                <w:color w:val="000000"/>
                <w:sz w:val="20"/>
                <w:szCs w:val="20"/>
                <w14:ligatures w14:val="none"/>
              </w:rPr>
              <w:t>14</w:t>
            </w:r>
          </w:p>
        </w:tc>
      </w:tr>
      <w:tr w:rsidR="00DF444C" w:rsidRPr="00A505AF" w14:paraId="4EFE0B07" w14:textId="77777777" w:rsidTr="00420BF8">
        <w:trPr>
          <w:trHeight w:val="324"/>
          <w:jc w:val="center"/>
        </w:trPr>
        <w:tc>
          <w:tcPr>
            <w:cnfStyle w:val="001000000000" w:firstRow="0" w:lastRow="0" w:firstColumn="1" w:lastColumn="0" w:oddVBand="0" w:evenVBand="0" w:oddHBand="0" w:evenHBand="0" w:firstRowFirstColumn="0" w:firstRowLastColumn="0" w:lastRowFirstColumn="0" w:lastRowLastColumn="0"/>
            <w:tcW w:w="421" w:type="dxa"/>
            <w:tcBorders>
              <w:top w:val="nil"/>
              <w:left w:val="nil"/>
              <w:bottom w:val="nil"/>
              <w:right w:val="nil"/>
            </w:tcBorders>
            <w:noWrap/>
            <w:vAlign w:val="center"/>
            <w:hideMark/>
          </w:tcPr>
          <w:p w14:paraId="3C1F250C" w14:textId="5CBDBC36" w:rsidR="00DF444C" w:rsidRPr="00DF444C" w:rsidRDefault="00DF444C" w:rsidP="00DF444C">
            <w:pPr>
              <w:spacing w:after="0" w:line="240" w:lineRule="auto"/>
              <w:jc w:val="center"/>
              <w:rPr>
                <w:rFonts w:ascii="Times New Roman" w:eastAsia="Times New Roman" w:hAnsi="Times New Roman" w:cs="Times New Roman"/>
                <w:color w:val="000000"/>
                <w:sz w:val="20"/>
                <w:szCs w:val="20"/>
                <w14:ligatures w14:val="none"/>
              </w:rPr>
            </w:pPr>
            <w:r>
              <w:rPr>
                <w:rFonts w:ascii="Times New Roman" w:eastAsia="Times New Roman" w:hAnsi="Times New Roman" w:cs="Times New Roman"/>
                <w:color w:val="000000"/>
                <w:sz w:val="20"/>
                <w:szCs w:val="20"/>
                <w14:ligatures w14:val="none"/>
              </w:rPr>
              <w:t>7</w:t>
            </w:r>
          </w:p>
        </w:tc>
        <w:tc>
          <w:tcPr>
            <w:tcW w:w="1093" w:type="dxa"/>
            <w:tcBorders>
              <w:top w:val="nil"/>
              <w:left w:val="nil"/>
              <w:bottom w:val="nil"/>
              <w:right w:val="nil"/>
            </w:tcBorders>
            <w:noWrap/>
            <w:vAlign w:val="center"/>
          </w:tcPr>
          <w:p w14:paraId="11DD249D" w14:textId="7E753EEE" w:rsidR="00DF444C" w:rsidRPr="00DF444C" w:rsidRDefault="00DF444C" w:rsidP="00DF444C">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14:ligatures w14:val="none"/>
              </w:rPr>
            </w:pPr>
            <w:r w:rsidRPr="00DF444C">
              <w:rPr>
                <w:rFonts w:ascii="Times New Roman" w:eastAsia="Times New Roman" w:hAnsi="Times New Roman" w:cs="Times New Roman"/>
                <w:color w:val="000000"/>
                <w:sz w:val="20"/>
                <w:szCs w:val="20"/>
                <w14:ligatures w14:val="none"/>
              </w:rPr>
              <w:t>DBU</w:t>
            </w:r>
          </w:p>
        </w:tc>
        <w:tc>
          <w:tcPr>
            <w:tcW w:w="850" w:type="dxa"/>
            <w:tcBorders>
              <w:top w:val="nil"/>
              <w:left w:val="nil"/>
              <w:bottom w:val="nil"/>
              <w:right w:val="nil"/>
            </w:tcBorders>
            <w:noWrap/>
            <w:vAlign w:val="center"/>
          </w:tcPr>
          <w:p w14:paraId="6BD25A0C" w14:textId="72FC2BDD" w:rsidR="00DF444C" w:rsidRPr="00DF444C" w:rsidRDefault="00DF444C" w:rsidP="00DF444C">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14:ligatures w14:val="none"/>
              </w:rPr>
            </w:pPr>
            <w:r w:rsidRPr="00DF444C">
              <w:rPr>
                <w:rFonts w:ascii="Times New Roman" w:eastAsia="Times New Roman" w:hAnsi="Times New Roman" w:cs="Times New Roman"/>
                <w:color w:val="000000"/>
                <w:sz w:val="20"/>
                <w:szCs w:val="20"/>
                <w14:ligatures w14:val="none"/>
              </w:rPr>
              <w:t>2</w:t>
            </w:r>
          </w:p>
        </w:tc>
        <w:tc>
          <w:tcPr>
            <w:tcW w:w="851" w:type="dxa"/>
            <w:tcBorders>
              <w:top w:val="nil"/>
              <w:left w:val="nil"/>
              <w:bottom w:val="nil"/>
              <w:right w:val="nil"/>
            </w:tcBorders>
            <w:noWrap/>
            <w:vAlign w:val="center"/>
          </w:tcPr>
          <w:p w14:paraId="7FD57558" w14:textId="4F2BC3C8" w:rsidR="00DF444C" w:rsidRPr="00DF444C" w:rsidRDefault="00DF444C" w:rsidP="00DF444C">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14:ligatures w14:val="none"/>
              </w:rPr>
            </w:pPr>
            <w:r w:rsidRPr="00DF444C">
              <w:rPr>
                <w:rFonts w:ascii="Times New Roman" w:eastAsia="Times New Roman" w:hAnsi="Times New Roman" w:cs="Times New Roman"/>
                <w:color w:val="000000"/>
                <w:sz w:val="20"/>
                <w:szCs w:val="20"/>
                <w14:ligatures w14:val="none"/>
              </w:rPr>
              <w:t>60</w:t>
            </w:r>
          </w:p>
        </w:tc>
        <w:tc>
          <w:tcPr>
            <w:tcW w:w="1000" w:type="dxa"/>
            <w:tcBorders>
              <w:top w:val="nil"/>
              <w:left w:val="nil"/>
              <w:bottom w:val="nil"/>
              <w:right w:val="nil"/>
            </w:tcBorders>
            <w:noWrap/>
            <w:vAlign w:val="center"/>
          </w:tcPr>
          <w:p w14:paraId="3B039BE4" w14:textId="5D02AB4B" w:rsidR="00DF444C" w:rsidRPr="00DF444C" w:rsidRDefault="00DF444C" w:rsidP="00DF444C">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14:ligatures w14:val="none"/>
              </w:rPr>
            </w:pPr>
            <w:r w:rsidRPr="00DF444C">
              <w:rPr>
                <w:rFonts w:ascii="Times New Roman" w:eastAsia="Times New Roman" w:hAnsi="Times New Roman" w:cs="Times New Roman"/>
                <w:color w:val="000000"/>
                <w:sz w:val="20"/>
                <w:szCs w:val="20"/>
                <w14:ligatures w14:val="none"/>
              </w:rPr>
              <w:t>28</w:t>
            </w:r>
          </w:p>
        </w:tc>
        <w:tc>
          <w:tcPr>
            <w:tcW w:w="1028" w:type="dxa"/>
            <w:tcBorders>
              <w:top w:val="nil"/>
              <w:left w:val="nil"/>
              <w:bottom w:val="nil"/>
              <w:right w:val="nil"/>
            </w:tcBorders>
            <w:noWrap/>
            <w:vAlign w:val="center"/>
          </w:tcPr>
          <w:p w14:paraId="14805B76" w14:textId="6439A107" w:rsidR="00DF444C" w:rsidRPr="00DF444C" w:rsidRDefault="00DF444C" w:rsidP="00DF444C">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14:ligatures w14:val="none"/>
              </w:rPr>
            </w:pPr>
            <w:r w:rsidRPr="00DF444C">
              <w:rPr>
                <w:rFonts w:ascii="Times New Roman" w:eastAsia="Times New Roman" w:hAnsi="Times New Roman" w:cs="Times New Roman"/>
                <w:color w:val="000000"/>
                <w:sz w:val="20"/>
                <w:szCs w:val="20"/>
                <w14:ligatures w14:val="none"/>
              </w:rPr>
              <w:t>10</w:t>
            </w:r>
          </w:p>
        </w:tc>
        <w:tc>
          <w:tcPr>
            <w:tcW w:w="1127" w:type="dxa"/>
            <w:tcBorders>
              <w:top w:val="nil"/>
              <w:left w:val="nil"/>
              <w:bottom w:val="nil"/>
              <w:right w:val="nil"/>
            </w:tcBorders>
            <w:noWrap/>
            <w:vAlign w:val="center"/>
          </w:tcPr>
          <w:p w14:paraId="1B418B58" w14:textId="78443369" w:rsidR="00DF444C" w:rsidRPr="00DF444C" w:rsidRDefault="00DF444C" w:rsidP="00DF444C">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14:ligatures w14:val="none"/>
              </w:rPr>
            </w:pPr>
            <w:r w:rsidRPr="00DF444C">
              <w:rPr>
                <w:rFonts w:ascii="Times New Roman" w:eastAsia="Times New Roman" w:hAnsi="Times New Roman" w:cs="Times New Roman"/>
                <w:color w:val="000000"/>
                <w:sz w:val="20"/>
                <w:szCs w:val="20"/>
                <w14:ligatures w14:val="none"/>
              </w:rPr>
              <w:t>90</w:t>
            </w:r>
          </w:p>
        </w:tc>
        <w:tc>
          <w:tcPr>
            <w:tcW w:w="1235" w:type="dxa"/>
            <w:tcBorders>
              <w:top w:val="nil"/>
              <w:left w:val="nil"/>
              <w:bottom w:val="nil"/>
              <w:right w:val="nil"/>
            </w:tcBorders>
            <w:vAlign w:val="center"/>
          </w:tcPr>
          <w:p w14:paraId="3C8B81C4" w14:textId="327A47F3" w:rsidR="00DF444C" w:rsidRPr="00DF444C" w:rsidRDefault="00DF444C" w:rsidP="00DF444C">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14:ligatures w14:val="none"/>
              </w:rPr>
            </w:pPr>
            <w:r w:rsidRPr="00DF444C">
              <w:rPr>
                <w:rFonts w:ascii="Times New Roman" w:eastAsia="Times New Roman" w:hAnsi="Times New Roman" w:cs="Times New Roman"/>
                <w:color w:val="000000"/>
                <w:sz w:val="20"/>
                <w:szCs w:val="20"/>
                <w14:ligatures w14:val="none"/>
              </w:rPr>
              <w:t>3</w:t>
            </w:r>
          </w:p>
        </w:tc>
      </w:tr>
      <w:tr w:rsidR="00DF444C" w:rsidRPr="00A505AF" w14:paraId="466A7270" w14:textId="77777777" w:rsidTr="00420BF8">
        <w:trPr>
          <w:trHeight w:val="300"/>
          <w:jc w:val="center"/>
        </w:trPr>
        <w:tc>
          <w:tcPr>
            <w:cnfStyle w:val="001000000000" w:firstRow="0" w:lastRow="0" w:firstColumn="1" w:lastColumn="0" w:oddVBand="0" w:evenVBand="0" w:oddHBand="0" w:evenHBand="0" w:firstRowFirstColumn="0" w:firstRowLastColumn="0" w:lastRowFirstColumn="0" w:lastRowLastColumn="0"/>
            <w:tcW w:w="421" w:type="dxa"/>
            <w:tcBorders>
              <w:top w:val="nil"/>
              <w:left w:val="nil"/>
              <w:bottom w:val="thinThickSmallGap" w:sz="24" w:space="0" w:color="auto"/>
              <w:right w:val="nil"/>
            </w:tcBorders>
            <w:noWrap/>
            <w:vAlign w:val="center"/>
            <w:hideMark/>
          </w:tcPr>
          <w:p w14:paraId="02F9E8AF" w14:textId="35924B32" w:rsidR="00DF444C" w:rsidRPr="00DF444C" w:rsidRDefault="00DF444C" w:rsidP="00DF444C">
            <w:pPr>
              <w:spacing w:after="0" w:line="240" w:lineRule="auto"/>
              <w:jc w:val="center"/>
              <w:rPr>
                <w:rFonts w:ascii="Times New Roman" w:eastAsia="Times New Roman" w:hAnsi="Times New Roman" w:cs="Times New Roman"/>
                <w:color w:val="000000"/>
                <w:sz w:val="20"/>
                <w:szCs w:val="20"/>
                <w14:ligatures w14:val="none"/>
              </w:rPr>
            </w:pPr>
            <w:r>
              <w:rPr>
                <w:rFonts w:ascii="Times New Roman" w:eastAsia="Times New Roman" w:hAnsi="Times New Roman" w:cs="Times New Roman"/>
                <w:color w:val="000000"/>
                <w:sz w:val="20"/>
                <w:szCs w:val="20"/>
                <w14:ligatures w14:val="none"/>
              </w:rPr>
              <w:t>8</w:t>
            </w:r>
          </w:p>
        </w:tc>
        <w:tc>
          <w:tcPr>
            <w:tcW w:w="1093" w:type="dxa"/>
            <w:tcBorders>
              <w:top w:val="nil"/>
              <w:left w:val="nil"/>
              <w:bottom w:val="thinThickSmallGap" w:sz="24" w:space="0" w:color="auto"/>
              <w:right w:val="nil"/>
            </w:tcBorders>
            <w:noWrap/>
            <w:vAlign w:val="center"/>
          </w:tcPr>
          <w:p w14:paraId="48602C95" w14:textId="1826F93D" w:rsidR="00DF444C" w:rsidRPr="00DF444C" w:rsidRDefault="00DF444C" w:rsidP="00DF444C">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14:ligatures w14:val="none"/>
              </w:rPr>
            </w:pPr>
            <w:r w:rsidRPr="00DF444C">
              <w:rPr>
                <w:rFonts w:ascii="Times New Roman" w:eastAsia="Times New Roman" w:hAnsi="Times New Roman" w:cs="Times New Roman"/>
                <w:color w:val="000000"/>
                <w:sz w:val="20"/>
                <w:szCs w:val="20"/>
                <w14:ligatures w14:val="none"/>
              </w:rPr>
              <w:t>DMAP</w:t>
            </w:r>
          </w:p>
        </w:tc>
        <w:tc>
          <w:tcPr>
            <w:tcW w:w="850" w:type="dxa"/>
            <w:tcBorders>
              <w:top w:val="nil"/>
              <w:left w:val="nil"/>
              <w:bottom w:val="thinThickSmallGap" w:sz="24" w:space="0" w:color="auto"/>
              <w:right w:val="nil"/>
            </w:tcBorders>
            <w:noWrap/>
            <w:vAlign w:val="center"/>
          </w:tcPr>
          <w:p w14:paraId="2C9B3403" w14:textId="2A346956" w:rsidR="00DF444C" w:rsidRPr="00DF444C" w:rsidRDefault="00DF444C" w:rsidP="00DF444C">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14:ligatures w14:val="none"/>
              </w:rPr>
            </w:pPr>
            <w:r w:rsidRPr="00DF444C">
              <w:rPr>
                <w:rFonts w:ascii="Times New Roman" w:eastAsia="Times New Roman" w:hAnsi="Times New Roman" w:cs="Times New Roman"/>
                <w:color w:val="000000"/>
                <w:sz w:val="20"/>
                <w:szCs w:val="20"/>
                <w14:ligatures w14:val="none"/>
              </w:rPr>
              <w:t>2</w:t>
            </w:r>
          </w:p>
        </w:tc>
        <w:tc>
          <w:tcPr>
            <w:tcW w:w="851" w:type="dxa"/>
            <w:tcBorders>
              <w:top w:val="nil"/>
              <w:left w:val="nil"/>
              <w:bottom w:val="thinThickSmallGap" w:sz="24" w:space="0" w:color="auto"/>
              <w:right w:val="nil"/>
            </w:tcBorders>
            <w:noWrap/>
            <w:vAlign w:val="center"/>
          </w:tcPr>
          <w:p w14:paraId="59272670" w14:textId="37B9C95B" w:rsidR="00DF444C" w:rsidRPr="00DF444C" w:rsidRDefault="00DF444C" w:rsidP="00DF444C">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14:ligatures w14:val="none"/>
              </w:rPr>
            </w:pPr>
            <w:r w:rsidRPr="00DF444C">
              <w:rPr>
                <w:rFonts w:ascii="Times New Roman" w:eastAsia="Times New Roman" w:hAnsi="Times New Roman" w:cs="Times New Roman"/>
                <w:color w:val="000000"/>
                <w:sz w:val="20"/>
                <w:szCs w:val="20"/>
                <w14:ligatures w14:val="none"/>
              </w:rPr>
              <w:t>60</w:t>
            </w:r>
          </w:p>
        </w:tc>
        <w:tc>
          <w:tcPr>
            <w:tcW w:w="1000" w:type="dxa"/>
            <w:tcBorders>
              <w:top w:val="nil"/>
              <w:left w:val="nil"/>
              <w:bottom w:val="thinThickSmallGap" w:sz="24" w:space="0" w:color="auto"/>
              <w:right w:val="nil"/>
            </w:tcBorders>
            <w:noWrap/>
            <w:vAlign w:val="center"/>
          </w:tcPr>
          <w:p w14:paraId="4DFA7E3D" w14:textId="6D6E7BFA" w:rsidR="00DF444C" w:rsidRPr="00DF444C" w:rsidRDefault="00DF444C" w:rsidP="00DF444C">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14:ligatures w14:val="none"/>
              </w:rPr>
            </w:pPr>
            <w:r w:rsidRPr="00DF444C">
              <w:rPr>
                <w:rFonts w:ascii="Times New Roman" w:eastAsia="Times New Roman" w:hAnsi="Times New Roman" w:cs="Times New Roman"/>
                <w:color w:val="000000"/>
                <w:sz w:val="20"/>
                <w:szCs w:val="20"/>
                <w14:ligatures w14:val="none"/>
              </w:rPr>
              <w:t>64</w:t>
            </w:r>
          </w:p>
        </w:tc>
        <w:tc>
          <w:tcPr>
            <w:tcW w:w="1028" w:type="dxa"/>
            <w:tcBorders>
              <w:top w:val="nil"/>
              <w:left w:val="nil"/>
              <w:bottom w:val="thinThickSmallGap" w:sz="24" w:space="0" w:color="auto"/>
              <w:right w:val="nil"/>
            </w:tcBorders>
            <w:noWrap/>
            <w:vAlign w:val="center"/>
          </w:tcPr>
          <w:p w14:paraId="1DC9C50D" w14:textId="11E3761E" w:rsidR="00DF444C" w:rsidRPr="00DF444C" w:rsidRDefault="00DF444C" w:rsidP="00DF444C">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14:ligatures w14:val="none"/>
              </w:rPr>
            </w:pPr>
            <w:r w:rsidRPr="00DF444C">
              <w:rPr>
                <w:rFonts w:ascii="Times New Roman" w:eastAsia="Times New Roman" w:hAnsi="Times New Roman" w:cs="Times New Roman"/>
                <w:color w:val="000000"/>
                <w:sz w:val="20"/>
                <w:szCs w:val="20"/>
                <w14:ligatures w14:val="none"/>
              </w:rPr>
              <w:t>22</w:t>
            </w:r>
          </w:p>
        </w:tc>
        <w:tc>
          <w:tcPr>
            <w:tcW w:w="1127" w:type="dxa"/>
            <w:tcBorders>
              <w:top w:val="nil"/>
              <w:left w:val="nil"/>
              <w:bottom w:val="thinThickSmallGap" w:sz="24" w:space="0" w:color="auto"/>
              <w:right w:val="nil"/>
            </w:tcBorders>
            <w:noWrap/>
            <w:vAlign w:val="center"/>
          </w:tcPr>
          <w:p w14:paraId="609943DC" w14:textId="6B75497D" w:rsidR="00DF444C" w:rsidRPr="00DF444C" w:rsidRDefault="00DF444C" w:rsidP="00DF444C">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14:ligatures w14:val="none"/>
              </w:rPr>
            </w:pPr>
            <w:r w:rsidRPr="00DF444C">
              <w:rPr>
                <w:rFonts w:ascii="Times New Roman" w:eastAsia="Times New Roman" w:hAnsi="Times New Roman" w:cs="Times New Roman"/>
                <w:color w:val="000000"/>
                <w:sz w:val="20"/>
                <w:szCs w:val="20"/>
                <w14:ligatures w14:val="none"/>
              </w:rPr>
              <w:t>78</w:t>
            </w:r>
          </w:p>
        </w:tc>
        <w:tc>
          <w:tcPr>
            <w:tcW w:w="1235" w:type="dxa"/>
            <w:tcBorders>
              <w:top w:val="nil"/>
              <w:left w:val="nil"/>
              <w:bottom w:val="thinThickSmallGap" w:sz="24" w:space="0" w:color="auto"/>
              <w:right w:val="nil"/>
            </w:tcBorders>
            <w:vAlign w:val="center"/>
          </w:tcPr>
          <w:p w14:paraId="72CD3B57" w14:textId="22D994F2" w:rsidR="00DF444C" w:rsidRPr="00DF444C" w:rsidRDefault="00DF444C" w:rsidP="00DF444C">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14:ligatures w14:val="none"/>
              </w:rPr>
            </w:pPr>
            <w:r w:rsidRPr="00DF444C">
              <w:rPr>
                <w:rFonts w:ascii="Times New Roman" w:eastAsia="Times New Roman" w:hAnsi="Times New Roman" w:cs="Times New Roman"/>
                <w:color w:val="000000"/>
                <w:sz w:val="20"/>
                <w:szCs w:val="20"/>
                <w14:ligatures w14:val="none"/>
              </w:rPr>
              <w:t>14</w:t>
            </w:r>
          </w:p>
        </w:tc>
      </w:tr>
    </w:tbl>
    <w:p w14:paraId="3FA6C40F" w14:textId="09316498" w:rsidR="00E76929" w:rsidRDefault="00C86E0C" w:rsidP="00DF444C">
      <w:pPr>
        <w:spacing w:after="120" w:line="240" w:lineRule="auto"/>
        <w:jc w:val="both"/>
        <w:rPr>
          <w:rFonts w:ascii="Times New Roman" w:hAnsi="Times New Roman" w:cs="Times New Roman"/>
          <w:sz w:val="18"/>
          <w:szCs w:val="18"/>
        </w:rPr>
      </w:pPr>
      <w:bookmarkStart w:id="9" w:name="_Hlk170481993"/>
      <w:r w:rsidRPr="00A505AF">
        <w:rPr>
          <w:rFonts w:ascii="Times New Roman" w:hAnsi="Times New Roman" w:cs="Times New Roman"/>
          <w:sz w:val="18"/>
          <w:szCs w:val="18"/>
        </w:rPr>
        <w:t xml:space="preserve">Reaction conditions: </w:t>
      </w:r>
      <w:r w:rsidR="006E70A3" w:rsidRPr="00A505AF">
        <w:rPr>
          <w:rFonts w:ascii="Times New Roman" w:hAnsi="Times New Roman" w:cs="Times New Roman"/>
          <w:sz w:val="18"/>
          <w:szCs w:val="18"/>
        </w:rPr>
        <w:t>2.71 mmol of FDME</w:t>
      </w:r>
      <w:r w:rsidR="00CA7045" w:rsidRPr="00A505AF">
        <w:rPr>
          <w:rFonts w:ascii="Times New Roman" w:hAnsi="Times New Roman" w:cs="Times New Roman"/>
          <w:sz w:val="18"/>
          <w:szCs w:val="18"/>
        </w:rPr>
        <w:t xml:space="preserve"> (0.5 g)</w:t>
      </w:r>
      <w:r w:rsidR="007453C5">
        <w:rPr>
          <w:rFonts w:ascii="Times New Roman" w:hAnsi="Times New Roman" w:cs="Times New Roman"/>
          <w:sz w:val="18"/>
          <w:szCs w:val="18"/>
        </w:rPr>
        <w:t xml:space="preserve">, </w:t>
      </w:r>
      <w:r w:rsidR="006E70A3" w:rsidRPr="00A505AF">
        <w:rPr>
          <w:rFonts w:ascii="Times New Roman" w:hAnsi="Times New Roman" w:cs="Times New Roman"/>
          <w:sz w:val="18"/>
          <w:szCs w:val="18"/>
        </w:rPr>
        <w:t>4</w:t>
      </w:r>
      <w:r w:rsidR="00CA7045" w:rsidRPr="00A505AF">
        <w:rPr>
          <w:rFonts w:ascii="Times New Roman" w:hAnsi="Times New Roman" w:cs="Times New Roman"/>
          <w:sz w:val="18"/>
          <w:szCs w:val="18"/>
        </w:rPr>
        <w:t>.0</w:t>
      </w:r>
      <w:r w:rsidR="006E70A3" w:rsidRPr="00A505AF">
        <w:rPr>
          <w:rFonts w:ascii="Times New Roman" w:hAnsi="Times New Roman" w:cs="Times New Roman"/>
          <w:sz w:val="18"/>
          <w:szCs w:val="18"/>
        </w:rPr>
        <w:t xml:space="preserve"> molar equivalents of glycidol and 10 mol% of base, in 10 mL of </w:t>
      </w:r>
      <w:r w:rsidR="007453C5">
        <w:rPr>
          <w:rFonts w:ascii="Times New Roman" w:hAnsi="Times New Roman" w:cs="Times New Roman"/>
          <w:sz w:val="18"/>
          <w:szCs w:val="18"/>
        </w:rPr>
        <w:t>2-</w:t>
      </w:r>
      <w:r w:rsidR="006E70A3" w:rsidRPr="00A505AF">
        <w:rPr>
          <w:rFonts w:ascii="Times New Roman" w:hAnsi="Times New Roman" w:cs="Times New Roman"/>
          <w:sz w:val="18"/>
          <w:szCs w:val="18"/>
        </w:rPr>
        <w:t xml:space="preserve">MeTHF. </w:t>
      </w:r>
      <w:r w:rsidR="006E70A3" w:rsidRPr="00A505AF">
        <w:rPr>
          <w:rFonts w:ascii="Times New Roman" w:hAnsi="Times New Roman" w:cs="Times New Roman"/>
          <w:sz w:val="18"/>
          <w:szCs w:val="18"/>
          <w:vertAlign w:val="superscript"/>
        </w:rPr>
        <w:t>a</w:t>
      </w:r>
      <w:r w:rsidR="006E70A3" w:rsidRPr="00A505AF">
        <w:rPr>
          <w:rFonts w:ascii="Times New Roman" w:hAnsi="Times New Roman" w:cs="Times New Roman"/>
          <w:sz w:val="18"/>
          <w:szCs w:val="18"/>
        </w:rPr>
        <w:t xml:space="preserve"> Calculation via </w:t>
      </w:r>
      <w:r w:rsidR="006E70A3" w:rsidRPr="00A505AF">
        <w:rPr>
          <w:rFonts w:ascii="Times New Roman" w:hAnsi="Times New Roman" w:cs="Times New Roman"/>
          <w:sz w:val="18"/>
          <w:szCs w:val="18"/>
          <w:vertAlign w:val="superscript"/>
        </w:rPr>
        <w:t>1</w:t>
      </w:r>
      <w:r w:rsidR="006E70A3" w:rsidRPr="00A505AF">
        <w:rPr>
          <w:rFonts w:ascii="Times New Roman" w:hAnsi="Times New Roman" w:cs="Times New Roman"/>
          <w:sz w:val="18"/>
          <w:szCs w:val="18"/>
        </w:rPr>
        <w:t>H NMR spectroscopy</w:t>
      </w:r>
      <w:r w:rsidR="00DF444C">
        <w:rPr>
          <w:rFonts w:ascii="Times New Roman" w:hAnsi="Times New Roman" w:cs="Times New Roman"/>
          <w:sz w:val="18"/>
          <w:szCs w:val="18"/>
        </w:rPr>
        <w:t>.</w:t>
      </w:r>
    </w:p>
    <w:p w14:paraId="6FEEF053" w14:textId="77777777" w:rsidR="00DF444C" w:rsidRPr="00A505AF" w:rsidRDefault="00DF444C" w:rsidP="00DF444C">
      <w:pPr>
        <w:spacing w:after="120" w:line="240" w:lineRule="auto"/>
        <w:jc w:val="both"/>
        <w:rPr>
          <w:rFonts w:ascii="Times New Roman" w:hAnsi="Times New Roman" w:cs="Times New Roman"/>
          <w:sz w:val="18"/>
          <w:szCs w:val="18"/>
        </w:rPr>
      </w:pPr>
    </w:p>
    <w:bookmarkEnd w:id="9"/>
    <w:p w14:paraId="109F0FA2" w14:textId="3F66EFCE" w:rsidR="00BF2D0D" w:rsidRPr="00A505AF" w:rsidRDefault="00BF2D0D" w:rsidP="00BF2D0D">
      <w:pPr>
        <w:spacing w:line="480" w:lineRule="auto"/>
        <w:jc w:val="both"/>
        <w:rPr>
          <w:rFonts w:ascii="Times New Roman" w:hAnsi="Times New Roman" w:cs="Times New Roman"/>
          <w:sz w:val="24"/>
          <w:szCs w:val="24"/>
        </w:rPr>
      </w:pPr>
      <w:r w:rsidRPr="00A505AF">
        <w:rPr>
          <w:rFonts w:ascii="Times New Roman" w:hAnsi="Times New Roman" w:cs="Times New Roman"/>
          <w:sz w:val="24"/>
          <w:szCs w:val="24"/>
        </w:rPr>
        <w:t xml:space="preserve">Several homogeneous </w:t>
      </w:r>
      <w:r w:rsidR="00420BF8">
        <w:rPr>
          <w:rFonts w:ascii="Times New Roman" w:hAnsi="Times New Roman" w:cs="Times New Roman"/>
          <w:sz w:val="24"/>
          <w:szCs w:val="24"/>
        </w:rPr>
        <w:t xml:space="preserve">nitrogen-containing bases </w:t>
      </w:r>
      <w:r w:rsidRPr="00A505AF">
        <w:rPr>
          <w:rFonts w:ascii="Times New Roman" w:hAnsi="Times New Roman" w:cs="Times New Roman"/>
          <w:sz w:val="24"/>
          <w:szCs w:val="24"/>
        </w:rPr>
        <w:t>were tested</w:t>
      </w:r>
      <w:r>
        <w:rPr>
          <w:rFonts w:ascii="Times New Roman" w:hAnsi="Times New Roman" w:cs="Times New Roman"/>
          <w:sz w:val="24"/>
          <w:szCs w:val="24"/>
        </w:rPr>
        <w:t xml:space="preserve"> for this </w:t>
      </w:r>
      <w:r w:rsidR="00420B1B">
        <w:rPr>
          <w:rFonts w:ascii="Times New Roman" w:hAnsi="Times New Roman" w:cs="Times New Roman"/>
          <w:sz w:val="24"/>
          <w:szCs w:val="24"/>
        </w:rPr>
        <w:t>transesterification</w:t>
      </w:r>
      <w:r w:rsidRPr="00A505AF">
        <w:rPr>
          <w:rFonts w:ascii="Times New Roman" w:hAnsi="Times New Roman" w:cs="Times New Roman"/>
          <w:sz w:val="24"/>
          <w:szCs w:val="24"/>
        </w:rPr>
        <w:t xml:space="preserve"> including triethylamine (Et</w:t>
      </w:r>
      <w:r w:rsidRPr="00A505AF">
        <w:rPr>
          <w:rFonts w:ascii="Times New Roman" w:hAnsi="Times New Roman" w:cs="Times New Roman"/>
          <w:sz w:val="24"/>
          <w:szCs w:val="24"/>
          <w:vertAlign w:val="subscript"/>
        </w:rPr>
        <w:t>3</w:t>
      </w:r>
      <w:r w:rsidRPr="00A505AF">
        <w:rPr>
          <w:rFonts w:ascii="Times New Roman" w:hAnsi="Times New Roman" w:cs="Times New Roman"/>
          <w:sz w:val="24"/>
          <w:szCs w:val="24"/>
        </w:rPr>
        <w:t xml:space="preserve">N), </w:t>
      </w:r>
      <w:r w:rsidRPr="00F847DA">
        <w:rPr>
          <w:rFonts w:ascii="Times New Roman" w:hAnsi="Times New Roman" w:cs="Times New Roman"/>
          <w:i/>
          <w:iCs/>
          <w:sz w:val="24"/>
          <w:szCs w:val="24"/>
        </w:rPr>
        <w:t>N</w:t>
      </w:r>
      <w:r w:rsidRPr="00A505AF">
        <w:rPr>
          <w:rFonts w:ascii="Times New Roman" w:hAnsi="Times New Roman" w:cs="Times New Roman"/>
          <w:sz w:val="24"/>
          <w:szCs w:val="24"/>
        </w:rPr>
        <w:t>-methyl pyrrolidine (NMPy), 1,5,7-</w:t>
      </w:r>
      <w:r>
        <w:rPr>
          <w:rFonts w:ascii="Times New Roman" w:hAnsi="Times New Roman" w:cs="Times New Roman"/>
          <w:sz w:val="24"/>
          <w:szCs w:val="24"/>
        </w:rPr>
        <w:t>t</w:t>
      </w:r>
      <w:r w:rsidRPr="00A505AF">
        <w:rPr>
          <w:rFonts w:ascii="Times New Roman" w:hAnsi="Times New Roman" w:cs="Times New Roman"/>
          <w:sz w:val="24"/>
          <w:szCs w:val="24"/>
        </w:rPr>
        <w:t>riazabicyclo[4.4.0]dec-5-ene (TBD), 1,8-</w:t>
      </w:r>
      <w:r>
        <w:rPr>
          <w:rFonts w:ascii="Times New Roman" w:hAnsi="Times New Roman" w:cs="Times New Roman"/>
          <w:sz w:val="24"/>
          <w:szCs w:val="24"/>
        </w:rPr>
        <w:t>d</w:t>
      </w:r>
      <w:r w:rsidRPr="00A505AF">
        <w:rPr>
          <w:rFonts w:ascii="Times New Roman" w:hAnsi="Times New Roman" w:cs="Times New Roman"/>
          <w:sz w:val="24"/>
          <w:szCs w:val="24"/>
        </w:rPr>
        <w:t>iazabicyclo(5.4.0)undec-7-ene (DBU), 1,4-diazabicyclo[2.2.2]octane (DABCO), 4-</w:t>
      </w:r>
      <w:r>
        <w:rPr>
          <w:rFonts w:ascii="Times New Roman" w:hAnsi="Times New Roman" w:cs="Times New Roman"/>
          <w:sz w:val="24"/>
          <w:szCs w:val="24"/>
        </w:rPr>
        <w:t>d</w:t>
      </w:r>
      <w:r w:rsidRPr="00A505AF">
        <w:rPr>
          <w:rFonts w:ascii="Times New Roman" w:hAnsi="Times New Roman" w:cs="Times New Roman"/>
          <w:sz w:val="24"/>
          <w:szCs w:val="24"/>
        </w:rPr>
        <w:t>imethylaminopyridine (DMAP).</w:t>
      </w:r>
      <w:r>
        <w:rPr>
          <w:rFonts w:ascii="Times New Roman" w:hAnsi="Times New Roman" w:cs="Times New Roman"/>
          <w:sz w:val="24"/>
          <w:szCs w:val="24"/>
        </w:rPr>
        <w:t xml:space="preserve"> </w:t>
      </w:r>
      <w:r w:rsidR="00420BF8">
        <w:rPr>
          <w:rFonts w:ascii="Times New Roman" w:hAnsi="Times New Roman" w:cs="Times New Roman"/>
          <w:sz w:val="24"/>
          <w:szCs w:val="24"/>
        </w:rPr>
        <w:t xml:space="preserve">Data collected </w:t>
      </w:r>
      <w:r w:rsidRPr="00A505AF">
        <w:rPr>
          <w:rFonts w:ascii="Times New Roman" w:hAnsi="Times New Roman" w:cs="Times New Roman"/>
          <w:sz w:val="24"/>
          <w:szCs w:val="24"/>
        </w:rPr>
        <w:t xml:space="preserve">showed </w:t>
      </w:r>
      <w:r>
        <w:rPr>
          <w:rFonts w:ascii="Times New Roman" w:hAnsi="Times New Roman" w:cs="Times New Roman"/>
          <w:sz w:val="24"/>
          <w:szCs w:val="24"/>
        </w:rPr>
        <w:t>discrete to good</w:t>
      </w:r>
      <w:r w:rsidRPr="00A505AF">
        <w:rPr>
          <w:rFonts w:ascii="Times New Roman" w:hAnsi="Times New Roman" w:cs="Times New Roman"/>
          <w:sz w:val="24"/>
          <w:szCs w:val="24"/>
        </w:rPr>
        <w:t xml:space="preserve"> substrate conversion ranging from 28 to 74%. Among them</w:t>
      </w:r>
      <w:r w:rsidR="00495EAF">
        <w:rPr>
          <w:rFonts w:ascii="Times New Roman" w:hAnsi="Times New Roman" w:cs="Times New Roman"/>
          <w:sz w:val="24"/>
          <w:szCs w:val="24"/>
        </w:rPr>
        <w:t>,</w:t>
      </w:r>
      <w:r w:rsidRPr="00A505AF">
        <w:rPr>
          <w:rFonts w:ascii="Times New Roman" w:hAnsi="Times New Roman" w:cs="Times New Roman"/>
          <w:sz w:val="24"/>
          <w:szCs w:val="24"/>
        </w:rPr>
        <w:t xml:space="preserve"> the most promising </w:t>
      </w:r>
      <w:r w:rsidR="00420BF8">
        <w:rPr>
          <w:rFonts w:ascii="Times New Roman" w:hAnsi="Times New Roman" w:cs="Times New Roman"/>
          <w:sz w:val="24"/>
          <w:szCs w:val="24"/>
        </w:rPr>
        <w:t xml:space="preserve">results were achieved </w:t>
      </w:r>
      <w:r w:rsidR="00DF5824">
        <w:rPr>
          <w:rFonts w:ascii="Times New Roman" w:hAnsi="Times New Roman" w:cs="Times New Roman"/>
          <w:sz w:val="24"/>
          <w:szCs w:val="24"/>
        </w:rPr>
        <w:t>with</w:t>
      </w:r>
      <w:r w:rsidRPr="00A505AF">
        <w:rPr>
          <w:rFonts w:ascii="Times New Roman" w:hAnsi="Times New Roman" w:cs="Times New Roman"/>
          <w:sz w:val="24"/>
          <w:szCs w:val="24"/>
        </w:rPr>
        <w:t xml:space="preserve"> Et</w:t>
      </w:r>
      <w:r w:rsidRPr="00A505AF">
        <w:rPr>
          <w:rFonts w:ascii="Times New Roman" w:hAnsi="Times New Roman" w:cs="Times New Roman"/>
          <w:sz w:val="24"/>
          <w:szCs w:val="24"/>
          <w:vertAlign w:val="subscript"/>
        </w:rPr>
        <w:t>3</w:t>
      </w:r>
      <w:r w:rsidRPr="00A505AF">
        <w:rPr>
          <w:rFonts w:ascii="Times New Roman" w:hAnsi="Times New Roman" w:cs="Times New Roman"/>
          <w:sz w:val="24"/>
          <w:szCs w:val="24"/>
        </w:rPr>
        <w:t>N (</w:t>
      </w:r>
      <w:r>
        <w:rPr>
          <w:rFonts w:ascii="Times New Roman" w:hAnsi="Times New Roman" w:cs="Times New Roman"/>
          <w:sz w:val="24"/>
          <w:szCs w:val="24"/>
        </w:rPr>
        <w:t xml:space="preserve">#1; </w:t>
      </w:r>
      <w:r w:rsidRPr="00A505AF">
        <w:rPr>
          <w:rFonts w:ascii="Times New Roman" w:hAnsi="Times New Roman" w:cs="Times New Roman"/>
          <w:sz w:val="24"/>
          <w:szCs w:val="24"/>
        </w:rPr>
        <w:t>Table 1) and NMPy (</w:t>
      </w:r>
      <w:r>
        <w:rPr>
          <w:rFonts w:ascii="Times New Roman" w:hAnsi="Times New Roman" w:cs="Times New Roman"/>
          <w:sz w:val="24"/>
          <w:szCs w:val="24"/>
        </w:rPr>
        <w:t xml:space="preserve">#4; </w:t>
      </w:r>
      <w:r w:rsidRPr="00A505AF">
        <w:rPr>
          <w:rFonts w:ascii="Times New Roman" w:hAnsi="Times New Roman" w:cs="Times New Roman"/>
          <w:sz w:val="24"/>
          <w:szCs w:val="24"/>
        </w:rPr>
        <w:t xml:space="preserve">Table 1) </w:t>
      </w:r>
      <w:r w:rsidR="00420BF8">
        <w:rPr>
          <w:rFonts w:ascii="Times New Roman" w:hAnsi="Times New Roman" w:cs="Times New Roman"/>
          <w:sz w:val="24"/>
          <w:szCs w:val="24"/>
        </w:rPr>
        <w:t xml:space="preserve">as they </w:t>
      </w:r>
      <w:r w:rsidRPr="00A505AF">
        <w:rPr>
          <w:rFonts w:ascii="Times New Roman" w:hAnsi="Times New Roman" w:cs="Times New Roman"/>
          <w:sz w:val="24"/>
          <w:szCs w:val="24"/>
        </w:rPr>
        <w:t>both yield</w:t>
      </w:r>
      <w:r w:rsidR="00420BF8">
        <w:rPr>
          <w:rFonts w:ascii="Times New Roman" w:hAnsi="Times New Roman" w:cs="Times New Roman"/>
          <w:sz w:val="24"/>
          <w:szCs w:val="24"/>
        </w:rPr>
        <w:t>ed</w:t>
      </w:r>
      <w:r w:rsidRPr="00A505AF">
        <w:rPr>
          <w:rFonts w:ascii="Times New Roman" w:hAnsi="Times New Roman" w:cs="Times New Roman"/>
          <w:sz w:val="24"/>
          <w:szCs w:val="24"/>
        </w:rPr>
        <w:t xml:space="preserve"> DGF</w:t>
      </w:r>
      <w:r w:rsidR="00420BF8">
        <w:rPr>
          <w:rFonts w:ascii="Times New Roman" w:hAnsi="Times New Roman" w:cs="Times New Roman"/>
          <w:sz w:val="24"/>
          <w:szCs w:val="24"/>
        </w:rPr>
        <w:t xml:space="preserve"> </w:t>
      </w:r>
      <w:r w:rsidRPr="00A505AF">
        <w:rPr>
          <w:rFonts w:ascii="Times New Roman" w:hAnsi="Times New Roman" w:cs="Times New Roman"/>
          <w:sz w:val="24"/>
          <w:szCs w:val="24"/>
        </w:rPr>
        <w:t xml:space="preserve">in 22% </w:t>
      </w:r>
      <w:r w:rsidR="00DF5824">
        <w:rPr>
          <w:rFonts w:ascii="Times New Roman" w:hAnsi="Times New Roman" w:cs="Times New Roman"/>
          <w:sz w:val="24"/>
          <w:szCs w:val="24"/>
        </w:rPr>
        <w:t xml:space="preserve">yield </w:t>
      </w:r>
      <w:r w:rsidRPr="00A505AF">
        <w:rPr>
          <w:rFonts w:ascii="Times New Roman" w:hAnsi="Times New Roman" w:cs="Times New Roman"/>
          <w:sz w:val="24"/>
          <w:szCs w:val="24"/>
        </w:rPr>
        <w:t xml:space="preserve">after </w:t>
      </w:r>
      <w:r w:rsidR="007453C5">
        <w:rPr>
          <w:rFonts w:ascii="Times New Roman" w:hAnsi="Times New Roman" w:cs="Times New Roman"/>
          <w:sz w:val="24"/>
          <w:szCs w:val="24"/>
        </w:rPr>
        <w:t xml:space="preserve">a </w:t>
      </w:r>
      <w:r w:rsidRPr="00A505AF">
        <w:rPr>
          <w:rFonts w:ascii="Times New Roman" w:hAnsi="Times New Roman" w:cs="Times New Roman"/>
          <w:sz w:val="24"/>
          <w:szCs w:val="24"/>
        </w:rPr>
        <w:t xml:space="preserve">two-hour reaction. When these bases were tested for </w:t>
      </w:r>
      <w:r w:rsidR="007453C5">
        <w:rPr>
          <w:rFonts w:ascii="Times New Roman" w:hAnsi="Times New Roman" w:cs="Times New Roman"/>
          <w:sz w:val="24"/>
          <w:szCs w:val="24"/>
        </w:rPr>
        <w:t xml:space="preserve">a </w:t>
      </w:r>
      <w:r w:rsidRPr="00A505AF">
        <w:rPr>
          <w:rFonts w:ascii="Times New Roman" w:hAnsi="Times New Roman" w:cs="Times New Roman"/>
          <w:sz w:val="24"/>
          <w:szCs w:val="24"/>
        </w:rPr>
        <w:t xml:space="preserve">longer reaction </w:t>
      </w:r>
      <w:r w:rsidR="007453C5" w:rsidRPr="00A505AF">
        <w:rPr>
          <w:rFonts w:ascii="Times New Roman" w:hAnsi="Times New Roman" w:cs="Times New Roman"/>
          <w:sz w:val="24"/>
          <w:szCs w:val="24"/>
        </w:rPr>
        <w:t>time (</w:t>
      </w:r>
      <w:r w:rsidR="00E456ED">
        <w:rPr>
          <w:rFonts w:ascii="Times New Roman" w:hAnsi="Times New Roman" w:cs="Times New Roman"/>
          <w:sz w:val="24"/>
          <w:szCs w:val="24"/>
        </w:rPr>
        <w:t>#</w:t>
      </w:r>
      <w:r>
        <w:rPr>
          <w:rFonts w:ascii="Times New Roman" w:hAnsi="Times New Roman" w:cs="Times New Roman"/>
          <w:sz w:val="24"/>
          <w:szCs w:val="24"/>
        </w:rPr>
        <w:t>2 and #5; Table 1</w:t>
      </w:r>
      <w:r w:rsidRPr="00A505AF">
        <w:rPr>
          <w:rFonts w:ascii="Times New Roman" w:hAnsi="Times New Roman" w:cs="Times New Roman"/>
          <w:sz w:val="24"/>
          <w:szCs w:val="24"/>
        </w:rPr>
        <w:t>)</w:t>
      </w:r>
      <w:r w:rsidR="00420BF8">
        <w:rPr>
          <w:rFonts w:ascii="Times New Roman" w:hAnsi="Times New Roman" w:cs="Times New Roman"/>
          <w:sz w:val="24"/>
          <w:szCs w:val="24"/>
        </w:rPr>
        <w:t xml:space="preserve">, </w:t>
      </w:r>
      <w:r w:rsidR="007453C5">
        <w:rPr>
          <w:rFonts w:ascii="Times New Roman" w:hAnsi="Times New Roman" w:cs="Times New Roman"/>
          <w:sz w:val="24"/>
          <w:szCs w:val="24"/>
        </w:rPr>
        <w:t>a complete</w:t>
      </w:r>
      <w:r w:rsidR="007453C5" w:rsidRPr="00A505AF">
        <w:rPr>
          <w:rFonts w:ascii="Times New Roman" w:hAnsi="Times New Roman" w:cs="Times New Roman"/>
          <w:sz w:val="24"/>
          <w:szCs w:val="24"/>
        </w:rPr>
        <w:t xml:space="preserve"> conversion</w:t>
      </w:r>
      <w:r w:rsidR="007453C5">
        <w:rPr>
          <w:rFonts w:ascii="Times New Roman" w:hAnsi="Times New Roman" w:cs="Times New Roman"/>
          <w:sz w:val="24"/>
          <w:szCs w:val="24"/>
        </w:rPr>
        <w:t xml:space="preserve"> of FDME </w:t>
      </w:r>
      <w:r w:rsidR="00420BF8">
        <w:rPr>
          <w:rFonts w:ascii="Times New Roman" w:hAnsi="Times New Roman" w:cs="Times New Roman"/>
          <w:sz w:val="24"/>
          <w:szCs w:val="24"/>
        </w:rPr>
        <w:t>was observed</w:t>
      </w:r>
      <w:r w:rsidRPr="00A505AF">
        <w:rPr>
          <w:rFonts w:ascii="Times New Roman" w:hAnsi="Times New Roman" w:cs="Times New Roman"/>
          <w:sz w:val="24"/>
          <w:szCs w:val="24"/>
        </w:rPr>
        <w:t>. Nevertheless, the synthesis performed in the presence of Et</w:t>
      </w:r>
      <w:r w:rsidRPr="00A505AF">
        <w:rPr>
          <w:rFonts w:ascii="Times New Roman" w:hAnsi="Times New Roman" w:cs="Times New Roman"/>
          <w:sz w:val="24"/>
          <w:szCs w:val="24"/>
          <w:vertAlign w:val="subscript"/>
        </w:rPr>
        <w:t>3</w:t>
      </w:r>
      <w:r w:rsidRPr="00A505AF">
        <w:rPr>
          <w:rFonts w:ascii="Times New Roman" w:hAnsi="Times New Roman" w:cs="Times New Roman"/>
          <w:sz w:val="24"/>
          <w:szCs w:val="24"/>
        </w:rPr>
        <w:t xml:space="preserve">N proved to be more efficient </w:t>
      </w:r>
      <w:r w:rsidR="00495EAF">
        <w:rPr>
          <w:rFonts w:ascii="Times New Roman" w:hAnsi="Times New Roman" w:cs="Times New Roman"/>
          <w:sz w:val="24"/>
          <w:szCs w:val="24"/>
        </w:rPr>
        <w:t>leading to</w:t>
      </w:r>
      <w:r w:rsidRPr="00A505AF">
        <w:rPr>
          <w:rFonts w:ascii="Times New Roman" w:hAnsi="Times New Roman" w:cs="Times New Roman"/>
          <w:sz w:val="24"/>
          <w:szCs w:val="24"/>
        </w:rPr>
        <w:t xml:space="preserve"> DGF</w:t>
      </w:r>
      <w:r w:rsidR="0036014A">
        <w:rPr>
          <w:rFonts w:ascii="Times New Roman" w:hAnsi="Times New Roman" w:cs="Times New Roman"/>
          <w:sz w:val="24"/>
          <w:szCs w:val="24"/>
        </w:rPr>
        <w:t xml:space="preserve"> </w:t>
      </w:r>
      <w:r w:rsidR="00DF5824">
        <w:rPr>
          <w:rFonts w:ascii="Times New Roman" w:hAnsi="Times New Roman" w:cs="Times New Roman"/>
          <w:sz w:val="24"/>
          <w:szCs w:val="24"/>
        </w:rPr>
        <w:t>in</w:t>
      </w:r>
      <w:r w:rsidR="00420BF8">
        <w:rPr>
          <w:rFonts w:ascii="Times New Roman" w:hAnsi="Times New Roman" w:cs="Times New Roman"/>
          <w:sz w:val="24"/>
          <w:szCs w:val="24"/>
        </w:rPr>
        <w:t xml:space="preserve"> quantitative yield </w:t>
      </w:r>
      <w:r w:rsidRPr="00A505AF">
        <w:rPr>
          <w:rFonts w:ascii="Times New Roman" w:hAnsi="Times New Roman" w:cs="Times New Roman"/>
          <w:sz w:val="24"/>
          <w:szCs w:val="24"/>
        </w:rPr>
        <w:t xml:space="preserve">after 5 h. Thus, further optimizations were conducted only using triethylamine as </w:t>
      </w:r>
      <w:r>
        <w:rPr>
          <w:rFonts w:ascii="Times New Roman" w:hAnsi="Times New Roman" w:cs="Times New Roman"/>
          <w:sz w:val="24"/>
          <w:szCs w:val="24"/>
        </w:rPr>
        <w:t>base</w:t>
      </w:r>
      <w:r w:rsidR="00E456ED">
        <w:rPr>
          <w:rFonts w:ascii="Times New Roman" w:hAnsi="Times New Roman" w:cs="Times New Roman"/>
          <w:sz w:val="24"/>
          <w:szCs w:val="24"/>
        </w:rPr>
        <w:t xml:space="preserve"> (Table 2)</w:t>
      </w:r>
      <w:r w:rsidRPr="00A505AF">
        <w:rPr>
          <w:rFonts w:ascii="Times New Roman" w:hAnsi="Times New Roman" w:cs="Times New Roman"/>
          <w:sz w:val="24"/>
          <w:szCs w:val="24"/>
        </w:rPr>
        <w:t>.</w:t>
      </w:r>
    </w:p>
    <w:p w14:paraId="1BB8CEFD" w14:textId="1D61E55D" w:rsidR="00B33BB5" w:rsidRPr="008D70F7" w:rsidRDefault="00B33BB5" w:rsidP="00B33BB5">
      <w:pPr>
        <w:pStyle w:val="Didascalia"/>
        <w:keepNext/>
        <w:rPr>
          <w:rFonts w:ascii="Times New Roman" w:hAnsi="Times New Roman" w:cs="Times New Roman"/>
          <w:i w:val="0"/>
          <w:iCs w:val="0"/>
          <w:color w:val="auto"/>
        </w:rPr>
      </w:pPr>
      <w:r w:rsidRPr="008D70F7">
        <w:rPr>
          <w:rFonts w:ascii="Times New Roman" w:hAnsi="Times New Roman" w:cs="Times New Roman"/>
          <w:b/>
          <w:bCs/>
          <w:i w:val="0"/>
          <w:iCs w:val="0"/>
          <w:color w:val="auto"/>
        </w:rPr>
        <w:t xml:space="preserve">Table </w:t>
      </w:r>
      <w:r w:rsidRPr="008D70F7">
        <w:rPr>
          <w:rFonts w:ascii="Times New Roman" w:hAnsi="Times New Roman" w:cs="Times New Roman"/>
          <w:b/>
          <w:bCs/>
          <w:i w:val="0"/>
          <w:iCs w:val="0"/>
          <w:color w:val="auto"/>
        </w:rPr>
        <w:fldChar w:fldCharType="begin"/>
      </w:r>
      <w:r w:rsidRPr="008D70F7">
        <w:rPr>
          <w:rFonts w:ascii="Times New Roman" w:hAnsi="Times New Roman" w:cs="Times New Roman"/>
          <w:b/>
          <w:bCs/>
          <w:i w:val="0"/>
          <w:iCs w:val="0"/>
          <w:color w:val="auto"/>
        </w:rPr>
        <w:instrText xml:space="preserve"> SEQ Table \* ARABIC </w:instrText>
      </w:r>
      <w:r w:rsidRPr="008D70F7">
        <w:rPr>
          <w:rFonts w:ascii="Times New Roman" w:hAnsi="Times New Roman" w:cs="Times New Roman"/>
          <w:b/>
          <w:bCs/>
          <w:i w:val="0"/>
          <w:iCs w:val="0"/>
          <w:color w:val="auto"/>
        </w:rPr>
        <w:fldChar w:fldCharType="separate"/>
      </w:r>
      <w:r w:rsidR="00B820C7">
        <w:rPr>
          <w:rFonts w:ascii="Times New Roman" w:hAnsi="Times New Roman" w:cs="Times New Roman"/>
          <w:b/>
          <w:bCs/>
          <w:i w:val="0"/>
          <w:iCs w:val="0"/>
          <w:noProof/>
          <w:color w:val="auto"/>
        </w:rPr>
        <w:t>2</w:t>
      </w:r>
      <w:r w:rsidRPr="008D70F7">
        <w:rPr>
          <w:rFonts w:ascii="Times New Roman" w:hAnsi="Times New Roman" w:cs="Times New Roman"/>
          <w:b/>
          <w:bCs/>
          <w:i w:val="0"/>
          <w:iCs w:val="0"/>
          <w:color w:val="auto"/>
        </w:rPr>
        <w:fldChar w:fldCharType="end"/>
      </w:r>
      <w:r w:rsidRPr="008D70F7">
        <w:rPr>
          <w:rFonts w:ascii="Times New Roman" w:hAnsi="Times New Roman" w:cs="Times New Roman"/>
          <w:b/>
          <w:bCs/>
          <w:i w:val="0"/>
          <w:iCs w:val="0"/>
          <w:color w:val="auto"/>
        </w:rPr>
        <w:t>-</w:t>
      </w:r>
      <w:r w:rsidRPr="008D70F7">
        <w:rPr>
          <w:rFonts w:ascii="Times New Roman" w:hAnsi="Times New Roman" w:cs="Times New Roman"/>
          <w:i w:val="0"/>
          <w:iCs w:val="0"/>
          <w:color w:val="auto"/>
        </w:rPr>
        <w:t xml:space="preserve"> Optimization </w:t>
      </w:r>
      <w:r w:rsidR="00FB1B39" w:rsidRPr="008D70F7">
        <w:rPr>
          <w:rFonts w:ascii="Times New Roman" w:hAnsi="Times New Roman" w:cs="Times New Roman"/>
          <w:i w:val="0"/>
          <w:iCs w:val="0"/>
          <w:color w:val="auto"/>
        </w:rPr>
        <w:t>of the reaction condition for DGF synthesis using Et</w:t>
      </w:r>
      <w:r w:rsidR="00FB1B39" w:rsidRPr="008D70F7">
        <w:rPr>
          <w:rFonts w:ascii="Times New Roman" w:hAnsi="Times New Roman" w:cs="Times New Roman"/>
          <w:i w:val="0"/>
          <w:iCs w:val="0"/>
          <w:color w:val="auto"/>
          <w:vertAlign w:val="subscript"/>
        </w:rPr>
        <w:t>3</w:t>
      </w:r>
      <w:r w:rsidR="00FB1B39" w:rsidRPr="008D70F7">
        <w:rPr>
          <w:rFonts w:ascii="Times New Roman" w:hAnsi="Times New Roman" w:cs="Times New Roman"/>
          <w:i w:val="0"/>
          <w:iCs w:val="0"/>
          <w:color w:val="auto"/>
        </w:rPr>
        <w:t xml:space="preserve">N as a base.  </w:t>
      </w:r>
    </w:p>
    <w:tbl>
      <w:tblPr>
        <w:tblW w:w="7908" w:type="dxa"/>
        <w:jc w:val="center"/>
        <w:tblLayout w:type="fixed"/>
        <w:tblLook w:val="04A0" w:firstRow="1" w:lastRow="0" w:firstColumn="1" w:lastColumn="0" w:noHBand="0" w:noVBand="1"/>
      </w:tblPr>
      <w:tblGrid>
        <w:gridCol w:w="416"/>
        <w:gridCol w:w="992"/>
        <w:gridCol w:w="805"/>
        <w:gridCol w:w="1123"/>
        <w:gridCol w:w="830"/>
        <w:gridCol w:w="1078"/>
        <w:gridCol w:w="1123"/>
        <w:gridCol w:w="1541"/>
      </w:tblGrid>
      <w:tr w:rsidR="005C5FCF" w:rsidRPr="005C5FCF" w14:paraId="0F369049" w14:textId="77777777" w:rsidTr="00420BF8">
        <w:trPr>
          <w:trHeight w:val="449"/>
          <w:jc w:val="center"/>
        </w:trPr>
        <w:tc>
          <w:tcPr>
            <w:tcW w:w="416" w:type="dxa"/>
            <w:vMerge w:val="restart"/>
            <w:tcBorders>
              <w:top w:val="thinThickSmallGap" w:sz="24" w:space="0" w:color="auto"/>
              <w:bottom w:val="single" w:sz="8" w:space="0" w:color="BFBFBF"/>
            </w:tcBorders>
            <w:shd w:val="clear" w:color="auto" w:fill="auto"/>
            <w:noWrap/>
            <w:vAlign w:val="center"/>
            <w:hideMark/>
          </w:tcPr>
          <w:p w14:paraId="179D2AE0" w14:textId="77777777" w:rsidR="005C5FCF" w:rsidRPr="005C5FCF" w:rsidRDefault="005C5FCF" w:rsidP="005C5FCF">
            <w:pPr>
              <w:spacing w:after="0" w:line="240" w:lineRule="auto"/>
              <w:jc w:val="center"/>
              <w:rPr>
                <w:rFonts w:ascii="Times New Roman" w:eastAsia="Times New Roman" w:hAnsi="Times New Roman" w:cs="Times New Roman"/>
                <w:b/>
                <w:bCs/>
                <w:color w:val="000000"/>
                <w:sz w:val="20"/>
                <w:szCs w:val="20"/>
                <w14:ligatures w14:val="none"/>
              </w:rPr>
            </w:pPr>
            <w:r w:rsidRPr="005C5FCF">
              <w:rPr>
                <w:rFonts w:ascii="Times New Roman" w:eastAsia="Times New Roman" w:hAnsi="Times New Roman" w:cs="Times New Roman"/>
                <w:b/>
                <w:bCs/>
                <w:color w:val="000000"/>
                <w:sz w:val="20"/>
                <w:szCs w:val="20"/>
                <w14:ligatures w14:val="none"/>
              </w:rPr>
              <w:t>#</w:t>
            </w:r>
          </w:p>
        </w:tc>
        <w:tc>
          <w:tcPr>
            <w:tcW w:w="992" w:type="dxa"/>
            <w:vMerge w:val="restart"/>
            <w:tcBorders>
              <w:top w:val="thinThickSmallGap" w:sz="24" w:space="0" w:color="auto"/>
              <w:left w:val="nil"/>
            </w:tcBorders>
            <w:shd w:val="clear" w:color="auto" w:fill="auto"/>
            <w:noWrap/>
            <w:vAlign w:val="center"/>
            <w:hideMark/>
          </w:tcPr>
          <w:p w14:paraId="1822F6AC" w14:textId="550633A2" w:rsidR="005C5FCF" w:rsidRPr="005C5FCF" w:rsidRDefault="0071778E" w:rsidP="005C5FCF">
            <w:pPr>
              <w:spacing w:after="0" w:line="240" w:lineRule="auto"/>
              <w:jc w:val="center"/>
              <w:rPr>
                <w:rFonts w:ascii="Times New Roman" w:eastAsia="Times New Roman" w:hAnsi="Times New Roman" w:cs="Times New Roman"/>
                <w:b/>
                <w:bCs/>
                <w:color w:val="000000"/>
                <w:sz w:val="20"/>
                <w:szCs w:val="20"/>
                <w14:ligatures w14:val="none"/>
              </w:rPr>
            </w:pPr>
            <w:r>
              <w:rPr>
                <w:rFonts w:ascii="Times New Roman" w:eastAsia="Times New Roman" w:hAnsi="Times New Roman" w:cs="Times New Roman"/>
                <w:b/>
                <w:bCs/>
                <w:color w:val="000000"/>
                <w:sz w:val="20"/>
                <w:szCs w:val="20"/>
                <w14:ligatures w14:val="none"/>
              </w:rPr>
              <w:t>Et</w:t>
            </w:r>
            <w:r w:rsidRPr="0071778E">
              <w:rPr>
                <w:rFonts w:ascii="Times New Roman" w:eastAsia="Times New Roman" w:hAnsi="Times New Roman" w:cs="Times New Roman"/>
                <w:b/>
                <w:bCs/>
                <w:color w:val="000000"/>
                <w:sz w:val="20"/>
                <w:szCs w:val="20"/>
                <w:vertAlign w:val="subscript"/>
                <w14:ligatures w14:val="none"/>
              </w:rPr>
              <w:t>3</w:t>
            </w:r>
            <w:r>
              <w:rPr>
                <w:rFonts w:ascii="Times New Roman" w:eastAsia="Times New Roman" w:hAnsi="Times New Roman" w:cs="Times New Roman"/>
                <w:b/>
                <w:bCs/>
                <w:color w:val="000000"/>
                <w:sz w:val="20"/>
                <w:szCs w:val="20"/>
                <w14:ligatures w14:val="none"/>
              </w:rPr>
              <w:t>N</w:t>
            </w:r>
          </w:p>
          <w:p w14:paraId="45B4FA3E" w14:textId="105DE78C" w:rsidR="005C5FCF" w:rsidRPr="005C5FCF" w:rsidRDefault="005C5FCF" w:rsidP="005C5FCF">
            <w:pPr>
              <w:spacing w:after="0" w:line="240" w:lineRule="auto"/>
              <w:jc w:val="center"/>
              <w:rPr>
                <w:rFonts w:ascii="Times New Roman" w:eastAsia="Times New Roman" w:hAnsi="Times New Roman" w:cs="Times New Roman"/>
                <w:b/>
                <w:bCs/>
                <w:color w:val="000000"/>
                <w:sz w:val="20"/>
                <w:szCs w:val="20"/>
                <w14:ligatures w14:val="none"/>
              </w:rPr>
            </w:pPr>
            <w:r w:rsidRPr="005C5FCF">
              <w:rPr>
                <w:rFonts w:ascii="Times New Roman" w:eastAsia="Times New Roman" w:hAnsi="Times New Roman" w:cs="Times New Roman"/>
                <w:b/>
                <w:bCs/>
                <w:color w:val="000000"/>
                <w:sz w:val="20"/>
                <w:szCs w:val="20"/>
                <w14:ligatures w14:val="none"/>
              </w:rPr>
              <w:t>(% mol)</w:t>
            </w:r>
          </w:p>
        </w:tc>
        <w:tc>
          <w:tcPr>
            <w:tcW w:w="805" w:type="dxa"/>
            <w:vMerge w:val="restart"/>
            <w:tcBorders>
              <w:top w:val="thinThickSmallGap" w:sz="24" w:space="0" w:color="auto"/>
              <w:left w:val="nil"/>
            </w:tcBorders>
            <w:shd w:val="clear" w:color="auto" w:fill="auto"/>
            <w:vAlign w:val="center"/>
            <w:hideMark/>
          </w:tcPr>
          <w:p w14:paraId="706EE147" w14:textId="77777777" w:rsidR="005C5FCF" w:rsidRPr="005C5FCF" w:rsidRDefault="005C5FCF" w:rsidP="005C5FCF">
            <w:pPr>
              <w:spacing w:after="0" w:line="240" w:lineRule="auto"/>
              <w:jc w:val="center"/>
              <w:rPr>
                <w:rFonts w:ascii="Times New Roman" w:eastAsia="Times New Roman" w:hAnsi="Times New Roman" w:cs="Times New Roman"/>
                <w:b/>
                <w:bCs/>
                <w:color w:val="000000"/>
                <w:sz w:val="20"/>
                <w:szCs w:val="20"/>
                <w14:ligatures w14:val="none"/>
              </w:rPr>
            </w:pPr>
            <w:r w:rsidRPr="005C5FCF">
              <w:rPr>
                <w:rFonts w:ascii="Times New Roman" w:eastAsia="Times New Roman" w:hAnsi="Times New Roman" w:cs="Times New Roman"/>
                <w:b/>
                <w:bCs/>
                <w:color w:val="000000"/>
                <w:sz w:val="20"/>
                <w:szCs w:val="20"/>
                <w14:ligatures w14:val="none"/>
              </w:rPr>
              <w:t>Conc</w:t>
            </w:r>
          </w:p>
          <w:p w14:paraId="4AF0E6ED" w14:textId="10AC1B69" w:rsidR="005C5FCF" w:rsidRPr="005C5FCF" w:rsidRDefault="005C5FCF" w:rsidP="005C5FCF">
            <w:pPr>
              <w:spacing w:after="0" w:line="240" w:lineRule="auto"/>
              <w:jc w:val="center"/>
              <w:rPr>
                <w:rFonts w:ascii="Times New Roman" w:eastAsia="Times New Roman" w:hAnsi="Times New Roman" w:cs="Times New Roman"/>
                <w:b/>
                <w:bCs/>
                <w:color w:val="000000"/>
                <w:sz w:val="20"/>
                <w:szCs w:val="20"/>
                <w14:ligatures w14:val="none"/>
              </w:rPr>
            </w:pPr>
            <w:r w:rsidRPr="005C5FCF">
              <w:rPr>
                <w:rFonts w:ascii="Times New Roman" w:eastAsia="Times New Roman" w:hAnsi="Times New Roman" w:cs="Times New Roman"/>
                <w:b/>
                <w:bCs/>
                <w:color w:val="000000"/>
                <w:sz w:val="20"/>
                <w:szCs w:val="20"/>
                <w14:ligatures w14:val="none"/>
              </w:rPr>
              <w:t>(mM)</w:t>
            </w:r>
          </w:p>
        </w:tc>
        <w:tc>
          <w:tcPr>
            <w:tcW w:w="1123" w:type="dxa"/>
            <w:vMerge w:val="restart"/>
            <w:tcBorders>
              <w:top w:val="thinThickSmallGap" w:sz="24" w:space="0" w:color="auto"/>
              <w:left w:val="nil"/>
            </w:tcBorders>
            <w:shd w:val="clear" w:color="auto" w:fill="auto"/>
            <w:noWrap/>
            <w:vAlign w:val="center"/>
            <w:hideMark/>
          </w:tcPr>
          <w:p w14:paraId="657CC47E" w14:textId="77777777" w:rsidR="005C5FCF" w:rsidRPr="005C5FCF" w:rsidRDefault="005C5FCF" w:rsidP="005C5FCF">
            <w:pPr>
              <w:spacing w:after="0" w:line="240" w:lineRule="auto"/>
              <w:jc w:val="center"/>
              <w:rPr>
                <w:rFonts w:ascii="Times New Roman" w:eastAsia="Times New Roman" w:hAnsi="Times New Roman" w:cs="Times New Roman"/>
                <w:b/>
                <w:bCs/>
                <w:color w:val="000000"/>
                <w:sz w:val="20"/>
                <w:szCs w:val="20"/>
                <w14:ligatures w14:val="none"/>
              </w:rPr>
            </w:pPr>
            <w:r w:rsidRPr="005C5FCF">
              <w:rPr>
                <w:rFonts w:ascii="Times New Roman" w:eastAsia="Times New Roman" w:hAnsi="Times New Roman" w:cs="Times New Roman"/>
                <w:b/>
                <w:bCs/>
                <w:color w:val="000000"/>
                <w:sz w:val="20"/>
                <w:szCs w:val="20"/>
                <w14:ligatures w14:val="none"/>
              </w:rPr>
              <w:t>Glycidol</w:t>
            </w:r>
          </w:p>
          <w:p w14:paraId="16D7FA1A" w14:textId="43BD095E" w:rsidR="005C5FCF" w:rsidRPr="005C5FCF" w:rsidRDefault="005C5FCF" w:rsidP="005C5FCF">
            <w:pPr>
              <w:spacing w:after="0" w:line="240" w:lineRule="auto"/>
              <w:jc w:val="center"/>
              <w:rPr>
                <w:rFonts w:ascii="Times New Roman" w:eastAsia="Times New Roman" w:hAnsi="Times New Roman" w:cs="Times New Roman"/>
                <w:b/>
                <w:bCs/>
                <w:color w:val="000000"/>
                <w:sz w:val="20"/>
                <w:szCs w:val="20"/>
                <w14:ligatures w14:val="none"/>
              </w:rPr>
            </w:pPr>
            <w:r w:rsidRPr="005C5FCF">
              <w:rPr>
                <w:rFonts w:ascii="Times New Roman" w:eastAsia="Times New Roman" w:hAnsi="Times New Roman" w:cs="Times New Roman"/>
                <w:b/>
                <w:bCs/>
                <w:color w:val="000000"/>
                <w:sz w:val="20"/>
                <w:szCs w:val="20"/>
                <w14:ligatures w14:val="none"/>
              </w:rPr>
              <w:t>(mol eq.)</w:t>
            </w:r>
          </w:p>
        </w:tc>
        <w:tc>
          <w:tcPr>
            <w:tcW w:w="830" w:type="dxa"/>
            <w:vMerge w:val="restart"/>
            <w:tcBorders>
              <w:top w:val="thinThickSmallGap" w:sz="24" w:space="0" w:color="auto"/>
              <w:left w:val="nil"/>
            </w:tcBorders>
            <w:shd w:val="clear" w:color="auto" w:fill="auto"/>
            <w:noWrap/>
            <w:vAlign w:val="center"/>
            <w:hideMark/>
          </w:tcPr>
          <w:p w14:paraId="2F9C992C" w14:textId="77777777" w:rsidR="005C5FCF" w:rsidRPr="005C5FCF" w:rsidRDefault="005C5FCF" w:rsidP="005C5FCF">
            <w:pPr>
              <w:spacing w:after="0" w:line="240" w:lineRule="auto"/>
              <w:jc w:val="center"/>
              <w:rPr>
                <w:rFonts w:ascii="Times New Roman" w:eastAsia="Times New Roman" w:hAnsi="Times New Roman" w:cs="Times New Roman"/>
                <w:b/>
                <w:bCs/>
                <w:color w:val="000000"/>
                <w:sz w:val="20"/>
                <w:szCs w:val="20"/>
                <w14:ligatures w14:val="none"/>
              </w:rPr>
            </w:pPr>
            <w:r w:rsidRPr="005C5FCF">
              <w:rPr>
                <w:rFonts w:ascii="Times New Roman" w:eastAsia="Times New Roman" w:hAnsi="Times New Roman" w:cs="Times New Roman"/>
                <w:b/>
                <w:bCs/>
                <w:color w:val="000000"/>
                <w:sz w:val="20"/>
                <w:szCs w:val="20"/>
                <w14:ligatures w14:val="none"/>
              </w:rPr>
              <w:t>Conv.</w:t>
            </w:r>
          </w:p>
          <w:p w14:paraId="509929A5" w14:textId="25ACFBBC" w:rsidR="005C5FCF" w:rsidRPr="005C5FCF" w:rsidRDefault="005C5FCF" w:rsidP="005C5FCF">
            <w:pPr>
              <w:spacing w:after="0" w:line="240" w:lineRule="auto"/>
              <w:jc w:val="center"/>
              <w:rPr>
                <w:rFonts w:ascii="Times New Roman" w:eastAsia="Times New Roman" w:hAnsi="Times New Roman" w:cs="Times New Roman"/>
                <w:b/>
                <w:bCs/>
                <w:color w:val="000000"/>
                <w:sz w:val="20"/>
                <w:szCs w:val="20"/>
                <w14:ligatures w14:val="none"/>
              </w:rPr>
            </w:pPr>
            <w:r w:rsidRPr="005C5FCF">
              <w:rPr>
                <w:rFonts w:ascii="Times New Roman" w:eastAsia="Times New Roman" w:hAnsi="Times New Roman" w:cs="Times New Roman"/>
                <w:b/>
                <w:bCs/>
                <w:color w:val="000000"/>
                <w:sz w:val="20"/>
                <w:szCs w:val="20"/>
                <w14:ligatures w14:val="none"/>
              </w:rPr>
              <w:t>(%)</w:t>
            </w:r>
          </w:p>
        </w:tc>
        <w:tc>
          <w:tcPr>
            <w:tcW w:w="2201" w:type="dxa"/>
            <w:gridSpan w:val="2"/>
            <w:tcBorders>
              <w:top w:val="thinThickSmallGap" w:sz="24" w:space="0" w:color="auto"/>
              <w:left w:val="nil"/>
              <w:bottom w:val="single" w:sz="4" w:space="0" w:color="ADADAD" w:themeColor="background2" w:themeShade="BF"/>
            </w:tcBorders>
            <w:shd w:val="clear" w:color="auto" w:fill="auto"/>
            <w:noWrap/>
            <w:vAlign w:val="center"/>
            <w:hideMark/>
          </w:tcPr>
          <w:p w14:paraId="1EDF8DC3" w14:textId="570CCC7E" w:rsidR="005C5FCF" w:rsidRPr="005C5FCF" w:rsidRDefault="005C5FCF" w:rsidP="005C5FCF">
            <w:pPr>
              <w:spacing w:after="0" w:line="240" w:lineRule="auto"/>
              <w:jc w:val="center"/>
              <w:rPr>
                <w:rFonts w:ascii="Times New Roman" w:eastAsia="Times New Roman" w:hAnsi="Times New Roman" w:cs="Times New Roman"/>
                <w:b/>
                <w:bCs/>
                <w:color w:val="000000"/>
                <w:sz w:val="20"/>
                <w:szCs w:val="20"/>
                <w14:ligatures w14:val="none"/>
              </w:rPr>
            </w:pPr>
            <w:r w:rsidRPr="005C5FCF">
              <w:rPr>
                <w:rFonts w:ascii="Times New Roman" w:eastAsia="Times New Roman" w:hAnsi="Times New Roman" w:cs="Times New Roman"/>
                <w:b/>
                <w:bCs/>
                <w:color w:val="000000"/>
                <w:sz w:val="20"/>
                <w:szCs w:val="20"/>
                <w14:ligatures w14:val="none"/>
              </w:rPr>
              <w:t>Selectivity</w:t>
            </w:r>
            <w:r>
              <w:rPr>
                <w:rFonts w:ascii="Times New Roman" w:eastAsia="Times New Roman" w:hAnsi="Times New Roman" w:cs="Times New Roman"/>
                <w:b/>
                <w:bCs/>
                <w:color w:val="000000"/>
                <w:sz w:val="20"/>
                <w:szCs w:val="20"/>
                <w14:ligatures w14:val="none"/>
              </w:rPr>
              <w:t xml:space="preserve"> (%)</w:t>
            </w:r>
          </w:p>
        </w:tc>
        <w:tc>
          <w:tcPr>
            <w:tcW w:w="1541" w:type="dxa"/>
            <w:vMerge w:val="restart"/>
            <w:tcBorders>
              <w:top w:val="thinThickSmallGap" w:sz="24" w:space="0" w:color="auto"/>
              <w:left w:val="nil"/>
            </w:tcBorders>
            <w:shd w:val="clear" w:color="auto" w:fill="auto"/>
            <w:vAlign w:val="center"/>
            <w:hideMark/>
          </w:tcPr>
          <w:p w14:paraId="1B7C8281" w14:textId="4A0DD8D2" w:rsidR="005C5FCF" w:rsidRPr="005C5FCF" w:rsidRDefault="005C5FCF" w:rsidP="005C5FCF">
            <w:pPr>
              <w:spacing w:after="0" w:line="240" w:lineRule="auto"/>
              <w:jc w:val="center"/>
              <w:rPr>
                <w:rFonts w:ascii="Times New Roman" w:eastAsia="Times New Roman" w:hAnsi="Times New Roman" w:cs="Times New Roman"/>
                <w:b/>
                <w:bCs/>
                <w:color w:val="000000"/>
                <w:sz w:val="20"/>
                <w:szCs w:val="20"/>
                <w14:ligatures w14:val="none"/>
              </w:rPr>
            </w:pPr>
            <w:r w:rsidRPr="005C5FCF">
              <w:rPr>
                <w:rFonts w:ascii="Times New Roman" w:eastAsia="Times New Roman" w:hAnsi="Times New Roman" w:cs="Times New Roman"/>
                <w:b/>
                <w:bCs/>
                <w:color w:val="000000"/>
                <w:sz w:val="20"/>
                <w:szCs w:val="20"/>
                <w14:ligatures w14:val="none"/>
              </w:rPr>
              <w:t>DGF Yield</w:t>
            </w:r>
          </w:p>
          <w:p w14:paraId="014E3E1F" w14:textId="1F0616B9" w:rsidR="005C5FCF" w:rsidRPr="005C5FCF" w:rsidRDefault="005C5FCF" w:rsidP="005C5FCF">
            <w:pPr>
              <w:spacing w:after="0" w:line="240" w:lineRule="auto"/>
              <w:jc w:val="center"/>
              <w:rPr>
                <w:rFonts w:ascii="Times New Roman" w:eastAsia="Times New Roman" w:hAnsi="Times New Roman" w:cs="Times New Roman"/>
                <w:b/>
                <w:bCs/>
                <w:color w:val="000000"/>
                <w:sz w:val="20"/>
                <w:szCs w:val="20"/>
                <w14:ligatures w14:val="none"/>
              </w:rPr>
            </w:pPr>
            <w:r w:rsidRPr="005C5FCF">
              <w:rPr>
                <w:rFonts w:ascii="Times New Roman" w:eastAsia="Times New Roman" w:hAnsi="Times New Roman" w:cs="Times New Roman"/>
                <w:b/>
                <w:bCs/>
                <w:color w:val="000000"/>
                <w:sz w:val="20"/>
                <w:szCs w:val="20"/>
                <w14:ligatures w14:val="none"/>
              </w:rPr>
              <w:t>(%)</w:t>
            </w:r>
          </w:p>
        </w:tc>
      </w:tr>
      <w:tr w:rsidR="00C41E0A" w:rsidRPr="005C5FCF" w14:paraId="03F3E56B" w14:textId="77777777" w:rsidTr="00C41E0A">
        <w:trPr>
          <w:trHeight w:val="35"/>
          <w:jc w:val="center"/>
        </w:trPr>
        <w:tc>
          <w:tcPr>
            <w:tcW w:w="416" w:type="dxa"/>
            <w:vMerge/>
            <w:tcBorders>
              <w:top w:val="single" w:sz="8" w:space="0" w:color="BFBFBF"/>
              <w:bottom w:val="single" w:sz="8" w:space="0" w:color="auto"/>
            </w:tcBorders>
            <w:vAlign w:val="center"/>
            <w:hideMark/>
          </w:tcPr>
          <w:p w14:paraId="2FAC1AD8" w14:textId="77777777" w:rsidR="00C41E0A" w:rsidRPr="005C5FCF" w:rsidRDefault="00C41E0A" w:rsidP="00C41E0A">
            <w:pPr>
              <w:spacing w:after="0" w:line="240" w:lineRule="auto"/>
              <w:jc w:val="center"/>
              <w:rPr>
                <w:rFonts w:ascii="Times New Roman" w:eastAsia="Times New Roman" w:hAnsi="Times New Roman" w:cs="Times New Roman"/>
                <w:b/>
                <w:bCs/>
                <w:color w:val="000000"/>
                <w:sz w:val="20"/>
                <w:szCs w:val="20"/>
                <w14:ligatures w14:val="none"/>
              </w:rPr>
            </w:pPr>
          </w:p>
        </w:tc>
        <w:tc>
          <w:tcPr>
            <w:tcW w:w="992" w:type="dxa"/>
            <w:vMerge/>
            <w:tcBorders>
              <w:left w:val="nil"/>
              <w:bottom w:val="single" w:sz="8" w:space="0" w:color="auto"/>
            </w:tcBorders>
            <w:shd w:val="clear" w:color="auto" w:fill="auto"/>
            <w:noWrap/>
            <w:vAlign w:val="center"/>
            <w:hideMark/>
          </w:tcPr>
          <w:p w14:paraId="0FF83A9D" w14:textId="424EDA28" w:rsidR="00C41E0A" w:rsidRPr="005C5FCF" w:rsidRDefault="00C41E0A" w:rsidP="00C41E0A">
            <w:pPr>
              <w:spacing w:after="0" w:line="240" w:lineRule="auto"/>
              <w:jc w:val="center"/>
              <w:rPr>
                <w:rFonts w:ascii="Times New Roman" w:eastAsia="Times New Roman" w:hAnsi="Times New Roman" w:cs="Times New Roman"/>
                <w:color w:val="000000"/>
                <w:sz w:val="20"/>
                <w:szCs w:val="20"/>
                <w14:ligatures w14:val="none"/>
              </w:rPr>
            </w:pPr>
          </w:p>
        </w:tc>
        <w:tc>
          <w:tcPr>
            <w:tcW w:w="805" w:type="dxa"/>
            <w:vMerge/>
            <w:tcBorders>
              <w:left w:val="nil"/>
              <w:bottom w:val="single" w:sz="8" w:space="0" w:color="auto"/>
            </w:tcBorders>
            <w:shd w:val="clear" w:color="auto" w:fill="auto"/>
            <w:vAlign w:val="center"/>
            <w:hideMark/>
          </w:tcPr>
          <w:p w14:paraId="40ED4EC2" w14:textId="66141229" w:rsidR="00C41E0A" w:rsidRPr="005C5FCF" w:rsidRDefault="00C41E0A" w:rsidP="00C41E0A">
            <w:pPr>
              <w:spacing w:after="0" w:line="240" w:lineRule="auto"/>
              <w:rPr>
                <w:rFonts w:ascii="Times New Roman" w:eastAsia="Times New Roman" w:hAnsi="Times New Roman" w:cs="Times New Roman"/>
                <w:color w:val="000000"/>
                <w:sz w:val="20"/>
                <w:szCs w:val="20"/>
                <w14:ligatures w14:val="none"/>
              </w:rPr>
            </w:pPr>
          </w:p>
        </w:tc>
        <w:tc>
          <w:tcPr>
            <w:tcW w:w="1123" w:type="dxa"/>
            <w:vMerge/>
            <w:tcBorders>
              <w:left w:val="nil"/>
              <w:bottom w:val="single" w:sz="8" w:space="0" w:color="auto"/>
            </w:tcBorders>
            <w:shd w:val="clear" w:color="auto" w:fill="auto"/>
            <w:noWrap/>
            <w:vAlign w:val="center"/>
            <w:hideMark/>
          </w:tcPr>
          <w:p w14:paraId="6AF34B61" w14:textId="2B09A2BC" w:rsidR="00C41E0A" w:rsidRPr="005C5FCF" w:rsidRDefault="00C41E0A" w:rsidP="00C41E0A">
            <w:pPr>
              <w:spacing w:after="0" w:line="240" w:lineRule="auto"/>
              <w:jc w:val="center"/>
              <w:rPr>
                <w:rFonts w:ascii="Times New Roman" w:eastAsia="Times New Roman" w:hAnsi="Times New Roman" w:cs="Times New Roman"/>
                <w:color w:val="000000"/>
                <w:sz w:val="20"/>
                <w:szCs w:val="20"/>
                <w14:ligatures w14:val="none"/>
              </w:rPr>
            </w:pPr>
          </w:p>
        </w:tc>
        <w:tc>
          <w:tcPr>
            <w:tcW w:w="830" w:type="dxa"/>
            <w:vMerge/>
            <w:tcBorders>
              <w:left w:val="nil"/>
              <w:bottom w:val="single" w:sz="8" w:space="0" w:color="auto"/>
            </w:tcBorders>
            <w:shd w:val="clear" w:color="auto" w:fill="auto"/>
            <w:noWrap/>
            <w:vAlign w:val="center"/>
            <w:hideMark/>
          </w:tcPr>
          <w:p w14:paraId="15807852" w14:textId="2BB4D918" w:rsidR="00C41E0A" w:rsidRPr="005C5FCF" w:rsidRDefault="00C41E0A" w:rsidP="00C41E0A">
            <w:pPr>
              <w:spacing w:after="0" w:line="240" w:lineRule="auto"/>
              <w:rPr>
                <w:rFonts w:ascii="Times New Roman" w:eastAsia="Times New Roman" w:hAnsi="Times New Roman" w:cs="Times New Roman"/>
                <w:color w:val="000000"/>
                <w:sz w:val="20"/>
                <w:szCs w:val="20"/>
                <w14:ligatures w14:val="none"/>
              </w:rPr>
            </w:pPr>
          </w:p>
        </w:tc>
        <w:tc>
          <w:tcPr>
            <w:tcW w:w="1078" w:type="dxa"/>
            <w:tcBorders>
              <w:top w:val="single" w:sz="4" w:space="0" w:color="ADADAD" w:themeColor="background2" w:themeShade="BF"/>
              <w:left w:val="nil"/>
              <w:bottom w:val="single" w:sz="8" w:space="0" w:color="auto"/>
            </w:tcBorders>
            <w:shd w:val="clear" w:color="auto" w:fill="auto"/>
            <w:noWrap/>
            <w:vAlign w:val="center"/>
          </w:tcPr>
          <w:p w14:paraId="7C949796" w14:textId="37CDAB44" w:rsidR="00C41E0A" w:rsidRPr="005C5FCF" w:rsidRDefault="00C41E0A" w:rsidP="00C41E0A">
            <w:pPr>
              <w:spacing w:after="0" w:line="240" w:lineRule="auto"/>
              <w:jc w:val="center"/>
              <w:rPr>
                <w:rFonts w:ascii="Times New Roman" w:eastAsia="Times New Roman" w:hAnsi="Times New Roman" w:cs="Times New Roman"/>
                <w:b/>
                <w:bCs/>
                <w:color w:val="000000"/>
                <w:sz w:val="20"/>
                <w:szCs w:val="20"/>
                <w14:ligatures w14:val="none"/>
              </w:rPr>
            </w:pPr>
            <w:r>
              <w:rPr>
                <w:rFonts w:ascii="Times New Roman" w:eastAsia="Times New Roman" w:hAnsi="Times New Roman" w:cs="Times New Roman"/>
                <w:b/>
                <w:bCs/>
                <w:color w:val="000000"/>
                <w:sz w:val="20"/>
                <w:szCs w:val="20"/>
                <w14:ligatures w14:val="none"/>
              </w:rPr>
              <w:t>D</w:t>
            </w:r>
            <w:r w:rsidRPr="005C5FCF">
              <w:rPr>
                <w:rFonts w:ascii="Times New Roman" w:eastAsia="Times New Roman" w:hAnsi="Times New Roman" w:cs="Times New Roman"/>
                <w:b/>
                <w:bCs/>
                <w:color w:val="000000"/>
                <w:sz w:val="20"/>
                <w:szCs w:val="20"/>
                <w14:ligatures w14:val="none"/>
              </w:rPr>
              <w:t xml:space="preserve">GF </w:t>
            </w:r>
          </w:p>
        </w:tc>
        <w:tc>
          <w:tcPr>
            <w:tcW w:w="1123" w:type="dxa"/>
            <w:tcBorders>
              <w:top w:val="single" w:sz="4" w:space="0" w:color="ADADAD" w:themeColor="background2" w:themeShade="BF"/>
              <w:left w:val="nil"/>
              <w:bottom w:val="single" w:sz="8" w:space="0" w:color="auto"/>
            </w:tcBorders>
            <w:shd w:val="clear" w:color="auto" w:fill="auto"/>
            <w:noWrap/>
            <w:vAlign w:val="center"/>
          </w:tcPr>
          <w:p w14:paraId="6B883F5D" w14:textId="5BC19A8B" w:rsidR="00C41E0A" w:rsidRPr="005C5FCF" w:rsidRDefault="00C41E0A" w:rsidP="00C41E0A">
            <w:pPr>
              <w:spacing w:after="0" w:line="240" w:lineRule="auto"/>
              <w:jc w:val="center"/>
              <w:rPr>
                <w:rFonts w:ascii="Times New Roman" w:eastAsia="Times New Roman" w:hAnsi="Times New Roman" w:cs="Times New Roman"/>
                <w:b/>
                <w:bCs/>
                <w:color w:val="000000"/>
                <w:sz w:val="20"/>
                <w:szCs w:val="20"/>
                <w14:ligatures w14:val="none"/>
              </w:rPr>
            </w:pPr>
            <w:r>
              <w:rPr>
                <w:rFonts w:ascii="Times New Roman" w:eastAsia="Times New Roman" w:hAnsi="Times New Roman" w:cs="Times New Roman"/>
                <w:b/>
                <w:bCs/>
                <w:color w:val="000000"/>
                <w:sz w:val="20"/>
                <w:szCs w:val="20"/>
                <w14:ligatures w14:val="none"/>
              </w:rPr>
              <w:t>M</w:t>
            </w:r>
            <w:r w:rsidRPr="005C5FCF">
              <w:rPr>
                <w:rFonts w:ascii="Times New Roman" w:eastAsia="Times New Roman" w:hAnsi="Times New Roman" w:cs="Times New Roman"/>
                <w:b/>
                <w:bCs/>
                <w:color w:val="000000"/>
                <w:sz w:val="20"/>
                <w:szCs w:val="20"/>
                <w14:ligatures w14:val="none"/>
              </w:rPr>
              <w:t xml:space="preserve">GF </w:t>
            </w:r>
          </w:p>
        </w:tc>
        <w:tc>
          <w:tcPr>
            <w:tcW w:w="1541" w:type="dxa"/>
            <w:vMerge/>
            <w:tcBorders>
              <w:bottom w:val="single" w:sz="8" w:space="0" w:color="auto"/>
            </w:tcBorders>
            <w:shd w:val="clear" w:color="auto" w:fill="auto"/>
            <w:vAlign w:val="center"/>
            <w:hideMark/>
          </w:tcPr>
          <w:p w14:paraId="64F3C5F3" w14:textId="53F93C8B" w:rsidR="00C41E0A" w:rsidRPr="005C5FCF" w:rsidRDefault="00C41E0A" w:rsidP="00C41E0A">
            <w:pPr>
              <w:spacing w:after="0" w:line="240" w:lineRule="auto"/>
              <w:jc w:val="center"/>
              <w:rPr>
                <w:rFonts w:ascii="Times New Roman" w:eastAsia="Times New Roman" w:hAnsi="Times New Roman" w:cs="Times New Roman"/>
                <w:color w:val="000000"/>
                <w:sz w:val="20"/>
                <w:szCs w:val="20"/>
                <w14:ligatures w14:val="none"/>
              </w:rPr>
            </w:pPr>
          </w:p>
        </w:tc>
      </w:tr>
      <w:tr w:rsidR="00C41E0A" w:rsidRPr="005C5FCF" w14:paraId="56E83089" w14:textId="77777777" w:rsidTr="00BF3014">
        <w:trPr>
          <w:trHeight w:val="300"/>
          <w:jc w:val="center"/>
        </w:trPr>
        <w:tc>
          <w:tcPr>
            <w:tcW w:w="416" w:type="dxa"/>
            <w:tcBorders>
              <w:top w:val="single" w:sz="8" w:space="0" w:color="auto"/>
            </w:tcBorders>
            <w:shd w:val="clear" w:color="auto" w:fill="auto"/>
            <w:noWrap/>
            <w:vAlign w:val="center"/>
            <w:hideMark/>
          </w:tcPr>
          <w:p w14:paraId="3EB4E927" w14:textId="77777777" w:rsidR="00C41E0A" w:rsidRPr="005C5FCF" w:rsidRDefault="00C41E0A" w:rsidP="00C41E0A">
            <w:pPr>
              <w:spacing w:after="0" w:line="240" w:lineRule="auto"/>
              <w:jc w:val="center"/>
              <w:rPr>
                <w:rFonts w:ascii="Times New Roman" w:eastAsia="Times New Roman" w:hAnsi="Times New Roman" w:cs="Times New Roman"/>
                <w:color w:val="000000"/>
                <w:sz w:val="20"/>
                <w:szCs w:val="20"/>
                <w14:ligatures w14:val="none"/>
              </w:rPr>
            </w:pPr>
            <w:r w:rsidRPr="005C5FCF">
              <w:rPr>
                <w:rFonts w:ascii="Times New Roman" w:eastAsia="Times New Roman" w:hAnsi="Times New Roman" w:cs="Times New Roman"/>
                <w:color w:val="000000"/>
                <w:sz w:val="20"/>
                <w:szCs w:val="20"/>
                <w14:ligatures w14:val="none"/>
              </w:rPr>
              <w:t>1</w:t>
            </w:r>
          </w:p>
        </w:tc>
        <w:tc>
          <w:tcPr>
            <w:tcW w:w="992" w:type="dxa"/>
            <w:tcBorders>
              <w:top w:val="single" w:sz="8" w:space="0" w:color="auto"/>
              <w:left w:val="nil"/>
            </w:tcBorders>
            <w:shd w:val="clear" w:color="auto" w:fill="auto"/>
            <w:noWrap/>
            <w:vAlign w:val="center"/>
            <w:hideMark/>
          </w:tcPr>
          <w:p w14:paraId="581D72E0" w14:textId="77777777" w:rsidR="00C41E0A" w:rsidRPr="005C5FCF" w:rsidRDefault="00C41E0A" w:rsidP="00C41E0A">
            <w:pPr>
              <w:spacing w:after="0" w:line="240" w:lineRule="auto"/>
              <w:jc w:val="center"/>
              <w:rPr>
                <w:rFonts w:ascii="Times New Roman" w:eastAsia="Times New Roman" w:hAnsi="Times New Roman" w:cs="Times New Roman"/>
                <w:color w:val="000000"/>
                <w:sz w:val="20"/>
                <w:szCs w:val="20"/>
                <w14:ligatures w14:val="none"/>
              </w:rPr>
            </w:pPr>
            <w:r w:rsidRPr="005C5FCF">
              <w:rPr>
                <w:rFonts w:ascii="Times New Roman" w:eastAsia="Times New Roman" w:hAnsi="Times New Roman" w:cs="Times New Roman"/>
                <w:color w:val="000000"/>
                <w:sz w:val="20"/>
                <w:szCs w:val="20"/>
                <w14:ligatures w14:val="none"/>
              </w:rPr>
              <w:t>10</w:t>
            </w:r>
          </w:p>
        </w:tc>
        <w:tc>
          <w:tcPr>
            <w:tcW w:w="805" w:type="dxa"/>
            <w:tcBorders>
              <w:top w:val="single" w:sz="8" w:space="0" w:color="auto"/>
              <w:left w:val="nil"/>
            </w:tcBorders>
            <w:shd w:val="clear" w:color="auto" w:fill="auto"/>
            <w:vAlign w:val="center"/>
            <w:hideMark/>
          </w:tcPr>
          <w:p w14:paraId="7CCCDAFB" w14:textId="13548183" w:rsidR="00C41E0A" w:rsidRPr="005C5FCF" w:rsidRDefault="00C41E0A" w:rsidP="00C41E0A">
            <w:pPr>
              <w:spacing w:after="0" w:line="240" w:lineRule="auto"/>
              <w:jc w:val="center"/>
              <w:rPr>
                <w:rFonts w:ascii="Times New Roman" w:eastAsia="Times New Roman" w:hAnsi="Times New Roman" w:cs="Times New Roman"/>
                <w:color w:val="000000"/>
                <w:sz w:val="20"/>
                <w:szCs w:val="20"/>
                <w14:ligatures w14:val="none"/>
              </w:rPr>
            </w:pPr>
            <w:r w:rsidRPr="005C5FCF">
              <w:rPr>
                <w:rFonts w:ascii="Times New Roman" w:eastAsia="Times New Roman" w:hAnsi="Times New Roman" w:cs="Times New Roman"/>
                <w:color w:val="000000"/>
                <w:sz w:val="20"/>
                <w:szCs w:val="20"/>
                <w14:ligatures w14:val="none"/>
              </w:rPr>
              <w:t>0.27</w:t>
            </w:r>
          </w:p>
        </w:tc>
        <w:tc>
          <w:tcPr>
            <w:tcW w:w="1123" w:type="dxa"/>
            <w:tcBorders>
              <w:top w:val="single" w:sz="8" w:space="0" w:color="auto"/>
              <w:left w:val="nil"/>
            </w:tcBorders>
            <w:shd w:val="clear" w:color="auto" w:fill="auto"/>
            <w:noWrap/>
            <w:vAlign w:val="center"/>
            <w:hideMark/>
          </w:tcPr>
          <w:p w14:paraId="59F9C6B1" w14:textId="17FCC5F3" w:rsidR="00C41E0A" w:rsidRPr="005C5FCF" w:rsidRDefault="00C41E0A" w:rsidP="00C41E0A">
            <w:pPr>
              <w:spacing w:after="0" w:line="240" w:lineRule="auto"/>
              <w:jc w:val="center"/>
              <w:rPr>
                <w:rFonts w:ascii="Times New Roman" w:eastAsia="Times New Roman" w:hAnsi="Times New Roman" w:cs="Times New Roman"/>
                <w:color w:val="000000"/>
                <w:sz w:val="20"/>
                <w:szCs w:val="20"/>
                <w14:ligatures w14:val="none"/>
              </w:rPr>
            </w:pPr>
            <w:r w:rsidRPr="005C5FCF">
              <w:rPr>
                <w:rFonts w:ascii="Times New Roman" w:eastAsia="Times New Roman" w:hAnsi="Times New Roman" w:cs="Times New Roman"/>
                <w:color w:val="000000"/>
                <w:sz w:val="20"/>
                <w:szCs w:val="20"/>
                <w14:ligatures w14:val="none"/>
              </w:rPr>
              <w:t>4.0</w:t>
            </w:r>
          </w:p>
        </w:tc>
        <w:tc>
          <w:tcPr>
            <w:tcW w:w="830" w:type="dxa"/>
            <w:tcBorders>
              <w:top w:val="single" w:sz="8" w:space="0" w:color="auto"/>
              <w:left w:val="nil"/>
            </w:tcBorders>
            <w:shd w:val="clear" w:color="auto" w:fill="auto"/>
            <w:noWrap/>
            <w:vAlign w:val="center"/>
            <w:hideMark/>
          </w:tcPr>
          <w:p w14:paraId="1B0C5D29" w14:textId="77777777" w:rsidR="00C41E0A" w:rsidRPr="005C5FCF" w:rsidRDefault="00C41E0A" w:rsidP="00C41E0A">
            <w:pPr>
              <w:spacing w:after="0" w:line="240" w:lineRule="auto"/>
              <w:jc w:val="center"/>
              <w:rPr>
                <w:rFonts w:ascii="Times New Roman" w:eastAsia="Times New Roman" w:hAnsi="Times New Roman" w:cs="Times New Roman"/>
                <w:color w:val="000000"/>
                <w:sz w:val="20"/>
                <w:szCs w:val="20"/>
                <w14:ligatures w14:val="none"/>
              </w:rPr>
            </w:pPr>
            <w:r w:rsidRPr="005C5FCF">
              <w:rPr>
                <w:rFonts w:ascii="Times New Roman" w:eastAsia="Times New Roman" w:hAnsi="Times New Roman" w:cs="Times New Roman"/>
                <w:color w:val="000000"/>
                <w:sz w:val="20"/>
                <w:szCs w:val="20"/>
                <w14:ligatures w14:val="none"/>
              </w:rPr>
              <w:t>100</w:t>
            </w:r>
          </w:p>
        </w:tc>
        <w:tc>
          <w:tcPr>
            <w:tcW w:w="1078" w:type="dxa"/>
            <w:tcBorders>
              <w:top w:val="single" w:sz="8" w:space="0" w:color="auto"/>
              <w:left w:val="nil"/>
            </w:tcBorders>
            <w:shd w:val="clear" w:color="auto" w:fill="auto"/>
            <w:noWrap/>
            <w:vAlign w:val="center"/>
          </w:tcPr>
          <w:p w14:paraId="445EB2E7" w14:textId="68301EE6" w:rsidR="00C41E0A" w:rsidRPr="005C5FCF" w:rsidRDefault="00C41E0A" w:rsidP="00C41E0A">
            <w:pPr>
              <w:spacing w:after="0" w:line="240" w:lineRule="auto"/>
              <w:jc w:val="center"/>
              <w:rPr>
                <w:rFonts w:ascii="Times New Roman" w:eastAsia="Times New Roman" w:hAnsi="Times New Roman" w:cs="Times New Roman"/>
                <w:color w:val="000000"/>
                <w:sz w:val="20"/>
                <w:szCs w:val="20"/>
                <w14:ligatures w14:val="none"/>
              </w:rPr>
            </w:pPr>
            <w:r w:rsidRPr="005C5FCF">
              <w:rPr>
                <w:rFonts w:ascii="Times New Roman" w:eastAsia="Times New Roman" w:hAnsi="Times New Roman" w:cs="Times New Roman"/>
                <w:color w:val="000000"/>
                <w:sz w:val="20"/>
                <w:szCs w:val="20"/>
                <w14:ligatures w14:val="none"/>
              </w:rPr>
              <w:t>100</w:t>
            </w:r>
          </w:p>
        </w:tc>
        <w:tc>
          <w:tcPr>
            <w:tcW w:w="1123" w:type="dxa"/>
            <w:tcBorders>
              <w:top w:val="single" w:sz="8" w:space="0" w:color="auto"/>
              <w:left w:val="nil"/>
            </w:tcBorders>
            <w:shd w:val="clear" w:color="auto" w:fill="auto"/>
            <w:noWrap/>
            <w:vAlign w:val="center"/>
          </w:tcPr>
          <w:p w14:paraId="00022CED" w14:textId="2D529F5D" w:rsidR="00C41E0A" w:rsidRPr="005C5FCF" w:rsidRDefault="00C41E0A" w:rsidP="00C41E0A">
            <w:pPr>
              <w:spacing w:after="0" w:line="240" w:lineRule="auto"/>
              <w:jc w:val="center"/>
              <w:rPr>
                <w:rFonts w:ascii="Times New Roman" w:eastAsia="Times New Roman" w:hAnsi="Times New Roman" w:cs="Times New Roman"/>
                <w:color w:val="000000"/>
                <w:sz w:val="20"/>
                <w:szCs w:val="20"/>
                <w14:ligatures w14:val="none"/>
              </w:rPr>
            </w:pPr>
            <w:r w:rsidRPr="005C5FCF">
              <w:rPr>
                <w:rFonts w:ascii="Times New Roman" w:eastAsia="Times New Roman" w:hAnsi="Times New Roman" w:cs="Times New Roman"/>
                <w:color w:val="000000"/>
                <w:sz w:val="20"/>
                <w:szCs w:val="20"/>
                <w14:ligatures w14:val="none"/>
              </w:rPr>
              <w:t>-</w:t>
            </w:r>
          </w:p>
        </w:tc>
        <w:tc>
          <w:tcPr>
            <w:tcW w:w="1541" w:type="dxa"/>
            <w:tcBorders>
              <w:top w:val="single" w:sz="8" w:space="0" w:color="auto"/>
              <w:left w:val="nil"/>
            </w:tcBorders>
            <w:shd w:val="clear" w:color="auto" w:fill="auto"/>
            <w:vAlign w:val="center"/>
            <w:hideMark/>
          </w:tcPr>
          <w:p w14:paraId="6E822DE0" w14:textId="667F9B0A" w:rsidR="00C41E0A" w:rsidRPr="005C5FCF" w:rsidRDefault="00C41E0A" w:rsidP="00C41E0A">
            <w:pPr>
              <w:spacing w:after="0" w:line="240" w:lineRule="auto"/>
              <w:jc w:val="center"/>
              <w:rPr>
                <w:rFonts w:ascii="Times New Roman" w:eastAsia="Times New Roman" w:hAnsi="Times New Roman" w:cs="Times New Roman"/>
                <w:color w:val="000000"/>
                <w:sz w:val="20"/>
                <w:szCs w:val="20"/>
                <w14:ligatures w14:val="none"/>
              </w:rPr>
            </w:pPr>
            <w:r w:rsidRPr="005C5FCF">
              <w:rPr>
                <w:rFonts w:ascii="Times New Roman" w:eastAsia="Times New Roman" w:hAnsi="Times New Roman" w:cs="Times New Roman"/>
                <w:color w:val="000000"/>
                <w:sz w:val="20"/>
                <w:szCs w:val="20"/>
                <w14:ligatures w14:val="none"/>
              </w:rPr>
              <w:t>100</w:t>
            </w:r>
            <w:r>
              <w:rPr>
                <w:rFonts w:ascii="Times New Roman" w:eastAsia="Times New Roman" w:hAnsi="Times New Roman" w:cs="Times New Roman"/>
                <w:color w:val="000000"/>
                <w:sz w:val="20"/>
                <w:szCs w:val="20"/>
                <w14:ligatures w14:val="none"/>
              </w:rPr>
              <w:t xml:space="preserve"> (82)</w:t>
            </w:r>
            <w:r w:rsidRPr="005C5FCF">
              <w:rPr>
                <w:rFonts w:ascii="Times New Roman" w:eastAsia="Times New Roman" w:hAnsi="Times New Roman" w:cs="Times New Roman"/>
                <w:color w:val="000000"/>
                <w:sz w:val="20"/>
                <w:szCs w:val="20"/>
                <w:vertAlign w:val="superscript"/>
                <w14:ligatures w14:val="none"/>
              </w:rPr>
              <w:t>a</w:t>
            </w:r>
          </w:p>
        </w:tc>
      </w:tr>
      <w:tr w:rsidR="00C41E0A" w:rsidRPr="005C5FCF" w14:paraId="7643E6A7" w14:textId="77777777" w:rsidTr="00BF3014">
        <w:trPr>
          <w:trHeight w:val="300"/>
          <w:jc w:val="center"/>
        </w:trPr>
        <w:tc>
          <w:tcPr>
            <w:tcW w:w="416" w:type="dxa"/>
            <w:tcBorders>
              <w:top w:val="nil"/>
              <w:bottom w:val="single" w:sz="4" w:space="0" w:color="auto"/>
            </w:tcBorders>
            <w:shd w:val="clear" w:color="auto" w:fill="auto"/>
            <w:noWrap/>
            <w:vAlign w:val="center"/>
            <w:hideMark/>
          </w:tcPr>
          <w:p w14:paraId="249AEE02" w14:textId="77777777" w:rsidR="00C41E0A" w:rsidRPr="005C5FCF" w:rsidRDefault="00C41E0A" w:rsidP="00C41E0A">
            <w:pPr>
              <w:spacing w:after="0" w:line="240" w:lineRule="auto"/>
              <w:jc w:val="center"/>
              <w:rPr>
                <w:rFonts w:ascii="Times New Roman" w:eastAsia="Times New Roman" w:hAnsi="Times New Roman" w:cs="Times New Roman"/>
                <w:color w:val="000000"/>
                <w:sz w:val="20"/>
                <w:szCs w:val="20"/>
                <w14:ligatures w14:val="none"/>
              </w:rPr>
            </w:pPr>
            <w:r w:rsidRPr="005C5FCF">
              <w:rPr>
                <w:rFonts w:ascii="Times New Roman" w:eastAsia="Times New Roman" w:hAnsi="Times New Roman" w:cs="Times New Roman"/>
                <w:color w:val="000000"/>
                <w:sz w:val="20"/>
                <w:szCs w:val="20"/>
                <w14:ligatures w14:val="none"/>
              </w:rPr>
              <w:t>2</w:t>
            </w:r>
          </w:p>
        </w:tc>
        <w:tc>
          <w:tcPr>
            <w:tcW w:w="992" w:type="dxa"/>
            <w:tcBorders>
              <w:top w:val="nil"/>
              <w:left w:val="nil"/>
              <w:bottom w:val="single" w:sz="4" w:space="0" w:color="auto"/>
            </w:tcBorders>
            <w:shd w:val="clear" w:color="auto" w:fill="auto"/>
            <w:noWrap/>
            <w:vAlign w:val="center"/>
            <w:hideMark/>
          </w:tcPr>
          <w:p w14:paraId="11C610EC" w14:textId="77777777" w:rsidR="00C41E0A" w:rsidRPr="005C5FCF" w:rsidRDefault="00C41E0A" w:rsidP="00C41E0A">
            <w:pPr>
              <w:spacing w:after="0" w:line="240" w:lineRule="auto"/>
              <w:jc w:val="center"/>
              <w:rPr>
                <w:rFonts w:ascii="Times New Roman" w:eastAsia="Times New Roman" w:hAnsi="Times New Roman" w:cs="Times New Roman"/>
                <w:color w:val="000000"/>
                <w:sz w:val="20"/>
                <w:szCs w:val="20"/>
                <w14:ligatures w14:val="none"/>
              </w:rPr>
            </w:pPr>
            <w:r w:rsidRPr="005C5FCF">
              <w:rPr>
                <w:rFonts w:ascii="Times New Roman" w:eastAsia="Times New Roman" w:hAnsi="Times New Roman" w:cs="Times New Roman"/>
                <w:color w:val="000000"/>
                <w:sz w:val="20"/>
                <w:szCs w:val="20"/>
                <w14:ligatures w14:val="none"/>
              </w:rPr>
              <w:t>5</w:t>
            </w:r>
          </w:p>
        </w:tc>
        <w:tc>
          <w:tcPr>
            <w:tcW w:w="805" w:type="dxa"/>
            <w:tcBorders>
              <w:top w:val="nil"/>
              <w:left w:val="nil"/>
              <w:bottom w:val="single" w:sz="4" w:space="0" w:color="auto"/>
            </w:tcBorders>
            <w:shd w:val="clear" w:color="auto" w:fill="auto"/>
            <w:vAlign w:val="center"/>
            <w:hideMark/>
          </w:tcPr>
          <w:p w14:paraId="7683F07E" w14:textId="40876350" w:rsidR="00C41E0A" w:rsidRPr="005C5FCF" w:rsidRDefault="00C41E0A" w:rsidP="00C41E0A">
            <w:pPr>
              <w:spacing w:after="0" w:line="240" w:lineRule="auto"/>
              <w:jc w:val="center"/>
              <w:rPr>
                <w:rFonts w:ascii="Times New Roman" w:eastAsia="Times New Roman" w:hAnsi="Times New Roman" w:cs="Times New Roman"/>
                <w:color w:val="000000"/>
                <w:sz w:val="20"/>
                <w:szCs w:val="20"/>
                <w14:ligatures w14:val="none"/>
              </w:rPr>
            </w:pPr>
            <w:r w:rsidRPr="005C5FCF">
              <w:rPr>
                <w:rFonts w:ascii="Times New Roman" w:eastAsia="Times New Roman" w:hAnsi="Times New Roman" w:cs="Times New Roman"/>
                <w:color w:val="000000"/>
                <w:sz w:val="20"/>
                <w:szCs w:val="20"/>
                <w14:ligatures w14:val="none"/>
              </w:rPr>
              <w:t>0.27</w:t>
            </w:r>
          </w:p>
        </w:tc>
        <w:tc>
          <w:tcPr>
            <w:tcW w:w="1123" w:type="dxa"/>
            <w:tcBorders>
              <w:top w:val="nil"/>
              <w:left w:val="nil"/>
              <w:bottom w:val="single" w:sz="4" w:space="0" w:color="auto"/>
            </w:tcBorders>
            <w:shd w:val="clear" w:color="auto" w:fill="auto"/>
            <w:noWrap/>
            <w:vAlign w:val="center"/>
            <w:hideMark/>
          </w:tcPr>
          <w:p w14:paraId="3EAE0BE8" w14:textId="3B23EE1A" w:rsidR="00C41E0A" w:rsidRPr="005C5FCF" w:rsidRDefault="00C41E0A" w:rsidP="00C41E0A">
            <w:pPr>
              <w:spacing w:after="0" w:line="240" w:lineRule="auto"/>
              <w:jc w:val="center"/>
              <w:rPr>
                <w:rFonts w:ascii="Times New Roman" w:eastAsia="Times New Roman" w:hAnsi="Times New Roman" w:cs="Times New Roman"/>
                <w:color w:val="000000"/>
                <w:sz w:val="20"/>
                <w:szCs w:val="20"/>
                <w14:ligatures w14:val="none"/>
              </w:rPr>
            </w:pPr>
            <w:r w:rsidRPr="005C5FCF">
              <w:rPr>
                <w:rFonts w:ascii="Times New Roman" w:eastAsia="Times New Roman" w:hAnsi="Times New Roman" w:cs="Times New Roman"/>
                <w:color w:val="000000"/>
                <w:sz w:val="20"/>
                <w:szCs w:val="20"/>
                <w14:ligatures w14:val="none"/>
              </w:rPr>
              <w:t>4.0</w:t>
            </w:r>
          </w:p>
        </w:tc>
        <w:tc>
          <w:tcPr>
            <w:tcW w:w="830" w:type="dxa"/>
            <w:tcBorders>
              <w:top w:val="nil"/>
              <w:left w:val="nil"/>
              <w:bottom w:val="single" w:sz="4" w:space="0" w:color="auto"/>
            </w:tcBorders>
            <w:shd w:val="clear" w:color="auto" w:fill="auto"/>
            <w:noWrap/>
            <w:vAlign w:val="center"/>
            <w:hideMark/>
          </w:tcPr>
          <w:p w14:paraId="770A7AC2" w14:textId="77777777" w:rsidR="00C41E0A" w:rsidRPr="005C5FCF" w:rsidRDefault="00C41E0A" w:rsidP="00C41E0A">
            <w:pPr>
              <w:spacing w:after="0" w:line="240" w:lineRule="auto"/>
              <w:jc w:val="center"/>
              <w:rPr>
                <w:rFonts w:ascii="Times New Roman" w:eastAsia="Times New Roman" w:hAnsi="Times New Roman" w:cs="Times New Roman"/>
                <w:color w:val="000000"/>
                <w:sz w:val="20"/>
                <w:szCs w:val="20"/>
                <w14:ligatures w14:val="none"/>
              </w:rPr>
            </w:pPr>
            <w:r w:rsidRPr="005C5FCF">
              <w:rPr>
                <w:rFonts w:ascii="Times New Roman" w:eastAsia="Times New Roman" w:hAnsi="Times New Roman" w:cs="Times New Roman"/>
                <w:color w:val="000000"/>
                <w:sz w:val="20"/>
                <w:szCs w:val="20"/>
                <w14:ligatures w14:val="none"/>
              </w:rPr>
              <w:t>95</w:t>
            </w:r>
          </w:p>
        </w:tc>
        <w:tc>
          <w:tcPr>
            <w:tcW w:w="1078" w:type="dxa"/>
            <w:tcBorders>
              <w:top w:val="nil"/>
              <w:left w:val="nil"/>
              <w:bottom w:val="single" w:sz="4" w:space="0" w:color="auto"/>
            </w:tcBorders>
            <w:shd w:val="clear" w:color="auto" w:fill="auto"/>
            <w:noWrap/>
            <w:vAlign w:val="center"/>
          </w:tcPr>
          <w:p w14:paraId="681458D7" w14:textId="191E5D89" w:rsidR="00C41E0A" w:rsidRPr="005C5FCF" w:rsidRDefault="00C41E0A" w:rsidP="00C41E0A">
            <w:pPr>
              <w:spacing w:after="0" w:line="240" w:lineRule="auto"/>
              <w:jc w:val="center"/>
              <w:rPr>
                <w:rFonts w:ascii="Times New Roman" w:eastAsia="Times New Roman" w:hAnsi="Times New Roman" w:cs="Times New Roman"/>
                <w:color w:val="000000"/>
                <w:sz w:val="20"/>
                <w:szCs w:val="20"/>
                <w14:ligatures w14:val="none"/>
              </w:rPr>
            </w:pPr>
            <w:r w:rsidRPr="005C5FCF">
              <w:rPr>
                <w:rFonts w:ascii="Times New Roman" w:eastAsia="Times New Roman" w:hAnsi="Times New Roman" w:cs="Times New Roman"/>
                <w:color w:val="000000"/>
                <w:sz w:val="20"/>
                <w:szCs w:val="20"/>
                <w14:ligatures w14:val="none"/>
              </w:rPr>
              <w:t>62</w:t>
            </w:r>
          </w:p>
        </w:tc>
        <w:tc>
          <w:tcPr>
            <w:tcW w:w="1123" w:type="dxa"/>
            <w:tcBorders>
              <w:top w:val="nil"/>
              <w:left w:val="nil"/>
              <w:bottom w:val="single" w:sz="4" w:space="0" w:color="auto"/>
            </w:tcBorders>
            <w:shd w:val="clear" w:color="auto" w:fill="auto"/>
            <w:noWrap/>
            <w:vAlign w:val="center"/>
          </w:tcPr>
          <w:p w14:paraId="6FA10D63" w14:textId="55B87698" w:rsidR="00C41E0A" w:rsidRPr="005C5FCF" w:rsidRDefault="00C41E0A" w:rsidP="00C41E0A">
            <w:pPr>
              <w:spacing w:after="0" w:line="240" w:lineRule="auto"/>
              <w:jc w:val="center"/>
              <w:rPr>
                <w:rFonts w:ascii="Times New Roman" w:eastAsia="Times New Roman" w:hAnsi="Times New Roman" w:cs="Times New Roman"/>
                <w:color w:val="000000"/>
                <w:sz w:val="20"/>
                <w:szCs w:val="20"/>
                <w14:ligatures w14:val="none"/>
              </w:rPr>
            </w:pPr>
            <w:r w:rsidRPr="005C5FCF">
              <w:rPr>
                <w:rFonts w:ascii="Times New Roman" w:eastAsia="Times New Roman" w:hAnsi="Times New Roman" w:cs="Times New Roman"/>
                <w:color w:val="000000"/>
                <w:sz w:val="20"/>
                <w:szCs w:val="20"/>
                <w14:ligatures w14:val="none"/>
              </w:rPr>
              <w:t>38</w:t>
            </w:r>
          </w:p>
        </w:tc>
        <w:tc>
          <w:tcPr>
            <w:tcW w:w="1541" w:type="dxa"/>
            <w:tcBorders>
              <w:top w:val="nil"/>
              <w:left w:val="nil"/>
              <w:bottom w:val="single" w:sz="4" w:space="0" w:color="auto"/>
            </w:tcBorders>
            <w:shd w:val="clear" w:color="auto" w:fill="auto"/>
            <w:vAlign w:val="center"/>
            <w:hideMark/>
          </w:tcPr>
          <w:p w14:paraId="108B94A4" w14:textId="77777777" w:rsidR="00C41E0A" w:rsidRPr="005C5FCF" w:rsidRDefault="00C41E0A" w:rsidP="00C41E0A">
            <w:pPr>
              <w:spacing w:after="0" w:line="240" w:lineRule="auto"/>
              <w:jc w:val="center"/>
              <w:rPr>
                <w:rFonts w:ascii="Times New Roman" w:eastAsia="Times New Roman" w:hAnsi="Times New Roman" w:cs="Times New Roman"/>
                <w:color w:val="000000"/>
                <w:sz w:val="20"/>
                <w:szCs w:val="20"/>
                <w14:ligatures w14:val="none"/>
              </w:rPr>
            </w:pPr>
            <w:r w:rsidRPr="005C5FCF">
              <w:rPr>
                <w:rFonts w:ascii="Times New Roman" w:eastAsia="Times New Roman" w:hAnsi="Times New Roman" w:cs="Times New Roman"/>
                <w:color w:val="000000"/>
                <w:sz w:val="20"/>
                <w:szCs w:val="20"/>
                <w14:ligatures w14:val="none"/>
              </w:rPr>
              <w:t>59</w:t>
            </w:r>
          </w:p>
        </w:tc>
      </w:tr>
      <w:tr w:rsidR="00C41E0A" w:rsidRPr="005C5FCF" w14:paraId="5075BFB8" w14:textId="77777777" w:rsidTr="00BF3014">
        <w:trPr>
          <w:trHeight w:val="300"/>
          <w:jc w:val="center"/>
        </w:trPr>
        <w:tc>
          <w:tcPr>
            <w:tcW w:w="416" w:type="dxa"/>
            <w:tcBorders>
              <w:top w:val="single" w:sz="4" w:space="0" w:color="auto"/>
            </w:tcBorders>
            <w:shd w:val="clear" w:color="auto" w:fill="auto"/>
            <w:noWrap/>
            <w:vAlign w:val="center"/>
            <w:hideMark/>
          </w:tcPr>
          <w:p w14:paraId="25F47E3E" w14:textId="77777777" w:rsidR="00C41E0A" w:rsidRPr="005C5FCF" w:rsidRDefault="00C41E0A" w:rsidP="00C41E0A">
            <w:pPr>
              <w:spacing w:after="0" w:line="240" w:lineRule="auto"/>
              <w:jc w:val="center"/>
              <w:rPr>
                <w:rFonts w:ascii="Times New Roman" w:eastAsia="Times New Roman" w:hAnsi="Times New Roman" w:cs="Times New Roman"/>
                <w:color w:val="000000"/>
                <w:sz w:val="20"/>
                <w:szCs w:val="20"/>
                <w14:ligatures w14:val="none"/>
              </w:rPr>
            </w:pPr>
            <w:r w:rsidRPr="005C5FCF">
              <w:rPr>
                <w:rFonts w:ascii="Times New Roman" w:eastAsia="Times New Roman" w:hAnsi="Times New Roman" w:cs="Times New Roman"/>
                <w:color w:val="000000"/>
                <w:sz w:val="20"/>
                <w:szCs w:val="20"/>
                <w14:ligatures w14:val="none"/>
              </w:rPr>
              <w:t>3</w:t>
            </w:r>
          </w:p>
        </w:tc>
        <w:tc>
          <w:tcPr>
            <w:tcW w:w="992" w:type="dxa"/>
            <w:tcBorders>
              <w:top w:val="single" w:sz="4" w:space="0" w:color="auto"/>
              <w:left w:val="nil"/>
            </w:tcBorders>
            <w:shd w:val="clear" w:color="auto" w:fill="auto"/>
            <w:noWrap/>
            <w:vAlign w:val="center"/>
            <w:hideMark/>
          </w:tcPr>
          <w:p w14:paraId="0B1907DC" w14:textId="77777777" w:rsidR="00C41E0A" w:rsidRPr="005C5FCF" w:rsidRDefault="00C41E0A" w:rsidP="00C41E0A">
            <w:pPr>
              <w:spacing w:after="0" w:line="240" w:lineRule="auto"/>
              <w:jc w:val="center"/>
              <w:rPr>
                <w:rFonts w:ascii="Times New Roman" w:eastAsia="Times New Roman" w:hAnsi="Times New Roman" w:cs="Times New Roman"/>
                <w:color w:val="000000"/>
                <w:sz w:val="20"/>
                <w:szCs w:val="20"/>
                <w14:ligatures w14:val="none"/>
              </w:rPr>
            </w:pPr>
            <w:r w:rsidRPr="005C5FCF">
              <w:rPr>
                <w:rFonts w:ascii="Times New Roman" w:eastAsia="Times New Roman" w:hAnsi="Times New Roman" w:cs="Times New Roman"/>
                <w:color w:val="000000"/>
                <w:sz w:val="20"/>
                <w:szCs w:val="20"/>
                <w14:ligatures w14:val="none"/>
              </w:rPr>
              <w:t>10</w:t>
            </w:r>
          </w:p>
        </w:tc>
        <w:tc>
          <w:tcPr>
            <w:tcW w:w="805" w:type="dxa"/>
            <w:tcBorders>
              <w:top w:val="single" w:sz="4" w:space="0" w:color="auto"/>
              <w:left w:val="nil"/>
            </w:tcBorders>
            <w:shd w:val="clear" w:color="auto" w:fill="auto"/>
            <w:vAlign w:val="center"/>
            <w:hideMark/>
          </w:tcPr>
          <w:p w14:paraId="5A4F289C" w14:textId="262F2F98" w:rsidR="00C41E0A" w:rsidRPr="005C5FCF" w:rsidRDefault="00C41E0A" w:rsidP="00C41E0A">
            <w:pPr>
              <w:spacing w:after="0" w:line="240" w:lineRule="auto"/>
              <w:jc w:val="center"/>
              <w:rPr>
                <w:rFonts w:ascii="Times New Roman" w:eastAsia="Times New Roman" w:hAnsi="Times New Roman" w:cs="Times New Roman"/>
                <w:color w:val="000000"/>
                <w:sz w:val="20"/>
                <w:szCs w:val="20"/>
                <w14:ligatures w14:val="none"/>
              </w:rPr>
            </w:pPr>
            <w:r w:rsidRPr="005C5FCF">
              <w:rPr>
                <w:rFonts w:ascii="Times New Roman" w:eastAsia="Times New Roman" w:hAnsi="Times New Roman" w:cs="Times New Roman"/>
                <w:color w:val="000000"/>
                <w:sz w:val="20"/>
                <w:szCs w:val="20"/>
                <w14:ligatures w14:val="none"/>
              </w:rPr>
              <w:t>0.27</w:t>
            </w:r>
          </w:p>
        </w:tc>
        <w:tc>
          <w:tcPr>
            <w:tcW w:w="1123" w:type="dxa"/>
            <w:tcBorders>
              <w:top w:val="single" w:sz="4" w:space="0" w:color="auto"/>
              <w:left w:val="nil"/>
            </w:tcBorders>
            <w:shd w:val="clear" w:color="auto" w:fill="auto"/>
            <w:noWrap/>
            <w:vAlign w:val="center"/>
            <w:hideMark/>
          </w:tcPr>
          <w:p w14:paraId="29D5D086" w14:textId="29CF62F6" w:rsidR="00C41E0A" w:rsidRPr="005C5FCF" w:rsidRDefault="00C41E0A" w:rsidP="00C41E0A">
            <w:pPr>
              <w:spacing w:after="0" w:line="240" w:lineRule="auto"/>
              <w:jc w:val="center"/>
              <w:rPr>
                <w:rFonts w:ascii="Times New Roman" w:eastAsia="Times New Roman" w:hAnsi="Times New Roman" w:cs="Times New Roman"/>
                <w:color w:val="000000"/>
                <w:sz w:val="20"/>
                <w:szCs w:val="20"/>
                <w14:ligatures w14:val="none"/>
              </w:rPr>
            </w:pPr>
            <w:r w:rsidRPr="005C5FCF">
              <w:rPr>
                <w:rFonts w:ascii="Times New Roman" w:eastAsia="Times New Roman" w:hAnsi="Times New Roman" w:cs="Times New Roman"/>
                <w:color w:val="000000"/>
                <w:sz w:val="20"/>
                <w:szCs w:val="20"/>
                <w14:ligatures w14:val="none"/>
              </w:rPr>
              <w:t>3.0</w:t>
            </w:r>
          </w:p>
        </w:tc>
        <w:tc>
          <w:tcPr>
            <w:tcW w:w="830" w:type="dxa"/>
            <w:tcBorders>
              <w:top w:val="single" w:sz="4" w:space="0" w:color="auto"/>
              <w:left w:val="nil"/>
            </w:tcBorders>
            <w:shd w:val="clear" w:color="auto" w:fill="auto"/>
            <w:noWrap/>
            <w:vAlign w:val="center"/>
            <w:hideMark/>
          </w:tcPr>
          <w:p w14:paraId="3B715649" w14:textId="77777777" w:rsidR="00C41E0A" w:rsidRPr="005C5FCF" w:rsidRDefault="00C41E0A" w:rsidP="00C41E0A">
            <w:pPr>
              <w:spacing w:after="0" w:line="240" w:lineRule="auto"/>
              <w:jc w:val="center"/>
              <w:rPr>
                <w:rFonts w:ascii="Times New Roman" w:eastAsia="Times New Roman" w:hAnsi="Times New Roman" w:cs="Times New Roman"/>
                <w:color w:val="000000"/>
                <w:sz w:val="20"/>
                <w:szCs w:val="20"/>
                <w14:ligatures w14:val="none"/>
              </w:rPr>
            </w:pPr>
            <w:r w:rsidRPr="005C5FCF">
              <w:rPr>
                <w:rFonts w:ascii="Times New Roman" w:eastAsia="Times New Roman" w:hAnsi="Times New Roman" w:cs="Times New Roman"/>
                <w:color w:val="000000"/>
                <w:sz w:val="20"/>
                <w:szCs w:val="20"/>
                <w14:ligatures w14:val="none"/>
              </w:rPr>
              <w:t>95</w:t>
            </w:r>
          </w:p>
        </w:tc>
        <w:tc>
          <w:tcPr>
            <w:tcW w:w="1078" w:type="dxa"/>
            <w:tcBorders>
              <w:top w:val="single" w:sz="4" w:space="0" w:color="auto"/>
              <w:left w:val="nil"/>
            </w:tcBorders>
            <w:shd w:val="clear" w:color="auto" w:fill="auto"/>
            <w:noWrap/>
            <w:vAlign w:val="center"/>
          </w:tcPr>
          <w:p w14:paraId="0607F614" w14:textId="3CF70D89" w:rsidR="00C41E0A" w:rsidRPr="005C5FCF" w:rsidRDefault="00C41E0A" w:rsidP="00C41E0A">
            <w:pPr>
              <w:spacing w:after="0" w:line="240" w:lineRule="auto"/>
              <w:jc w:val="center"/>
              <w:rPr>
                <w:rFonts w:ascii="Times New Roman" w:eastAsia="Times New Roman" w:hAnsi="Times New Roman" w:cs="Times New Roman"/>
                <w:color w:val="000000"/>
                <w:sz w:val="20"/>
                <w:szCs w:val="20"/>
                <w14:ligatures w14:val="none"/>
              </w:rPr>
            </w:pPr>
            <w:r w:rsidRPr="005C5FCF">
              <w:rPr>
                <w:rFonts w:ascii="Times New Roman" w:eastAsia="Times New Roman" w:hAnsi="Times New Roman" w:cs="Times New Roman"/>
                <w:color w:val="000000"/>
                <w:sz w:val="20"/>
                <w:szCs w:val="20"/>
                <w14:ligatures w14:val="none"/>
              </w:rPr>
              <w:t>65</w:t>
            </w:r>
          </w:p>
        </w:tc>
        <w:tc>
          <w:tcPr>
            <w:tcW w:w="1123" w:type="dxa"/>
            <w:tcBorders>
              <w:top w:val="single" w:sz="4" w:space="0" w:color="auto"/>
              <w:left w:val="nil"/>
            </w:tcBorders>
            <w:shd w:val="clear" w:color="auto" w:fill="auto"/>
            <w:noWrap/>
            <w:vAlign w:val="center"/>
          </w:tcPr>
          <w:p w14:paraId="7A7822A5" w14:textId="20AA8DD2" w:rsidR="00C41E0A" w:rsidRPr="005C5FCF" w:rsidRDefault="00C41E0A" w:rsidP="00C41E0A">
            <w:pPr>
              <w:spacing w:after="0" w:line="240" w:lineRule="auto"/>
              <w:jc w:val="center"/>
              <w:rPr>
                <w:rFonts w:ascii="Times New Roman" w:eastAsia="Times New Roman" w:hAnsi="Times New Roman" w:cs="Times New Roman"/>
                <w:color w:val="000000"/>
                <w:sz w:val="20"/>
                <w:szCs w:val="20"/>
                <w14:ligatures w14:val="none"/>
              </w:rPr>
            </w:pPr>
            <w:r w:rsidRPr="005C5FCF">
              <w:rPr>
                <w:rFonts w:ascii="Times New Roman" w:eastAsia="Times New Roman" w:hAnsi="Times New Roman" w:cs="Times New Roman"/>
                <w:color w:val="000000"/>
                <w:sz w:val="20"/>
                <w:szCs w:val="20"/>
                <w14:ligatures w14:val="none"/>
              </w:rPr>
              <w:t>35</w:t>
            </w:r>
          </w:p>
        </w:tc>
        <w:tc>
          <w:tcPr>
            <w:tcW w:w="1541" w:type="dxa"/>
            <w:tcBorders>
              <w:top w:val="single" w:sz="4" w:space="0" w:color="auto"/>
              <w:left w:val="nil"/>
            </w:tcBorders>
            <w:shd w:val="clear" w:color="auto" w:fill="auto"/>
            <w:vAlign w:val="center"/>
            <w:hideMark/>
          </w:tcPr>
          <w:p w14:paraId="6DD61BC9" w14:textId="77777777" w:rsidR="00C41E0A" w:rsidRPr="005C5FCF" w:rsidRDefault="00C41E0A" w:rsidP="00C41E0A">
            <w:pPr>
              <w:spacing w:after="0" w:line="240" w:lineRule="auto"/>
              <w:jc w:val="center"/>
              <w:rPr>
                <w:rFonts w:ascii="Times New Roman" w:eastAsia="Times New Roman" w:hAnsi="Times New Roman" w:cs="Times New Roman"/>
                <w:color w:val="000000"/>
                <w:sz w:val="20"/>
                <w:szCs w:val="20"/>
                <w14:ligatures w14:val="none"/>
              </w:rPr>
            </w:pPr>
            <w:r w:rsidRPr="005C5FCF">
              <w:rPr>
                <w:rFonts w:ascii="Times New Roman" w:eastAsia="Times New Roman" w:hAnsi="Times New Roman" w:cs="Times New Roman"/>
                <w:color w:val="000000"/>
                <w:sz w:val="20"/>
                <w:szCs w:val="20"/>
                <w14:ligatures w14:val="none"/>
              </w:rPr>
              <w:t>62</w:t>
            </w:r>
          </w:p>
        </w:tc>
      </w:tr>
      <w:tr w:rsidR="00C41E0A" w:rsidRPr="005C5FCF" w14:paraId="6B2237C2" w14:textId="77777777" w:rsidTr="00C41E0A">
        <w:trPr>
          <w:trHeight w:val="300"/>
          <w:jc w:val="center"/>
        </w:trPr>
        <w:tc>
          <w:tcPr>
            <w:tcW w:w="416" w:type="dxa"/>
            <w:tcBorders>
              <w:top w:val="nil"/>
            </w:tcBorders>
            <w:shd w:val="clear" w:color="auto" w:fill="auto"/>
            <w:noWrap/>
            <w:vAlign w:val="center"/>
            <w:hideMark/>
          </w:tcPr>
          <w:p w14:paraId="5048C6C4" w14:textId="77777777" w:rsidR="00C41E0A" w:rsidRPr="005C5FCF" w:rsidRDefault="00C41E0A" w:rsidP="00C41E0A">
            <w:pPr>
              <w:spacing w:after="0" w:line="240" w:lineRule="auto"/>
              <w:jc w:val="center"/>
              <w:rPr>
                <w:rFonts w:ascii="Times New Roman" w:eastAsia="Times New Roman" w:hAnsi="Times New Roman" w:cs="Times New Roman"/>
                <w:color w:val="000000"/>
                <w:sz w:val="20"/>
                <w:szCs w:val="20"/>
                <w14:ligatures w14:val="none"/>
              </w:rPr>
            </w:pPr>
            <w:r w:rsidRPr="005C5FCF">
              <w:rPr>
                <w:rFonts w:ascii="Times New Roman" w:eastAsia="Times New Roman" w:hAnsi="Times New Roman" w:cs="Times New Roman"/>
                <w:color w:val="000000"/>
                <w:sz w:val="20"/>
                <w:szCs w:val="20"/>
                <w14:ligatures w14:val="none"/>
              </w:rPr>
              <w:t>4</w:t>
            </w:r>
          </w:p>
        </w:tc>
        <w:tc>
          <w:tcPr>
            <w:tcW w:w="992" w:type="dxa"/>
            <w:tcBorders>
              <w:top w:val="nil"/>
              <w:left w:val="nil"/>
            </w:tcBorders>
            <w:shd w:val="clear" w:color="auto" w:fill="auto"/>
            <w:noWrap/>
            <w:vAlign w:val="center"/>
            <w:hideMark/>
          </w:tcPr>
          <w:p w14:paraId="3C29974A" w14:textId="77777777" w:rsidR="00C41E0A" w:rsidRPr="005C5FCF" w:rsidRDefault="00C41E0A" w:rsidP="00C41E0A">
            <w:pPr>
              <w:spacing w:after="0" w:line="240" w:lineRule="auto"/>
              <w:jc w:val="center"/>
              <w:rPr>
                <w:rFonts w:ascii="Times New Roman" w:eastAsia="Times New Roman" w:hAnsi="Times New Roman" w:cs="Times New Roman"/>
                <w:color w:val="000000"/>
                <w:sz w:val="20"/>
                <w:szCs w:val="20"/>
                <w14:ligatures w14:val="none"/>
              </w:rPr>
            </w:pPr>
            <w:r w:rsidRPr="005C5FCF">
              <w:rPr>
                <w:rFonts w:ascii="Times New Roman" w:eastAsia="Times New Roman" w:hAnsi="Times New Roman" w:cs="Times New Roman"/>
                <w:color w:val="000000"/>
                <w:sz w:val="20"/>
                <w:szCs w:val="20"/>
                <w14:ligatures w14:val="none"/>
              </w:rPr>
              <w:t>10</w:t>
            </w:r>
          </w:p>
        </w:tc>
        <w:tc>
          <w:tcPr>
            <w:tcW w:w="805" w:type="dxa"/>
            <w:tcBorders>
              <w:top w:val="nil"/>
              <w:left w:val="nil"/>
            </w:tcBorders>
            <w:shd w:val="clear" w:color="auto" w:fill="auto"/>
            <w:vAlign w:val="center"/>
            <w:hideMark/>
          </w:tcPr>
          <w:p w14:paraId="229DB9E4" w14:textId="0B5E3D67" w:rsidR="00C41E0A" w:rsidRPr="005C5FCF" w:rsidRDefault="00C41E0A" w:rsidP="00C41E0A">
            <w:pPr>
              <w:spacing w:after="0" w:line="240" w:lineRule="auto"/>
              <w:jc w:val="center"/>
              <w:rPr>
                <w:rFonts w:ascii="Times New Roman" w:eastAsia="Times New Roman" w:hAnsi="Times New Roman" w:cs="Times New Roman"/>
                <w:color w:val="000000"/>
                <w:sz w:val="20"/>
                <w:szCs w:val="20"/>
                <w14:ligatures w14:val="none"/>
              </w:rPr>
            </w:pPr>
            <w:r w:rsidRPr="005C5FCF">
              <w:rPr>
                <w:rFonts w:ascii="Times New Roman" w:eastAsia="Times New Roman" w:hAnsi="Times New Roman" w:cs="Times New Roman"/>
                <w:color w:val="000000"/>
                <w:sz w:val="20"/>
                <w:szCs w:val="20"/>
                <w14:ligatures w14:val="none"/>
              </w:rPr>
              <w:t>0.54</w:t>
            </w:r>
          </w:p>
        </w:tc>
        <w:tc>
          <w:tcPr>
            <w:tcW w:w="1123" w:type="dxa"/>
            <w:tcBorders>
              <w:top w:val="nil"/>
              <w:left w:val="nil"/>
            </w:tcBorders>
            <w:shd w:val="clear" w:color="auto" w:fill="auto"/>
            <w:noWrap/>
            <w:vAlign w:val="center"/>
            <w:hideMark/>
          </w:tcPr>
          <w:p w14:paraId="17F128A9" w14:textId="127165A2" w:rsidR="00C41E0A" w:rsidRPr="005C5FCF" w:rsidRDefault="00C41E0A" w:rsidP="00C41E0A">
            <w:pPr>
              <w:spacing w:after="0" w:line="240" w:lineRule="auto"/>
              <w:jc w:val="center"/>
              <w:rPr>
                <w:rFonts w:ascii="Times New Roman" w:eastAsia="Times New Roman" w:hAnsi="Times New Roman" w:cs="Times New Roman"/>
                <w:color w:val="000000"/>
                <w:sz w:val="20"/>
                <w:szCs w:val="20"/>
                <w14:ligatures w14:val="none"/>
              </w:rPr>
            </w:pPr>
            <w:r w:rsidRPr="005C5FCF">
              <w:rPr>
                <w:rFonts w:ascii="Times New Roman" w:eastAsia="Times New Roman" w:hAnsi="Times New Roman" w:cs="Times New Roman"/>
                <w:color w:val="000000"/>
                <w:sz w:val="20"/>
                <w:szCs w:val="20"/>
                <w14:ligatures w14:val="none"/>
              </w:rPr>
              <w:t>4.0</w:t>
            </w:r>
          </w:p>
        </w:tc>
        <w:tc>
          <w:tcPr>
            <w:tcW w:w="830" w:type="dxa"/>
            <w:tcBorders>
              <w:top w:val="nil"/>
              <w:left w:val="nil"/>
            </w:tcBorders>
            <w:shd w:val="clear" w:color="auto" w:fill="auto"/>
            <w:noWrap/>
            <w:vAlign w:val="center"/>
            <w:hideMark/>
          </w:tcPr>
          <w:p w14:paraId="4EF32DF4" w14:textId="77777777" w:rsidR="00C41E0A" w:rsidRPr="005C5FCF" w:rsidRDefault="00C41E0A" w:rsidP="00C41E0A">
            <w:pPr>
              <w:spacing w:after="0" w:line="240" w:lineRule="auto"/>
              <w:jc w:val="center"/>
              <w:rPr>
                <w:rFonts w:ascii="Times New Roman" w:eastAsia="Times New Roman" w:hAnsi="Times New Roman" w:cs="Times New Roman"/>
                <w:color w:val="000000"/>
                <w:sz w:val="20"/>
                <w:szCs w:val="20"/>
                <w14:ligatures w14:val="none"/>
              </w:rPr>
            </w:pPr>
            <w:r w:rsidRPr="005C5FCF">
              <w:rPr>
                <w:rFonts w:ascii="Times New Roman" w:eastAsia="Times New Roman" w:hAnsi="Times New Roman" w:cs="Times New Roman"/>
                <w:color w:val="000000"/>
                <w:sz w:val="20"/>
                <w:szCs w:val="20"/>
                <w14:ligatures w14:val="none"/>
              </w:rPr>
              <w:t>100</w:t>
            </w:r>
          </w:p>
        </w:tc>
        <w:tc>
          <w:tcPr>
            <w:tcW w:w="1078" w:type="dxa"/>
            <w:tcBorders>
              <w:top w:val="nil"/>
              <w:left w:val="nil"/>
            </w:tcBorders>
            <w:shd w:val="clear" w:color="auto" w:fill="auto"/>
            <w:noWrap/>
            <w:vAlign w:val="center"/>
          </w:tcPr>
          <w:p w14:paraId="6236D5E9" w14:textId="6CCF2685" w:rsidR="00C41E0A" w:rsidRPr="005C5FCF" w:rsidRDefault="00C41E0A" w:rsidP="00C41E0A">
            <w:pPr>
              <w:spacing w:after="0" w:line="240" w:lineRule="auto"/>
              <w:jc w:val="center"/>
              <w:rPr>
                <w:rFonts w:ascii="Times New Roman" w:eastAsia="Times New Roman" w:hAnsi="Times New Roman" w:cs="Times New Roman"/>
                <w:color w:val="000000"/>
                <w:sz w:val="20"/>
                <w:szCs w:val="20"/>
                <w14:ligatures w14:val="none"/>
              </w:rPr>
            </w:pPr>
            <w:r w:rsidRPr="005C5FCF">
              <w:rPr>
                <w:rFonts w:ascii="Times New Roman" w:eastAsia="Times New Roman" w:hAnsi="Times New Roman" w:cs="Times New Roman"/>
                <w:color w:val="000000"/>
                <w:sz w:val="20"/>
                <w:szCs w:val="20"/>
                <w14:ligatures w14:val="none"/>
              </w:rPr>
              <w:t>92</w:t>
            </w:r>
          </w:p>
        </w:tc>
        <w:tc>
          <w:tcPr>
            <w:tcW w:w="1123" w:type="dxa"/>
            <w:tcBorders>
              <w:top w:val="nil"/>
              <w:left w:val="nil"/>
            </w:tcBorders>
            <w:shd w:val="clear" w:color="auto" w:fill="auto"/>
            <w:noWrap/>
            <w:vAlign w:val="center"/>
          </w:tcPr>
          <w:p w14:paraId="6CB9378A" w14:textId="4A0F7AA5" w:rsidR="00C41E0A" w:rsidRPr="005C5FCF" w:rsidRDefault="00C41E0A" w:rsidP="00C41E0A">
            <w:pPr>
              <w:spacing w:after="0" w:line="240" w:lineRule="auto"/>
              <w:jc w:val="center"/>
              <w:rPr>
                <w:rFonts w:ascii="Times New Roman" w:eastAsia="Times New Roman" w:hAnsi="Times New Roman" w:cs="Times New Roman"/>
                <w:color w:val="000000"/>
                <w:sz w:val="20"/>
                <w:szCs w:val="20"/>
                <w14:ligatures w14:val="none"/>
              </w:rPr>
            </w:pPr>
            <w:r w:rsidRPr="005C5FCF">
              <w:rPr>
                <w:rFonts w:ascii="Times New Roman" w:eastAsia="Times New Roman" w:hAnsi="Times New Roman" w:cs="Times New Roman"/>
                <w:color w:val="000000"/>
                <w:sz w:val="20"/>
                <w:szCs w:val="20"/>
                <w14:ligatures w14:val="none"/>
              </w:rPr>
              <w:t>8</w:t>
            </w:r>
          </w:p>
        </w:tc>
        <w:tc>
          <w:tcPr>
            <w:tcW w:w="1541" w:type="dxa"/>
            <w:tcBorders>
              <w:top w:val="nil"/>
              <w:left w:val="nil"/>
            </w:tcBorders>
            <w:shd w:val="clear" w:color="auto" w:fill="auto"/>
            <w:vAlign w:val="center"/>
            <w:hideMark/>
          </w:tcPr>
          <w:p w14:paraId="1894988E" w14:textId="77777777" w:rsidR="00C41E0A" w:rsidRPr="005C5FCF" w:rsidRDefault="00C41E0A" w:rsidP="00C41E0A">
            <w:pPr>
              <w:spacing w:after="0" w:line="240" w:lineRule="auto"/>
              <w:jc w:val="center"/>
              <w:rPr>
                <w:rFonts w:ascii="Times New Roman" w:eastAsia="Times New Roman" w:hAnsi="Times New Roman" w:cs="Times New Roman"/>
                <w:color w:val="000000"/>
                <w:sz w:val="20"/>
                <w:szCs w:val="20"/>
                <w14:ligatures w14:val="none"/>
              </w:rPr>
            </w:pPr>
            <w:r w:rsidRPr="005C5FCF">
              <w:rPr>
                <w:rFonts w:ascii="Times New Roman" w:eastAsia="Times New Roman" w:hAnsi="Times New Roman" w:cs="Times New Roman"/>
                <w:color w:val="000000"/>
                <w:sz w:val="20"/>
                <w:szCs w:val="20"/>
                <w14:ligatures w14:val="none"/>
              </w:rPr>
              <w:t>92</w:t>
            </w:r>
          </w:p>
        </w:tc>
      </w:tr>
      <w:tr w:rsidR="00C41E0A" w:rsidRPr="005C5FCF" w14:paraId="57637A73" w14:textId="77777777" w:rsidTr="00C41E0A">
        <w:trPr>
          <w:trHeight w:val="300"/>
          <w:jc w:val="center"/>
        </w:trPr>
        <w:tc>
          <w:tcPr>
            <w:tcW w:w="416" w:type="dxa"/>
            <w:tcBorders>
              <w:top w:val="nil"/>
            </w:tcBorders>
            <w:shd w:val="clear" w:color="auto" w:fill="auto"/>
            <w:noWrap/>
            <w:vAlign w:val="center"/>
            <w:hideMark/>
          </w:tcPr>
          <w:p w14:paraId="1AC1F6C1" w14:textId="77777777" w:rsidR="00C41E0A" w:rsidRPr="005C5FCF" w:rsidRDefault="00C41E0A" w:rsidP="00C41E0A">
            <w:pPr>
              <w:spacing w:after="0" w:line="240" w:lineRule="auto"/>
              <w:jc w:val="center"/>
              <w:rPr>
                <w:rFonts w:ascii="Times New Roman" w:eastAsia="Times New Roman" w:hAnsi="Times New Roman" w:cs="Times New Roman"/>
                <w:color w:val="000000"/>
                <w:sz w:val="20"/>
                <w:szCs w:val="20"/>
                <w14:ligatures w14:val="none"/>
              </w:rPr>
            </w:pPr>
            <w:r w:rsidRPr="005C5FCF">
              <w:rPr>
                <w:rFonts w:ascii="Times New Roman" w:eastAsia="Times New Roman" w:hAnsi="Times New Roman" w:cs="Times New Roman"/>
                <w:color w:val="000000"/>
                <w:sz w:val="20"/>
                <w:szCs w:val="20"/>
                <w14:ligatures w14:val="none"/>
              </w:rPr>
              <w:t>5</w:t>
            </w:r>
          </w:p>
        </w:tc>
        <w:tc>
          <w:tcPr>
            <w:tcW w:w="992" w:type="dxa"/>
            <w:tcBorders>
              <w:top w:val="nil"/>
              <w:left w:val="nil"/>
            </w:tcBorders>
            <w:shd w:val="clear" w:color="auto" w:fill="auto"/>
            <w:noWrap/>
            <w:vAlign w:val="center"/>
            <w:hideMark/>
          </w:tcPr>
          <w:p w14:paraId="66F50DD1" w14:textId="77777777" w:rsidR="00C41E0A" w:rsidRPr="005C5FCF" w:rsidRDefault="00C41E0A" w:rsidP="00C41E0A">
            <w:pPr>
              <w:spacing w:after="0" w:line="240" w:lineRule="auto"/>
              <w:jc w:val="center"/>
              <w:rPr>
                <w:rFonts w:ascii="Times New Roman" w:eastAsia="Times New Roman" w:hAnsi="Times New Roman" w:cs="Times New Roman"/>
                <w:color w:val="000000"/>
                <w:sz w:val="20"/>
                <w:szCs w:val="20"/>
                <w14:ligatures w14:val="none"/>
              </w:rPr>
            </w:pPr>
            <w:r w:rsidRPr="005C5FCF">
              <w:rPr>
                <w:rFonts w:ascii="Times New Roman" w:eastAsia="Times New Roman" w:hAnsi="Times New Roman" w:cs="Times New Roman"/>
                <w:color w:val="000000"/>
                <w:sz w:val="20"/>
                <w:szCs w:val="20"/>
                <w14:ligatures w14:val="none"/>
              </w:rPr>
              <w:t>10</w:t>
            </w:r>
          </w:p>
        </w:tc>
        <w:tc>
          <w:tcPr>
            <w:tcW w:w="805" w:type="dxa"/>
            <w:tcBorders>
              <w:top w:val="nil"/>
              <w:left w:val="nil"/>
            </w:tcBorders>
            <w:shd w:val="clear" w:color="auto" w:fill="auto"/>
            <w:vAlign w:val="center"/>
            <w:hideMark/>
          </w:tcPr>
          <w:p w14:paraId="621FFBD7" w14:textId="54F9DD50" w:rsidR="00C41E0A" w:rsidRPr="005C5FCF" w:rsidRDefault="00C41E0A" w:rsidP="00C41E0A">
            <w:pPr>
              <w:spacing w:after="0" w:line="240" w:lineRule="auto"/>
              <w:jc w:val="center"/>
              <w:rPr>
                <w:rFonts w:ascii="Times New Roman" w:eastAsia="Times New Roman" w:hAnsi="Times New Roman" w:cs="Times New Roman"/>
                <w:color w:val="000000"/>
                <w:sz w:val="20"/>
                <w:szCs w:val="20"/>
                <w14:ligatures w14:val="none"/>
              </w:rPr>
            </w:pPr>
            <w:r w:rsidRPr="005C5FCF">
              <w:rPr>
                <w:rFonts w:ascii="Times New Roman" w:eastAsia="Times New Roman" w:hAnsi="Times New Roman" w:cs="Times New Roman"/>
                <w:color w:val="000000"/>
                <w:sz w:val="20"/>
                <w:szCs w:val="20"/>
                <w14:ligatures w14:val="none"/>
              </w:rPr>
              <w:t>0.81</w:t>
            </w:r>
          </w:p>
        </w:tc>
        <w:tc>
          <w:tcPr>
            <w:tcW w:w="1123" w:type="dxa"/>
            <w:tcBorders>
              <w:top w:val="nil"/>
              <w:left w:val="nil"/>
            </w:tcBorders>
            <w:shd w:val="clear" w:color="auto" w:fill="auto"/>
            <w:noWrap/>
            <w:vAlign w:val="center"/>
            <w:hideMark/>
          </w:tcPr>
          <w:p w14:paraId="000D5D0C" w14:textId="07090ABD" w:rsidR="00C41E0A" w:rsidRPr="005C5FCF" w:rsidRDefault="00C41E0A" w:rsidP="00C41E0A">
            <w:pPr>
              <w:spacing w:after="0" w:line="240" w:lineRule="auto"/>
              <w:jc w:val="center"/>
              <w:rPr>
                <w:rFonts w:ascii="Times New Roman" w:eastAsia="Times New Roman" w:hAnsi="Times New Roman" w:cs="Times New Roman"/>
                <w:color w:val="000000"/>
                <w:sz w:val="20"/>
                <w:szCs w:val="20"/>
                <w14:ligatures w14:val="none"/>
              </w:rPr>
            </w:pPr>
            <w:r w:rsidRPr="005C5FCF">
              <w:rPr>
                <w:rFonts w:ascii="Times New Roman" w:eastAsia="Times New Roman" w:hAnsi="Times New Roman" w:cs="Times New Roman"/>
                <w:color w:val="000000"/>
                <w:sz w:val="20"/>
                <w:szCs w:val="20"/>
                <w14:ligatures w14:val="none"/>
              </w:rPr>
              <w:t>4.0</w:t>
            </w:r>
          </w:p>
        </w:tc>
        <w:tc>
          <w:tcPr>
            <w:tcW w:w="830" w:type="dxa"/>
            <w:tcBorders>
              <w:top w:val="nil"/>
              <w:left w:val="nil"/>
            </w:tcBorders>
            <w:shd w:val="clear" w:color="auto" w:fill="auto"/>
            <w:noWrap/>
            <w:vAlign w:val="center"/>
            <w:hideMark/>
          </w:tcPr>
          <w:p w14:paraId="60E251E1" w14:textId="77777777" w:rsidR="00C41E0A" w:rsidRPr="005C5FCF" w:rsidRDefault="00C41E0A" w:rsidP="00C41E0A">
            <w:pPr>
              <w:spacing w:after="0" w:line="240" w:lineRule="auto"/>
              <w:jc w:val="center"/>
              <w:rPr>
                <w:rFonts w:ascii="Times New Roman" w:eastAsia="Times New Roman" w:hAnsi="Times New Roman" w:cs="Times New Roman"/>
                <w:color w:val="000000"/>
                <w:sz w:val="20"/>
                <w:szCs w:val="20"/>
                <w14:ligatures w14:val="none"/>
              </w:rPr>
            </w:pPr>
            <w:r w:rsidRPr="005C5FCF">
              <w:rPr>
                <w:rFonts w:ascii="Times New Roman" w:eastAsia="Times New Roman" w:hAnsi="Times New Roman" w:cs="Times New Roman"/>
                <w:color w:val="000000"/>
                <w:sz w:val="20"/>
                <w:szCs w:val="20"/>
                <w14:ligatures w14:val="none"/>
              </w:rPr>
              <w:t>98</w:t>
            </w:r>
          </w:p>
        </w:tc>
        <w:tc>
          <w:tcPr>
            <w:tcW w:w="1078" w:type="dxa"/>
            <w:tcBorders>
              <w:top w:val="nil"/>
              <w:left w:val="nil"/>
            </w:tcBorders>
            <w:shd w:val="clear" w:color="auto" w:fill="auto"/>
            <w:noWrap/>
            <w:vAlign w:val="center"/>
          </w:tcPr>
          <w:p w14:paraId="656C1A00" w14:textId="6205AFC7" w:rsidR="00C41E0A" w:rsidRPr="005C5FCF" w:rsidRDefault="00C41E0A" w:rsidP="00C41E0A">
            <w:pPr>
              <w:spacing w:after="0" w:line="240" w:lineRule="auto"/>
              <w:jc w:val="center"/>
              <w:rPr>
                <w:rFonts w:ascii="Times New Roman" w:eastAsia="Times New Roman" w:hAnsi="Times New Roman" w:cs="Times New Roman"/>
                <w:color w:val="000000"/>
                <w:sz w:val="20"/>
                <w:szCs w:val="20"/>
                <w14:ligatures w14:val="none"/>
              </w:rPr>
            </w:pPr>
            <w:r w:rsidRPr="005C5FCF">
              <w:rPr>
                <w:rFonts w:ascii="Times New Roman" w:eastAsia="Times New Roman" w:hAnsi="Times New Roman" w:cs="Times New Roman"/>
                <w:color w:val="000000"/>
                <w:sz w:val="20"/>
                <w:szCs w:val="20"/>
                <w14:ligatures w14:val="none"/>
              </w:rPr>
              <w:t>78</w:t>
            </w:r>
          </w:p>
        </w:tc>
        <w:tc>
          <w:tcPr>
            <w:tcW w:w="1123" w:type="dxa"/>
            <w:tcBorders>
              <w:top w:val="nil"/>
              <w:left w:val="nil"/>
            </w:tcBorders>
            <w:shd w:val="clear" w:color="auto" w:fill="auto"/>
            <w:noWrap/>
            <w:vAlign w:val="center"/>
          </w:tcPr>
          <w:p w14:paraId="7F2E561A" w14:textId="4EE0DF1C" w:rsidR="00C41E0A" w:rsidRPr="005C5FCF" w:rsidRDefault="00C41E0A" w:rsidP="00C41E0A">
            <w:pPr>
              <w:spacing w:after="0" w:line="240" w:lineRule="auto"/>
              <w:jc w:val="center"/>
              <w:rPr>
                <w:rFonts w:ascii="Times New Roman" w:eastAsia="Times New Roman" w:hAnsi="Times New Roman" w:cs="Times New Roman"/>
                <w:color w:val="000000"/>
                <w:sz w:val="20"/>
                <w:szCs w:val="20"/>
                <w14:ligatures w14:val="none"/>
              </w:rPr>
            </w:pPr>
            <w:r w:rsidRPr="005C5FCF">
              <w:rPr>
                <w:rFonts w:ascii="Times New Roman" w:eastAsia="Times New Roman" w:hAnsi="Times New Roman" w:cs="Times New Roman"/>
                <w:color w:val="000000"/>
                <w:sz w:val="20"/>
                <w:szCs w:val="20"/>
                <w14:ligatures w14:val="none"/>
              </w:rPr>
              <w:t>22</w:t>
            </w:r>
          </w:p>
        </w:tc>
        <w:tc>
          <w:tcPr>
            <w:tcW w:w="1541" w:type="dxa"/>
            <w:tcBorders>
              <w:top w:val="nil"/>
              <w:left w:val="nil"/>
            </w:tcBorders>
            <w:shd w:val="clear" w:color="auto" w:fill="auto"/>
            <w:vAlign w:val="center"/>
            <w:hideMark/>
          </w:tcPr>
          <w:p w14:paraId="2FAA1710" w14:textId="77777777" w:rsidR="00C41E0A" w:rsidRPr="005C5FCF" w:rsidRDefault="00C41E0A" w:rsidP="00C41E0A">
            <w:pPr>
              <w:spacing w:after="0" w:line="240" w:lineRule="auto"/>
              <w:jc w:val="center"/>
              <w:rPr>
                <w:rFonts w:ascii="Times New Roman" w:eastAsia="Times New Roman" w:hAnsi="Times New Roman" w:cs="Times New Roman"/>
                <w:color w:val="000000"/>
                <w:sz w:val="20"/>
                <w:szCs w:val="20"/>
                <w14:ligatures w14:val="none"/>
              </w:rPr>
            </w:pPr>
            <w:r w:rsidRPr="005C5FCF">
              <w:rPr>
                <w:rFonts w:ascii="Times New Roman" w:eastAsia="Times New Roman" w:hAnsi="Times New Roman" w:cs="Times New Roman"/>
                <w:color w:val="000000"/>
                <w:sz w:val="20"/>
                <w:szCs w:val="20"/>
                <w14:ligatures w14:val="none"/>
              </w:rPr>
              <w:t>76</w:t>
            </w:r>
          </w:p>
        </w:tc>
      </w:tr>
      <w:tr w:rsidR="00C41E0A" w:rsidRPr="005C5FCF" w14:paraId="6BD9BC1C" w14:textId="77777777" w:rsidTr="00C41E0A">
        <w:trPr>
          <w:trHeight w:val="300"/>
          <w:jc w:val="center"/>
        </w:trPr>
        <w:tc>
          <w:tcPr>
            <w:tcW w:w="416" w:type="dxa"/>
            <w:tcBorders>
              <w:top w:val="nil"/>
              <w:bottom w:val="thinThickSmallGap" w:sz="24" w:space="0" w:color="auto"/>
            </w:tcBorders>
            <w:shd w:val="clear" w:color="auto" w:fill="auto"/>
            <w:noWrap/>
            <w:vAlign w:val="center"/>
            <w:hideMark/>
          </w:tcPr>
          <w:p w14:paraId="1E5D65AC" w14:textId="77777777" w:rsidR="00C41E0A" w:rsidRPr="005C5FCF" w:rsidRDefault="00C41E0A" w:rsidP="00C41E0A">
            <w:pPr>
              <w:spacing w:after="0" w:line="240" w:lineRule="auto"/>
              <w:jc w:val="center"/>
              <w:rPr>
                <w:rFonts w:ascii="Times New Roman" w:eastAsia="Times New Roman" w:hAnsi="Times New Roman" w:cs="Times New Roman"/>
                <w:color w:val="000000"/>
                <w:sz w:val="20"/>
                <w:szCs w:val="20"/>
                <w14:ligatures w14:val="none"/>
              </w:rPr>
            </w:pPr>
            <w:r w:rsidRPr="005C5FCF">
              <w:rPr>
                <w:rFonts w:ascii="Times New Roman" w:eastAsia="Times New Roman" w:hAnsi="Times New Roman" w:cs="Times New Roman"/>
                <w:color w:val="000000"/>
                <w:sz w:val="20"/>
                <w:szCs w:val="20"/>
                <w14:ligatures w14:val="none"/>
              </w:rPr>
              <w:t>6</w:t>
            </w:r>
          </w:p>
        </w:tc>
        <w:tc>
          <w:tcPr>
            <w:tcW w:w="992" w:type="dxa"/>
            <w:tcBorders>
              <w:top w:val="nil"/>
              <w:left w:val="nil"/>
              <w:bottom w:val="thinThickSmallGap" w:sz="24" w:space="0" w:color="auto"/>
            </w:tcBorders>
            <w:shd w:val="clear" w:color="auto" w:fill="auto"/>
            <w:noWrap/>
            <w:vAlign w:val="center"/>
            <w:hideMark/>
          </w:tcPr>
          <w:p w14:paraId="5465CCC5" w14:textId="77777777" w:rsidR="00C41E0A" w:rsidRPr="005C5FCF" w:rsidRDefault="00C41E0A" w:rsidP="00C41E0A">
            <w:pPr>
              <w:spacing w:after="0" w:line="240" w:lineRule="auto"/>
              <w:jc w:val="center"/>
              <w:rPr>
                <w:rFonts w:ascii="Times New Roman" w:eastAsia="Times New Roman" w:hAnsi="Times New Roman" w:cs="Times New Roman"/>
                <w:color w:val="000000"/>
                <w:sz w:val="20"/>
                <w:szCs w:val="20"/>
                <w14:ligatures w14:val="none"/>
              </w:rPr>
            </w:pPr>
            <w:r w:rsidRPr="005C5FCF">
              <w:rPr>
                <w:rFonts w:ascii="Times New Roman" w:eastAsia="Times New Roman" w:hAnsi="Times New Roman" w:cs="Times New Roman"/>
                <w:color w:val="000000"/>
                <w:sz w:val="20"/>
                <w:szCs w:val="20"/>
                <w14:ligatures w14:val="none"/>
              </w:rPr>
              <w:t>10</w:t>
            </w:r>
          </w:p>
        </w:tc>
        <w:tc>
          <w:tcPr>
            <w:tcW w:w="805" w:type="dxa"/>
            <w:tcBorders>
              <w:top w:val="nil"/>
              <w:left w:val="nil"/>
              <w:bottom w:val="thinThickSmallGap" w:sz="24" w:space="0" w:color="auto"/>
            </w:tcBorders>
            <w:shd w:val="clear" w:color="auto" w:fill="auto"/>
            <w:vAlign w:val="center"/>
            <w:hideMark/>
          </w:tcPr>
          <w:p w14:paraId="606D8C6A" w14:textId="77777777" w:rsidR="00C41E0A" w:rsidRPr="005C5FCF" w:rsidRDefault="00C41E0A" w:rsidP="00C41E0A">
            <w:pPr>
              <w:spacing w:after="0" w:line="240" w:lineRule="auto"/>
              <w:jc w:val="center"/>
              <w:rPr>
                <w:rFonts w:ascii="Times New Roman" w:eastAsia="Times New Roman" w:hAnsi="Times New Roman" w:cs="Times New Roman"/>
                <w:color w:val="000000"/>
                <w:sz w:val="20"/>
                <w:szCs w:val="20"/>
                <w14:ligatures w14:val="none"/>
              </w:rPr>
            </w:pPr>
            <w:r w:rsidRPr="005C5FCF">
              <w:rPr>
                <w:rFonts w:ascii="Times New Roman" w:eastAsia="Times New Roman" w:hAnsi="Times New Roman" w:cs="Times New Roman"/>
                <w:color w:val="000000"/>
                <w:sz w:val="20"/>
                <w:szCs w:val="20"/>
                <w14:ligatures w14:val="none"/>
              </w:rPr>
              <w:t>Neat</w:t>
            </w:r>
          </w:p>
        </w:tc>
        <w:tc>
          <w:tcPr>
            <w:tcW w:w="1123" w:type="dxa"/>
            <w:tcBorders>
              <w:top w:val="nil"/>
              <w:left w:val="nil"/>
              <w:bottom w:val="thinThickSmallGap" w:sz="24" w:space="0" w:color="auto"/>
            </w:tcBorders>
            <w:shd w:val="clear" w:color="auto" w:fill="auto"/>
            <w:noWrap/>
            <w:vAlign w:val="center"/>
            <w:hideMark/>
          </w:tcPr>
          <w:p w14:paraId="65B0A6BB" w14:textId="1E0A0817" w:rsidR="00C41E0A" w:rsidRPr="005C5FCF" w:rsidRDefault="00C41E0A" w:rsidP="00C41E0A">
            <w:pPr>
              <w:spacing w:after="0" w:line="240" w:lineRule="auto"/>
              <w:jc w:val="center"/>
              <w:rPr>
                <w:rFonts w:ascii="Times New Roman" w:eastAsia="Times New Roman" w:hAnsi="Times New Roman" w:cs="Times New Roman"/>
                <w:color w:val="000000"/>
                <w:sz w:val="20"/>
                <w:szCs w:val="20"/>
                <w14:ligatures w14:val="none"/>
              </w:rPr>
            </w:pPr>
            <w:r w:rsidRPr="005C5FCF">
              <w:rPr>
                <w:rFonts w:ascii="Times New Roman" w:eastAsia="Times New Roman" w:hAnsi="Times New Roman" w:cs="Times New Roman"/>
                <w:color w:val="000000"/>
                <w:sz w:val="20"/>
                <w:szCs w:val="20"/>
                <w14:ligatures w14:val="none"/>
              </w:rPr>
              <w:t>4.0</w:t>
            </w:r>
          </w:p>
        </w:tc>
        <w:tc>
          <w:tcPr>
            <w:tcW w:w="830" w:type="dxa"/>
            <w:tcBorders>
              <w:top w:val="nil"/>
              <w:left w:val="nil"/>
              <w:bottom w:val="thinThickSmallGap" w:sz="24" w:space="0" w:color="auto"/>
            </w:tcBorders>
            <w:shd w:val="clear" w:color="auto" w:fill="auto"/>
            <w:noWrap/>
            <w:vAlign w:val="center"/>
            <w:hideMark/>
          </w:tcPr>
          <w:p w14:paraId="2A2C4AC3" w14:textId="77777777" w:rsidR="00C41E0A" w:rsidRPr="005C5FCF" w:rsidRDefault="00C41E0A" w:rsidP="00C41E0A">
            <w:pPr>
              <w:spacing w:after="0" w:line="240" w:lineRule="auto"/>
              <w:jc w:val="center"/>
              <w:rPr>
                <w:rFonts w:ascii="Times New Roman" w:eastAsia="Times New Roman" w:hAnsi="Times New Roman" w:cs="Times New Roman"/>
                <w:color w:val="000000"/>
                <w:sz w:val="20"/>
                <w:szCs w:val="20"/>
                <w14:ligatures w14:val="none"/>
              </w:rPr>
            </w:pPr>
            <w:r w:rsidRPr="005C5FCF">
              <w:rPr>
                <w:rFonts w:ascii="Times New Roman" w:eastAsia="Times New Roman" w:hAnsi="Times New Roman" w:cs="Times New Roman"/>
                <w:color w:val="000000"/>
                <w:sz w:val="20"/>
                <w:szCs w:val="20"/>
                <w14:ligatures w14:val="none"/>
              </w:rPr>
              <w:t>96</w:t>
            </w:r>
          </w:p>
        </w:tc>
        <w:tc>
          <w:tcPr>
            <w:tcW w:w="1078" w:type="dxa"/>
            <w:tcBorders>
              <w:top w:val="nil"/>
              <w:left w:val="nil"/>
              <w:bottom w:val="thinThickSmallGap" w:sz="24" w:space="0" w:color="auto"/>
            </w:tcBorders>
            <w:shd w:val="clear" w:color="auto" w:fill="auto"/>
            <w:noWrap/>
            <w:vAlign w:val="center"/>
          </w:tcPr>
          <w:p w14:paraId="003CE446" w14:textId="0F35620D" w:rsidR="00C41E0A" w:rsidRPr="005C5FCF" w:rsidRDefault="00C41E0A" w:rsidP="00C41E0A">
            <w:pPr>
              <w:spacing w:after="0" w:line="240" w:lineRule="auto"/>
              <w:jc w:val="center"/>
              <w:rPr>
                <w:rFonts w:ascii="Times New Roman" w:eastAsia="Times New Roman" w:hAnsi="Times New Roman" w:cs="Times New Roman"/>
                <w:color w:val="000000"/>
                <w:sz w:val="20"/>
                <w:szCs w:val="20"/>
                <w14:ligatures w14:val="none"/>
              </w:rPr>
            </w:pPr>
            <w:r w:rsidRPr="005C5FCF">
              <w:rPr>
                <w:rFonts w:ascii="Times New Roman" w:eastAsia="Times New Roman" w:hAnsi="Times New Roman" w:cs="Times New Roman"/>
                <w:color w:val="000000"/>
                <w:sz w:val="20"/>
                <w:szCs w:val="20"/>
                <w14:ligatures w14:val="none"/>
              </w:rPr>
              <w:t>76</w:t>
            </w:r>
          </w:p>
        </w:tc>
        <w:tc>
          <w:tcPr>
            <w:tcW w:w="1123" w:type="dxa"/>
            <w:tcBorders>
              <w:top w:val="nil"/>
              <w:left w:val="nil"/>
              <w:bottom w:val="thinThickSmallGap" w:sz="24" w:space="0" w:color="auto"/>
            </w:tcBorders>
            <w:shd w:val="clear" w:color="auto" w:fill="auto"/>
            <w:noWrap/>
            <w:vAlign w:val="center"/>
          </w:tcPr>
          <w:p w14:paraId="3B0E0535" w14:textId="23DC26D7" w:rsidR="00C41E0A" w:rsidRPr="005C5FCF" w:rsidRDefault="00C41E0A" w:rsidP="00C41E0A">
            <w:pPr>
              <w:spacing w:after="0" w:line="240" w:lineRule="auto"/>
              <w:jc w:val="center"/>
              <w:rPr>
                <w:rFonts w:ascii="Times New Roman" w:eastAsia="Times New Roman" w:hAnsi="Times New Roman" w:cs="Times New Roman"/>
                <w:color w:val="000000"/>
                <w:sz w:val="20"/>
                <w:szCs w:val="20"/>
                <w14:ligatures w14:val="none"/>
              </w:rPr>
            </w:pPr>
            <w:r w:rsidRPr="005C5FCF">
              <w:rPr>
                <w:rFonts w:ascii="Times New Roman" w:eastAsia="Times New Roman" w:hAnsi="Times New Roman" w:cs="Times New Roman"/>
                <w:color w:val="000000"/>
                <w:sz w:val="20"/>
                <w:szCs w:val="20"/>
                <w14:ligatures w14:val="none"/>
              </w:rPr>
              <w:t>24</w:t>
            </w:r>
          </w:p>
        </w:tc>
        <w:tc>
          <w:tcPr>
            <w:tcW w:w="1541" w:type="dxa"/>
            <w:tcBorders>
              <w:top w:val="nil"/>
              <w:left w:val="nil"/>
              <w:bottom w:val="thinThickSmallGap" w:sz="24" w:space="0" w:color="auto"/>
            </w:tcBorders>
            <w:shd w:val="clear" w:color="auto" w:fill="auto"/>
            <w:vAlign w:val="center"/>
            <w:hideMark/>
          </w:tcPr>
          <w:p w14:paraId="23EA8970" w14:textId="77777777" w:rsidR="00C41E0A" w:rsidRPr="005C5FCF" w:rsidRDefault="00C41E0A" w:rsidP="00C41E0A">
            <w:pPr>
              <w:spacing w:after="0" w:line="240" w:lineRule="auto"/>
              <w:jc w:val="center"/>
              <w:rPr>
                <w:rFonts w:ascii="Times New Roman" w:eastAsia="Times New Roman" w:hAnsi="Times New Roman" w:cs="Times New Roman"/>
                <w:color w:val="000000"/>
                <w:sz w:val="20"/>
                <w:szCs w:val="20"/>
                <w14:ligatures w14:val="none"/>
              </w:rPr>
            </w:pPr>
            <w:r w:rsidRPr="005C5FCF">
              <w:rPr>
                <w:rFonts w:ascii="Times New Roman" w:eastAsia="Times New Roman" w:hAnsi="Times New Roman" w:cs="Times New Roman"/>
                <w:color w:val="000000"/>
                <w:sz w:val="20"/>
                <w:szCs w:val="20"/>
                <w14:ligatures w14:val="none"/>
              </w:rPr>
              <w:t>73</w:t>
            </w:r>
          </w:p>
        </w:tc>
      </w:tr>
    </w:tbl>
    <w:p w14:paraId="708E0C37" w14:textId="21319647" w:rsidR="00635C20" w:rsidRPr="00A505AF" w:rsidRDefault="007847B6" w:rsidP="005C5FCF">
      <w:pPr>
        <w:spacing w:after="240" w:line="240" w:lineRule="auto"/>
        <w:jc w:val="both"/>
        <w:rPr>
          <w:rFonts w:ascii="Times New Roman" w:hAnsi="Times New Roman" w:cs="Times New Roman"/>
          <w:sz w:val="18"/>
          <w:szCs w:val="18"/>
        </w:rPr>
      </w:pPr>
      <w:r w:rsidRPr="00A505AF">
        <w:rPr>
          <w:rFonts w:ascii="Times New Roman" w:hAnsi="Times New Roman" w:cs="Times New Roman"/>
          <w:sz w:val="18"/>
          <w:szCs w:val="18"/>
        </w:rPr>
        <w:t xml:space="preserve">Reaction conditions: </w:t>
      </w:r>
      <w:r w:rsidR="00B33BB5" w:rsidRPr="00A505AF">
        <w:rPr>
          <w:rFonts w:ascii="Times New Roman" w:hAnsi="Times New Roman" w:cs="Times New Roman"/>
          <w:sz w:val="18"/>
          <w:szCs w:val="18"/>
        </w:rPr>
        <w:t xml:space="preserve">2.71 mmol of FDME with glycidol and triethylamine in </w:t>
      </w:r>
      <w:r w:rsidR="007453C5">
        <w:rPr>
          <w:rFonts w:ascii="Times New Roman" w:hAnsi="Times New Roman" w:cs="Times New Roman"/>
          <w:sz w:val="18"/>
          <w:szCs w:val="18"/>
        </w:rPr>
        <w:t>2-</w:t>
      </w:r>
      <w:r w:rsidR="00B33BB5" w:rsidRPr="00A505AF">
        <w:rPr>
          <w:rFonts w:ascii="Times New Roman" w:hAnsi="Times New Roman" w:cs="Times New Roman"/>
          <w:sz w:val="18"/>
          <w:szCs w:val="18"/>
        </w:rPr>
        <w:t>MeTHF at 60 °C</w:t>
      </w:r>
      <w:r w:rsidR="00CA7045" w:rsidRPr="00A505AF">
        <w:rPr>
          <w:rFonts w:ascii="Times New Roman" w:hAnsi="Times New Roman" w:cs="Times New Roman"/>
          <w:sz w:val="18"/>
          <w:szCs w:val="18"/>
        </w:rPr>
        <w:t xml:space="preserve"> for 5 hours</w:t>
      </w:r>
      <w:r w:rsidR="005C5FCF" w:rsidRPr="00115D5D">
        <w:rPr>
          <w:rFonts w:ascii="Times New Roman" w:hAnsi="Times New Roman" w:cs="Times New Roman"/>
          <w:sz w:val="18"/>
          <w:szCs w:val="18"/>
        </w:rPr>
        <w:t xml:space="preserve">. Conversion, selectivity and yields were evaluated via proton NMR; </w:t>
      </w:r>
      <w:r w:rsidR="005C5FCF" w:rsidRPr="00115D5D">
        <w:rPr>
          <w:rFonts w:ascii="Times New Roman" w:hAnsi="Times New Roman" w:cs="Times New Roman"/>
          <w:sz w:val="18"/>
          <w:szCs w:val="18"/>
          <w:vertAlign w:val="superscript"/>
        </w:rPr>
        <w:t>a</w:t>
      </w:r>
      <w:r w:rsidR="005C5FCF" w:rsidRPr="00115D5D">
        <w:rPr>
          <w:rFonts w:ascii="Times New Roman" w:hAnsi="Times New Roman" w:cs="Times New Roman"/>
          <w:sz w:val="18"/>
          <w:szCs w:val="18"/>
        </w:rPr>
        <w:t xml:space="preserve"> Isolated yield.</w:t>
      </w:r>
    </w:p>
    <w:p w14:paraId="496328E6" w14:textId="0770AB0F" w:rsidR="00E865F3" w:rsidRDefault="00AB501F" w:rsidP="00BF3014">
      <w:pPr>
        <w:spacing w:after="0" w:line="480" w:lineRule="auto"/>
        <w:jc w:val="both"/>
        <w:rPr>
          <w:rFonts w:ascii="Times New Roman" w:hAnsi="Times New Roman" w:cs="Times New Roman"/>
          <w:sz w:val="24"/>
          <w:szCs w:val="24"/>
        </w:rPr>
      </w:pPr>
      <w:r w:rsidRPr="00A505AF">
        <w:rPr>
          <w:rFonts w:ascii="Times New Roman" w:hAnsi="Times New Roman" w:cs="Times New Roman"/>
          <w:sz w:val="24"/>
          <w:szCs w:val="24"/>
        </w:rPr>
        <w:t>A</w:t>
      </w:r>
      <w:r w:rsidR="00420BF8">
        <w:rPr>
          <w:rFonts w:ascii="Times New Roman" w:hAnsi="Times New Roman" w:cs="Times New Roman"/>
          <w:sz w:val="24"/>
          <w:szCs w:val="24"/>
        </w:rPr>
        <w:t xml:space="preserve"> </w:t>
      </w:r>
      <w:r w:rsidR="00DF5824">
        <w:rPr>
          <w:rFonts w:ascii="Times New Roman" w:hAnsi="Times New Roman" w:cs="Times New Roman"/>
          <w:sz w:val="24"/>
          <w:szCs w:val="24"/>
        </w:rPr>
        <w:t>trial</w:t>
      </w:r>
      <w:r w:rsidR="00420BF8">
        <w:rPr>
          <w:rFonts w:ascii="Times New Roman" w:hAnsi="Times New Roman" w:cs="Times New Roman"/>
          <w:sz w:val="24"/>
          <w:szCs w:val="24"/>
        </w:rPr>
        <w:t xml:space="preserve"> </w:t>
      </w:r>
      <w:r w:rsidRPr="00A505AF">
        <w:rPr>
          <w:rFonts w:ascii="Times New Roman" w:hAnsi="Times New Roman" w:cs="Times New Roman"/>
          <w:sz w:val="24"/>
          <w:szCs w:val="24"/>
        </w:rPr>
        <w:t xml:space="preserve">was </w:t>
      </w:r>
      <w:r w:rsidR="000E2584">
        <w:rPr>
          <w:rFonts w:ascii="Times New Roman" w:hAnsi="Times New Roman" w:cs="Times New Roman"/>
          <w:sz w:val="24"/>
          <w:szCs w:val="24"/>
        </w:rPr>
        <w:t>then</w:t>
      </w:r>
      <w:r w:rsidRPr="00A505AF">
        <w:rPr>
          <w:rFonts w:ascii="Times New Roman" w:hAnsi="Times New Roman" w:cs="Times New Roman"/>
          <w:sz w:val="24"/>
          <w:szCs w:val="24"/>
        </w:rPr>
        <w:t xml:space="preserve"> carried out decreasing the quantity of </w:t>
      </w:r>
      <w:r>
        <w:rPr>
          <w:rFonts w:ascii="Times New Roman" w:hAnsi="Times New Roman" w:cs="Times New Roman"/>
          <w:sz w:val="24"/>
          <w:szCs w:val="24"/>
        </w:rPr>
        <w:t xml:space="preserve">the </w:t>
      </w:r>
      <w:r w:rsidR="007453C5">
        <w:rPr>
          <w:rFonts w:ascii="Times New Roman" w:hAnsi="Times New Roman" w:cs="Times New Roman"/>
          <w:sz w:val="24"/>
          <w:szCs w:val="24"/>
        </w:rPr>
        <w:t>base</w:t>
      </w:r>
      <w:r w:rsidR="007453C5" w:rsidRPr="00A505AF">
        <w:rPr>
          <w:rFonts w:ascii="Times New Roman" w:hAnsi="Times New Roman" w:cs="Times New Roman"/>
          <w:sz w:val="24"/>
          <w:szCs w:val="24"/>
        </w:rPr>
        <w:t xml:space="preserve"> </w:t>
      </w:r>
      <w:r w:rsidRPr="00A505AF">
        <w:rPr>
          <w:rFonts w:ascii="Times New Roman" w:hAnsi="Times New Roman" w:cs="Times New Roman"/>
          <w:sz w:val="24"/>
          <w:szCs w:val="24"/>
        </w:rPr>
        <w:t>from 10% mol to 5% mol</w:t>
      </w:r>
      <w:r>
        <w:rPr>
          <w:rFonts w:ascii="Times New Roman" w:hAnsi="Times New Roman" w:cs="Times New Roman"/>
          <w:sz w:val="24"/>
          <w:szCs w:val="24"/>
        </w:rPr>
        <w:t>.</w:t>
      </w:r>
      <w:r w:rsidR="00DF5824">
        <w:rPr>
          <w:rFonts w:ascii="Times New Roman" w:hAnsi="Times New Roman" w:cs="Times New Roman"/>
          <w:sz w:val="24"/>
          <w:szCs w:val="24"/>
        </w:rPr>
        <w:t xml:space="preserve"> NMR </w:t>
      </w:r>
      <w:r w:rsidR="00FB1B39">
        <w:rPr>
          <w:rFonts w:ascii="Times New Roman" w:hAnsi="Times New Roman" w:cs="Times New Roman"/>
          <w:sz w:val="24"/>
          <w:szCs w:val="24"/>
        </w:rPr>
        <w:t>data</w:t>
      </w:r>
      <w:r w:rsidR="00DF5824">
        <w:rPr>
          <w:rFonts w:ascii="Times New Roman" w:hAnsi="Times New Roman" w:cs="Times New Roman"/>
          <w:sz w:val="24"/>
          <w:szCs w:val="24"/>
        </w:rPr>
        <w:t xml:space="preserve"> </w:t>
      </w:r>
      <w:r w:rsidR="00FB1B39">
        <w:rPr>
          <w:rFonts w:ascii="Times New Roman" w:hAnsi="Times New Roman" w:cs="Times New Roman"/>
          <w:sz w:val="24"/>
          <w:szCs w:val="24"/>
        </w:rPr>
        <w:t xml:space="preserve">collected from </w:t>
      </w:r>
      <w:r w:rsidR="00DF5824">
        <w:rPr>
          <w:rFonts w:ascii="Times New Roman" w:hAnsi="Times New Roman" w:cs="Times New Roman"/>
          <w:sz w:val="24"/>
          <w:szCs w:val="24"/>
        </w:rPr>
        <w:t xml:space="preserve">the reaction mixture </w:t>
      </w:r>
      <w:r w:rsidRPr="00A505AF">
        <w:rPr>
          <w:rFonts w:ascii="Times New Roman" w:hAnsi="Times New Roman" w:cs="Times New Roman"/>
          <w:sz w:val="24"/>
          <w:szCs w:val="24"/>
        </w:rPr>
        <w:t xml:space="preserve">indicated an incomplete </w:t>
      </w:r>
      <w:r w:rsidR="00FB1B39">
        <w:rPr>
          <w:rFonts w:ascii="Times New Roman" w:hAnsi="Times New Roman" w:cs="Times New Roman"/>
          <w:sz w:val="24"/>
          <w:szCs w:val="24"/>
        </w:rPr>
        <w:t xml:space="preserve">FDME </w:t>
      </w:r>
      <w:r w:rsidRPr="00A505AF">
        <w:rPr>
          <w:rFonts w:ascii="Times New Roman" w:hAnsi="Times New Roman" w:cs="Times New Roman"/>
          <w:sz w:val="24"/>
          <w:szCs w:val="24"/>
        </w:rPr>
        <w:t xml:space="preserve">conversion and </w:t>
      </w:r>
      <w:r w:rsidR="00DF5824">
        <w:rPr>
          <w:rFonts w:ascii="Times New Roman" w:hAnsi="Times New Roman" w:cs="Times New Roman"/>
          <w:sz w:val="24"/>
          <w:szCs w:val="24"/>
        </w:rPr>
        <w:t>lower</w:t>
      </w:r>
      <w:r w:rsidRPr="00A505AF">
        <w:rPr>
          <w:rFonts w:ascii="Times New Roman" w:hAnsi="Times New Roman" w:cs="Times New Roman"/>
          <w:sz w:val="24"/>
          <w:szCs w:val="24"/>
        </w:rPr>
        <w:t xml:space="preserve"> selectivity toward the desired product</w:t>
      </w:r>
      <w:r w:rsidR="007453C5">
        <w:rPr>
          <w:rFonts w:ascii="Times New Roman" w:hAnsi="Times New Roman" w:cs="Times New Roman"/>
          <w:sz w:val="24"/>
          <w:szCs w:val="24"/>
        </w:rPr>
        <w:t xml:space="preserve"> </w:t>
      </w:r>
      <w:r w:rsidRPr="00A505AF">
        <w:rPr>
          <w:rFonts w:ascii="Times New Roman" w:hAnsi="Times New Roman" w:cs="Times New Roman"/>
          <w:sz w:val="24"/>
          <w:szCs w:val="24"/>
        </w:rPr>
        <w:t>(</w:t>
      </w:r>
      <w:r>
        <w:rPr>
          <w:rFonts w:ascii="Times New Roman" w:hAnsi="Times New Roman" w:cs="Times New Roman"/>
          <w:sz w:val="24"/>
          <w:szCs w:val="24"/>
        </w:rPr>
        <w:t xml:space="preserve">#1-2; </w:t>
      </w:r>
      <w:r w:rsidRPr="00A505AF">
        <w:rPr>
          <w:rFonts w:ascii="Times New Roman" w:hAnsi="Times New Roman" w:cs="Times New Roman"/>
          <w:sz w:val="24"/>
          <w:szCs w:val="24"/>
        </w:rPr>
        <w:t xml:space="preserve">Table 2). An </w:t>
      </w:r>
      <w:r>
        <w:rPr>
          <w:rFonts w:ascii="Times New Roman" w:hAnsi="Times New Roman" w:cs="Times New Roman"/>
          <w:sz w:val="24"/>
          <w:szCs w:val="24"/>
        </w:rPr>
        <w:t xml:space="preserve">experiment was conducted </w:t>
      </w:r>
      <w:r w:rsidRPr="00A505AF">
        <w:rPr>
          <w:rFonts w:ascii="Times New Roman" w:hAnsi="Times New Roman" w:cs="Times New Roman"/>
          <w:sz w:val="24"/>
          <w:szCs w:val="24"/>
        </w:rPr>
        <w:t>diminish</w:t>
      </w:r>
      <w:r>
        <w:rPr>
          <w:rFonts w:ascii="Times New Roman" w:hAnsi="Times New Roman" w:cs="Times New Roman"/>
          <w:sz w:val="24"/>
          <w:szCs w:val="24"/>
        </w:rPr>
        <w:t>ing</w:t>
      </w:r>
      <w:r w:rsidRPr="00A505AF">
        <w:rPr>
          <w:rFonts w:ascii="Times New Roman" w:hAnsi="Times New Roman" w:cs="Times New Roman"/>
          <w:sz w:val="24"/>
          <w:szCs w:val="24"/>
        </w:rPr>
        <w:t xml:space="preserve"> the quantity of glycidol to 3.0 mol eq</w:t>
      </w:r>
      <w:r w:rsidR="000E2584">
        <w:rPr>
          <w:rFonts w:ascii="Times New Roman" w:hAnsi="Times New Roman" w:cs="Times New Roman"/>
          <w:sz w:val="24"/>
          <w:szCs w:val="24"/>
        </w:rPr>
        <w:t>, however</w:t>
      </w:r>
      <w:r w:rsidR="00E865F3">
        <w:rPr>
          <w:rFonts w:ascii="Times New Roman" w:hAnsi="Times New Roman" w:cs="Times New Roman"/>
          <w:sz w:val="24"/>
          <w:szCs w:val="24"/>
        </w:rPr>
        <w:t xml:space="preserve"> </w:t>
      </w:r>
      <w:r w:rsidRPr="00A505AF">
        <w:rPr>
          <w:rFonts w:ascii="Times New Roman" w:hAnsi="Times New Roman" w:cs="Times New Roman"/>
          <w:sz w:val="24"/>
          <w:szCs w:val="24"/>
        </w:rPr>
        <w:t xml:space="preserve">this led to a reduction </w:t>
      </w:r>
      <w:r w:rsidR="000E2584">
        <w:rPr>
          <w:rFonts w:ascii="Times New Roman" w:hAnsi="Times New Roman" w:cs="Times New Roman"/>
          <w:sz w:val="24"/>
          <w:szCs w:val="24"/>
        </w:rPr>
        <w:t xml:space="preserve">of </w:t>
      </w:r>
      <w:r w:rsidRPr="00A505AF">
        <w:rPr>
          <w:rFonts w:ascii="Times New Roman" w:hAnsi="Times New Roman" w:cs="Times New Roman"/>
          <w:sz w:val="24"/>
          <w:szCs w:val="24"/>
        </w:rPr>
        <w:t>both conversion and selectivity (</w:t>
      </w:r>
      <w:r>
        <w:rPr>
          <w:rFonts w:ascii="Times New Roman" w:hAnsi="Times New Roman" w:cs="Times New Roman"/>
          <w:sz w:val="24"/>
          <w:szCs w:val="24"/>
        </w:rPr>
        <w:t xml:space="preserve">#1 and #3; </w:t>
      </w:r>
      <w:r w:rsidRPr="00A505AF">
        <w:rPr>
          <w:rFonts w:ascii="Times New Roman" w:hAnsi="Times New Roman" w:cs="Times New Roman"/>
          <w:sz w:val="24"/>
          <w:szCs w:val="24"/>
        </w:rPr>
        <w:t xml:space="preserve">Table 2). </w:t>
      </w:r>
    </w:p>
    <w:p w14:paraId="19AC7CCF" w14:textId="4A274FD4" w:rsidR="00AB501F" w:rsidRPr="00A505AF" w:rsidRDefault="000E2584" w:rsidP="00BF3014">
      <w:pPr>
        <w:spacing w:after="0" w:line="480" w:lineRule="auto"/>
        <w:jc w:val="both"/>
        <w:rPr>
          <w:rFonts w:ascii="Times New Roman" w:hAnsi="Times New Roman" w:cs="Times New Roman"/>
          <w:sz w:val="24"/>
          <w:szCs w:val="24"/>
        </w:rPr>
      </w:pPr>
      <w:r>
        <w:rPr>
          <w:rFonts w:ascii="Times New Roman" w:hAnsi="Times New Roman" w:cs="Times New Roman"/>
          <w:sz w:val="24"/>
          <w:szCs w:val="24"/>
        </w:rPr>
        <w:t>Few</w:t>
      </w:r>
      <w:r w:rsidR="00AB501F">
        <w:rPr>
          <w:rFonts w:ascii="Times New Roman" w:hAnsi="Times New Roman" w:cs="Times New Roman"/>
          <w:sz w:val="24"/>
          <w:szCs w:val="24"/>
        </w:rPr>
        <w:t xml:space="preserve"> trails were also conducted at higher substrates concentration </w:t>
      </w:r>
      <w:r w:rsidR="00AB501F" w:rsidRPr="00A505AF">
        <w:rPr>
          <w:rFonts w:ascii="Times New Roman" w:hAnsi="Times New Roman" w:cs="Times New Roman"/>
          <w:sz w:val="24"/>
          <w:szCs w:val="24"/>
        </w:rPr>
        <w:t>(</w:t>
      </w:r>
      <w:r w:rsidR="00AB501F">
        <w:rPr>
          <w:rFonts w:ascii="Times New Roman" w:hAnsi="Times New Roman" w:cs="Times New Roman"/>
          <w:sz w:val="24"/>
          <w:szCs w:val="24"/>
        </w:rPr>
        <w:t xml:space="preserve">#4-6; </w:t>
      </w:r>
      <w:r w:rsidR="00AB501F" w:rsidRPr="00A505AF">
        <w:rPr>
          <w:rFonts w:ascii="Times New Roman" w:hAnsi="Times New Roman" w:cs="Times New Roman"/>
          <w:sz w:val="24"/>
          <w:szCs w:val="24"/>
        </w:rPr>
        <w:t>Table 2)</w:t>
      </w:r>
      <w:r w:rsidR="00AB501F">
        <w:rPr>
          <w:rFonts w:ascii="Times New Roman" w:hAnsi="Times New Roman" w:cs="Times New Roman"/>
          <w:sz w:val="24"/>
          <w:szCs w:val="24"/>
        </w:rPr>
        <w:t xml:space="preserve">; </w:t>
      </w:r>
      <w:r w:rsidR="00DF5824">
        <w:rPr>
          <w:rFonts w:ascii="Times New Roman" w:hAnsi="Times New Roman" w:cs="Times New Roman"/>
          <w:sz w:val="24"/>
          <w:szCs w:val="24"/>
        </w:rPr>
        <w:t xml:space="preserve">however, </w:t>
      </w:r>
      <w:r w:rsidR="00AB501F" w:rsidRPr="00A505AF">
        <w:rPr>
          <w:rFonts w:ascii="Times New Roman" w:hAnsi="Times New Roman" w:cs="Times New Roman"/>
          <w:sz w:val="24"/>
          <w:szCs w:val="24"/>
        </w:rPr>
        <w:t>diminishing the amount of solvent led to reduced conversion and selectivity to the desired product</w:t>
      </w:r>
      <w:r w:rsidR="00AB501F">
        <w:rPr>
          <w:rFonts w:ascii="Times New Roman" w:hAnsi="Times New Roman" w:cs="Times New Roman"/>
          <w:sz w:val="24"/>
          <w:szCs w:val="24"/>
        </w:rPr>
        <w:t xml:space="preserve"> most probably due to the concurrent </w:t>
      </w:r>
      <w:r w:rsidR="00AB501F" w:rsidRPr="00A505AF">
        <w:rPr>
          <w:rFonts w:ascii="Times New Roman" w:hAnsi="Times New Roman" w:cs="Times New Roman"/>
          <w:sz w:val="24"/>
          <w:szCs w:val="24"/>
        </w:rPr>
        <w:t>glycidol self-polymeriz</w:t>
      </w:r>
      <w:r w:rsidR="00AB501F">
        <w:rPr>
          <w:rFonts w:ascii="Times New Roman" w:hAnsi="Times New Roman" w:cs="Times New Roman"/>
          <w:sz w:val="24"/>
          <w:szCs w:val="24"/>
        </w:rPr>
        <w:t>ation</w:t>
      </w:r>
      <w:r w:rsidR="00AB501F" w:rsidRPr="00A505AF">
        <w:rPr>
          <w:rFonts w:ascii="Times New Roman" w:hAnsi="Times New Roman" w:cs="Times New Roman"/>
          <w:sz w:val="24"/>
          <w:szCs w:val="24"/>
        </w:rPr>
        <w:t>.</w:t>
      </w:r>
    </w:p>
    <w:p w14:paraId="093CE220" w14:textId="7A7200B3" w:rsidR="00AB501F" w:rsidRPr="00A505AF" w:rsidRDefault="00AB501F" w:rsidP="00BF3014">
      <w:pPr>
        <w:spacing w:after="0" w:line="480" w:lineRule="auto"/>
        <w:jc w:val="both"/>
        <w:rPr>
          <w:rFonts w:ascii="Times New Roman" w:hAnsi="Times New Roman" w:cs="Times New Roman"/>
          <w:sz w:val="24"/>
          <w:szCs w:val="24"/>
        </w:rPr>
      </w:pPr>
      <w:r w:rsidRPr="00A505AF">
        <w:rPr>
          <w:rFonts w:ascii="Times New Roman" w:hAnsi="Times New Roman" w:cs="Times New Roman"/>
          <w:sz w:val="24"/>
          <w:szCs w:val="24"/>
        </w:rPr>
        <w:t xml:space="preserve">It </w:t>
      </w:r>
      <w:r>
        <w:rPr>
          <w:rFonts w:ascii="Times New Roman" w:hAnsi="Times New Roman" w:cs="Times New Roman"/>
          <w:sz w:val="24"/>
          <w:szCs w:val="24"/>
        </w:rPr>
        <w:t xml:space="preserve">should be also mentioned that FDME </w:t>
      </w:r>
      <w:r w:rsidR="007453C5">
        <w:rPr>
          <w:rFonts w:ascii="Times New Roman" w:hAnsi="Times New Roman" w:cs="Times New Roman"/>
          <w:sz w:val="24"/>
          <w:szCs w:val="24"/>
        </w:rPr>
        <w:t>transesterification,</w:t>
      </w:r>
      <w:r>
        <w:rPr>
          <w:rFonts w:ascii="Times New Roman" w:hAnsi="Times New Roman" w:cs="Times New Roman"/>
          <w:sz w:val="24"/>
          <w:szCs w:val="24"/>
        </w:rPr>
        <w:t xml:space="preserve"> </w:t>
      </w:r>
      <w:r w:rsidRPr="00A505AF">
        <w:rPr>
          <w:rFonts w:ascii="Times New Roman" w:hAnsi="Times New Roman" w:cs="Times New Roman"/>
          <w:sz w:val="24"/>
          <w:szCs w:val="24"/>
        </w:rPr>
        <w:t xml:space="preserve">being a thermodynamically driven reaction, </w:t>
      </w:r>
      <w:r>
        <w:rPr>
          <w:rFonts w:ascii="Times New Roman" w:hAnsi="Times New Roman" w:cs="Times New Roman"/>
          <w:sz w:val="24"/>
          <w:szCs w:val="24"/>
        </w:rPr>
        <w:t xml:space="preserve">is favored by </w:t>
      </w:r>
      <w:r w:rsidRPr="00A505AF">
        <w:rPr>
          <w:rFonts w:ascii="Times New Roman" w:hAnsi="Times New Roman" w:cs="Times New Roman"/>
          <w:sz w:val="24"/>
          <w:szCs w:val="24"/>
        </w:rPr>
        <w:t xml:space="preserve">methanol removal from the reaction mixture. </w:t>
      </w:r>
      <w:r w:rsidR="00FB1B39">
        <w:rPr>
          <w:rFonts w:ascii="Times New Roman" w:hAnsi="Times New Roman" w:cs="Times New Roman"/>
          <w:sz w:val="24"/>
          <w:szCs w:val="24"/>
        </w:rPr>
        <w:t xml:space="preserve">To this end, </w:t>
      </w:r>
      <w:r w:rsidR="000E2584">
        <w:rPr>
          <w:rFonts w:ascii="Times New Roman" w:hAnsi="Times New Roman" w:cs="Times New Roman"/>
          <w:sz w:val="24"/>
          <w:szCs w:val="24"/>
        </w:rPr>
        <w:t xml:space="preserve">all </w:t>
      </w:r>
      <w:r w:rsidR="00FB1B39">
        <w:rPr>
          <w:rFonts w:ascii="Times New Roman" w:hAnsi="Times New Roman" w:cs="Times New Roman"/>
          <w:sz w:val="24"/>
          <w:szCs w:val="24"/>
        </w:rPr>
        <w:t>t</w:t>
      </w:r>
      <w:r>
        <w:rPr>
          <w:rFonts w:ascii="Times New Roman" w:hAnsi="Times New Roman" w:cs="Times New Roman"/>
          <w:sz w:val="24"/>
          <w:szCs w:val="24"/>
        </w:rPr>
        <w:t xml:space="preserve">he above </w:t>
      </w:r>
      <w:r w:rsidR="00DF5824">
        <w:rPr>
          <w:rFonts w:ascii="Times New Roman" w:hAnsi="Times New Roman" w:cs="Times New Roman"/>
          <w:sz w:val="24"/>
          <w:szCs w:val="24"/>
        </w:rPr>
        <w:t xml:space="preserve">reported </w:t>
      </w:r>
      <w:r w:rsidR="007453C5">
        <w:rPr>
          <w:rFonts w:ascii="Times New Roman" w:hAnsi="Times New Roman" w:cs="Times New Roman"/>
          <w:sz w:val="24"/>
          <w:szCs w:val="24"/>
        </w:rPr>
        <w:t>trials</w:t>
      </w:r>
      <w:r>
        <w:rPr>
          <w:rFonts w:ascii="Times New Roman" w:hAnsi="Times New Roman" w:cs="Times New Roman"/>
          <w:sz w:val="24"/>
          <w:szCs w:val="24"/>
        </w:rPr>
        <w:t xml:space="preserve"> were </w:t>
      </w:r>
      <w:r w:rsidR="000E2584">
        <w:rPr>
          <w:rFonts w:ascii="Times New Roman" w:hAnsi="Times New Roman" w:cs="Times New Roman"/>
          <w:sz w:val="24"/>
          <w:szCs w:val="24"/>
        </w:rPr>
        <w:t>c</w:t>
      </w:r>
      <w:r>
        <w:rPr>
          <w:rFonts w:ascii="Times New Roman" w:hAnsi="Times New Roman" w:cs="Times New Roman"/>
          <w:sz w:val="24"/>
          <w:szCs w:val="24"/>
        </w:rPr>
        <w:t>onducted at</w:t>
      </w:r>
      <w:r w:rsidR="00FB1B39">
        <w:rPr>
          <w:rFonts w:ascii="Times New Roman" w:hAnsi="Times New Roman" w:cs="Times New Roman"/>
          <w:sz w:val="24"/>
          <w:szCs w:val="24"/>
        </w:rPr>
        <w:t xml:space="preserve"> </w:t>
      </w:r>
      <w:r>
        <w:rPr>
          <w:rFonts w:ascii="Times New Roman" w:hAnsi="Times New Roman" w:cs="Times New Roman"/>
          <w:sz w:val="24"/>
          <w:szCs w:val="24"/>
        </w:rPr>
        <w:t>60 °C</w:t>
      </w:r>
      <w:r w:rsidR="007453C5">
        <w:rPr>
          <w:rFonts w:ascii="Times New Roman" w:hAnsi="Times New Roman" w:cs="Times New Roman"/>
          <w:sz w:val="24"/>
          <w:szCs w:val="24"/>
        </w:rPr>
        <w:t>.</w:t>
      </w:r>
      <w:r>
        <w:rPr>
          <w:rFonts w:ascii="Times New Roman" w:hAnsi="Times New Roman" w:cs="Times New Roman"/>
          <w:sz w:val="24"/>
          <w:szCs w:val="24"/>
        </w:rPr>
        <w:t xml:space="preserve"> </w:t>
      </w:r>
      <w:r w:rsidR="007453C5">
        <w:rPr>
          <w:rFonts w:ascii="Times New Roman" w:hAnsi="Times New Roman" w:cs="Times New Roman"/>
          <w:sz w:val="24"/>
          <w:szCs w:val="24"/>
        </w:rPr>
        <w:t>N</w:t>
      </w:r>
      <w:r>
        <w:rPr>
          <w:rFonts w:ascii="Times New Roman" w:hAnsi="Times New Roman" w:cs="Times New Roman"/>
          <w:sz w:val="24"/>
          <w:szCs w:val="24"/>
        </w:rPr>
        <w:t xml:space="preserve">evertheless, </w:t>
      </w:r>
      <w:r w:rsidR="000E2584">
        <w:rPr>
          <w:rFonts w:ascii="Times New Roman" w:hAnsi="Times New Roman" w:cs="Times New Roman"/>
          <w:sz w:val="24"/>
          <w:szCs w:val="24"/>
        </w:rPr>
        <w:t xml:space="preserve">the </w:t>
      </w:r>
      <w:r w:rsidR="000E2584" w:rsidRPr="00A505AF">
        <w:rPr>
          <w:rFonts w:ascii="Times New Roman" w:hAnsi="Times New Roman" w:cs="Times New Roman"/>
          <w:sz w:val="24"/>
          <w:szCs w:val="24"/>
        </w:rPr>
        <w:t xml:space="preserve">evaporation of </w:t>
      </w:r>
      <w:r w:rsidR="000E2584">
        <w:rPr>
          <w:rFonts w:ascii="Times New Roman" w:hAnsi="Times New Roman" w:cs="Times New Roman"/>
          <w:sz w:val="24"/>
          <w:szCs w:val="24"/>
        </w:rPr>
        <w:t xml:space="preserve">2-Me THF </w:t>
      </w:r>
      <w:r>
        <w:rPr>
          <w:rFonts w:ascii="Times New Roman" w:hAnsi="Times New Roman" w:cs="Times New Roman"/>
          <w:sz w:val="24"/>
          <w:szCs w:val="24"/>
        </w:rPr>
        <w:t xml:space="preserve">was always </w:t>
      </w:r>
      <w:r w:rsidRPr="00A505AF">
        <w:rPr>
          <w:rFonts w:ascii="Times New Roman" w:hAnsi="Times New Roman" w:cs="Times New Roman"/>
          <w:sz w:val="24"/>
          <w:szCs w:val="24"/>
        </w:rPr>
        <w:t xml:space="preserve">observed </w:t>
      </w:r>
      <w:r w:rsidR="00FB1B39">
        <w:rPr>
          <w:rFonts w:ascii="Times New Roman" w:hAnsi="Times New Roman" w:cs="Times New Roman"/>
          <w:sz w:val="24"/>
          <w:szCs w:val="24"/>
        </w:rPr>
        <w:t xml:space="preserve">despite its higher </w:t>
      </w:r>
      <w:r w:rsidRPr="00A505AF">
        <w:rPr>
          <w:rFonts w:ascii="Times New Roman" w:hAnsi="Times New Roman" w:cs="Times New Roman"/>
          <w:sz w:val="24"/>
          <w:szCs w:val="24"/>
        </w:rPr>
        <w:t>b</w:t>
      </w:r>
      <w:r w:rsidR="00FB1B39">
        <w:rPr>
          <w:rFonts w:ascii="Times New Roman" w:hAnsi="Times New Roman" w:cs="Times New Roman"/>
          <w:sz w:val="24"/>
          <w:szCs w:val="24"/>
        </w:rPr>
        <w:t>oiling point</w:t>
      </w:r>
      <w:r w:rsidRPr="00A505AF">
        <w:rPr>
          <w:rFonts w:ascii="Times New Roman" w:hAnsi="Times New Roman" w:cs="Times New Roman"/>
          <w:sz w:val="24"/>
          <w:szCs w:val="24"/>
        </w:rPr>
        <w:t xml:space="preserve"> </w:t>
      </w:r>
      <w:r w:rsidR="00FB1B39">
        <w:rPr>
          <w:rFonts w:ascii="Times New Roman" w:hAnsi="Times New Roman" w:cs="Times New Roman"/>
          <w:sz w:val="24"/>
          <w:szCs w:val="24"/>
        </w:rPr>
        <w:t>(</w:t>
      </w:r>
      <w:r w:rsidRPr="00A505AF">
        <w:rPr>
          <w:rFonts w:ascii="Times New Roman" w:hAnsi="Times New Roman" w:cs="Times New Roman"/>
          <w:sz w:val="24"/>
          <w:szCs w:val="24"/>
        </w:rPr>
        <w:t>78 °C</w:t>
      </w:r>
      <w:r>
        <w:rPr>
          <w:rFonts w:ascii="Times New Roman" w:hAnsi="Times New Roman" w:cs="Times New Roman"/>
          <w:sz w:val="24"/>
          <w:szCs w:val="24"/>
        </w:rPr>
        <w:t>)</w:t>
      </w:r>
      <w:r w:rsidR="00FB1B39">
        <w:rPr>
          <w:rFonts w:ascii="Times New Roman" w:hAnsi="Times New Roman" w:cs="Times New Roman"/>
          <w:sz w:val="24"/>
          <w:szCs w:val="24"/>
        </w:rPr>
        <w:t xml:space="preserve">. This seems to suggest </w:t>
      </w:r>
      <w:r w:rsidRPr="00A505AF">
        <w:rPr>
          <w:rFonts w:ascii="Times New Roman" w:hAnsi="Times New Roman" w:cs="Times New Roman"/>
          <w:sz w:val="24"/>
          <w:szCs w:val="24"/>
        </w:rPr>
        <w:t>the formation of a</w:t>
      </w:r>
      <w:r>
        <w:rPr>
          <w:rFonts w:ascii="Times New Roman" w:hAnsi="Times New Roman" w:cs="Times New Roman"/>
          <w:sz w:val="24"/>
          <w:szCs w:val="24"/>
        </w:rPr>
        <w:t>n</w:t>
      </w:r>
      <w:r w:rsidRPr="00A505AF">
        <w:rPr>
          <w:rFonts w:ascii="Times New Roman" w:hAnsi="Times New Roman" w:cs="Times New Roman"/>
          <w:sz w:val="24"/>
          <w:szCs w:val="24"/>
        </w:rPr>
        <w:t xml:space="preserve"> azeotropic mixture </w:t>
      </w:r>
      <w:r w:rsidR="007453C5">
        <w:rPr>
          <w:rFonts w:ascii="Times New Roman" w:hAnsi="Times New Roman" w:cs="Times New Roman"/>
          <w:sz w:val="24"/>
          <w:szCs w:val="24"/>
        </w:rPr>
        <w:t>2-</w:t>
      </w:r>
      <w:r w:rsidR="00FB1B39">
        <w:rPr>
          <w:rFonts w:ascii="Times New Roman" w:hAnsi="Times New Roman" w:cs="Times New Roman"/>
          <w:sz w:val="24"/>
          <w:szCs w:val="24"/>
        </w:rPr>
        <w:t>MeTHF:</w:t>
      </w:r>
      <w:r w:rsidR="007453C5">
        <w:rPr>
          <w:rFonts w:ascii="Times New Roman" w:hAnsi="Times New Roman" w:cs="Times New Roman"/>
          <w:sz w:val="24"/>
          <w:szCs w:val="24"/>
        </w:rPr>
        <w:t xml:space="preserve">MeOH </w:t>
      </w:r>
      <w:r w:rsidRPr="00A505AF">
        <w:rPr>
          <w:rFonts w:ascii="Times New Roman" w:hAnsi="Times New Roman" w:cs="Times New Roman"/>
          <w:sz w:val="24"/>
          <w:szCs w:val="24"/>
        </w:rPr>
        <w:t xml:space="preserve">that propels the reaction </w:t>
      </w:r>
      <w:r w:rsidR="000E2584">
        <w:rPr>
          <w:rFonts w:ascii="Times New Roman" w:hAnsi="Times New Roman" w:cs="Times New Roman"/>
          <w:sz w:val="24"/>
          <w:szCs w:val="24"/>
        </w:rPr>
        <w:t>favoring DGF formation</w:t>
      </w:r>
      <w:r w:rsidRPr="00A505AF">
        <w:rPr>
          <w:rFonts w:ascii="Times New Roman" w:hAnsi="Times New Roman" w:cs="Times New Roman"/>
          <w:sz w:val="24"/>
          <w:szCs w:val="24"/>
        </w:rPr>
        <w:t xml:space="preserve">. </w:t>
      </w:r>
      <w:r w:rsidR="00495EAF" w:rsidRPr="00495EAF">
        <w:rPr>
          <w:rFonts w:ascii="Times New Roman" w:hAnsi="Times New Roman" w:cs="Times New Roman"/>
          <w:sz w:val="24"/>
          <w:szCs w:val="24"/>
        </w:rPr>
        <w:t xml:space="preserve">It is well documented in the literature </w:t>
      </w:r>
      <w:r w:rsidR="000E2584">
        <w:rPr>
          <w:rFonts w:ascii="Times New Roman" w:hAnsi="Times New Roman" w:cs="Times New Roman"/>
          <w:sz w:val="24"/>
          <w:szCs w:val="24"/>
        </w:rPr>
        <w:t>the</w:t>
      </w:r>
      <w:r w:rsidR="00495EAF" w:rsidRPr="00495EAF">
        <w:rPr>
          <w:rFonts w:ascii="Times New Roman" w:hAnsi="Times New Roman" w:cs="Times New Roman"/>
          <w:sz w:val="24"/>
          <w:szCs w:val="24"/>
        </w:rPr>
        <w:t xml:space="preserve"> azeotrop</w:t>
      </w:r>
      <w:r w:rsidR="000E2584">
        <w:rPr>
          <w:rFonts w:ascii="Times New Roman" w:hAnsi="Times New Roman" w:cs="Times New Roman"/>
          <w:sz w:val="24"/>
          <w:szCs w:val="24"/>
        </w:rPr>
        <w:t xml:space="preserve">ic mixture </w:t>
      </w:r>
      <w:r w:rsidR="00495EAF" w:rsidRPr="00495EAF">
        <w:rPr>
          <w:rFonts w:ascii="Times New Roman" w:hAnsi="Times New Roman" w:cs="Times New Roman"/>
          <w:sz w:val="24"/>
          <w:szCs w:val="24"/>
        </w:rPr>
        <w:t>methanol</w:t>
      </w:r>
      <w:r w:rsidR="000E2584">
        <w:rPr>
          <w:rFonts w:ascii="Times New Roman" w:hAnsi="Times New Roman" w:cs="Times New Roman"/>
          <w:sz w:val="24"/>
          <w:szCs w:val="24"/>
        </w:rPr>
        <w:t>:</w:t>
      </w:r>
      <w:r w:rsidR="00495EAF" w:rsidRPr="00495EAF">
        <w:rPr>
          <w:rFonts w:ascii="Times New Roman" w:hAnsi="Times New Roman" w:cs="Times New Roman"/>
          <w:sz w:val="24"/>
          <w:szCs w:val="24"/>
        </w:rPr>
        <w:t>THF (Li et al., 2013)</w:t>
      </w:r>
      <w:r w:rsidR="000E2584">
        <w:rPr>
          <w:rFonts w:ascii="Times New Roman" w:hAnsi="Times New Roman" w:cs="Times New Roman"/>
          <w:sz w:val="24"/>
          <w:szCs w:val="24"/>
        </w:rPr>
        <w:t>,</w:t>
      </w:r>
      <w:r w:rsidR="00495EAF" w:rsidRPr="00495EAF">
        <w:rPr>
          <w:rFonts w:ascii="Times New Roman" w:hAnsi="Times New Roman" w:cs="Times New Roman"/>
          <w:sz w:val="24"/>
          <w:szCs w:val="24"/>
        </w:rPr>
        <w:t xml:space="preserve"> </w:t>
      </w:r>
      <w:r w:rsidR="000E2584">
        <w:rPr>
          <w:rFonts w:ascii="Times New Roman" w:hAnsi="Times New Roman" w:cs="Times New Roman"/>
          <w:sz w:val="24"/>
          <w:szCs w:val="24"/>
        </w:rPr>
        <w:t>t</w:t>
      </w:r>
      <w:r w:rsidR="00495EAF" w:rsidRPr="00495EAF">
        <w:rPr>
          <w:rFonts w:ascii="Times New Roman" w:hAnsi="Times New Roman" w:cs="Times New Roman"/>
          <w:sz w:val="24"/>
          <w:szCs w:val="24"/>
        </w:rPr>
        <w:t>herefore, a similar behavior may also occur when using 2-MeTHF, due to the similarities between the two tetrahydrofuran-based solvents</w:t>
      </w:r>
      <w:r w:rsidR="00495EAF">
        <w:rPr>
          <w:rFonts w:ascii="Times New Roman" w:hAnsi="Times New Roman" w:cs="Times New Roman"/>
          <w:sz w:val="24"/>
          <w:szCs w:val="24"/>
        </w:rPr>
        <w:t xml:space="preserve">. </w:t>
      </w:r>
      <w:r w:rsidRPr="00A505AF">
        <w:rPr>
          <w:rFonts w:ascii="Times New Roman" w:hAnsi="Times New Roman" w:cs="Times New Roman"/>
          <w:sz w:val="24"/>
          <w:szCs w:val="24"/>
        </w:rPr>
        <w:t xml:space="preserve"> </w:t>
      </w:r>
    </w:p>
    <w:p w14:paraId="43A8B5B4" w14:textId="480A0611" w:rsidR="004568DF" w:rsidRDefault="00FC2788" w:rsidP="00C41E0A">
      <w:pPr>
        <w:spacing w:line="480" w:lineRule="auto"/>
        <w:jc w:val="both"/>
        <w:rPr>
          <w:rFonts w:ascii="Times New Roman" w:hAnsi="Times New Roman" w:cs="Times New Roman"/>
          <w:sz w:val="24"/>
          <w:szCs w:val="24"/>
        </w:rPr>
      </w:pPr>
      <w:r>
        <w:rPr>
          <w:rFonts w:ascii="Times New Roman" w:hAnsi="Times New Roman" w:cs="Times New Roman"/>
          <w:sz w:val="24"/>
          <w:szCs w:val="24"/>
        </w:rPr>
        <w:t>Different</w:t>
      </w:r>
      <w:r w:rsidR="0034705D" w:rsidRPr="00A505AF">
        <w:rPr>
          <w:rFonts w:ascii="Times New Roman" w:hAnsi="Times New Roman" w:cs="Times New Roman"/>
          <w:sz w:val="24"/>
          <w:szCs w:val="24"/>
        </w:rPr>
        <w:t xml:space="preserve"> media were </w:t>
      </w:r>
      <w:r w:rsidR="000E2584">
        <w:rPr>
          <w:rFonts w:ascii="Times New Roman" w:hAnsi="Times New Roman" w:cs="Times New Roman"/>
          <w:sz w:val="24"/>
          <w:szCs w:val="24"/>
        </w:rPr>
        <w:t>also</w:t>
      </w:r>
      <w:r>
        <w:rPr>
          <w:rFonts w:ascii="Times New Roman" w:hAnsi="Times New Roman" w:cs="Times New Roman"/>
          <w:sz w:val="24"/>
          <w:szCs w:val="24"/>
        </w:rPr>
        <w:t xml:space="preserve"> employed </w:t>
      </w:r>
      <w:r w:rsidR="0034705D" w:rsidRPr="00A505AF">
        <w:rPr>
          <w:rFonts w:ascii="Times New Roman" w:hAnsi="Times New Roman" w:cs="Times New Roman"/>
          <w:sz w:val="24"/>
          <w:szCs w:val="24"/>
        </w:rPr>
        <w:t xml:space="preserve">under the optimized conditions </w:t>
      </w:r>
      <w:r w:rsidR="005C5FCF">
        <w:rPr>
          <w:rFonts w:ascii="Times New Roman" w:hAnsi="Times New Roman" w:cs="Times New Roman"/>
          <w:sz w:val="24"/>
          <w:szCs w:val="24"/>
        </w:rPr>
        <w:t>reported in</w:t>
      </w:r>
      <w:r w:rsidR="0034705D" w:rsidRPr="00A505AF">
        <w:rPr>
          <w:rFonts w:ascii="Times New Roman" w:hAnsi="Times New Roman" w:cs="Times New Roman"/>
          <w:sz w:val="24"/>
          <w:szCs w:val="24"/>
        </w:rPr>
        <w:t xml:space="preserve"> </w:t>
      </w:r>
      <w:r w:rsidR="00E821EB">
        <w:rPr>
          <w:rFonts w:ascii="Times New Roman" w:hAnsi="Times New Roman" w:cs="Times New Roman"/>
          <w:sz w:val="24"/>
          <w:szCs w:val="24"/>
        </w:rPr>
        <w:t>#</w:t>
      </w:r>
      <w:r w:rsidR="00DF5824">
        <w:rPr>
          <w:rFonts w:ascii="Times New Roman" w:hAnsi="Times New Roman" w:cs="Times New Roman"/>
          <w:sz w:val="24"/>
          <w:szCs w:val="24"/>
        </w:rPr>
        <w:t xml:space="preserve">1 </w:t>
      </w:r>
      <w:r w:rsidR="0034705D" w:rsidRPr="00A505AF">
        <w:rPr>
          <w:rFonts w:ascii="Times New Roman" w:hAnsi="Times New Roman" w:cs="Times New Roman"/>
          <w:sz w:val="24"/>
          <w:szCs w:val="24"/>
        </w:rPr>
        <w:t xml:space="preserve">Table 2 (Figure </w:t>
      </w:r>
      <w:r w:rsidR="00F6393F">
        <w:rPr>
          <w:rFonts w:ascii="Times New Roman" w:hAnsi="Times New Roman" w:cs="Times New Roman"/>
          <w:sz w:val="24"/>
          <w:szCs w:val="24"/>
        </w:rPr>
        <w:t>2</w:t>
      </w:r>
      <w:r w:rsidR="0034705D" w:rsidRPr="00A505AF">
        <w:rPr>
          <w:rFonts w:ascii="Times New Roman" w:hAnsi="Times New Roman" w:cs="Times New Roman"/>
          <w:sz w:val="24"/>
          <w:szCs w:val="24"/>
        </w:rPr>
        <w:t>, Table S</w:t>
      </w:r>
      <w:r w:rsidR="000E7348">
        <w:rPr>
          <w:rFonts w:ascii="Times New Roman" w:hAnsi="Times New Roman" w:cs="Times New Roman"/>
          <w:sz w:val="24"/>
          <w:szCs w:val="24"/>
        </w:rPr>
        <w:t>I. 1</w:t>
      </w:r>
      <w:r w:rsidR="0034705D" w:rsidRPr="00A505AF">
        <w:rPr>
          <w:rFonts w:ascii="Times New Roman" w:hAnsi="Times New Roman" w:cs="Times New Roman"/>
          <w:sz w:val="24"/>
          <w:szCs w:val="24"/>
        </w:rPr>
        <w:t>, S</w:t>
      </w:r>
      <w:r w:rsidR="009A30B4">
        <w:rPr>
          <w:rFonts w:ascii="Times New Roman" w:hAnsi="Times New Roman" w:cs="Times New Roman"/>
          <w:sz w:val="24"/>
          <w:szCs w:val="24"/>
        </w:rPr>
        <w:t>upporting Information - SI</w:t>
      </w:r>
      <w:r w:rsidR="0034705D" w:rsidRPr="00A505AF">
        <w:rPr>
          <w:rFonts w:ascii="Times New Roman" w:hAnsi="Times New Roman" w:cs="Times New Roman"/>
          <w:sz w:val="24"/>
          <w:szCs w:val="24"/>
        </w:rPr>
        <w:t xml:space="preserve">). </w:t>
      </w:r>
      <w:r w:rsidR="004568DF" w:rsidRPr="004568DF">
        <w:rPr>
          <w:rFonts w:ascii="Times New Roman" w:hAnsi="Times New Roman" w:cs="Times New Roman"/>
          <w:sz w:val="24"/>
          <w:szCs w:val="24"/>
        </w:rPr>
        <w:t xml:space="preserve">The outcomes demonstrated </w:t>
      </w:r>
      <w:r>
        <w:rPr>
          <w:rFonts w:ascii="Times New Roman" w:hAnsi="Times New Roman" w:cs="Times New Roman"/>
          <w:sz w:val="24"/>
          <w:szCs w:val="24"/>
        </w:rPr>
        <w:t>similar results</w:t>
      </w:r>
      <w:r w:rsidR="004568DF" w:rsidRPr="004568DF">
        <w:rPr>
          <w:rFonts w:ascii="Times New Roman" w:hAnsi="Times New Roman" w:cs="Times New Roman"/>
          <w:sz w:val="24"/>
          <w:szCs w:val="24"/>
        </w:rPr>
        <w:t xml:space="preserve"> for the reactions carried out in acetonitrile and CPME, showing significant</w:t>
      </w:r>
      <w:r w:rsidR="00D94D67">
        <w:rPr>
          <w:rFonts w:ascii="Times New Roman" w:hAnsi="Times New Roman" w:cs="Times New Roman"/>
          <w:sz w:val="24"/>
          <w:szCs w:val="24"/>
        </w:rPr>
        <w:t>ly lower c</w:t>
      </w:r>
      <w:r w:rsidR="004568DF" w:rsidRPr="004568DF">
        <w:rPr>
          <w:rFonts w:ascii="Times New Roman" w:hAnsi="Times New Roman" w:cs="Times New Roman"/>
          <w:sz w:val="24"/>
          <w:szCs w:val="24"/>
        </w:rPr>
        <w:t xml:space="preserve">onversion and selectivity </w:t>
      </w:r>
      <w:r w:rsidR="00D94D67">
        <w:rPr>
          <w:rFonts w:ascii="Times New Roman" w:hAnsi="Times New Roman" w:cs="Times New Roman"/>
          <w:sz w:val="24"/>
          <w:szCs w:val="24"/>
        </w:rPr>
        <w:t xml:space="preserve">values </w:t>
      </w:r>
      <w:r w:rsidR="004568DF" w:rsidRPr="004568DF">
        <w:rPr>
          <w:rFonts w:ascii="Times New Roman" w:hAnsi="Times New Roman" w:cs="Times New Roman"/>
          <w:sz w:val="24"/>
          <w:szCs w:val="24"/>
        </w:rPr>
        <w:t xml:space="preserve">as opposed to </w:t>
      </w:r>
      <w:r w:rsidR="00D94D67">
        <w:rPr>
          <w:rFonts w:ascii="Times New Roman" w:hAnsi="Times New Roman" w:cs="Times New Roman"/>
          <w:sz w:val="24"/>
          <w:szCs w:val="24"/>
        </w:rPr>
        <w:t>2-</w:t>
      </w:r>
      <w:r w:rsidR="004568DF" w:rsidRPr="004568DF">
        <w:rPr>
          <w:rFonts w:ascii="Times New Roman" w:hAnsi="Times New Roman" w:cs="Times New Roman"/>
          <w:sz w:val="24"/>
          <w:szCs w:val="24"/>
        </w:rPr>
        <w:t xml:space="preserve">MeTHF. This suggests that the solvent </w:t>
      </w:r>
      <w:r w:rsidR="00E865F3" w:rsidRPr="004568DF">
        <w:rPr>
          <w:rFonts w:ascii="Times New Roman" w:hAnsi="Times New Roman" w:cs="Times New Roman"/>
          <w:sz w:val="24"/>
          <w:szCs w:val="24"/>
        </w:rPr>
        <w:t>truly</w:t>
      </w:r>
      <w:r w:rsidR="004568DF" w:rsidRPr="004568DF">
        <w:rPr>
          <w:rFonts w:ascii="Times New Roman" w:hAnsi="Times New Roman" w:cs="Times New Roman"/>
          <w:sz w:val="24"/>
          <w:szCs w:val="24"/>
        </w:rPr>
        <w:t xml:space="preserve"> exert</w:t>
      </w:r>
      <w:r w:rsidR="00E865F3">
        <w:rPr>
          <w:rFonts w:ascii="Times New Roman" w:hAnsi="Times New Roman" w:cs="Times New Roman"/>
          <w:sz w:val="24"/>
          <w:szCs w:val="24"/>
        </w:rPr>
        <w:t>s</w:t>
      </w:r>
      <w:r w:rsidR="004568DF" w:rsidRPr="004568DF">
        <w:rPr>
          <w:rFonts w:ascii="Times New Roman" w:hAnsi="Times New Roman" w:cs="Times New Roman"/>
          <w:sz w:val="24"/>
          <w:szCs w:val="24"/>
        </w:rPr>
        <w:t xml:space="preserve"> a crucial role in the reaction</w:t>
      </w:r>
      <w:r>
        <w:rPr>
          <w:rFonts w:ascii="Times New Roman" w:hAnsi="Times New Roman" w:cs="Times New Roman"/>
          <w:sz w:val="24"/>
          <w:szCs w:val="24"/>
        </w:rPr>
        <w:t xml:space="preserve"> and its co-evaporation with methanol facilitates the transesterification reaction</w:t>
      </w:r>
      <w:r w:rsidR="004568DF" w:rsidRPr="004568DF">
        <w:rPr>
          <w:rFonts w:ascii="Times New Roman" w:hAnsi="Times New Roman" w:cs="Times New Roman"/>
          <w:sz w:val="24"/>
          <w:szCs w:val="24"/>
        </w:rPr>
        <w:t>.</w:t>
      </w:r>
    </w:p>
    <w:p w14:paraId="1CDF6413" w14:textId="4621712F" w:rsidR="007847B6" w:rsidRPr="00A505AF" w:rsidRDefault="004568DF" w:rsidP="004568DF">
      <w:pPr>
        <w:spacing w:line="480" w:lineRule="auto"/>
        <w:ind w:firstLine="720"/>
        <w:jc w:val="center"/>
        <w:rPr>
          <w:rFonts w:ascii="Times New Roman" w:hAnsi="Times New Roman" w:cs="Times New Roman"/>
        </w:rPr>
      </w:pPr>
      <w:r>
        <w:rPr>
          <w:noProof/>
        </w:rPr>
        <w:drawing>
          <wp:inline distT="0" distB="0" distL="0" distR="0" wp14:anchorId="0C000074" wp14:editId="1CF55450">
            <wp:extent cx="3684028" cy="2003223"/>
            <wp:effectExtent l="0" t="0" r="0" b="0"/>
            <wp:docPr id="1526061161" name="Chart 1">
              <a:extLst xmlns:a="http://schemas.openxmlformats.org/drawingml/2006/main">
                <a:ext uri="{FF2B5EF4-FFF2-40B4-BE49-F238E27FC236}">
                  <a16:creationId xmlns:a16="http://schemas.microsoft.com/office/drawing/2014/main" id="{00000000-0008-0000-0200-000005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5F164710" w14:textId="34BBBA35" w:rsidR="007847B6" w:rsidRPr="00A505AF" w:rsidRDefault="007847B6" w:rsidP="001A61C9">
      <w:pPr>
        <w:pStyle w:val="Didascalia"/>
        <w:jc w:val="center"/>
        <w:rPr>
          <w:rFonts w:ascii="Times New Roman" w:hAnsi="Times New Roman" w:cs="Times New Roman"/>
          <w:i w:val="0"/>
          <w:iCs w:val="0"/>
          <w:color w:val="auto"/>
        </w:rPr>
      </w:pPr>
      <w:r w:rsidRPr="00A505AF">
        <w:rPr>
          <w:rFonts w:ascii="Times New Roman" w:hAnsi="Times New Roman" w:cs="Times New Roman"/>
          <w:b/>
          <w:bCs/>
          <w:i w:val="0"/>
          <w:iCs w:val="0"/>
          <w:color w:val="auto"/>
        </w:rPr>
        <w:t xml:space="preserve">Figure </w:t>
      </w:r>
      <w:r w:rsidR="00F6393F">
        <w:rPr>
          <w:rFonts w:ascii="Times New Roman" w:hAnsi="Times New Roman" w:cs="Times New Roman"/>
          <w:b/>
          <w:bCs/>
          <w:i w:val="0"/>
          <w:iCs w:val="0"/>
          <w:color w:val="auto"/>
        </w:rPr>
        <w:t>2</w:t>
      </w:r>
      <w:r w:rsidRPr="00A505AF">
        <w:rPr>
          <w:rFonts w:ascii="Times New Roman" w:hAnsi="Times New Roman" w:cs="Times New Roman"/>
          <w:b/>
          <w:bCs/>
          <w:i w:val="0"/>
          <w:iCs w:val="0"/>
          <w:color w:val="auto"/>
        </w:rPr>
        <w:t>-</w:t>
      </w:r>
      <w:r w:rsidRPr="00A505AF">
        <w:rPr>
          <w:rFonts w:ascii="Times New Roman" w:hAnsi="Times New Roman" w:cs="Times New Roman"/>
          <w:i w:val="0"/>
          <w:iCs w:val="0"/>
          <w:color w:val="auto"/>
        </w:rPr>
        <w:t xml:space="preserve"> Solvent testing</w:t>
      </w:r>
      <w:r w:rsidR="0034705D" w:rsidRPr="00A505AF">
        <w:rPr>
          <w:rFonts w:ascii="Times New Roman" w:hAnsi="Times New Roman" w:cs="Times New Roman"/>
          <w:i w:val="0"/>
          <w:iCs w:val="0"/>
          <w:color w:val="auto"/>
        </w:rPr>
        <w:t xml:space="preserve"> (Table S1, SI</w:t>
      </w:r>
      <w:r w:rsidR="0034705D" w:rsidRPr="004568DF">
        <w:rPr>
          <w:rFonts w:ascii="Times New Roman" w:hAnsi="Times New Roman" w:cs="Times New Roman"/>
          <w:i w:val="0"/>
          <w:iCs w:val="0"/>
          <w:color w:val="auto"/>
        </w:rPr>
        <w:t>)</w:t>
      </w:r>
      <w:r w:rsidR="00F6393F" w:rsidRPr="004568DF">
        <w:rPr>
          <w:rFonts w:ascii="Times New Roman" w:hAnsi="Times New Roman" w:cs="Times New Roman"/>
          <w:i w:val="0"/>
          <w:iCs w:val="0"/>
          <w:color w:val="auto"/>
        </w:rPr>
        <w:t>; Conversion and selectivity were evaluated via proton NMR.</w:t>
      </w:r>
      <w:r w:rsidR="000E7348">
        <w:rPr>
          <w:rFonts w:ascii="Times New Roman" w:hAnsi="Times New Roman" w:cs="Times New Roman"/>
          <w:i w:val="0"/>
          <w:iCs w:val="0"/>
          <w:color w:val="auto"/>
        </w:rPr>
        <w:t xml:space="preserve"> (</w:t>
      </w:r>
      <w:r w:rsidR="000E7348" w:rsidRPr="000E7348">
        <w:rPr>
          <w:rFonts w:ascii="Times New Roman" w:hAnsi="Times New Roman" w:cs="Times New Roman"/>
          <w:i w:val="0"/>
          <w:iCs w:val="0"/>
          <w:color w:val="auto"/>
        </w:rPr>
        <w:t>Table SI. 1. SI)</w:t>
      </w:r>
      <w:r w:rsidR="000E7348">
        <w:rPr>
          <w:rFonts w:ascii="Times New Roman" w:hAnsi="Times New Roman" w:cs="Times New Roman"/>
          <w:i w:val="0"/>
          <w:iCs w:val="0"/>
          <w:color w:val="auto"/>
        </w:rPr>
        <w:t>.</w:t>
      </w:r>
    </w:p>
    <w:p w14:paraId="15BBDD9D" w14:textId="220C41A2" w:rsidR="00DE3443" w:rsidRDefault="00EC5066" w:rsidP="00DE344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Gram</w:t>
      </w:r>
      <w:r w:rsidR="00D94D67">
        <w:rPr>
          <w:rFonts w:ascii="Times New Roman" w:hAnsi="Times New Roman" w:cs="Times New Roman"/>
          <w:sz w:val="24"/>
          <w:szCs w:val="24"/>
        </w:rPr>
        <w:t>-scale</w:t>
      </w:r>
      <w:r w:rsidR="00DD0468">
        <w:rPr>
          <w:rFonts w:ascii="Times New Roman" w:hAnsi="Times New Roman" w:cs="Times New Roman"/>
          <w:sz w:val="24"/>
          <w:szCs w:val="24"/>
        </w:rPr>
        <w:t xml:space="preserve"> </w:t>
      </w:r>
      <w:r>
        <w:rPr>
          <w:rFonts w:ascii="Times New Roman" w:hAnsi="Times New Roman" w:cs="Times New Roman"/>
          <w:sz w:val="24"/>
          <w:szCs w:val="24"/>
        </w:rPr>
        <w:t>tr</w:t>
      </w:r>
      <w:r w:rsidR="00E821EB">
        <w:rPr>
          <w:rFonts w:ascii="Times New Roman" w:hAnsi="Times New Roman" w:cs="Times New Roman"/>
          <w:sz w:val="24"/>
          <w:szCs w:val="24"/>
        </w:rPr>
        <w:t>ials</w:t>
      </w:r>
      <w:r w:rsidR="00DD0468">
        <w:rPr>
          <w:rFonts w:ascii="Times New Roman" w:hAnsi="Times New Roman" w:cs="Times New Roman"/>
          <w:sz w:val="24"/>
          <w:szCs w:val="24"/>
        </w:rPr>
        <w:t xml:space="preserve"> were also attempt</w:t>
      </w:r>
      <w:r w:rsidR="00C26264">
        <w:rPr>
          <w:rFonts w:ascii="Times New Roman" w:hAnsi="Times New Roman" w:cs="Times New Roman"/>
          <w:sz w:val="24"/>
          <w:szCs w:val="24"/>
        </w:rPr>
        <w:t xml:space="preserve">ed testing the reaction </w:t>
      </w:r>
      <w:r>
        <w:rPr>
          <w:rFonts w:ascii="Times New Roman" w:hAnsi="Times New Roman" w:cs="Times New Roman"/>
          <w:sz w:val="24"/>
          <w:szCs w:val="24"/>
        </w:rPr>
        <w:t>on</w:t>
      </w:r>
      <w:r w:rsidR="00D94D67">
        <w:rPr>
          <w:rFonts w:ascii="Times New Roman" w:hAnsi="Times New Roman" w:cs="Times New Roman"/>
          <w:sz w:val="24"/>
          <w:szCs w:val="24"/>
        </w:rPr>
        <w:t xml:space="preserve"> </w:t>
      </w:r>
      <w:r w:rsidR="00C26264">
        <w:rPr>
          <w:rFonts w:ascii="Times New Roman" w:hAnsi="Times New Roman" w:cs="Times New Roman"/>
          <w:sz w:val="24"/>
          <w:szCs w:val="24"/>
        </w:rPr>
        <w:t>1</w:t>
      </w:r>
      <w:r w:rsidR="00D94D67">
        <w:rPr>
          <w:rFonts w:ascii="Times New Roman" w:hAnsi="Times New Roman" w:cs="Times New Roman"/>
          <w:sz w:val="24"/>
          <w:szCs w:val="24"/>
        </w:rPr>
        <w:t>.0</w:t>
      </w:r>
      <w:r w:rsidR="00C26264">
        <w:rPr>
          <w:rFonts w:ascii="Times New Roman" w:hAnsi="Times New Roman" w:cs="Times New Roman"/>
          <w:sz w:val="24"/>
          <w:szCs w:val="24"/>
        </w:rPr>
        <w:t xml:space="preserve"> g and 5</w:t>
      </w:r>
      <w:r w:rsidR="00D94D67">
        <w:rPr>
          <w:rFonts w:ascii="Times New Roman" w:hAnsi="Times New Roman" w:cs="Times New Roman"/>
          <w:sz w:val="24"/>
          <w:szCs w:val="24"/>
        </w:rPr>
        <w:t>.0</w:t>
      </w:r>
      <w:r w:rsidR="00C26264">
        <w:rPr>
          <w:rFonts w:ascii="Times New Roman" w:hAnsi="Times New Roman" w:cs="Times New Roman"/>
          <w:sz w:val="24"/>
          <w:szCs w:val="24"/>
        </w:rPr>
        <w:t xml:space="preserve"> g </w:t>
      </w:r>
      <w:r w:rsidR="00D94D67">
        <w:rPr>
          <w:rFonts w:ascii="Times New Roman" w:hAnsi="Times New Roman" w:cs="Times New Roman"/>
          <w:sz w:val="24"/>
          <w:szCs w:val="24"/>
        </w:rPr>
        <w:t>of FDME</w:t>
      </w:r>
      <w:r>
        <w:rPr>
          <w:rFonts w:ascii="Times New Roman" w:hAnsi="Times New Roman" w:cs="Times New Roman"/>
          <w:sz w:val="24"/>
          <w:szCs w:val="24"/>
        </w:rPr>
        <w:t xml:space="preserve">. </w:t>
      </w:r>
      <w:r w:rsidRPr="000E7348">
        <w:rPr>
          <w:rFonts w:ascii="Times New Roman" w:hAnsi="Times New Roman" w:cs="Times New Roman"/>
          <w:sz w:val="24"/>
          <w:szCs w:val="24"/>
        </w:rPr>
        <w:t>These</w:t>
      </w:r>
      <w:r>
        <w:rPr>
          <w:rFonts w:ascii="Times New Roman" w:hAnsi="Times New Roman" w:cs="Times New Roman"/>
          <w:sz w:val="24"/>
          <w:szCs w:val="24"/>
        </w:rPr>
        <w:t xml:space="preserve"> </w:t>
      </w:r>
      <w:r w:rsidR="00E821EB">
        <w:rPr>
          <w:rFonts w:ascii="Times New Roman" w:hAnsi="Times New Roman" w:cs="Times New Roman"/>
          <w:sz w:val="24"/>
          <w:szCs w:val="24"/>
        </w:rPr>
        <w:t>tests</w:t>
      </w:r>
      <w:r>
        <w:rPr>
          <w:rFonts w:ascii="Times New Roman" w:hAnsi="Times New Roman" w:cs="Times New Roman"/>
          <w:sz w:val="24"/>
          <w:szCs w:val="24"/>
        </w:rPr>
        <w:t xml:space="preserve"> were performed in the optimal conditions previously found (#1, Table 2) with the addition of a Dean Stark apparatus and N</w:t>
      </w:r>
      <w:r>
        <w:rPr>
          <w:rFonts w:ascii="Times New Roman" w:hAnsi="Times New Roman" w:cs="Times New Roman"/>
          <w:sz w:val="24"/>
          <w:szCs w:val="24"/>
          <w:vertAlign w:val="subscript"/>
        </w:rPr>
        <w:t>2</w:t>
      </w:r>
      <w:r>
        <w:rPr>
          <w:rFonts w:ascii="Times New Roman" w:hAnsi="Times New Roman" w:cs="Times New Roman"/>
          <w:sz w:val="24"/>
          <w:szCs w:val="24"/>
        </w:rPr>
        <w:t xml:space="preserve"> flow to facilitate methanol removal. However, </w:t>
      </w:r>
      <w:r w:rsidR="000E2584">
        <w:rPr>
          <w:rFonts w:ascii="Times New Roman" w:hAnsi="Times New Roman" w:cs="Times New Roman"/>
          <w:sz w:val="24"/>
          <w:szCs w:val="24"/>
        </w:rPr>
        <w:t>these experiments led to</w:t>
      </w:r>
      <w:r>
        <w:rPr>
          <w:rFonts w:ascii="Times New Roman" w:hAnsi="Times New Roman" w:cs="Times New Roman"/>
          <w:sz w:val="24"/>
          <w:szCs w:val="24"/>
        </w:rPr>
        <w:t xml:space="preserve"> </w:t>
      </w:r>
      <w:r w:rsidR="00C26264">
        <w:rPr>
          <w:rFonts w:ascii="Times New Roman" w:hAnsi="Times New Roman" w:cs="Times New Roman"/>
          <w:sz w:val="24"/>
          <w:szCs w:val="24"/>
        </w:rPr>
        <w:t>lower selectivity</w:t>
      </w:r>
      <w:r w:rsidR="00BA0F07">
        <w:rPr>
          <w:rFonts w:ascii="Times New Roman" w:hAnsi="Times New Roman" w:cs="Times New Roman"/>
          <w:sz w:val="24"/>
          <w:szCs w:val="24"/>
        </w:rPr>
        <w:t xml:space="preserve"> (53-67%) and moderate yields (46-57%)</w:t>
      </w:r>
      <w:r w:rsidR="00C26264">
        <w:rPr>
          <w:rFonts w:ascii="Times New Roman" w:hAnsi="Times New Roman" w:cs="Times New Roman"/>
          <w:sz w:val="24"/>
          <w:szCs w:val="24"/>
        </w:rPr>
        <w:t xml:space="preserve"> when compared to the </w:t>
      </w:r>
      <w:r w:rsidR="00E821EB">
        <w:rPr>
          <w:rFonts w:ascii="Times New Roman" w:hAnsi="Times New Roman" w:cs="Times New Roman"/>
          <w:sz w:val="24"/>
          <w:szCs w:val="24"/>
        </w:rPr>
        <w:t>0.5</w:t>
      </w:r>
      <w:r w:rsidR="000E2584">
        <w:rPr>
          <w:rFonts w:ascii="Times New Roman" w:hAnsi="Times New Roman" w:cs="Times New Roman"/>
          <w:sz w:val="24"/>
          <w:szCs w:val="24"/>
        </w:rPr>
        <w:t xml:space="preserve"> </w:t>
      </w:r>
      <w:r w:rsidR="00E821EB">
        <w:rPr>
          <w:rFonts w:ascii="Times New Roman" w:hAnsi="Times New Roman" w:cs="Times New Roman"/>
          <w:sz w:val="24"/>
          <w:szCs w:val="24"/>
        </w:rPr>
        <w:t>gram</w:t>
      </w:r>
      <w:r w:rsidR="00C26264">
        <w:rPr>
          <w:rFonts w:ascii="Times New Roman" w:hAnsi="Times New Roman" w:cs="Times New Roman"/>
          <w:sz w:val="24"/>
          <w:szCs w:val="24"/>
        </w:rPr>
        <w:t xml:space="preserve"> scale</w:t>
      </w:r>
      <w:r w:rsidR="000E2584">
        <w:rPr>
          <w:rFonts w:ascii="Times New Roman" w:hAnsi="Times New Roman" w:cs="Times New Roman"/>
          <w:sz w:val="24"/>
          <w:szCs w:val="24"/>
        </w:rPr>
        <w:t xml:space="preserve"> previously employed</w:t>
      </w:r>
      <w:r w:rsidR="00C26264">
        <w:rPr>
          <w:rFonts w:ascii="Times New Roman" w:hAnsi="Times New Roman" w:cs="Times New Roman"/>
          <w:sz w:val="24"/>
          <w:szCs w:val="24"/>
        </w:rPr>
        <w:t xml:space="preserve"> (</w:t>
      </w:r>
      <w:r w:rsidR="00451512" w:rsidRPr="000E7348">
        <w:rPr>
          <w:rFonts w:ascii="Times New Roman" w:hAnsi="Times New Roman" w:cs="Times New Roman"/>
          <w:sz w:val="24"/>
          <w:szCs w:val="24"/>
        </w:rPr>
        <w:t xml:space="preserve">Table SI. </w:t>
      </w:r>
      <w:r w:rsidR="000E7348" w:rsidRPr="000E7348">
        <w:rPr>
          <w:rFonts w:ascii="Times New Roman" w:hAnsi="Times New Roman" w:cs="Times New Roman"/>
          <w:sz w:val="24"/>
          <w:szCs w:val="24"/>
        </w:rPr>
        <w:t>2, SI</w:t>
      </w:r>
      <w:r w:rsidR="00C26264" w:rsidRPr="000E7348">
        <w:rPr>
          <w:rFonts w:ascii="Times New Roman" w:hAnsi="Times New Roman" w:cs="Times New Roman"/>
          <w:sz w:val="24"/>
          <w:szCs w:val="24"/>
        </w:rPr>
        <w:t xml:space="preserve">). </w:t>
      </w:r>
      <w:r>
        <w:rPr>
          <w:rFonts w:ascii="Times New Roman" w:hAnsi="Times New Roman" w:cs="Times New Roman"/>
          <w:sz w:val="24"/>
          <w:szCs w:val="24"/>
        </w:rPr>
        <w:t>I</w:t>
      </w:r>
      <w:r w:rsidR="00DE3443" w:rsidRPr="00DE3443">
        <w:rPr>
          <w:rFonts w:ascii="Times New Roman" w:hAnsi="Times New Roman" w:cs="Times New Roman"/>
          <w:sz w:val="24"/>
          <w:szCs w:val="24"/>
        </w:rPr>
        <w:t xml:space="preserve">n the case of large-scale reactions, </w:t>
      </w:r>
      <w:r>
        <w:rPr>
          <w:rFonts w:ascii="Times New Roman" w:hAnsi="Times New Roman" w:cs="Times New Roman"/>
          <w:sz w:val="24"/>
          <w:szCs w:val="24"/>
        </w:rPr>
        <w:t>i</w:t>
      </w:r>
      <w:r w:rsidRPr="00DE3443">
        <w:rPr>
          <w:rFonts w:ascii="Times New Roman" w:hAnsi="Times New Roman" w:cs="Times New Roman"/>
          <w:sz w:val="24"/>
          <w:szCs w:val="24"/>
        </w:rPr>
        <w:t xml:space="preserve">t was </w:t>
      </w:r>
      <w:r w:rsidR="005F5763" w:rsidRPr="00DE3443">
        <w:rPr>
          <w:rFonts w:ascii="Times New Roman" w:hAnsi="Times New Roman" w:cs="Times New Roman"/>
          <w:sz w:val="24"/>
          <w:szCs w:val="24"/>
        </w:rPr>
        <w:t xml:space="preserve">observed </w:t>
      </w:r>
      <w:r w:rsidR="005F5763">
        <w:rPr>
          <w:rFonts w:ascii="Times New Roman" w:hAnsi="Times New Roman" w:cs="Times New Roman"/>
          <w:sz w:val="24"/>
          <w:szCs w:val="24"/>
        </w:rPr>
        <w:t xml:space="preserve">a less prominent solvent (MeOH) evaporation compared to </w:t>
      </w:r>
      <w:r w:rsidR="00E865F3">
        <w:rPr>
          <w:rFonts w:ascii="Times New Roman" w:hAnsi="Times New Roman" w:cs="Times New Roman"/>
          <w:sz w:val="24"/>
          <w:szCs w:val="24"/>
        </w:rPr>
        <w:t>the smaller scale trials</w:t>
      </w:r>
      <w:r w:rsidR="00DE3443" w:rsidRPr="00DE3443">
        <w:rPr>
          <w:rFonts w:ascii="Times New Roman" w:hAnsi="Times New Roman" w:cs="Times New Roman"/>
          <w:sz w:val="24"/>
          <w:szCs w:val="24"/>
        </w:rPr>
        <w:t xml:space="preserve">, even when maintaining the previously determined optimal concentration. </w:t>
      </w:r>
      <w:r w:rsidR="00DE3443" w:rsidRPr="00E865F3">
        <w:rPr>
          <w:rFonts w:ascii="Times New Roman" w:hAnsi="Times New Roman" w:cs="Times New Roman"/>
          <w:sz w:val="24"/>
          <w:szCs w:val="24"/>
        </w:rPr>
        <w:t xml:space="preserve">As this is a thermodynamically driven reaction, there may have been some changes </w:t>
      </w:r>
      <w:r w:rsidR="00E865F3">
        <w:rPr>
          <w:rFonts w:ascii="Times New Roman" w:hAnsi="Times New Roman" w:cs="Times New Roman"/>
          <w:sz w:val="24"/>
          <w:szCs w:val="24"/>
        </w:rPr>
        <w:t xml:space="preserve">in the reaction equilibrium </w:t>
      </w:r>
      <w:r w:rsidR="00CC527D" w:rsidRPr="005F5763">
        <w:rPr>
          <w:rFonts w:ascii="Times New Roman" w:hAnsi="Times New Roman" w:cs="Times New Roman"/>
          <w:sz w:val="24"/>
          <w:szCs w:val="24"/>
        </w:rPr>
        <w:t>that</w:t>
      </w:r>
      <w:r w:rsidR="00DE3443" w:rsidRPr="00E865F3">
        <w:rPr>
          <w:rFonts w:ascii="Times New Roman" w:hAnsi="Times New Roman" w:cs="Times New Roman"/>
          <w:sz w:val="24"/>
          <w:szCs w:val="24"/>
        </w:rPr>
        <w:t xml:space="preserve"> hindered the efficiency of the </w:t>
      </w:r>
      <w:r w:rsidR="000E2584">
        <w:rPr>
          <w:rFonts w:ascii="Times New Roman" w:hAnsi="Times New Roman" w:cs="Times New Roman"/>
          <w:sz w:val="24"/>
          <w:szCs w:val="24"/>
        </w:rPr>
        <w:t xml:space="preserve">gram scale </w:t>
      </w:r>
      <w:r w:rsidR="00DE3443" w:rsidRPr="00E865F3">
        <w:rPr>
          <w:rFonts w:ascii="Times New Roman" w:hAnsi="Times New Roman" w:cs="Times New Roman"/>
          <w:sz w:val="24"/>
          <w:szCs w:val="24"/>
        </w:rPr>
        <w:t>reaction</w:t>
      </w:r>
      <w:r w:rsidR="000E2584">
        <w:rPr>
          <w:rFonts w:ascii="Times New Roman" w:hAnsi="Times New Roman" w:cs="Times New Roman"/>
          <w:sz w:val="24"/>
          <w:szCs w:val="24"/>
        </w:rPr>
        <w:t>s</w:t>
      </w:r>
      <w:r w:rsidR="00DE3443" w:rsidRPr="00E865F3">
        <w:rPr>
          <w:rFonts w:ascii="Times New Roman" w:hAnsi="Times New Roman" w:cs="Times New Roman"/>
          <w:sz w:val="24"/>
          <w:szCs w:val="24"/>
        </w:rPr>
        <w:t>.</w:t>
      </w:r>
    </w:p>
    <w:p w14:paraId="3F2230D0" w14:textId="77777777" w:rsidR="00BA0F07" w:rsidRDefault="00BA0F07" w:rsidP="00DE3443">
      <w:pPr>
        <w:spacing w:after="0" w:line="480" w:lineRule="auto"/>
        <w:jc w:val="both"/>
        <w:rPr>
          <w:rFonts w:ascii="Times New Roman" w:hAnsi="Times New Roman" w:cs="Times New Roman"/>
          <w:sz w:val="24"/>
          <w:szCs w:val="24"/>
        </w:rPr>
      </w:pPr>
    </w:p>
    <w:p w14:paraId="5CD00A7A" w14:textId="03077806" w:rsidR="00EF63B0" w:rsidRPr="00DE3443" w:rsidRDefault="00EF63B0" w:rsidP="00DE3443">
      <w:pPr>
        <w:spacing w:after="0" w:line="480" w:lineRule="auto"/>
        <w:jc w:val="both"/>
        <w:rPr>
          <w:rFonts w:ascii="Times New Roman" w:hAnsi="Times New Roman" w:cs="Times New Roman"/>
          <w:b/>
          <w:bCs/>
          <w:i/>
          <w:iCs/>
          <w:sz w:val="24"/>
          <w:szCs w:val="24"/>
        </w:rPr>
      </w:pPr>
      <w:r w:rsidRPr="00DE3443">
        <w:rPr>
          <w:rFonts w:ascii="Times New Roman" w:hAnsi="Times New Roman" w:cs="Times New Roman"/>
          <w:b/>
          <w:bCs/>
          <w:i/>
          <w:iCs/>
          <w:sz w:val="24"/>
          <w:szCs w:val="24"/>
        </w:rPr>
        <w:t>DGF synthesis via heterogenous catalysis</w:t>
      </w:r>
    </w:p>
    <w:p w14:paraId="342EC25D" w14:textId="40424982" w:rsidR="00EF63B0" w:rsidRPr="00A505AF" w:rsidRDefault="00EF63B0" w:rsidP="00E44371">
      <w:pPr>
        <w:spacing w:line="480" w:lineRule="auto"/>
        <w:jc w:val="both"/>
        <w:rPr>
          <w:rFonts w:ascii="Times New Roman" w:hAnsi="Times New Roman" w:cs="Times New Roman"/>
          <w:sz w:val="24"/>
          <w:szCs w:val="24"/>
        </w:rPr>
      </w:pPr>
      <w:r w:rsidRPr="00A505AF">
        <w:rPr>
          <w:rFonts w:ascii="Times New Roman" w:hAnsi="Times New Roman" w:cs="Times New Roman"/>
          <w:sz w:val="24"/>
          <w:szCs w:val="24"/>
        </w:rPr>
        <w:t>Using molecular catalysts on solid materials has been an effective strategy to intensify catalytic processes while retaining the advantages of homogeneous catalysts. Considering the results obtained with the homogeneous base</w:t>
      </w:r>
      <w:r w:rsidR="0047217E">
        <w:rPr>
          <w:rFonts w:ascii="Times New Roman" w:hAnsi="Times New Roman" w:cs="Times New Roman"/>
          <w:sz w:val="24"/>
          <w:szCs w:val="24"/>
        </w:rPr>
        <w:t>s</w:t>
      </w:r>
      <w:r w:rsidRPr="00A505AF">
        <w:rPr>
          <w:rFonts w:ascii="Times New Roman" w:hAnsi="Times New Roman" w:cs="Times New Roman"/>
          <w:sz w:val="24"/>
          <w:szCs w:val="24"/>
        </w:rPr>
        <w:t>, two different supported bases, analogous to triethylamine (</w:t>
      </w:r>
      <w:r w:rsidR="0076379E">
        <w:rPr>
          <w:rFonts w:ascii="Times New Roman" w:hAnsi="Times New Roman" w:cs="Times New Roman"/>
          <w:sz w:val="24"/>
          <w:szCs w:val="24"/>
        </w:rPr>
        <w:t>S-Et</w:t>
      </w:r>
      <w:r w:rsidR="0076379E" w:rsidRPr="0076379E">
        <w:rPr>
          <w:rFonts w:ascii="Times New Roman" w:hAnsi="Times New Roman" w:cs="Times New Roman"/>
          <w:sz w:val="24"/>
          <w:szCs w:val="24"/>
          <w:vertAlign w:val="subscript"/>
        </w:rPr>
        <w:t>3</w:t>
      </w:r>
      <w:r w:rsidR="0076379E">
        <w:rPr>
          <w:rFonts w:ascii="Times New Roman" w:hAnsi="Times New Roman" w:cs="Times New Roman"/>
          <w:sz w:val="24"/>
          <w:szCs w:val="24"/>
        </w:rPr>
        <w:t>N</w:t>
      </w:r>
      <w:r w:rsidRPr="00A505AF">
        <w:rPr>
          <w:rFonts w:ascii="Times New Roman" w:hAnsi="Times New Roman" w:cs="Times New Roman"/>
          <w:sz w:val="24"/>
          <w:szCs w:val="24"/>
        </w:rPr>
        <w:t>) and methylpyrrolidine (</w:t>
      </w:r>
      <w:r w:rsidR="0076379E">
        <w:rPr>
          <w:rFonts w:ascii="Times New Roman" w:hAnsi="Times New Roman" w:cs="Times New Roman"/>
          <w:sz w:val="24"/>
          <w:szCs w:val="24"/>
        </w:rPr>
        <w:t>S-NMPy</w:t>
      </w:r>
      <w:r w:rsidRPr="00A505AF">
        <w:rPr>
          <w:rFonts w:ascii="Times New Roman" w:hAnsi="Times New Roman" w:cs="Times New Roman"/>
          <w:sz w:val="24"/>
          <w:szCs w:val="24"/>
        </w:rPr>
        <w:t xml:space="preserve">), were evaluated for the transesterification reaction. </w:t>
      </w:r>
      <w:r w:rsidR="00E44371" w:rsidRPr="00E44371">
        <w:rPr>
          <w:rFonts w:ascii="Times New Roman" w:hAnsi="Times New Roman" w:cs="Times New Roman"/>
          <w:sz w:val="24"/>
          <w:szCs w:val="24"/>
        </w:rPr>
        <w:t>Their immobilization on polymeric polystyrene-divinylbenzene (PS-DVB) resins offers a convenient method for product recovery and enables the catalyst to be reused across multiple cycles.</w:t>
      </w:r>
      <w:r w:rsidRPr="00A505AF">
        <w:rPr>
          <w:rFonts w:ascii="Times New Roman" w:hAnsi="Times New Roman" w:cs="Times New Roman"/>
          <w:sz w:val="24"/>
          <w:szCs w:val="24"/>
        </w:rPr>
        <w:t xml:space="preserve">  </w:t>
      </w:r>
      <w:r w:rsidR="00E44371">
        <w:rPr>
          <w:rFonts w:ascii="Times New Roman" w:hAnsi="Times New Roman" w:cs="Times New Roman"/>
          <w:sz w:val="24"/>
          <w:szCs w:val="24"/>
        </w:rPr>
        <w:t xml:space="preserve"> </w:t>
      </w:r>
      <w:r w:rsidRPr="00A505AF">
        <w:rPr>
          <w:rFonts w:ascii="Times New Roman" w:hAnsi="Times New Roman" w:cs="Times New Roman"/>
          <w:sz w:val="24"/>
          <w:szCs w:val="24"/>
        </w:rPr>
        <w:t xml:space="preserve"> </w:t>
      </w:r>
    </w:p>
    <w:p w14:paraId="00E32DAD" w14:textId="681FE984" w:rsidR="00EF63B0" w:rsidRPr="00A505AF" w:rsidRDefault="001834FA" w:rsidP="00EF63B0">
      <w:pPr>
        <w:spacing w:line="360" w:lineRule="auto"/>
        <w:jc w:val="center"/>
        <w:rPr>
          <w:rFonts w:ascii="Times New Roman" w:hAnsi="Times New Roman" w:cs="Times New Roman"/>
          <w:sz w:val="24"/>
          <w:szCs w:val="24"/>
        </w:rPr>
      </w:pPr>
      <w:r>
        <w:rPr>
          <w:noProof/>
        </w:rPr>
        <w:object w:dxaOrig="3025" w:dyaOrig="1795" w14:anchorId="35F01700">
          <v:shape id="_x0000_i1030" type="#_x0000_t75" alt="" style="width:151.55pt;height:90.4pt;mso-width-percent:0;mso-height-percent:0;mso-width-percent:0;mso-height-percent:0" o:ole="">
            <v:imagedata r:id="rId19" o:title=""/>
          </v:shape>
          <o:OLEObject Type="Embed" ProgID="ChemDraw.Document.6.0" ShapeID="_x0000_i1030" DrawAspect="Content" ObjectID="_1801981040" r:id="rId20"/>
        </w:object>
      </w:r>
    </w:p>
    <w:p w14:paraId="06D601C9" w14:textId="13E0F689" w:rsidR="0076379E" w:rsidRDefault="0076379E" w:rsidP="0076379E">
      <w:pPr>
        <w:pStyle w:val="Didascalia"/>
        <w:jc w:val="center"/>
        <w:rPr>
          <w:rFonts w:ascii="Times New Roman" w:hAnsi="Times New Roman" w:cs="Times New Roman"/>
          <w:i w:val="0"/>
          <w:iCs w:val="0"/>
          <w:color w:val="auto"/>
        </w:rPr>
      </w:pPr>
      <w:r w:rsidRPr="00A505AF">
        <w:rPr>
          <w:rFonts w:ascii="Times New Roman" w:hAnsi="Times New Roman" w:cs="Times New Roman"/>
          <w:b/>
          <w:bCs/>
          <w:i w:val="0"/>
          <w:iCs w:val="0"/>
          <w:color w:val="auto"/>
        </w:rPr>
        <w:t xml:space="preserve">Figure </w:t>
      </w:r>
      <w:r>
        <w:rPr>
          <w:rFonts w:ascii="Times New Roman" w:hAnsi="Times New Roman" w:cs="Times New Roman"/>
          <w:b/>
          <w:bCs/>
          <w:i w:val="0"/>
          <w:iCs w:val="0"/>
          <w:color w:val="auto"/>
        </w:rPr>
        <w:t>3</w:t>
      </w:r>
      <w:r w:rsidRPr="00A505AF">
        <w:rPr>
          <w:rFonts w:ascii="Times New Roman" w:hAnsi="Times New Roman" w:cs="Times New Roman"/>
          <w:b/>
          <w:bCs/>
          <w:i w:val="0"/>
          <w:iCs w:val="0"/>
          <w:color w:val="auto"/>
        </w:rPr>
        <w:t>-</w:t>
      </w:r>
      <w:r w:rsidRPr="00A505AF">
        <w:rPr>
          <w:rFonts w:ascii="Times New Roman" w:hAnsi="Times New Roman" w:cs="Times New Roman"/>
          <w:i w:val="0"/>
          <w:iCs w:val="0"/>
          <w:color w:val="auto"/>
        </w:rPr>
        <w:t xml:space="preserve"> </w:t>
      </w:r>
      <w:r>
        <w:rPr>
          <w:rFonts w:ascii="Times New Roman" w:hAnsi="Times New Roman" w:cs="Times New Roman"/>
          <w:i w:val="0"/>
          <w:iCs w:val="0"/>
          <w:color w:val="auto"/>
        </w:rPr>
        <w:t>S</w:t>
      </w:r>
      <w:r w:rsidRPr="0076379E">
        <w:rPr>
          <w:rFonts w:ascii="Times New Roman" w:hAnsi="Times New Roman" w:cs="Times New Roman"/>
          <w:i w:val="0"/>
          <w:iCs w:val="0"/>
          <w:color w:val="auto"/>
        </w:rPr>
        <w:t xml:space="preserve">upported </w:t>
      </w:r>
      <w:r>
        <w:rPr>
          <w:rFonts w:ascii="Times New Roman" w:hAnsi="Times New Roman" w:cs="Times New Roman"/>
          <w:i w:val="0"/>
          <w:iCs w:val="0"/>
          <w:color w:val="auto"/>
        </w:rPr>
        <w:t>heterogenous catalyst from t</w:t>
      </w:r>
      <w:r w:rsidRPr="0076379E">
        <w:rPr>
          <w:rFonts w:ascii="Times New Roman" w:hAnsi="Times New Roman" w:cs="Times New Roman"/>
          <w:i w:val="0"/>
          <w:iCs w:val="0"/>
          <w:color w:val="auto"/>
        </w:rPr>
        <w:t xml:space="preserve">riethylamine </w:t>
      </w:r>
      <w:r>
        <w:rPr>
          <w:rFonts w:ascii="Times New Roman" w:hAnsi="Times New Roman" w:cs="Times New Roman"/>
          <w:i w:val="0"/>
          <w:iCs w:val="0"/>
          <w:color w:val="auto"/>
        </w:rPr>
        <w:t>(S-Et</w:t>
      </w:r>
      <w:r w:rsidRPr="0076379E">
        <w:rPr>
          <w:rFonts w:ascii="Times New Roman" w:hAnsi="Times New Roman" w:cs="Times New Roman"/>
          <w:i w:val="0"/>
          <w:iCs w:val="0"/>
          <w:color w:val="auto"/>
          <w:vertAlign w:val="subscript"/>
        </w:rPr>
        <w:t>3</w:t>
      </w:r>
      <w:r>
        <w:rPr>
          <w:rFonts w:ascii="Times New Roman" w:hAnsi="Times New Roman" w:cs="Times New Roman"/>
          <w:i w:val="0"/>
          <w:iCs w:val="0"/>
          <w:color w:val="auto"/>
        </w:rPr>
        <w:t xml:space="preserve">N) </w:t>
      </w:r>
      <w:r w:rsidRPr="0076379E">
        <w:rPr>
          <w:rFonts w:ascii="Times New Roman" w:hAnsi="Times New Roman" w:cs="Times New Roman"/>
          <w:i w:val="0"/>
          <w:iCs w:val="0"/>
          <w:color w:val="auto"/>
        </w:rPr>
        <w:t>and methylpyrrolidine</w:t>
      </w:r>
      <w:r>
        <w:rPr>
          <w:rFonts w:ascii="Times New Roman" w:hAnsi="Times New Roman" w:cs="Times New Roman"/>
          <w:i w:val="0"/>
          <w:iCs w:val="0"/>
          <w:color w:val="auto"/>
        </w:rPr>
        <w:t xml:space="preserve"> (S-NMPy).</w:t>
      </w:r>
    </w:p>
    <w:p w14:paraId="4287D64A" w14:textId="77777777" w:rsidR="0076379E" w:rsidRPr="0076379E" w:rsidRDefault="0076379E" w:rsidP="0076379E"/>
    <w:p w14:paraId="265BE8B1" w14:textId="7D135F5A" w:rsidR="00EF63B0" w:rsidRPr="00AE68DE" w:rsidRDefault="00DF5824" w:rsidP="00EF63B0">
      <w:pPr>
        <w:spacing w:line="480" w:lineRule="auto"/>
        <w:jc w:val="both"/>
        <w:rPr>
          <w:rFonts w:ascii="Times New Roman" w:hAnsi="Times New Roman" w:cs="Times New Roman"/>
          <w:strike/>
          <w:sz w:val="24"/>
          <w:szCs w:val="24"/>
        </w:rPr>
      </w:pPr>
      <w:r>
        <w:rPr>
          <w:rFonts w:ascii="Times New Roman" w:hAnsi="Times New Roman" w:cs="Times New Roman"/>
          <w:sz w:val="24"/>
          <w:szCs w:val="24"/>
        </w:rPr>
        <w:t>Unfortunately, t</w:t>
      </w:r>
      <w:r w:rsidR="00EF63B0" w:rsidRPr="00A505AF">
        <w:rPr>
          <w:rFonts w:ascii="Times New Roman" w:hAnsi="Times New Roman" w:cs="Times New Roman"/>
          <w:sz w:val="24"/>
          <w:szCs w:val="24"/>
        </w:rPr>
        <w:t xml:space="preserve">he results from the supported catalysts were disappointing compared to their performance in the homogeneous system. </w:t>
      </w:r>
      <w:r>
        <w:rPr>
          <w:rFonts w:ascii="Times New Roman" w:hAnsi="Times New Roman" w:cs="Times New Roman"/>
          <w:sz w:val="24"/>
          <w:szCs w:val="24"/>
        </w:rPr>
        <w:t>In fact, b</w:t>
      </w:r>
      <w:r w:rsidR="00EF63B0" w:rsidRPr="00A505AF">
        <w:rPr>
          <w:rFonts w:ascii="Times New Roman" w:hAnsi="Times New Roman" w:cs="Times New Roman"/>
          <w:sz w:val="24"/>
          <w:szCs w:val="24"/>
        </w:rPr>
        <w:t xml:space="preserve">oth </w:t>
      </w:r>
      <w:r w:rsidRPr="00DF5824">
        <w:rPr>
          <w:rFonts w:ascii="Times New Roman" w:hAnsi="Times New Roman" w:cs="Times New Roman"/>
          <w:sz w:val="24"/>
          <w:szCs w:val="24"/>
        </w:rPr>
        <w:t>S-Et</w:t>
      </w:r>
      <w:r w:rsidRPr="00DF5824">
        <w:rPr>
          <w:rFonts w:ascii="Times New Roman" w:hAnsi="Times New Roman" w:cs="Times New Roman"/>
          <w:sz w:val="24"/>
          <w:szCs w:val="24"/>
          <w:vertAlign w:val="subscript"/>
        </w:rPr>
        <w:t>3</w:t>
      </w:r>
      <w:r w:rsidRPr="00DF5824">
        <w:rPr>
          <w:rFonts w:ascii="Times New Roman" w:hAnsi="Times New Roman" w:cs="Times New Roman"/>
          <w:sz w:val="24"/>
          <w:szCs w:val="24"/>
        </w:rPr>
        <w:t xml:space="preserve">N and S-NMPy </w:t>
      </w:r>
      <w:r w:rsidR="00EF63B0" w:rsidRPr="00A505AF">
        <w:rPr>
          <w:rFonts w:ascii="Times New Roman" w:hAnsi="Times New Roman" w:cs="Times New Roman"/>
          <w:sz w:val="24"/>
          <w:szCs w:val="24"/>
        </w:rPr>
        <w:t xml:space="preserve">showed significantly lower activity </w:t>
      </w:r>
      <w:r>
        <w:rPr>
          <w:rFonts w:ascii="Times New Roman" w:hAnsi="Times New Roman" w:cs="Times New Roman"/>
          <w:sz w:val="24"/>
          <w:szCs w:val="24"/>
        </w:rPr>
        <w:t xml:space="preserve">when </w:t>
      </w:r>
      <w:r w:rsidR="009D6A68">
        <w:rPr>
          <w:rFonts w:ascii="Times New Roman" w:hAnsi="Times New Roman" w:cs="Times New Roman"/>
          <w:sz w:val="24"/>
          <w:szCs w:val="24"/>
        </w:rPr>
        <w:t xml:space="preserve">employed </w:t>
      </w:r>
      <w:r w:rsidR="00EF63B0" w:rsidRPr="00A505AF">
        <w:rPr>
          <w:rFonts w:ascii="Times New Roman" w:hAnsi="Times New Roman" w:cs="Times New Roman"/>
          <w:sz w:val="24"/>
          <w:szCs w:val="24"/>
        </w:rPr>
        <w:t>und</w:t>
      </w:r>
      <w:r w:rsidR="00EF63B0" w:rsidRPr="00EB038D">
        <w:rPr>
          <w:rFonts w:ascii="Times New Roman" w:hAnsi="Times New Roman" w:cs="Times New Roman"/>
          <w:sz w:val="24"/>
          <w:szCs w:val="24"/>
        </w:rPr>
        <w:t xml:space="preserve">er </w:t>
      </w:r>
      <w:r w:rsidR="00891ED9" w:rsidRPr="00EB038D">
        <w:rPr>
          <w:rFonts w:ascii="Times New Roman" w:hAnsi="Times New Roman" w:cs="Times New Roman"/>
          <w:sz w:val="24"/>
          <w:szCs w:val="24"/>
        </w:rPr>
        <w:t>similar</w:t>
      </w:r>
      <w:r w:rsidR="00EF63B0" w:rsidRPr="00EB038D">
        <w:rPr>
          <w:rFonts w:ascii="Times New Roman" w:hAnsi="Times New Roman" w:cs="Times New Roman"/>
          <w:sz w:val="24"/>
          <w:szCs w:val="24"/>
        </w:rPr>
        <w:t xml:space="preserve"> </w:t>
      </w:r>
      <w:r w:rsidRPr="00EB038D">
        <w:rPr>
          <w:rFonts w:ascii="Times New Roman" w:hAnsi="Times New Roman" w:cs="Times New Roman"/>
          <w:sz w:val="24"/>
          <w:szCs w:val="24"/>
        </w:rPr>
        <w:t xml:space="preserve">reaction </w:t>
      </w:r>
      <w:r w:rsidR="00EF63B0" w:rsidRPr="00EB038D">
        <w:rPr>
          <w:rFonts w:ascii="Times New Roman" w:hAnsi="Times New Roman" w:cs="Times New Roman"/>
          <w:sz w:val="24"/>
          <w:szCs w:val="24"/>
        </w:rPr>
        <w:t>conditions</w:t>
      </w:r>
      <w:r>
        <w:rPr>
          <w:rFonts w:ascii="Times New Roman" w:hAnsi="Times New Roman" w:cs="Times New Roman"/>
          <w:sz w:val="24"/>
          <w:szCs w:val="24"/>
        </w:rPr>
        <w:t xml:space="preserve"> used for the related bases (Tables 1-2)</w:t>
      </w:r>
      <w:r w:rsidR="00EF63B0" w:rsidRPr="00A505AF">
        <w:rPr>
          <w:rFonts w:ascii="Times New Roman" w:hAnsi="Times New Roman" w:cs="Times New Roman"/>
          <w:sz w:val="24"/>
          <w:szCs w:val="24"/>
        </w:rPr>
        <w:t xml:space="preserve">. </w:t>
      </w:r>
      <w:r w:rsidR="0022292E">
        <w:rPr>
          <w:rFonts w:ascii="Times New Roman" w:hAnsi="Times New Roman" w:cs="Times New Roman"/>
          <w:sz w:val="24"/>
          <w:szCs w:val="24"/>
        </w:rPr>
        <w:t>Namely</w:t>
      </w:r>
      <w:r w:rsidR="00EF63B0" w:rsidRPr="00A505AF">
        <w:rPr>
          <w:rFonts w:ascii="Times New Roman" w:hAnsi="Times New Roman" w:cs="Times New Roman"/>
          <w:sz w:val="24"/>
          <w:szCs w:val="24"/>
        </w:rPr>
        <w:t xml:space="preserve">, </w:t>
      </w:r>
      <w:r w:rsidR="0022292E">
        <w:rPr>
          <w:rFonts w:ascii="Times New Roman" w:hAnsi="Times New Roman" w:cs="Times New Roman"/>
          <w:sz w:val="24"/>
          <w:szCs w:val="24"/>
        </w:rPr>
        <w:t xml:space="preserve">in the presence of </w:t>
      </w:r>
      <w:r w:rsidR="0076379E">
        <w:rPr>
          <w:rFonts w:ascii="Times New Roman" w:hAnsi="Times New Roman" w:cs="Times New Roman"/>
          <w:sz w:val="24"/>
          <w:szCs w:val="24"/>
        </w:rPr>
        <w:t>S-Et</w:t>
      </w:r>
      <w:r w:rsidR="0076379E" w:rsidRPr="0076379E">
        <w:rPr>
          <w:rFonts w:ascii="Times New Roman" w:hAnsi="Times New Roman" w:cs="Times New Roman"/>
          <w:sz w:val="24"/>
          <w:szCs w:val="24"/>
          <w:vertAlign w:val="subscript"/>
        </w:rPr>
        <w:t>3</w:t>
      </w:r>
      <w:r w:rsidR="0076379E">
        <w:rPr>
          <w:rFonts w:ascii="Times New Roman" w:hAnsi="Times New Roman" w:cs="Times New Roman"/>
          <w:sz w:val="24"/>
          <w:szCs w:val="24"/>
        </w:rPr>
        <w:t>N</w:t>
      </w:r>
      <w:r w:rsidR="00EF63B0" w:rsidRPr="00A505AF">
        <w:rPr>
          <w:rFonts w:ascii="Times New Roman" w:hAnsi="Times New Roman" w:cs="Times New Roman"/>
          <w:sz w:val="24"/>
          <w:szCs w:val="24"/>
        </w:rPr>
        <w:t xml:space="preserve"> when using 2.4 </w:t>
      </w:r>
      <w:r w:rsidR="0022292E">
        <w:rPr>
          <w:rFonts w:ascii="Times New Roman" w:hAnsi="Times New Roman" w:cs="Times New Roman"/>
          <w:sz w:val="24"/>
          <w:szCs w:val="24"/>
        </w:rPr>
        <w:t>mol eq.</w:t>
      </w:r>
      <w:r w:rsidR="00EF63B0" w:rsidRPr="00A505AF">
        <w:rPr>
          <w:rFonts w:ascii="Times New Roman" w:hAnsi="Times New Roman" w:cs="Times New Roman"/>
          <w:sz w:val="24"/>
          <w:szCs w:val="24"/>
        </w:rPr>
        <w:t xml:space="preserve"> of glycidol relative to FDME 0.27 M in </w:t>
      </w:r>
      <w:r w:rsidR="009D6A68">
        <w:rPr>
          <w:rFonts w:ascii="Times New Roman" w:hAnsi="Times New Roman" w:cs="Times New Roman"/>
          <w:sz w:val="24"/>
          <w:szCs w:val="24"/>
        </w:rPr>
        <w:t>2-</w:t>
      </w:r>
      <w:r w:rsidR="00EF63B0" w:rsidRPr="00A505AF">
        <w:rPr>
          <w:rFonts w:ascii="Times New Roman" w:hAnsi="Times New Roman" w:cs="Times New Roman"/>
          <w:sz w:val="24"/>
          <w:szCs w:val="24"/>
        </w:rPr>
        <w:t>MeTHF at 60</w:t>
      </w:r>
      <w:r w:rsidR="0076379E">
        <w:rPr>
          <w:rFonts w:ascii="Times New Roman" w:hAnsi="Times New Roman" w:cs="Times New Roman"/>
          <w:sz w:val="24"/>
          <w:szCs w:val="24"/>
        </w:rPr>
        <w:t xml:space="preserve"> </w:t>
      </w:r>
      <w:r w:rsidR="00EF63B0" w:rsidRPr="00A505AF">
        <w:rPr>
          <w:rFonts w:ascii="Times New Roman" w:hAnsi="Times New Roman" w:cs="Times New Roman"/>
          <w:sz w:val="24"/>
          <w:szCs w:val="24"/>
        </w:rPr>
        <w:t xml:space="preserve">°C for 5 hours, </w:t>
      </w:r>
      <w:r w:rsidR="00EF63B0" w:rsidRPr="00E865F3">
        <w:rPr>
          <w:rFonts w:ascii="Times New Roman" w:hAnsi="Times New Roman" w:cs="Times New Roman"/>
          <w:sz w:val="24"/>
          <w:szCs w:val="24"/>
        </w:rPr>
        <w:t xml:space="preserve">the </w:t>
      </w:r>
      <w:r w:rsidR="00E44371" w:rsidRPr="00E865F3">
        <w:rPr>
          <w:rFonts w:ascii="Times New Roman" w:hAnsi="Times New Roman" w:cs="Times New Roman"/>
          <w:sz w:val="24"/>
          <w:szCs w:val="24"/>
        </w:rPr>
        <w:t>yield</w:t>
      </w:r>
      <w:r w:rsidR="00EF63B0" w:rsidRPr="00E865F3">
        <w:rPr>
          <w:rFonts w:ascii="Times New Roman" w:hAnsi="Times New Roman" w:cs="Times New Roman"/>
          <w:sz w:val="24"/>
          <w:szCs w:val="24"/>
        </w:rPr>
        <w:t xml:space="preserve"> reached only 18% for </w:t>
      </w:r>
      <w:r w:rsidR="009D6A68" w:rsidRPr="00E865F3">
        <w:rPr>
          <w:rFonts w:ascii="Times New Roman" w:hAnsi="Times New Roman" w:cs="Times New Roman"/>
          <w:sz w:val="24"/>
          <w:szCs w:val="24"/>
        </w:rPr>
        <w:t>DGF</w:t>
      </w:r>
      <w:r w:rsidR="00EF63B0" w:rsidRPr="00E865F3">
        <w:rPr>
          <w:rFonts w:ascii="Times New Roman" w:hAnsi="Times New Roman" w:cs="Times New Roman"/>
          <w:sz w:val="24"/>
          <w:szCs w:val="24"/>
        </w:rPr>
        <w:t xml:space="preserve"> </w:t>
      </w:r>
      <w:r w:rsidR="009D6A68" w:rsidRPr="00E865F3">
        <w:rPr>
          <w:rFonts w:ascii="Times New Roman" w:hAnsi="Times New Roman" w:cs="Times New Roman"/>
          <w:sz w:val="24"/>
          <w:szCs w:val="24"/>
        </w:rPr>
        <w:t>(#1, Table 3)</w:t>
      </w:r>
      <w:r w:rsidR="00EF63B0" w:rsidRPr="00E865F3">
        <w:rPr>
          <w:rFonts w:ascii="Times New Roman" w:hAnsi="Times New Roman" w:cs="Times New Roman"/>
          <w:sz w:val="24"/>
          <w:szCs w:val="24"/>
        </w:rPr>
        <w:t>. I</w:t>
      </w:r>
      <w:r w:rsidR="00EF63B0" w:rsidRPr="00D806AB">
        <w:rPr>
          <w:rFonts w:ascii="Times New Roman" w:hAnsi="Times New Roman" w:cs="Times New Roman"/>
          <w:sz w:val="24"/>
          <w:szCs w:val="24"/>
        </w:rPr>
        <w:t>ncreasing the</w:t>
      </w:r>
      <w:r w:rsidR="00EF63B0" w:rsidRPr="00A505AF">
        <w:rPr>
          <w:rFonts w:ascii="Times New Roman" w:hAnsi="Times New Roman" w:cs="Times New Roman"/>
          <w:sz w:val="24"/>
          <w:szCs w:val="24"/>
        </w:rPr>
        <w:t xml:space="preserve"> glycidol/FDME ratio led to slight improvements, with </w:t>
      </w:r>
      <w:r w:rsidR="00353B19">
        <w:rPr>
          <w:rFonts w:ascii="Times New Roman" w:hAnsi="Times New Roman" w:cs="Times New Roman"/>
          <w:sz w:val="24"/>
          <w:szCs w:val="24"/>
        </w:rPr>
        <w:t xml:space="preserve">DGF </w:t>
      </w:r>
      <w:r w:rsidR="00EF63B0" w:rsidRPr="00DE3443">
        <w:rPr>
          <w:rFonts w:ascii="Times New Roman" w:hAnsi="Times New Roman" w:cs="Times New Roman"/>
          <w:sz w:val="24"/>
          <w:szCs w:val="24"/>
        </w:rPr>
        <w:t xml:space="preserve">yields </w:t>
      </w:r>
      <w:r w:rsidR="00EF63B0" w:rsidRPr="00370B37">
        <w:rPr>
          <w:rFonts w:ascii="Times New Roman" w:hAnsi="Times New Roman" w:cs="Times New Roman"/>
          <w:sz w:val="24"/>
          <w:szCs w:val="24"/>
        </w:rPr>
        <w:t>reaching 27%</w:t>
      </w:r>
      <w:r w:rsidR="00AE68DE" w:rsidRPr="00370B37">
        <w:rPr>
          <w:rFonts w:ascii="Times New Roman" w:hAnsi="Times New Roman" w:cs="Times New Roman"/>
          <w:sz w:val="24"/>
          <w:szCs w:val="24"/>
        </w:rPr>
        <w:t xml:space="preserve"> (#2, Table 3)</w:t>
      </w:r>
      <w:r w:rsidR="00EF63B0" w:rsidRPr="00370B37">
        <w:rPr>
          <w:rFonts w:ascii="Times New Roman" w:hAnsi="Times New Roman" w:cs="Times New Roman"/>
          <w:sz w:val="24"/>
          <w:szCs w:val="24"/>
        </w:rPr>
        <w:t>.</w:t>
      </w:r>
      <w:r w:rsidR="00EF63B0" w:rsidRPr="00A505AF">
        <w:rPr>
          <w:rFonts w:ascii="Times New Roman" w:hAnsi="Times New Roman" w:cs="Times New Roman"/>
          <w:sz w:val="24"/>
          <w:szCs w:val="24"/>
        </w:rPr>
        <w:t xml:space="preserve"> </w:t>
      </w:r>
      <w:r w:rsidR="001A5806">
        <w:rPr>
          <w:rFonts w:ascii="Times New Roman" w:hAnsi="Times New Roman" w:cs="Times New Roman"/>
          <w:sz w:val="24"/>
          <w:szCs w:val="24"/>
        </w:rPr>
        <w:t>Besides</w:t>
      </w:r>
      <w:r w:rsidR="00EF63B0" w:rsidRPr="00A505AF">
        <w:rPr>
          <w:rFonts w:ascii="Times New Roman" w:hAnsi="Times New Roman" w:cs="Times New Roman"/>
          <w:sz w:val="24"/>
          <w:szCs w:val="24"/>
        </w:rPr>
        <w:t xml:space="preserve">, </w:t>
      </w:r>
      <w:r w:rsidR="001A5806">
        <w:rPr>
          <w:rFonts w:ascii="Times New Roman" w:hAnsi="Times New Roman" w:cs="Times New Roman"/>
          <w:sz w:val="24"/>
          <w:szCs w:val="24"/>
        </w:rPr>
        <w:t xml:space="preserve">when the transesterification was conducted using </w:t>
      </w:r>
      <w:r w:rsidR="00EF63B0" w:rsidRPr="00A505AF">
        <w:rPr>
          <w:rFonts w:ascii="Times New Roman" w:hAnsi="Times New Roman" w:cs="Times New Roman"/>
          <w:sz w:val="24"/>
          <w:szCs w:val="24"/>
        </w:rPr>
        <w:t xml:space="preserve">the supported pyrrolidine </w:t>
      </w:r>
      <w:r w:rsidR="00EF63B0" w:rsidRPr="00871AEF">
        <w:rPr>
          <w:rFonts w:ascii="Times New Roman" w:hAnsi="Times New Roman" w:cs="Times New Roman"/>
          <w:sz w:val="24"/>
          <w:szCs w:val="24"/>
        </w:rPr>
        <w:t xml:space="preserve">derivative, the yield </w:t>
      </w:r>
      <w:r w:rsidR="00353B19" w:rsidRPr="00871AEF">
        <w:rPr>
          <w:rFonts w:ascii="Times New Roman" w:hAnsi="Times New Roman" w:cs="Times New Roman"/>
          <w:sz w:val="24"/>
          <w:szCs w:val="24"/>
        </w:rPr>
        <w:t>was</w:t>
      </w:r>
      <w:r w:rsidR="00353B19" w:rsidRPr="00A505AF">
        <w:rPr>
          <w:rFonts w:ascii="Times New Roman" w:hAnsi="Times New Roman" w:cs="Times New Roman"/>
          <w:sz w:val="24"/>
          <w:szCs w:val="24"/>
        </w:rPr>
        <w:t xml:space="preserve"> </w:t>
      </w:r>
      <w:r w:rsidR="00EF63B0" w:rsidRPr="00A505AF">
        <w:rPr>
          <w:rFonts w:ascii="Times New Roman" w:hAnsi="Times New Roman" w:cs="Times New Roman"/>
          <w:sz w:val="24"/>
          <w:szCs w:val="24"/>
        </w:rPr>
        <w:t xml:space="preserve">only 4% </w:t>
      </w:r>
      <w:r w:rsidR="00353B19">
        <w:rPr>
          <w:rFonts w:ascii="Times New Roman" w:hAnsi="Times New Roman" w:cs="Times New Roman"/>
          <w:sz w:val="24"/>
          <w:szCs w:val="24"/>
        </w:rPr>
        <w:t>with an almost total selectivity towards MGF (#3, Table 3).</w:t>
      </w:r>
      <w:r w:rsidR="00EF63B0" w:rsidRPr="00A505AF">
        <w:rPr>
          <w:rFonts w:ascii="Times New Roman" w:hAnsi="Times New Roman" w:cs="Times New Roman"/>
          <w:sz w:val="24"/>
          <w:szCs w:val="24"/>
        </w:rPr>
        <w:t xml:space="preserve"> </w:t>
      </w:r>
    </w:p>
    <w:p w14:paraId="44A47E2F" w14:textId="4CB4BFEB" w:rsidR="003A739D" w:rsidRPr="008D70F7" w:rsidRDefault="003A739D" w:rsidP="003A739D">
      <w:pPr>
        <w:pStyle w:val="Didascalia"/>
        <w:keepNext/>
        <w:rPr>
          <w:rFonts w:ascii="Times New Roman" w:hAnsi="Times New Roman" w:cs="Times New Roman"/>
          <w:i w:val="0"/>
          <w:iCs w:val="0"/>
          <w:color w:val="auto"/>
        </w:rPr>
      </w:pPr>
      <w:r w:rsidRPr="008D70F7">
        <w:rPr>
          <w:rFonts w:ascii="Times New Roman" w:hAnsi="Times New Roman" w:cs="Times New Roman"/>
          <w:b/>
          <w:bCs/>
          <w:i w:val="0"/>
          <w:iCs w:val="0"/>
          <w:color w:val="auto"/>
        </w:rPr>
        <w:t xml:space="preserve">Table </w:t>
      </w:r>
      <w:r w:rsidR="00BE12C4" w:rsidRPr="008D70F7">
        <w:rPr>
          <w:rFonts w:ascii="Times New Roman" w:hAnsi="Times New Roman" w:cs="Times New Roman"/>
          <w:b/>
          <w:bCs/>
          <w:i w:val="0"/>
          <w:iCs w:val="0"/>
          <w:color w:val="auto"/>
        </w:rPr>
        <w:t>3</w:t>
      </w:r>
      <w:r w:rsidRPr="008D70F7">
        <w:rPr>
          <w:rFonts w:ascii="Times New Roman" w:hAnsi="Times New Roman" w:cs="Times New Roman"/>
          <w:b/>
          <w:bCs/>
          <w:i w:val="0"/>
          <w:iCs w:val="0"/>
          <w:color w:val="auto"/>
        </w:rPr>
        <w:t>-</w:t>
      </w:r>
      <w:r w:rsidRPr="008D70F7">
        <w:rPr>
          <w:rFonts w:ascii="Times New Roman" w:hAnsi="Times New Roman" w:cs="Times New Roman"/>
          <w:i w:val="0"/>
          <w:iCs w:val="0"/>
          <w:color w:val="auto"/>
        </w:rPr>
        <w:t xml:space="preserve"> DGF</w:t>
      </w:r>
      <w:r w:rsidR="00BE12C4" w:rsidRPr="008D70F7">
        <w:rPr>
          <w:rFonts w:ascii="Times New Roman" w:hAnsi="Times New Roman" w:cs="Times New Roman"/>
          <w:i w:val="0"/>
          <w:iCs w:val="0"/>
          <w:color w:val="auto"/>
        </w:rPr>
        <w:t xml:space="preserve"> employing supported bases</w:t>
      </w:r>
    </w:p>
    <w:tbl>
      <w:tblPr>
        <w:tblW w:w="0" w:type="auto"/>
        <w:jc w:val="center"/>
        <w:tblLayout w:type="fixed"/>
        <w:tblLook w:val="04A0" w:firstRow="1" w:lastRow="0" w:firstColumn="1" w:lastColumn="0" w:noHBand="0" w:noVBand="1"/>
      </w:tblPr>
      <w:tblGrid>
        <w:gridCol w:w="316"/>
        <w:gridCol w:w="1411"/>
        <w:gridCol w:w="799"/>
        <w:gridCol w:w="972"/>
        <w:gridCol w:w="722"/>
        <w:gridCol w:w="714"/>
        <w:gridCol w:w="763"/>
        <w:gridCol w:w="1144"/>
      </w:tblGrid>
      <w:tr w:rsidR="003A739D" w:rsidRPr="00761582" w14:paraId="46032469" w14:textId="77777777" w:rsidTr="00F45965">
        <w:trPr>
          <w:trHeight w:val="449"/>
          <w:jc w:val="center"/>
        </w:trPr>
        <w:tc>
          <w:tcPr>
            <w:tcW w:w="316" w:type="dxa"/>
            <w:vMerge w:val="restart"/>
            <w:tcBorders>
              <w:top w:val="thinThickSmallGap" w:sz="24" w:space="0" w:color="auto"/>
              <w:bottom w:val="single" w:sz="8" w:space="0" w:color="BFBFBF"/>
            </w:tcBorders>
            <w:shd w:val="clear" w:color="auto" w:fill="auto"/>
            <w:noWrap/>
            <w:vAlign w:val="center"/>
            <w:hideMark/>
          </w:tcPr>
          <w:p w14:paraId="7589A0F2" w14:textId="77777777" w:rsidR="003A739D" w:rsidRPr="00935CCA" w:rsidRDefault="003A739D" w:rsidP="00F50B14">
            <w:pPr>
              <w:spacing w:after="0" w:line="240" w:lineRule="auto"/>
              <w:jc w:val="center"/>
              <w:rPr>
                <w:rFonts w:ascii="Times New Roman" w:eastAsia="Times New Roman" w:hAnsi="Times New Roman" w:cs="Times New Roman"/>
                <w:b/>
                <w:bCs/>
                <w:color w:val="000000"/>
                <w:sz w:val="20"/>
                <w:szCs w:val="20"/>
                <w14:ligatures w14:val="none"/>
              </w:rPr>
            </w:pPr>
            <w:r w:rsidRPr="00935CCA">
              <w:rPr>
                <w:rFonts w:ascii="Times New Roman" w:eastAsia="Times New Roman" w:hAnsi="Times New Roman" w:cs="Times New Roman"/>
                <w:b/>
                <w:bCs/>
                <w:color w:val="000000"/>
                <w:sz w:val="20"/>
                <w:szCs w:val="20"/>
                <w14:ligatures w14:val="none"/>
              </w:rPr>
              <w:t>#</w:t>
            </w:r>
          </w:p>
        </w:tc>
        <w:tc>
          <w:tcPr>
            <w:tcW w:w="1411" w:type="dxa"/>
            <w:vMerge w:val="restart"/>
            <w:tcBorders>
              <w:top w:val="thinThickSmallGap" w:sz="24" w:space="0" w:color="auto"/>
              <w:left w:val="nil"/>
            </w:tcBorders>
            <w:shd w:val="clear" w:color="auto" w:fill="auto"/>
            <w:noWrap/>
            <w:vAlign w:val="center"/>
            <w:hideMark/>
          </w:tcPr>
          <w:p w14:paraId="3BF055E1" w14:textId="77777777" w:rsidR="003A739D" w:rsidRPr="00935CCA" w:rsidRDefault="003A739D" w:rsidP="00F50B14">
            <w:pPr>
              <w:spacing w:after="0" w:line="240" w:lineRule="auto"/>
              <w:jc w:val="center"/>
              <w:rPr>
                <w:rFonts w:ascii="Times New Roman" w:eastAsia="Times New Roman" w:hAnsi="Times New Roman" w:cs="Times New Roman"/>
                <w:b/>
                <w:bCs/>
                <w:color w:val="000000"/>
                <w:sz w:val="20"/>
                <w:szCs w:val="20"/>
                <w14:ligatures w14:val="none"/>
              </w:rPr>
            </w:pPr>
            <w:r w:rsidRPr="00935CCA">
              <w:rPr>
                <w:rFonts w:ascii="Times New Roman" w:eastAsia="Times New Roman" w:hAnsi="Times New Roman" w:cs="Times New Roman"/>
                <w:b/>
                <w:bCs/>
                <w:color w:val="000000"/>
                <w:sz w:val="20"/>
                <w:szCs w:val="20"/>
                <w14:ligatures w14:val="none"/>
              </w:rPr>
              <w:t>Cat.</w:t>
            </w:r>
          </w:p>
          <w:p w14:paraId="0E1B7D38" w14:textId="77777777" w:rsidR="003A739D" w:rsidRPr="00935CCA" w:rsidRDefault="003A739D" w:rsidP="00F50B14">
            <w:pPr>
              <w:spacing w:after="0" w:line="240" w:lineRule="auto"/>
              <w:jc w:val="center"/>
              <w:rPr>
                <w:rFonts w:ascii="Times New Roman" w:eastAsia="Times New Roman" w:hAnsi="Times New Roman" w:cs="Times New Roman"/>
                <w:b/>
                <w:bCs/>
                <w:color w:val="000000"/>
                <w:sz w:val="20"/>
                <w:szCs w:val="20"/>
                <w14:ligatures w14:val="none"/>
              </w:rPr>
            </w:pPr>
            <w:r w:rsidRPr="00761582">
              <w:rPr>
                <w:rFonts w:ascii="Times New Roman" w:eastAsia="Times New Roman" w:hAnsi="Times New Roman" w:cs="Times New Roman"/>
                <w:b/>
                <w:bCs/>
                <w:color w:val="000000"/>
                <w:sz w:val="20"/>
                <w:szCs w:val="20"/>
                <w14:ligatures w14:val="none"/>
              </w:rPr>
              <w:t>(% mol)</w:t>
            </w:r>
          </w:p>
        </w:tc>
        <w:tc>
          <w:tcPr>
            <w:tcW w:w="799" w:type="dxa"/>
            <w:vMerge w:val="restart"/>
            <w:tcBorders>
              <w:top w:val="thinThickSmallGap" w:sz="24" w:space="0" w:color="auto"/>
              <w:left w:val="nil"/>
            </w:tcBorders>
            <w:shd w:val="clear" w:color="auto" w:fill="auto"/>
            <w:vAlign w:val="center"/>
            <w:hideMark/>
          </w:tcPr>
          <w:p w14:paraId="4F9F9713" w14:textId="77777777" w:rsidR="003A739D" w:rsidRPr="00935CCA" w:rsidRDefault="003A739D" w:rsidP="00F50B14">
            <w:pPr>
              <w:spacing w:after="0" w:line="240" w:lineRule="auto"/>
              <w:jc w:val="center"/>
              <w:rPr>
                <w:rFonts w:ascii="Times New Roman" w:eastAsia="Times New Roman" w:hAnsi="Times New Roman" w:cs="Times New Roman"/>
                <w:b/>
                <w:bCs/>
                <w:color w:val="000000"/>
                <w:sz w:val="20"/>
                <w:szCs w:val="20"/>
                <w14:ligatures w14:val="none"/>
              </w:rPr>
            </w:pPr>
            <w:r w:rsidRPr="00935CCA">
              <w:rPr>
                <w:rFonts w:ascii="Times New Roman" w:eastAsia="Times New Roman" w:hAnsi="Times New Roman" w:cs="Times New Roman"/>
                <w:b/>
                <w:bCs/>
                <w:color w:val="000000"/>
                <w:sz w:val="20"/>
                <w:szCs w:val="20"/>
                <w14:ligatures w14:val="none"/>
              </w:rPr>
              <w:t>Conc</w:t>
            </w:r>
          </w:p>
          <w:p w14:paraId="3873838D" w14:textId="138AA94D" w:rsidR="003A739D" w:rsidRPr="00935CCA" w:rsidRDefault="003A739D" w:rsidP="00F50B14">
            <w:pPr>
              <w:spacing w:after="0" w:line="240" w:lineRule="auto"/>
              <w:jc w:val="center"/>
              <w:rPr>
                <w:rFonts w:ascii="Times New Roman" w:eastAsia="Times New Roman" w:hAnsi="Times New Roman" w:cs="Times New Roman"/>
                <w:b/>
                <w:bCs/>
                <w:color w:val="000000"/>
                <w:sz w:val="20"/>
                <w:szCs w:val="20"/>
                <w14:ligatures w14:val="none"/>
              </w:rPr>
            </w:pPr>
            <w:r w:rsidRPr="00935CCA">
              <w:rPr>
                <w:rFonts w:ascii="Times New Roman" w:eastAsia="Times New Roman" w:hAnsi="Times New Roman" w:cs="Times New Roman"/>
                <w:b/>
                <w:bCs/>
                <w:color w:val="000000"/>
                <w:sz w:val="20"/>
                <w:szCs w:val="20"/>
                <w14:ligatures w14:val="none"/>
              </w:rPr>
              <w:t>(M)</w:t>
            </w:r>
          </w:p>
        </w:tc>
        <w:tc>
          <w:tcPr>
            <w:tcW w:w="972" w:type="dxa"/>
            <w:vMerge w:val="restart"/>
            <w:tcBorders>
              <w:top w:val="thinThickSmallGap" w:sz="24" w:space="0" w:color="auto"/>
              <w:left w:val="nil"/>
            </w:tcBorders>
            <w:shd w:val="clear" w:color="auto" w:fill="auto"/>
            <w:noWrap/>
            <w:vAlign w:val="center"/>
            <w:hideMark/>
          </w:tcPr>
          <w:p w14:paraId="428A9549" w14:textId="77777777" w:rsidR="003A739D" w:rsidRPr="00935CCA" w:rsidRDefault="003A739D" w:rsidP="00F50B14">
            <w:pPr>
              <w:spacing w:after="0" w:line="240" w:lineRule="auto"/>
              <w:jc w:val="center"/>
              <w:rPr>
                <w:rFonts w:ascii="Times New Roman" w:eastAsia="Times New Roman" w:hAnsi="Times New Roman" w:cs="Times New Roman"/>
                <w:b/>
                <w:bCs/>
                <w:color w:val="000000"/>
                <w:sz w:val="20"/>
                <w:szCs w:val="20"/>
                <w14:ligatures w14:val="none"/>
              </w:rPr>
            </w:pPr>
            <w:r w:rsidRPr="00935CCA">
              <w:rPr>
                <w:rFonts w:ascii="Times New Roman" w:eastAsia="Times New Roman" w:hAnsi="Times New Roman" w:cs="Times New Roman"/>
                <w:b/>
                <w:bCs/>
                <w:color w:val="000000"/>
                <w:sz w:val="20"/>
                <w:szCs w:val="20"/>
                <w14:ligatures w14:val="none"/>
              </w:rPr>
              <w:t>Glycidol</w:t>
            </w:r>
          </w:p>
          <w:p w14:paraId="598DDBEC" w14:textId="77777777" w:rsidR="003A739D" w:rsidRPr="00935CCA" w:rsidRDefault="003A739D" w:rsidP="00F50B14">
            <w:pPr>
              <w:spacing w:after="0" w:line="240" w:lineRule="auto"/>
              <w:jc w:val="center"/>
              <w:rPr>
                <w:rFonts w:ascii="Times New Roman" w:eastAsia="Times New Roman" w:hAnsi="Times New Roman" w:cs="Times New Roman"/>
                <w:b/>
                <w:bCs/>
                <w:color w:val="000000"/>
                <w:sz w:val="20"/>
                <w:szCs w:val="20"/>
                <w14:ligatures w14:val="none"/>
              </w:rPr>
            </w:pPr>
            <w:r w:rsidRPr="00935CCA">
              <w:rPr>
                <w:rFonts w:ascii="Times New Roman" w:eastAsia="Times New Roman" w:hAnsi="Times New Roman" w:cs="Times New Roman"/>
                <w:b/>
                <w:bCs/>
                <w:color w:val="000000"/>
                <w:sz w:val="20"/>
                <w:szCs w:val="20"/>
                <w14:ligatures w14:val="none"/>
              </w:rPr>
              <w:t>(mol eq.)</w:t>
            </w:r>
          </w:p>
        </w:tc>
        <w:tc>
          <w:tcPr>
            <w:tcW w:w="722" w:type="dxa"/>
            <w:vMerge w:val="restart"/>
            <w:tcBorders>
              <w:top w:val="thinThickSmallGap" w:sz="24" w:space="0" w:color="auto"/>
              <w:left w:val="nil"/>
            </w:tcBorders>
            <w:shd w:val="clear" w:color="auto" w:fill="auto"/>
            <w:noWrap/>
            <w:vAlign w:val="center"/>
            <w:hideMark/>
          </w:tcPr>
          <w:p w14:paraId="323AD4BC" w14:textId="77777777" w:rsidR="003A739D" w:rsidRPr="00935CCA" w:rsidRDefault="003A739D" w:rsidP="00F50B14">
            <w:pPr>
              <w:spacing w:after="0" w:line="240" w:lineRule="auto"/>
              <w:jc w:val="center"/>
              <w:rPr>
                <w:rFonts w:ascii="Times New Roman" w:eastAsia="Times New Roman" w:hAnsi="Times New Roman" w:cs="Times New Roman"/>
                <w:b/>
                <w:bCs/>
                <w:color w:val="000000"/>
                <w:sz w:val="20"/>
                <w:szCs w:val="20"/>
                <w14:ligatures w14:val="none"/>
              </w:rPr>
            </w:pPr>
            <w:r w:rsidRPr="00935CCA">
              <w:rPr>
                <w:rFonts w:ascii="Times New Roman" w:eastAsia="Times New Roman" w:hAnsi="Times New Roman" w:cs="Times New Roman"/>
                <w:b/>
                <w:bCs/>
                <w:color w:val="000000"/>
                <w:sz w:val="20"/>
                <w:szCs w:val="20"/>
                <w14:ligatures w14:val="none"/>
              </w:rPr>
              <w:t>Conv.</w:t>
            </w:r>
          </w:p>
          <w:p w14:paraId="16000EA2" w14:textId="77777777" w:rsidR="003A739D" w:rsidRPr="00935CCA" w:rsidRDefault="003A739D" w:rsidP="00F50B14">
            <w:pPr>
              <w:spacing w:after="0" w:line="240" w:lineRule="auto"/>
              <w:jc w:val="center"/>
              <w:rPr>
                <w:rFonts w:ascii="Times New Roman" w:eastAsia="Times New Roman" w:hAnsi="Times New Roman" w:cs="Times New Roman"/>
                <w:b/>
                <w:bCs/>
                <w:color w:val="000000"/>
                <w:sz w:val="20"/>
                <w:szCs w:val="20"/>
                <w14:ligatures w14:val="none"/>
              </w:rPr>
            </w:pPr>
            <w:r w:rsidRPr="00935CCA">
              <w:rPr>
                <w:rFonts w:ascii="Times New Roman" w:eastAsia="Times New Roman" w:hAnsi="Times New Roman" w:cs="Times New Roman"/>
                <w:b/>
                <w:bCs/>
                <w:color w:val="000000"/>
                <w:sz w:val="20"/>
                <w:szCs w:val="20"/>
                <w14:ligatures w14:val="none"/>
              </w:rPr>
              <w:t>(%)</w:t>
            </w:r>
          </w:p>
        </w:tc>
        <w:tc>
          <w:tcPr>
            <w:tcW w:w="1477" w:type="dxa"/>
            <w:gridSpan w:val="2"/>
            <w:tcBorders>
              <w:top w:val="thinThickSmallGap" w:sz="24" w:space="0" w:color="auto"/>
              <w:left w:val="nil"/>
              <w:bottom w:val="single" w:sz="4" w:space="0" w:color="ADADAD" w:themeColor="background2" w:themeShade="BF"/>
            </w:tcBorders>
            <w:shd w:val="clear" w:color="auto" w:fill="auto"/>
            <w:noWrap/>
            <w:vAlign w:val="center"/>
            <w:hideMark/>
          </w:tcPr>
          <w:p w14:paraId="1B3E2AA1" w14:textId="77777777" w:rsidR="003A739D" w:rsidRPr="00935CCA" w:rsidRDefault="003A739D" w:rsidP="00F50B14">
            <w:pPr>
              <w:spacing w:after="0" w:line="240" w:lineRule="auto"/>
              <w:jc w:val="center"/>
              <w:rPr>
                <w:rFonts w:ascii="Times New Roman" w:eastAsia="Times New Roman" w:hAnsi="Times New Roman" w:cs="Times New Roman"/>
                <w:b/>
                <w:bCs/>
                <w:color w:val="000000"/>
                <w:sz w:val="20"/>
                <w:szCs w:val="20"/>
                <w14:ligatures w14:val="none"/>
              </w:rPr>
            </w:pPr>
            <w:r w:rsidRPr="00935CCA">
              <w:rPr>
                <w:rFonts w:ascii="Times New Roman" w:eastAsia="Times New Roman" w:hAnsi="Times New Roman" w:cs="Times New Roman"/>
                <w:b/>
                <w:bCs/>
                <w:color w:val="000000"/>
                <w:sz w:val="20"/>
                <w:szCs w:val="20"/>
                <w14:ligatures w14:val="none"/>
              </w:rPr>
              <w:t>Selectivity (%)</w:t>
            </w:r>
          </w:p>
        </w:tc>
        <w:tc>
          <w:tcPr>
            <w:tcW w:w="1144" w:type="dxa"/>
            <w:vMerge w:val="restart"/>
            <w:tcBorders>
              <w:top w:val="thinThickSmallGap" w:sz="24" w:space="0" w:color="auto"/>
              <w:left w:val="nil"/>
            </w:tcBorders>
            <w:shd w:val="clear" w:color="auto" w:fill="auto"/>
            <w:vAlign w:val="center"/>
            <w:hideMark/>
          </w:tcPr>
          <w:p w14:paraId="3AF62ACB" w14:textId="02163BEC" w:rsidR="003A739D" w:rsidRPr="00935CCA" w:rsidRDefault="003A739D" w:rsidP="00F50B14">
            <w:pPr>
              <w:spacing w:after="0" w:line="240" w:lineRule="auto"/>
              <w:jc w:val="center"/>
              <w:rPr>
                <w:rFonts w:ascii="Times New Roman" w:eastAsia="Times New Roman" w:hAnsi="Times New Roman" w:cs="Times New Roman"/>
                <w:b/>
                <w:bCs/>
                <w:color w:val="000000"/>
                <w:sz w:val="20"/>
                <w:szCs w:val="20"/>
                <w14:ligatures w14:val="none"/>
              </w:rPr>
            </w:pPr>
            <w:r w:rsidRPr="00935CCA">
              <w:rPr>
                <w:rFonts w:ascii="Times New Roman" w:eastAsia="Times New Roman" w:hAnsi="Times New Roman" w:cs="Times New Roman"/>
                <w:b/>
                <w:bCs/>
                <w:color w:val="000000"/>
                <w:sz w:val="20"/>
                <w:szCs w:val="20"/>
                <w14:ligatures w14:val="none"/>
              </w:rPr>
              <w:t>DGF Yield</w:t>
            </w:r>
          </w:p>
          <w:p w14:paraId="10D49274" w14:textId="77777777" w:rsidR="003A739D" w:rsidRPr="00935CCA" w:rsidRDefault="003A739D" w:rsidP="00F50B14">
            <w:pPr>
              <w:spacing w:after="0" w:line="240" w:lineRule="auto"/>
              <w:jc w:val="center"/>
              <w:rPr>
                <w:rFonts w:ascii="Times New Roman" w:eastAsia="Times New Roman" w:hAnsi="Times New Roman" w:cs="Times New Roman"/>
                <w:b/>
                <w:bCs/>
                <w:color w:val="000000"/>
                <w:sz w:val="20"/>
                <w:szCs w:val="20"/>
                <w14:ligatures w14:val="none"/>
              </w:rPr>
            </w:pPr>
            <w:r w:rsidRPr="00935CCA">
              <w:rPr>
                <w:rFonts w:ascii="Times New Roman" w:eastAsia="Times New Roman" w:hAnsi="Times New Roman" w:cs="Times New Roman"/>
                <w:b/>
                <w:bCs/>
                <w:color w:val="000000"/>
                <w:sz w:val="20"/>
                <w:szCs w:val="20"/>
                <w14:ligatures w14:val="none"/>
              </w:rPr>
              <w:t>(%)</w:t>
            </w:r>
          </w:p>
        </w:tc>
      </w:tr>
      <w:tr w:rsidR="003A739D" w:rsidRPr="00761582" w14:paraId="34C5AFF0" w14:textId="77777777" w:rsidTr="00F45965">
        <w:trPr>
          <w:trHeight w:val="35"/>
          <w:jc w:val="center"/>
        </w:trPr>
        <w:tc>
          <w:tcPr>
            <w:tcW w:w="316" w:type="dxa"/>
            <w:vMerge/>
            <w:tcBorders>
              <w:top w:val="single" w:sz="8" w:space="0" w:color="BFBFBF"/>
              <w:bottom w:val="single" w:sz="8" w:space="0" w:color="auto"/>
            </w:tcBorders>
            <w:vAlign w:val="center"/>
            <w:hideMark/>
          </w:tcPr>
          <w:p w14:paraId="0198B9CC" w14:textId="77777777" w:rsidR="003A739D" w:rsidRPr="00935CCA" w:rsidRDefault="003A739D" w:rsidP="00F50B14">
            <w:pPr>
              <w:spacing w:after="0" w:line="240" w:lineRule="auto"/>
              <w:jc w:val="center"/>
              <w:rPr>
                <w:rFonts w:ascii="Times New Roman" w:eastAsia="Times New Roman" w:hAnsi="Times New Roman" w:cs="Times New Roman"/>
                <w:b/>
                <w:bCs/>
                <w:color w:val="000000"/>
                <w:sz w:val="20"/>
                <w:szCs w:val="20"/>
                <w14:ligatures w14:val="none"/>
              </w:rPr>
            </w:pPr>
          </w:p>
        </w:tc>
        <w:tc>
          <w:tcPr>
            <w:tcW w:w="1411" w:type="dxa"/>
            <w:vMerge/>
            <w:tcBorders>
              <w:left w:val="nil"/>
              <w:bottom w:val="single" w:sz="8" w:space="0" w:color="auto"/>
            </w:tcBorders>
            <w:shd w:val="clear" w:color="auto" w:fill="auto"/>
            <w:noWrap/>
            <w:vAlign w:val="center"/>
            <w:hideMark/>
          </w:tcPr>
          <w:p w14:paraId="5B1C7EEE" w14:textId="77777777" w:rsidR="003A739D" w:rsidRPr="00935CCA" w:rsidRDefault="003A739D" w:rsidP="00F50B14">
            <w:pPr>
              <w:spacing w:after="0" w:line="240" w:lineRule="auto"/>
              <w:jc w:val="center"/>
              <w:rPr>
                <w:rFonts w:ascii="Times New Roman" w:eastAsia="Times New Roman" w:hAnsi="Times New Roman" w:cs="Times New Roman"/>
                <w:color w:val="000000"/>
                <w:sz w:val="20"/>
                <w:szCs w:val="20"/>
                <w14:ligatures w14:val="none"/>
              </w:rPr>
            </w:pPr>
          </w:p>
        </w:tc>
        <w:tc>
          <w:tcPr>
            <w:tcW w:w="799" w:type="dxa"/>
            <w:vMerge/>
            <w:tcBorders>
              <w:left w:val="nil"/>
              <w:bottom w:val="single" w:sz="8" w:space="0" w:color="auto"/>
            </w:tcBorders>
            <w:shd w:val="clear" w:color="auto" w:fill="auto"/>
            <w:vAlign w:val="center"/>
            <w:hideMark/>
          </w:tcPr>
          <w:p w14:paraId="6F3E56A9" w14:textId="77777777" w:rsidR="003A739D" w:rsidRPr="00935CCA" w:rsidRDefault="003A739D" w:rsidP="00F50B14">
            <w:pPr>
              <w:spacing w:after="0" w:line="240" w:lineRule="auto"/>
              <w:rPr>
                <w:rFonts w:ascii="Times New Roman" w:eastAsia="Times New Roman" w:hAnsi="Times New Roman" w:cs="Times New Roman"/>
                <w:color w:val="000000"/>
                <w:sz w:val="20"/>
                <w:szCs w:val="20"/>
                <w14:ligatures w14:val="none"/>
              </w:rPr>
            </w:pPr>
          </w:p>
        </w:tc>
        <w:tc>
          <w:tcPr>
            <w:tcW w:w="972" w:type="dxa"/>
            <w:vMerge/>
            <w:tcBorders>
              <w:left w:val="nil"/>
              <w:bottom w:val="single" w:sz="8" w:space="0" w:color="auto"/>
            </w:tcBorders>
            <w:shd w:val="clear" w:color="auto" w:fill="auto"/>
            <w:noWrap/>
            <w:vAlign w:val="center"/>
            <w:hideMark/>
          </w:tcPr>
          <w:p w14:paraId="458F93C5" w14:textId="77777777" w:rsidR="003A739D" w:rsidRPr="00935CCA" w:rsidRDefault="003A739D" w:rsidP="00F50B14">
            <w:pPr>
              <w:spacing w:after="0" w:line="240" w:lineRule="auto"/>
              <w:jc w:val="center"/>
              <w:rPr>
                <w:rFonts w:ascii="Times New Roman" w:eastAsia="Times New Roman" w:hAnsi="Times New Roman" w:cs="Times New Roman"/>
                <w:color w:val="000000"/>
                <w:sz w:val="20"/>
                <w:szCs w:val="20"/>
                <w14:ligatures w14:val="none"/>
              </w:rPr>
            </w:pPr>
          </w:p>
        </w:tc>
        <w:tc>
          <w:tcPr>
            <w:tcW w:w="722" w:type="dxa"/>
            <w:vMerge/>
            <w:tcBorders>
              <w:left w:val="nil"/>
              <w:bottom w:val="single" w:sz="8" w:space="0" w:color="auto"/>
            </w:tcBorders>
            <w:shd w:val="clear" w:color="auto" w:fill="auto"/>
            <w:noWrap/>
            <w:vAlign w:val="center"/>
            <w:hideMark/>
          </w:tcPr>
          <w:p w14:paraId="3024C881" w14:textId="77777777" w:rsidR="003A739D" w:rsidRPr="00935CCA" w:rsidRDefault="003A739D" w:rsidP="00F50B14">
            <w:pPr>
              <w:spacing w:after="0" w:line="240" w:lineRule="auto"/>
              <w:rPr>
                <w:rFonts w:ascii="Times New Roman" w:eastAsia="Times New Roman" w:hAnsi="Times New Roman" w:cs="Times New Roman"/>
                <w:color w:val="000000"/>
                <w:sz w:val="20"/>
                <w:szCs w:val="20"/>
                <w14:ligatures w14:val="none"/>
              </w:rPr>
            </w:pPr>
          </w:p>
        </w:tc>
        <w:tc>
          <w:tcPr>
            <w:tcW w:w="714" w:type="dxa"/>
            <w:tcBorders>
              <w:top w:val="single" w:sz="4" w:space="0" w:color="ADADAD" w:themeColor="background2" w:themeShade="BF"/>
              <w:left w:val="nil"/>
              <w:bottom w:val="single" w:sz="8" w:space="0" w:color="auto"/>
              <w:right w:val="single" w:sz="8" w:space="0" w:color="BFBFBF"/>
            </w:tcBorders>
            <w:shd w:val="clear" w:color="auto" w:fill="auto"/>
            <w:noWrap/>
            <w:vAlign w:val="center"/>
            <w:hideMark/>
          </w:tcPr>
          <w:p w14:paraId="0E2CD1D6" w14:textId="47EA4537" w:rsidR="003A739D" w:rsidRPr="00935CCA" w:rsidRDefault="003A739D" w:rsidP="00F50B14">
            <w:pPr>
              <w:spacing w:after="0" w:line="240" w:lineRule="auto"/>
              <w:jc w:val="center"/>
              <w:rPr>
                <w:rFonts w:ascii="Times New Roman" w:eastAsia="Times New Roman" w:hAnsi="Times New Roman" w:cs="Times New Roman"/>
                <w:b/>
                <w:bCs/>
                <w:color w:val="000000"/>
                <w:sz w:val="20"/>
                <w:szCs w:val="20"/>
                <w14:ligatures w14:val="none"/>
              </w:rPr>
            </w:pPr>
            <w:r w:rsidRPr="00935CCA">
              <w:rPr>
                <w:rFonts w:ascii="Times New Roman" w:eastAsia="Times New Roman" w:hAnsi="Times New Roman" w:cs="Times New Roman"/>
                <w:b/>
                <w:bCs/>
                <w:color w:val="000000"/>
                <w:sz w:val="20"/>
                <w:szCs w:val="20"/>
                <w14:ligatures w14:val="none"/>
              </w:rPr>
              <w:t xml:space="preserve">DGF </w:t>
            </w:r>
          </w:p>
        </w:tc>
        <w:tc>
          <w:tcPr>
            <w:tcW w:w="763" w:type="dxa"/>
            <w:tcBorders>
              <w:top w:val="single" w:sz="4" w:space="0" w:color="ADADAD" w:themeColor="background2" w:themeShade="BF"/>
              <w:left w:val="nil"/>
              <w:bottom w:val="single" w:sz="8" w:space="0" w:color="auto"/>
            </w:tcBorders>
            <w:shd w:val="clear" w:color="auto" w:fill="auto"/>
            <w:noWrap/>
            <w:vAlign w:val="center"/>
            <w:hideMark/>
          </w:tcPr>
          <w:p w14:paraId="687AB177" w14:textId="7954BB24" w:rsidR="003A739D" w:rsidRPr="00935CCA" w:rsidRDefault="003A739D" w:rsidP="00F50B14">
            <w:pPr>
              <w:spacing w:after="0" w:line="240" w:lineRule="auto"/>
              <w:jc w:val="center"/>
              <w:rPr>
                <w:rFonts w:ascii="Times New Roman" w:eastAsia="Times New Roman" w:hAnsi="Times New Roman" w:cs="Times New Roman"/>
                <w:b/>
                <w:bCs/>
                <w:color w:val="000000"/>
                <w:sz w:val="20"/>
                <w:szCs w:val="20"/>
                <w14:ligatures w14:val="none"/>
              </w:rPr>
            </w:pPr>
            <w:r w:rsidRPr="00935CCA">
              <w:rPr>
                <w:rFonts w:ascii="Times New Roman" w:eastAsia="Times New Roman" w:hAnsi="Times New Roman" w:cs="Times New Roman"/>
                <w:b/>
                <w:bCs/>
                <w:color w:val="000000"/>
                <w:sz w:val="20"/>
                <w:szCs w:val="20"/>
                <w14:ligatures w14:val="none"/>
              </w:rPr>
              <w:t xml:space="preserve">MGF </w:t>
            </w:r>
          </w:p>
        </w:tc>
        <w:tc>
          <w:tcPr>
            <w:tcW w:w="1144" w:type="dxa"/>
            <w:vMerge/>
            <w:tcBorders>
              <w:bottom w:val="single" w:sz="8" w:space="0" w:color="auto"/>
            </w:tcBorders>
            <w:shd w:val="clear" w:color="auto" w:fill="auto"/>
            <w:vAlign w:val="center"/>
            <w:hideMark/>
          </w:tcPr>
          <w:p w14:paraId="45F7214F" w14:textId="77777777" w:rsidR="003A739D" w:rsidRPr="00935CCA" w:rsidRDefault="003A739D" w:rsidP="00F50B14">
            <w:pPr>
              <w:spacing w:after="0" w:line="240" w:lineRule="auto"/>
              <w:jc w:val="center"/>
              <w:rPr>
                <w:rFonts w:ascii="Times New Roman" w:eastAsia="Times New Roman" w:hAnsi="Times New Roman" w:cs="Times New Roman"/>
                <w:color w:val="000000"/>
                <w:sz w:val="20"/>
                <w:szCs w:val="20"/>
                <w14:ligatures w14:val="none"/>
              </w:rPr>
            </w:pPr>
          </w:p>
        </w:tc>
      </w:tr>
      <w:tr w:rsidR="003A739D" w:rsidRPr="00761582" w14:paraId="18777A84" w14:textId="77777777" w:rsidTr="00F45965">
        <w:trPr>
          <w:trHeight w:val="300"/>
          <w:jc w:val="center"/>
        </w:trPr>
        <w:tc>
          <w:tcPr>
            <w:tcW w:w="316" w:type="dxa"/>
            <w:tcBorders>
              <w:top w:val="single" w:sz="8" w:space="0" w:color="auto"/>
            </w:tcBorders>
            <w:shd w:val="clear" w:color="auto" w:fill="auto"/>
            <w:noWrap/>
            <w:vAlign w:val="center"/>
            <w:hideMark/>
          </w:tcPr>
          <w:p w14:paraId="1EFB54AB" w14:textId="77777777" w:rsidR="003A739D" w:rsidRPr="00935CCA" w:rsidRDefault="003A739D" w:rsidP="00F50B14">
            <w:pPr>
              <w:spacing w:after="0" w:line="240" w:lineRule="auto"/>
              <w:jc w:val="center"/>
              <w:rPr>
                <w:rFonts w:ascii="Times New Roman" w:eastAsia="Times New Roman" w:hAnsi="Times New Roman" w:cs="Times New Roman"/>
                <w:color w:val="000000"/>
                <w:sz w:val="20"/>
                <w:szCs w:val="20"/>
                <w14:ligatures w14:val="none"/>
              </w:rPr>
            </w:pPr>
            <w:r w:rsidRPr="00935CCA">
              <w:rPr>
                <w:rFonts w:ascii="Times New Roman" w:eastAsia="Times New Roman" w:hAnsi="Times New Roman" w:cs="Times New Roman"/>
                <w:color w:val="000000"/>
                <w:sz w:val="20"/>
                <w:szCs w:val="20"/>
                <w14:ligatures w14:val="none"/>
              </w:rPr>
              <w:t>1</w:t>
            </w:r>
          </w:p>
        </w:tc>
        <w:tc>
          <w:tcPr>
            <w:tcW w:w="1411" w:type="dxa"/>
            <w:tcBorders>
              <w:top w:val="single" w:sz="8" w:space="0" w:color="auto"/>
              <w:left w:val="nil"/>
            </w:tcBorders>
            <w:shd w:val="clear" w:color="auto" w:fill="auto"/>
            <w:noWrap/>
            <w:vAlign w:val="center"/>
            <w:hideMark/>
          </w:tcPr>
          <w:p w14:paraId="2AEBECBA" w14:textId="52FD1232" w:rsidR="003A739D" w:rsidRPr="00935CCA" w:rsidRDefault="00BE12C4" w:rsidP="00F50B14">
            <w:pPr>
              <w:spacing w:after="0" w:line="240" w:lineRule="auto"/>
              <w:jc w:val="center"/>
              <w:rPr>
                <w:rFonts w:ascii="Times New Roman" w:eastAsia="Times New Roman" w:hAnsi="Times New Roman" w:cs="Times New Roman"/>
                <w:color w:val="000000"/>
                <w:sz w:val="20"/>
                <w:szCs w:val="20"/>
                <w14:ligatures w14:val="none"/>
              </w:rPr>
            </w:pPr>
            <w:r w:rsidRPr="00935CCA">
              <w:rPr>
                <w:rFonts w:ascii="Times New Roman" w:eastAsia="Times New Roman" w:hAnsi="Times New Roman" w:cs="Times New Roman"/>
                <w:color w:val="000000"/>
                <w:sz w:val="20"/>
                <w:szCs w:val="20"/>
                <w14:ligatures w14:val="none"/>
              </w:rPr>
              <w:t>S-Et</w:t>
            </w:r>
            <w:r w:rsidRPr="00935CCA">
              <w:rPr>
                <w:rFonts w:ascii="Times New Roman" w:eastAsia="Times New Roman" w:hAnsi="Times New Roman" w:cs="Times New Roman"/>
                <w:color w:val="000000"/>
                <w:sz w:val="20"/>
                <w:szCs w:val="20"/>
                <w:vertAlign w:val="subscript"/>
                <w14:ligatures w14:val="none"/>
              </w:rPr>
              <w:t>3</w:t>
            </w:r>
            <w:r w:rsidRPr="00935CCA">
              <w:rPr>
                <w:rFonts w:ascii="Times New Roman" w:eastAsia="Times New Roman" w:hAnsi="Times New Roman" w:cs="Times New Roman"/>
                <w:color w:val="000000"/>
                <w:sz w:val="20"/>
                <w:szCs w:val="20"/>
                <w14:ligatures w14:val="none"/>
              </w:rPr>
              <w:t>N</w:t>
            </w:r>
            <w:r w:rsidR="00ED5AC0" w:rsidRPr="00935CCA">
              <w:rPr>
                <w:rFonts w:ascii="Times New Roman" w:eastAsia="Times New Roman" w:hAnsi="Times New Roman" w:cs="Times New Roman"/>
                <w:color w:val="000000"/>
                <w:sz w:val="20"/>
                <w:szCs w:val="20"/>
                <w14:ligatures w14:val="none"/>
              </w:rPr>
              <w:t xml:space="preserve"> (</w:t>
            </w:r>
            <w:r w:rsidR="003A739D" w:rsidRPr="00935CCA">
              <w:rPr>
                <w:rFonts w:ascii="Times New Roman" w:eastAsia="Times New Roman" w:hAnsi="Times New Roman" w:cs="Times New Roman"/>
                <w:color w:val="000000"/>
                <w:sz w:val="20"/>
                <w:szCs w:val="20"/>
                <w14:ligatures w14:val="none"/>
              </w:rPr>
              <w:t>10</w:t>
            </w:r>
            <w:r w:rsidR="00ED5AC0" w:rsidRPr="00935CCA">
              <w:rPr>
                <w:rFonts w:ascii="Times New Roman" w:eastAsia="Times New Roman" w:hAnsi="Times New Roman" w:cs="Times New Roman"/>
                <w:color w:val="000000"/>
                <w:sz w:val="20"/>
                <w:szCs w:val="20"/>
                <w14:ligatures w14:val="none"/>
              </w:rPr>
              <w:t>)</w:t>
            </w:r>
          </w:p>
        </w:tc>
        <w:tc>
          <w:tcPr>
            <w:tcW w:w="799" w:type="dxa"/>
            <w:tcBorders>
              <w:top w:val="single" w:sz="8" w:space="0" w:color="auto"/>
              <w:left w:val="nil"/>
            </w:tcBorders>
            <w:shd w:val="clear" w:color="auto" w:fill="auto"/>
            <w:vAlign w:val="center"/>
            <w:hideMark/>
          </w:tcPr>
          <w:p w14:paraId="37E575C9" w14:textId="77777777" w:rsidR="003A739D" w:rsidRPr="00935CCA" w:rsidRDefault="003A739D" w:rsidP="00F50B14">
            <w:pPr>
              <w:spacing w:after="0" w:line="240" w:lineRule="auto"/>
              <w:jc w:val="center"/>
              <w:rPr>
                <w:rFonts w:ascii="Times New Roman" w:eastAsia="Times New Roman" w:hAnsi="Times New Roman" w:cs="Times New Roman"/>
                <w:color w:val="000000"/>
                <w:sz w:val="20"/>
                <w:szCs w:val="20"/>
                <w14:ligatures w14:val="none"/>
              </w:rPr>
            </w:pPr>
            <w:r w:rsidRPr="00935CCA">
              <w:rPr>
                <w:rFonts w:ascii="Times New Roman" w:eastAsia="Times New Roman" w:hAnsi="Times New Roman" w:cs="Times New Roman"/>
                <w:color w:val="000000"/>
                <w:sz w:val="20"/>
                <w:szCs w:val="20"/>
                <w14:ligatures w14:val="none"/>
              </w:rPr>
              <w:t>0.27</w:t>
            </w:r>
          </w:p>
        </w:tc>
        <w:tc>
          <w:tcPr>
            <w:tcW w:w="972" w:type="dxa"/>
            <w:tcBorders>
              <w:top w:val="single" w:sz="8" w:space="0" w:color="auto"/>
              <w:left w:val="nil"/>
            </w:tcBorders>
            <w:shd w:val="clear" w:color="auto" w:fill="auto"/>
            <w:noWrap/>
            <w:vAlign w:val="center"/>
            <w:hideMark/>
          </w:tcPr>
          <w:p w14:paraId="78E46E2B" w14:textId="39847DA7" w:rsidR="003A739D" w:rsidRPr="00935CCA" w:rsidRDefault="00BE12C4" w:rsidP="00F50B14">
            <w:pPr>
              <w:spacing w:after="0" w:line="240" w:lineRule="auto"/>
              <w:jc w:val="center"/>
              <w:rPr>
                <w:rFonts w:ascii="Times New Roman" w:eastAsia="Times New Roman" w:hAnsi="Times New Roman" w:cs="Times New Roman"/>
                <w:color w:val="000000"/>
                <w:sz w:val="20"/>
                <w:szCs w:val="20"/>
                <w14:ligatures w14:val="none"/>
              </w:rPr>
            </w:pPr>
            <w:r w:rsidRPr="00935CCA">
              <w:rPr>
                <w:rFonts w:ascii="Times New Roman" w:eastAsia="Times New Roman" w:hAnsi="Times New Roman" w:cs="Times New Roman"/>
                <w:color w:val="000000"/>
                <w:sz w:val="20"/>
                <w:szCs w:val="20"/>
                <w14:ligatures w14:val="none"/>
              </w:rPr>
              <w:t>2</w:t>
            </w:r>
            <w:r w:rsidR="003A739D" w:rsidRPr="00935CCA">
              <w:rPr>
                <w:rFonts w:ascii="Times New Roman" w:eastAsia="Times New Roman" w:hAnsi="Times New Roman" w:cs="Times New Roman"/>
                <w:color w:val="000000"/>
                <w:sz w:val="20"/>
                <w:szCs w:val="20"/>
                <w14:ligatures w14:val="none"/>
              </w:rPr>
              <w:t>.</w:t>
            </w:r>
            <w:r w:rsidRPr="00935CCA">
              <w:rPr>
                <w:rFonts w:ascii="Times New Roman" w:eastAsia="Times New Roman" w:hAnsi="Times New Roman" w:cs="Times New Roman"/>
                <w:color w:val="000000"/>
                <w:sz w:val="20"/>
                <w:szCs w:val="20"/>
                <w14:ligatures w14:val="none"/>
              </w:rPr>
              <w:t>4</w:t>
            </w:r>
          </w:p>
        </w:tc>
        <w:tc>
          <w:tcPr>
            <w:tcW w:w="722" w:type="dxa"/>
            <w:tcBorders>
              <w:top w:val="single" w:sz="8" w:space="0" w:color="auto"/>
              <w:left w:val="nil"/>
            </w:tcBorders>
            <w:shd w:val="clear" w:color="auto" w:fill="auto"/>
            <w:noWrap/>
            <w:vAlign w:val="center"/>
            <w:hideMark/>
          </w:tcPr>
          <w:p w14:paraId="6E6352C4" w14:textId="33A337BE" w:rsidR="003A739D" w:rsidRPr="00935CCA" w:rsidRDefault="00BE12C4" w:rsidP="00F50B14">
            <w:pPr>
              <w:spacing w:after="0" w:line="240" w:lineRule="auto"/>
              <w:jc w:val="center"/>
              <w:rPr>
                <w:rFonts w:ascii="Times New Roman" w:eastAsia="Times New Roman" w:hAnsi="Times New Roman" w:cs="Times New Roman"/>
                <w:color w:val="000000"/>
                <w:sz w:val="20"/>
                <w:szCs w:val="20"/>
                <w14:ligatures w14:val="none"/>
              </w:rPr>
            </w:pPr>
            <w:r w:rsidRPr="00935CCA">
              <w:rPr>
                <w:rFonts w:ascii="Times New Roman" w:eastAsia="Times New Roman" w:hAnsi="Times New Roman" w:cs="Times New Roman"/>
                <w:color w:val="000000"/>
                <w:sz w:val="20"/>
                <w:szCs w:val="20"/>
                <w14:ligatures w14:val="none"/>
              </w:rPr>
              <w:t>51</w:t>
            </w:r>
          </w:p>
        </w:tc>
        <w:tc>
          <w:tcPr>
            <w:tcW w:w="714" w:type="dxa"/>
            <w:tcBorders>
              <w:top w:val="single" w:sz="8" w:space="0" w:color="auto"/>
              <w:left w:val="nil"/>
              <w:right w:val="single" w:sz="8" w:space="0" w:color="BFBFBF"/>
            </w:tcBorders>
            <w:shd w:val="clear" w:color="auto" w:fill="auto"/>
            <w:noWrap/>
            <w:vAlign w:val="center"/>
            <w:hideMark/>
          </w:tcPr>
          <w:p w14:paraId="736B1FD0" w14:textId="0B75DA07" w:rsidR="003A739D" w:rsidRPr="00935CCA" w:rsidRDefault="00BE12C4" w:rsidP="00F50B14">
            <w:pPr>
              <w:spacing w:after="0" w:line="240" w:lineRule="auto"/>
              <w:jc w:val="center"/>
              <w:rPr>
                <w:rFonts w:ascii="Times New Roman" w:eastAsia="Times New Roman" w:hAnsi="Times New Roman" w:cs="Times New Roman"/>
                <w:color w:val="000000"/>
                <w:sz w:val="20"/>
                <w:szCs w:val="20"/>
                <w14:ligatures w14:val="none"/>
              </w:rPr>
            </w:pPr>
            <w:r w:rsidRPr="00935CCA">
              <w:rPr>
                <w:rFonts w:ascii="Times New Roman" w:eastAsia="Times New Roman" w:hAnsi="Times New Roman" w:cs="Times New Roman"/>
                <w:color w:val="000000"/>
                <w:sz w:val="20"/>
                <w:szCs w:val="20"/>
                <w14:ligatures w14:val="none"/>
              </w:rPr>
              <w:t>35</w:t>
            </w:r>
          </w:p>
        </w:tc>
        <w:tc>
          <w:tcPr>
            <w:tcW w:w="763" w:type="dxa"/>
            <w:tcBorders>
              <w:top w:val="single" w:sz="8" w:space="0" w:color="auto"/>
              <w:left w:val="nil"/>
            </w:tcBorders>
            <w:shd w:val="clear" w:color="auto" w:fill="auto"/>
            <w:noWrap/>
            <w:vAlign w:val="center"/>
            <w:hideMark/>
          </w:tcPr>
          <w:p w14:paraId="6FB05D14" w14:textId="5989804D" w:rsidR="003A739D" w:rsidRPr="00935CCA" w:rsidRDefault="00BE12C4" w:rsidP="00F50B14">
            <w:pPr>
              <w:spacing w:after="0" w:line="240" w:lineRule="auto"/>
              <w:jc w:val="center"/>
              <w:rPr>
                <w:rFonts w:ascii="Times New Roman" w:eastAsia="Times New Roman" w:hAnsi="Times New Roman" w:cs="Times New Roman"/>
                <w:color w:val="000000"/>
                <w:sz w:val="20"/>
                <w:szCs w:val="20"/>
                <w14:ligatures w14:val="none"/>
              </w:rPr>
            </w:pPr>
            <w:r w:rsidRPr="00935CCA">
              <w:rPr>
                <w:rFonts w:ascii="Times New Roman" w:eastAsia="Times New Roman" w:hAnsi="Times New Roman" w:cs="Times New Roman"/>
                <w:color w:val="000000"/>
                <w:sz w:val="20"/>
                <w:szCs w:val="20"/>
                <w14:ligatures w14:val="none"/>
              </w:rPr>
              <w:t>65</w:t>
            </w:r>
          </w:p>
        </w:tc>
        <w:tc>
          <w:tcPr>
            <w:tcW w:w="1144" w:type="dxa"/>
            <w:tcBorders>
              <w:top w:val="single" w:sz="8" w:space="0" w:color="auto"/>
              <w:left w:val="nil"/>
            </w:tcBorders>
            <w:shd w:val="clear" w:color="auto" w:fill="auto"/>
            <w:vAlign w:val="center"/>
            <w:hideMark/>
          </w:tcPr>
          <w:p w14:paraId="5BEFC578" w14:textId="78EB0CA3" w:rsidR="003A739D" w:rsidRPr="00935CCA" w:rsidRDefault="00BE12C4" w:rsidP="00F50B14">
            <w:pPr>
              <w:spacing w:after="0" w:line="240" w:lineRule="auto"/>
              <w:jc w:val="center"/>
              <w:rPr>
                <w:rFonts w:ascii="Times New Roman" w:eastAsia="Times New Roman" w:hAnsi="Times New Roman" w:cs="Times New Roman"/>
                <w:color w:val="000000"/>
                <w:sz w:val="20"/>
                <w:szCs w:val="20"/>
                <w14:ligatures w14:val="none"/>
              </w:rPr>
            </w:pPr>
            <w:r w:rsidRPr="00935CCA">
              <w:rPr>
                <w:rFonts w:ascii="Times New Roman" w:eastAsia="Times New Roman" w:hAnsi="Times New Roman" w:cs="Times New Roman"/>
                <w:color w:val="000000"/>
                <w:sz w:val="20"/>
                <w:szCs w:val="20"/>
                <w14:ligatures w14:val="none"/>
              </w:rPr>
              <w:t>18</w:t>
            </w:r>
          </w:p>
        </w:tc>
      </w:tr>
      <w:tr w:rsidR="00BE12C4" w:rsidRPr="00761582" w14:paraId="32DFB866" w14:textId="77777777" w:rsidTr="00F45965">
        <w:trPr>
          <w:trHeight w:val="300"/>
          <w:jc w:val="center"/>
        </w:trPr>
        <w:tc>
          <w:tcPr>
            <w:tcW w:w="316" w:type="dxa"/>
            <w:tcBorders>
              <w:bottom w:val="single" w:sz="8" w:space="0" w:color="BFBFBF"/>
            </w:tcBorders>
            <w:shd w:val="clear" w:color="auto" w:fill="auto"/>
            <w:noWrap/>
            <w:vAlign w:val="center"/>
          </w:tcPr>
          <w:p w14:paraId="535A4F8C" w14:textId="7B143E9A" w:rsidR="00BE12C4" w:rsidRPr="00935CCA" w:rsidRDefault="00BE12C4" w:rsidP="00BE12C4">
            <w:pPr>
              <w:spacing w:after="0" w:line="240" w:lineRule="auto"/>
              <w:jc w:val="center"/>
              <w:rPr>
                <w:rFonts w:ascii="Times New Roman" w:eastAsia="Times New Roman" w:hAnsi="Times New Roman" w:cs="Times New Roman"/>
                <w:color w:val="000000"/>
                <w:sz w:val="20"/>
                <w:szCs w:val="20"/>
                <w14:ligatures w14:val="none"/>
              </w:rPr>
            </w:pPr>
            <w:r w:rsidRPr="00935CCA">
              <w:rPr>
                <w:rFonts w:ascii="Times New Roman" w:eastAsia="Times New Roman" w:hAnsi="Times New Roman" w:cs="Times New Roman"/>
                <w:color w:val="000000"/>
                <w:sz w:val="20"/>
                <w:szCs w:val="20"/>
                <w14:ligatures w14:val="none"/>
              </w:rPr>
              <w:t>2</w:t>
            </w:r>
          </w:p>
        </w:tc>
        <w:tc>
          <w:tcPr>
            <w:tcW w:w="1411" w:type="dxa"/>
            <w:tcBorders>
              <w:left w:val="nil"/>
              <w:bottom w:val="single" w:sz="8" w:space="0" w:color="BFBFBF"/>
            </w:tcBorders>
            <w:shd w:val="clear" w:color="auto" w:fill="auto"/>
            <w:noWrap/>
            <w:vAlign w:val="center"/>
          </w:tcPr>
          <w:p w14:paraId="4AAA8381" w14:textId="4C2E9F78" w:rsidR="00BE12C4" w:rsidRPr="00935CCA" w:rsidRDefault="00BE12C4" w:rsidP="00BE12C4">
            <w:pPr>
              <w:spacing w:after="0" w:line="240" w:lineRule="auto"/>
              <w:jc w:val="center"/>
              <w:rPr>
                <w:rFonts w:ascii="Times New Roman" w:eastAsia="Times New Roman" w:hAnsi="Times New Roman" w:cs="Times New Roman"/>
                <w:color w:val="000000"/>
                <w:sz w:val="20"/>
                <w:szCs w:val="20"/>
                <w14:ligatures w14:val="none"/>
              </w:rPr>
            </w:pPr>
            <w:r w:rsidRPr="00935CCA">
              <w:rPr>
                <w:rFonts w:ascii="Times New Roman" w:eastAsia="Times New Roman" w:hAnsi="Times New Roman" w:cs="Times New Roman"/>
                <w:color w:val="000000"/>
                <w:sz w:val="20"/>
                <w:szCs w:val="20"/>
                <w14:ligatures w14:val="none"/>
              </w:rPr>
              <w:t>S-Et</w:t>
            </w:r>
            <w:r w:rsidRPr="00935CCA">
              <w:rPr>
                <w:rFonts w:ascii="Times New Roman" w:eastAsia="Times New Roman" w:hAnsi="Times New Roman" w:cs="Times New Roman"/>
                <w:color w:val="000000"/>
                <w:sz w:val="20"/>
                <w:szCs w:val="20"/>
                <w:vertAlign w:val="subscript"/>
                <w14:ligatures w14:val="none"/>
              </w:rPr>
              <w:t>3</w:t>
            </w:r>
            <w:r w:rsidRPr="00935CCA">
              <w:rPr>
                <w:rFonts w:ascii="Times New Roman" w:eastAsia="Times New Roman" w:hAnsi="Times New Roman" w:cs="Times New Roman"/>
                <w:color w:val="000000"/>
                <w:sz w:val="20"/>
                <w:szCs w:val="20"/>
                <w14:ligatures w14:val="none"/>
              </w:rPr>
              <w:t>N</w:t>
            </w:r>
            <w:r w:rsidR="00ED5AC0" w:rsidRPr="00935CCA">
              <w:rPr>
                <w:rFonts w:ascii="Times New Roman" w:eastAsia="Times New Roman" w:hAnsi="Times New Roman" w:cs="Times New Roman"/>
                <w:color w:val="000000"/>
                <w:sz w:val="20"/>
                <w:szCs w:val="20"/>
                <w14:ligatures w14:val="none"/>
              </w:rPr>
              <w:t xml:space="preserve"> (</w:t>
            </w:r>
            <w:r w:rsidRPr="00935CCA">
              <w:rPr>
                <w:rFonts w:ascii="Times New Roman" w:eastAsia="Times New Roman" w:hAnsi="Times New Roman" w:cs="Times New Roman"/>
                <w:color w:val="000000"/>
                <w:sz w:val="20"/>
                <w:szCs w:val="20"/>
                <w14:ligatures w14:val="none"/>
              </w:rPr>
              <w:t>10</w:t>
            </w:r>
            <w:r w:rsidR="00ED5AC0" w:rsidRPr="00935CCA">
              <w:rPr>
                <w:rFonts w:ascii="Times New Roman" w:eastAsia="Times New Roman" w:hAnsi="Times New Roman" w:cs="Times New Roman"/>
                <w:color w:val="000000"/>
                <w:sz w:val="20"/>
                <w:szCs w:val="20"/>
                <w14:ligatures w14:val="none"/>
              </w:rPr>
              <w:t>)</w:t>
            </w:r>
          </w:p>
        </w:tc>
        <w:tc>
          <w:tcPr>
            <w:tcW w:w="799" w:type="dxa"/>
            <w:tcBorders>
              <w:left w:val="nil"/>
              <w:bottom w:val="single" w:sz="8" w:space="0" w:color="BFBFBF"/>
            </w:tcBorders>
            <w:shd w:val="clear" w:color="auto" w:fill="auto"/>
            <w:vAlign w:val="center"/>
          </w:tcPr>
          <w:p w14:paraId="0A83B6F2" w14:textId="23F71FB4" w:rsidR="00BE12C4" w:rsidRPr="00935CCA" w:rsidRDefault="00BE12C4" w:rsidP="00BE12C4">
            <w:pPr>
              <w:spacing w:after="0" w:line="240" w:lineRule="auto"/>
              <w:jc w:val="center"/>
              <w:rPr>
                <w:rFonts w:ascii="Times New Roman" w:eastAsia="Times New Roman" w:hAnsi="Times New Roman" w:cs="Times New Roman"/>
                <w:color w:val="000000"/>
                <w:sz w:val="20"/>
                <w:szCs w:val="20"/>
                <w14:ligatures w14:val="none"/>
              </w:rPr>
            </w:pPr>
            <w:r w:rsidRPr="00935CCA">
              <w:rPr>
                <w:rFonts w:ascii="Times New Roman" w:eastAsia="Times New Roman" w:hAnsi="Times New Roman" w:cs="Times New Roman"/>
                <w:color w:val="000000"/>
                <w:sz w:val="20"/>
                <w:szCs w:val="20"/>
                <w14:ligatures w14:val="none"/>
              </w:rPr>
              <w:t>0.27</w:t>
            </w:r>
          </w:p>
        </w:tc>
        <w:tc>
          <w:tcPr>
            <w:tcW w:w="972" w:type="dxa"/>
            <w:tcBorders>
              <w:left w:val="nil"/>
              <w:bottom w:val="single" w:sz="8" w:space="0" w:color="BFBFBF"/>
            </w:tcBorders>
            <w:shd w:val="clear" w:color="auto" w:fill="auto"/>
            <w:noWrap/>
            <w:vAlign w:val="center"/>
          </w:tcPr>
          <w:p w14:paraId="7A0E1589" w14:textId="3A5C925D" w:rsidR="00BE12C4" w:rsidRPr="00935CCA" w:rsidRDefault="00BE12C4" w:rsidP="00BE12C4">
            <w:pPr>
              <w:spacing w:after="0" w:line="240" w:lineRule="auto"/>
              <w:jc w:val="center"/>
              <w:rPr>
                <w:rFonts w:ascii="Times New Roman" w:eastAsia="Times New Roman" w:hAnsi="Times New Roman" w:cs="Times New Roman"/>
                <w:color w:val="000000"/>
                <w:sz w:val="20"/>
                <w:szCs w:val="20"/>
                <w14:ligatures w14:val="none"/>
              </w:rPr>
            </w:pPr>
            <w:r w:rsidRPr="00935CCA">
              <w:rPr>
                <w:rFonts w:ascii="Times New Roman" w:eastAsia="Times New Roman" w:hAnsi="Times New Roman" w:cs="Times New Roman"/>
                <w:color w:val="000000"/>
                <w:sz w:val="20"/>
                <w:szCs w:val="20"/>
                <w14:ligatures w14:val="none"/>
              </w:rPr>
              <w:t>4.9</w:t>
            </w:r>
          </w:p>
        </w:tc>
        <w:tc>
          <w:tcPr>
            <w:tcW w:w="722" w:type="dxa"/>
            <w:tcBorders>
              <w:left w:val="nil"/>
              <w:bottom w:val="single" w:sz="8" w:space="0" w:color="BFBFBF"/>
            </w:tcBorders>
            <w:shd w:val="clear" w:color="auto" w:fill="auto"/>
            <w:noWrap/>
            <w:vAlign w:val="center"/>
          </w:tcPr>
          <w:p w14:paraId="095D2EBF" w14:textId="19D7DD2D" w:rsidR="00BE12C4" w:rsidRPr="00935CCA" w:rsidRDefault="00E44371" w:rsidP="00BE12C4">
            <w:pPr>
              <w:spacing w:after="0" w:line="240" w:lineRule="auto"/>
              <w:jc w:val="center"/>
              <w:rPr>
                <w:rFonts w:ascii="Times New Roman" w:eastAsia="Times New Roman" w:hAnsi="Times New Roman" w:cs="Times New Roman"/>
                <w:color w:val="000000"/>
                <w:sz w:val="20"/>
                <w:szCs w:val="20"/>
                <w14:ligatures w14:val="none"/>
              </w:rPr>
            </w:pPr>
            <w:r w:rsidRPr="00935CCA">
              <w:rPr>
                <w:rFonts w:ascii="Times New Roman" w:eastAsia="Times New Roman" w:hAnsi="Times New Roman" w:cs="Times New Roman"/>
                <w:color w:val="000000"/>
                <w:sz w:val="20"/>
                <w:szCs w:val="20"/>
                <w14:ligatures w14:val="none"/>
              </w:rPr>
              <w:t>63</w:t>
            </w:r>
          </w:p>
        </w:tc>
        <w:tc>
          <w:tcPr>
            <w:tcW w:w="714" w:type="dxa"/>
            <w:tcBorders>
              <w:left w:val="nil"/>
              <w:bottom w:val="single" w:sz="8" w:space="0" w:color="BFBFBF"/>
              <w:right w:val="single" w:sz="8" w:space="0" w:color="BFBFBF"/>
            </w:tcBorders>
            <w:shd w:val="clear" w:color="auto" w:fill="auto"/>
            <w:noWrap/>
            <w:vAlign w:val="center"/>
          </w:tcPr>
          <w:p w14:paraId="56D7002B" w14:textId="5E213B1C" w:rsidR="00BE12C4" w:rsidRPr="00935CCA" w:rsidRDefault="00E44371" w:rsidP="00BE12C4">
            <w:pPr>
              <w:spacing w:after="0" w:line="240" w:lineRule="auto"/>
              <w:jc w:val="center"/>
              <w:rPr>
                <w:rFonts w:ascii="Times New Roman" w:eastAsia="Times New Roman" w:hAnsi="Times New Roman" w:cs="Times New Roman"/>
                <w:color w:val="000000"/>
                <w:sz w:val="20"/>
                <w:szCs w:val="20"/>
                <w14:ligatures w14:val="none"/>
              </w:rPr>
            </w:pPr>
            <w:r w:rsidRPr="00935CCA">
              <w:rPr>
                <w:rFonts w:ascii="Times New Roman" w:eastAsia="Times New Roman" w:hAnsi="Times New Roman" w:cs="Times New Roman"/>
                <w:color w:val="000000"/>
                <w:sz w:val="20"/>
                <w:szCs w:val="20"/>
                <w14:ligatures w14:val="none"/>
              </w:rPr>
              <w:t>43</w:t>
            </w:r>
          </w:p>
        </w:tc>
        <w:tc>
          <w:tcPr>
            <w:tcW w:w="763" w:type="dxa"/>
            <w:tcBorders>
              <w:left w:val="nil"/>
              <w:bottom w:val="single" w:sz="8" w:space="0" w:color="BFBFBF"/>
            </w:tcBorders>
            <w:shd w:val="clear" w:color="auto" w:fill="auto"/>
            <w:noWrap/>
            <w:vAlign w:val="center"/>
          </w:tcPr>
          <w:p w14:paraId="112E66F6" w14:textId="6A00E8BD" w:rsidR="00BE12C4" w:rsidRPr="00935CCA" w:rsidRDefault="00E44371" w:rsidP="00BE12C4">
            <w:pPr>
              <w:spacing w:after="0" w:line="240" w:lineRule="auto"/>
              <w:jc w:val="center"/>
              <w:rPr>
                <w:rFonts w:ascii="Times New Roman" w:eastAsia="Times New Roman" w:hAnsi="Times New Roman" w:cs="Times New Roman"/>
                <w:color w:val="000000"/>
                <w:sz w:val="20"/>
                <w:szCs w:val="20"/>
                <w14:ligatures w14:val="none"/>
              </w:rPr>
            </w:pPr>
            <w:r w:rsidRPr="00935CCA">
              <w:rPr>
                <w:rFonts w:ascii="Times New Roman" w:eastAsia="Times New Roman" w:hAnsi="Times New Roman" w:cs="Times New Roman"/>
                <w:color w:val="000000"/>
                <w:sz w:val="20"/>
                <w:szCs w:val="20"/>
                <w14:ligatures w14:val="none"/>
              </w:rPr>
              <w:t>57</w:t>
            </w:r>
          </w:p>
        </w:tc>
        <w:tc>
          <w:tcPr>
            <w:tcW w:w="1144" w:type="dxa"/>
            <w:tcBorders>
              <w:left w:val="nil"/>
              <w:bottom w:val="single" w:sz="8" w:space="0" w:color="BFBFBF"/>
            </w:tcBorders>
            <w:shd w:val="clear" w:color="auto" w:fill="auto"/>
            <w:vAlign w:val="center"/>
          </w:tcPr>
          <w:p w14:paraId="3C30B014" w14:textId="3CE4B2FF" w:rsidR="00BE12C4" w:rsidRPr="00935CCA" w:rsidRDefault="00BE12C4" w:rsidP="00BE12C4">
            <w:pPr>
              <w:spacing w:after="0" w:line="240" w:lineRule="auto"/>
              <w:jc w:val="center"/>
              <w:rPr>
                <w:rFonts w:ascii="Times New Roman" w:eastAsia="Times New Roman" w:hAnsi="Times New Roman" w:cs="Times New Roman"/>
                <w:color w:val="000000"/>
                <w:sz w:val="20"/>
                <w:szCs w:val="20"/>
                <w14:ligatures w14:val="none"/>
              </w:rPr>
            </w:pPr>
            <w:r w:rsidRPr="00935CCA">
              <w:rPr>
                <w:rFonts w:ascii="Times New Roman" w:eastAsia="Times New Roman" w:hAnsi="Times New Roman" w:cs="Times New Roman"/>
                <w:color w:val="000000"/>
                <w:sz w:val="20"/>
                <w:szCs w:val="20"/>
                <w14:ligatures w14:val="none"/>
              </w:rPr>
              <w:t>27</w:t>
            </w:r>
          </w:p>
        </w:tc>
      </w:tr>
      <w:tr w:rsidR="00ED5AC0" w:rsidRPr="00761582" w14:paraId="3928B2E9" w14:textId="77777777" w:rsidTr="00F45965">
        <w:trPr>
          <w:trHeight w:val="300"/>
          <w:jc w:val="center"/>
        </w:trPr>
        <w:tc>
          <w:tcPr>
            <w:tcW w:w="316" w:type="dxa"/>
            <w:tcBorders>
              <w:top w:val="nil"/>
              <w:bottom w:val="thinThickSmallGap" w:sz="24" w:space="0" w:color="auto"/>
            </w:tcBorders>
            <w:shd w:val="clear" w:color="auto" w:fill="auto"/>
            <w:noWrap/>
            <w:vAlign w:val="center"/>
            <w:hideMark/>
          </w:tcPr>
          <w:p w14:paraId="6B08594B" w14:textId="1D1B913A" w:rsidR="00ED5AC0" w:rsidRPr="00935CCA" w:rsidRDefault="00353B19" w:rsidP="00ED5AC0">
            <w:pPr>
              <w:spacing w:after="0" w:line="240" w:lineRule="auto"/>
              <w:jc w:val="center"/>
              <w:rPr>
                <w:rFonts w:ascii="Times New Roman" w:eastAsia="Times New Roman" w:hAnsi="Times New Roman" w:cs="Times New Roman"/>
                <w:color w:val="000000"/>
                <w:sz w:val="20"/>
                <w:szCs w:val="20"/>
                <w14:ligatures w14:val="none"/>
              </w:rPr>
            </w:pPr>
            <w:r>
              <w:rPr>
                <w:rFonts w:ascii="Times New Roman" w:eastAsia="Times New Roman" w:hAnsi="Times New Roman" w:cs="Times New Roman"/>
                <w:color w:val="000000"/>
                <w:sz w:val="20"/>
                <w:szCs w:val="20"/>
                <w14:ligatures w14:val="none"/>
              </w:rPr>
              <w:t>3</w:t>
            </w:r>
          </w:p>
        </w:tc>
        <w:tc>
          <w:tcPr>
            <w:tcW w:w="1411" w:type="dxa"/>
            <w:tcBorders>
              <w:top w:val="nil"/>
              <w:left w:val="nil"/>
              <w:bottom w:val="thinThickSmallGap" w:sz="24" w:space="0" w:color="auto"/>
            </w:tcBorders>
            <w:shd w:val="clear" w:color="auto" w:fill="auto"/>
            <w:noWrap/>
            <w:vAlign w:val="center"/>
            <w:hideMark/>
          </w:tcPr>
          <w:p w14:paraId="3A567E12" w14:textId="1366E341" w:rsidR="00ED5AC0" w:rsidRPr="00935CCA" w:rsidRDefault="00ED5AC0" w:rsidP="00ED5AC0">
            <w:pPr>
              <w:spacing w:after="0" w:line="240" w:lineRule="auto"/>
              <w:jc w:val="center"/>
              <w:rPr>
                <w:rFonts w:ascii="Times New Roman" w:eastAsia="Times New Roman" w:hAnsi="Times New Roman" w:cs="Times New Roman"/>
                <w:color w:val="000000"/>
                <w:sz w:val="20"/>
                <w:szCs w:val="20"/>
                <w14:ligatures w14:val="none"/>
              </w:rPr>
            </w:pPr>
            <w:r w:rsidRPr="00935CCA">
              <w:rPr>
                <w:rFonts w:ascii="Times New Roman" w:eastAsia="Times New Roman" w:hAnsi="Times New Roman" w:cs="Times New Roman"/>
                <w:color w:val="000000"/>
                <w:sz w:val="20"/>
                <w:szCs w:val="20"/>
                <w14:ligatures w14:val="none"/>
              </w:rPr>
              <w:t>S-NMPy (10)</w:t>
            </w:r>
          </w:p>
        </w:tc>
        <w:tc>
          <w:tcPr>
            <w:tcW w:w="799" w:type="dxa"/>
            <w:tcBorders>
              <w:top w:val="nil"/>
              <w:left w:val="nil"/>
              <w:bottom w:val="thinThickSmallGap" w:sz="24" w:space="0" w:color="auto"/>
            </w:tcBorders>
            <w:shd w:val="clear" w:color="auto" w:fill="auto"/>
            <w:vAlign w:val="center"/>
          </w:tcPr>
          <w:p w14:paraId="232F3AB4" w14:textId="15331076" w:rsidR="00ED5AC0" w:rsidRPr="00935CCA" w:rsidRDefault="00ED5AC0" w:rsidP="00ED5AC0">
            <w:pPr>
              <w:spacing w:after="0" w:line="240" w:lineRule="auto"/>
              <w:jc w:val="center"/>
              <w:rPr>
                <w:rFonts w:ascii="Times New Roman" w:eastAsia="Times New Roman" w:hAnsi="Times New Roman" w:cs="Times New Roman"/>
                <w:color w:val="000000"/>
                <w:sz w:val="20"/>
                <w:szCs w:val="20"/>
                <w14:ligatures w14:val="none"/>
              </w:rPr>
            </w:pPr>
            <w:r w:rsidRPr="00935CCA">
              <w:rPr>
                <w:rFonts w:ascii="Times New Roman" w:eastAsia="Times New Roman" w:hAnsi="Times New Roman" w:cs="Times New Roman"/>
                <w:color w:val="000000"/>
                <w:sz w:val="20"/>
                <w:szCs w:val="20"/>
                <w14:ligatures w14:val="none"/>
              </w:rPr>
              <w:t>0.27</w:t>
            </w:r>
          </w:p>
        </w:tc>
        <w:tc>
          <w:tcPr>
            <w:tcW w:w="972" w:type="dxa"/>
            <w:tcBorders>
              <w:top w:val="nil"/>
              <w:left w:val="nil"/>
              <w:bottom w:val="thinThickSmallGap" w:sz="24" w:space="0" w:color="auto"/>
            </w:tcBorders>
            <w:shd w:val="clear" w:color="auto" w:fill="auto"/>
            <w:noWrap/>
            <w:vAlign w:val="center"/>
          </w:tcPr>
          <w:p w14:paraId="65EBCDC6" w14:textId="281BB2F9" w:rsidR="00ED5AC0" w:rsidRPr="00935CCA" w:rsidRDefault="00ED5AC0" w:rsidP="00ED5AC0">
            <w:pPr>
              <w:spacing w:after="0" w:line="240" w:lineRule="auto"/>
              <w:jc w:val="center"/>
              <w:rPr>
                <w:rFonts w:ascii="Times New Roman" w:eastAsia="Times New Roman" w:hAnsi="Times New Roman" w:cs="Times New Roman"/>
                <w:color w:val="000000"/>
                <w:sz w:val="20"/>
                <w:szCs w:val="20"/>
                <w14:ligatures w14:val="none"/>
              </w:rPr>
            </w:pPr>
            <w:r w:rsidRPr="00935CCA">
              <w:rPr>
                <w:rFonts w:ascii="Times New Roman" w:eastAsia="Times New Roman" w:hAnsi="Times New Roman" w:cs="Times New Roman"/>
                <w:color w:val="000000"/>
                <w:sz w:val="20"/>
                <w:szCs w:val="20"/>
                <w14:ligatures w14:val="none"/>
              </w:rPr>
              <w:t>2.4</w:t>
            </w:r>
          </w:p>
        </w:tc>
        <w:tc>
          <w:tcPr>
            <w:tcW w:w="722" w:type="dxa"/>
            <w:tcBorders>
              <w:top w:val="nil"/>
              <w:left w:val="nil"/>
              <w:bottom w:val="thinThickSmallGap" w:sz="24" w:space="0" w:color="auto"/>
            </w:tcBorders>
            <w:shd w:val="clear" w:color="auto" w:fill="auto"/>
            <w:noWrap/>
            <w:vAlign w:val="center"/>
          </w:tcPr>
          <w:p w14:paraId="22422296" w14:textId="66FD83C2" w:rsidR="00ED5AC0" w:rsidRPr="00935CCA" w:rsidRDefault="00ED5AC0" w:rsidP="00ED5AC0">
            <w:pPr>
              <w:spacing w:after="0" w:line="240" w:lineRule="auto"/>
              <w:jc w:val="center"/>
              <w:rPr>
                <w:rFonts w:ascii="Times New Roman" w:eastAsia="Times New Roman" w:hAnsi="Times New Roman" w:cs="Times New Roman"/>
                <w:color w:val="000000"/>
                <w:sz w:val="20"/>
                <w:szCs w:val="20"/>
                <w14:ligatures w14:val="none"/>
              </w:rPr>
            </w:pPr>
            <w:r w:rsidRPr="00935CCA">
              <w:rPr>
                <w:rFonts w:ascii="Times New Roman" w:eastAsia="Times New Roman" w:hAnsi="Times New Roman" w:cs="Times New Roman"/>
                <w:color w:val="000000"/>
                <w:sz w:val="20"/>
                <w:szCs w:val="20"/>
                <w14:ligatures w14:val="none"/>
              </w:rPr>
              <w:t>38</w:t>
            </w:r>
          </w:p>
        </w:tc>
        <w:tc>
          <w:tcPr>
            <w:tcW w:w="714" w:type="dxa"/>
            <w:tcBorders>
              <w:top w:val="nil"/>
              <w:left w:val="nil"/>
              <w:bottom w:val="thinThickSmallGap" w:sz="24" w:space="0" w:color="auto"/>
              <w:right w:val="single" w:sz="8" w:space="0" w:color="BFBFBF"/>
            </w:tcBorders>
            <w:shd w:val="clear" w:color="auto" w:fill="auto"/>
            <w:noWrap/>
            <w:vAlign w:val="center"/>
          </w:tcPr>
          <w:p w14:paraId="5E359F6B" w14:textId="6A28702A" w:rsidR="00ED5AC0" w:rsidRPr="00935CCA" w:rsidRDefault="00ED5AC0" w:rsidP="00ED5AC0">
            <w:pPr>
              <w:spacing w:after="0" w:line="240" w:lineRule="auto"/>
              <w:jc w:val="center"/>
              <w:rPr>
                <w:rFonts w:ascii="Times New Roman" w:eastAsia="Times New Roman" w:hAnsi="Times New Roman" w:cs="Times New Roman"/>
                <w:color w:val="000000"/>
                <w:sz w:val="20"/>
                <w:szCs w:val="20"/>
                <w14:ligatures w14:val="none"/>
              </w:rPr>
            </w:pPr>
            <w:r w:rsidRPr="00935CCA">
              <w:rPr>
                <w:rFonts w:ascii="Times New Roman" w:eastAsia="Times New Roman" w:hAnsi="Times New Roman" w:cs="Times New Roman"/>
                <w:color w:val="000000"/>
                <w:sz w:val="20"/>
                <w:szCs w:val="20"/>
                <w14:ligatures w14:val="none"/>
              </w:rPr>
              <w:t>10</w:t>
            </w:r>
          </w:p>
        </w:tc>
        <w:tc>
          <w:tcPr>
            <w:tcW w:w="763" w:type="dxa"/>
            <w:tcBorders>
              <w:top w:val="nil"/>
              <w:left w:val="nil"/>
              <w:bottom w:val="thinThickSmallGap" w:sz="24" w:space="0" w:color="auto"/>
            </w:tcBorders>
            <w:shd w:val="clear" w:color="auto" w:fill="auto"/>
            <w:noWrap/>
            <w:vAlign w:val="center"/>
          </w:tcPr>
          <w:p w14:paraId="4A31BE49" w14:textId="5B4B9BD4" w:rsidR="00ED5AC0" w:rsidRPr="00935CCA" w:rsidRDefault="00ED5AC0" w:rsidP="00ED5AC0">
            <w:pPr>
              <w:spacing w:after="0" w:line="240" w:lineRule="auto"/>
              <w:jc w:val="center"/>
              <w:rPr>
                <w:rFonts w:ascii="Times New Roman" w:eastAsia="Times New Roman" w:hAnsi="Times New Roman" w:cs="Times New Roman"/>
                <w:color w:val="000000"/>
                <w:sz w:val="20"/>
                <w:szCs w:val="20"/>
                <w14:ligatures w14:val="none"/>
              </w:rPr>
            </w:pPr>
            <w:r w:rsidRPr="00935CCA">
              <w:rPr>
                <w:rFonts w:ascii="Times New Roman" w:eastAsia="Times New Roman" w:hAnsi="Times New Roman" w:cs="Times New Roman"/>
                <w:color w:val="000000"/>
                <w:sz w:val="20"/>
                <w:szCs w:val="20"/>
                <w14:ligatures w14:val="none"/>
              </w:rPr>
              <w:t>89</w:t>
            </w:r>
          </w:p>
        </w:tc>
        <w:tc>
          <w:tcPr>
            <w:tcW w:w="1144" w:type="dxa"/>
            <w:tcBorders>
              <w:top w:val="nil"/>
              <w:left w:val="nil"/>
              <w:bottom w:val="thinThickSmallGap" w:sz="24" w:space="0" w:color="auto"/>
            </w:tcBorders>
            <w:shd w:val="clear" w:color="auto" w:fill="auto"/>
            <w:vAlign w:val="center"/>
          </w:tcPr>
          <w:p w14:paraId="715DDE5E" w14:textId="54F8C0EF" w:rsidR="00ED5AC0" w:rsidRPr="00935CCA" w:rsidRDefault="00ED5AC0" w:rsidP="00ED5AC0">
            <w:pPr>
              <w:spacing w:after="0" w:line="240" w:lineRule="auto"/>
              <w:jc w:val="center"/>
              <w:rPr>
                <w:rFonts w:ascii="Times New Roman" w:eastAsia="Times New Roman" w:hAnsi="Times New Roman" w:cs="Times New Roman"/>
                <w:color w:val="000000"/>
                <w:sz w:val="20"/>
                <w:szCs w:val="20"/>
                <w14:ligatures w14:val="none"/>
              </w:rPr>
            </w:pPr>
            <w:r w:rsidRPr="00935CCA">
              <w:rPr>
                <w:rFonts w:ascii="Times New Roman" w:eastAsia="Times New Roman" w:hAnsi="Times New Roman" w:cs="Times New Roman"/>
                <w:color w:val="000000"/>
                <w:sz w:val="20"/>
                <w:szCs w:val="20"/>
                <w14:ligatures w14:val="none"/>
              </w:rPr>
              <w:t>4</w:t>
            </w:r>
          </w:p>
        </w:tc>
      </w:tr>
    </w:tbl>
    <w:p w14:paraId="69646ABC" w14:textId="4BDB1F3F" w:rsidR="003A739D" w:rsidRPr="00A505AF" w:rsidRDefault="003A739D" w:rsidP="003A739D">
      <w:pPr>
        <w:spacing w:after="240" w:line="240" w:lineRule="auto"/>
        <w:jc w:val="both"/>
        <w:rPr>
          <w:rFonts w:ascii="Times New Roman" w:hAnsi="Times New Roman" w:cs="Times New Roman"/>
          <w:sz w:val="18"/>
          <w:szCs w:val="18"/>
        </w:rPr>
      </w:pPr>
      <w:r w:rsidRPr="00935CCA">
        <w:rPr>
          <w:rFonts w:ascii="Times New Roman" w:hAnsi="Times New Roman" w:cs="Times New Roman"/>
          <w:sz w:val="18"/>
          <w:szCs w:val="18"/>
        </w:rPr>
        <w:t>Reaction conditions: FDME</w:t>
      </w:r>
      <w:r w:rsidR="00BE12C4" w:rsidRPr="00935CCA">
        <w:rPr>
          <w:rFonts w:ascii="Times New Roman" w:hAnsi="Times New Roman" w:cs="Times New Roman"/>
          <w:sz w:val="18"/>
          <w:szCs w:val="18"/>
        </w:rPr>
        <w:t xml:space="preserve"> (0.27 M)</w:t>
      </w:r>
      <w:r w:rsidRPr="00935CCA">
        <w:rPr>
          <w:rFonts w:ascii="Times New Roman" w:hAnsi="Times New Roman" w:cs="Times New Roman"/>
          <w:sz w:val="18"/>
          <w:szCs w:val="18"/>
        </w:rPr>
        <w:t xml:space="preserve"> with glycidol and triethylamine in </w:t>
      </w:r>
      <w:r w:rsidR="00D11224">
        <w:rPr>
          <w:rFonts w:ascii="Times New Roman" w:hAnsi="Times New Roman" w:cs="Times New Roman"/>
          <w:sz w:val="18"/>
          <w:szCs w:val="18"/>
        </w:rPr>
        <w:t>2-</w:t>
      </w:r>
      <w:r w:rsidRPr="00935CCA">
        <w:rPr>
          <w:rFonts w:ascii="Times New Roman" w:hAnsi="Times New Roman" w:cs="Times New Roman"/>
          <w:sz w:val="18"/>
          <w:szCs w:val="18"/>
        </w:rPr>
        <w:t xml:space="preserve">MeTHF at 60 °C for 5 hours. </w:t>
      </w:r>
      <w:r w:rsidRPr="00761582">
        <w:rPr>
          <w:rFonts w:ascii="Times New Roman" w:hAnsi="Times New Roman" w:cs="Times New Roman"/>
          <w:sz w:val="18"/>
          <w:szCs w:val="18"/>
        </w:rPr>
        <w:t xml:space="preserve">Conversion, selectivity and yields were evaluated </w:t>
      </w:r>
      <w:r w:rsidR="00ED5AC0" w:rsidRPr="00935CCA">
        <w:rPr>
          <w:rFonts w:ascii="Times New Roman" w:hAnsi="Times New Roman" w:cs="Times New Roman"/>
          <w:sz w:val="18"/>
          <w:szCs w:val="18"/>
        </w:rPr>
        <w:t>via proton NMR</w:t>
      </w:r>
      <w:r w:rsidRPr="00935CCA">
        <w:rPr>
          <w:rFonts w:ascii="Times New Roman" w:hAnsi="Times New Roman" w:cs="Times New Roman"/>
          <w:sz w:val="18"/>
          <w:szCs w:val="18"/>
        </w:rPr>
        <w:t>.</w:t>
      </w:r>
    </w:p>
    <w:p w14:paraId="2EFA9389" w14:textId="69CB796A" w:rsidR="00EF63B0" w:rsidRPr="00A505AF" w:rsidRDefault="00EF63B0" w:rsidP="00F11AFE">
      <w:pPr>
        <w:spacing w:line="480" w:lineRule="auto"/>
        <w:jc w:val="both"/>
        <w:rPr>
          <w:rFonts w:ascii="Times New Roman" w:hAnsi="Times New Roman" w:cs="Times New Roman"/>
          <w:sz w:val="24"/>
          <w:szCs w:val="24"/>
        </w:rPr>
      </w:pPr>
      <w:r w:rsidRPr="00A505AF">
        <w:rPr>
          <w:rFonts w:ascii="Times New Roman" w:hAnsi="Times New Roman" w:cs="Times New Roman"/>
          <w:sz w:val="24"/>
          <w:szCs w:val="24"/>
        </w:rPr>
        <w:t xml:space="preserve">The poor performance of these supported catalysts, in terms of activity and selectivity, can be </w:t>
      </w:r>
      <w:r w:rsidR="00224211">
        <w:rPr>
          <w:rFonts w:ascii="Times New Roman" w:hAnsi="Times New Roman" w:cs="Times New Roman"/>
          <w:sz w:val="24"/>
          <w:szCs w:val="24"/>
        </w:rPr>
        <w:t>ascribed to</w:t>
      </w:r>
      <w:r w:rsidRPr="00A505AF">
        <w:rPr>
          <w:rFonts w:ascii="Times New Roman" w:hAnsi="Times New Roman" w:cs="Times New Roman"/>
          <w:sz w:val="24"/>
          <w:szCs w:val="24"/>
        </w:rPr>
        <w:t xml:space="preserve"> the slower reaction rate compared to homogeneous conditions. The immobilization of the catalyst </w:t>
      </w:r>
      <w:r w:rsidR="00DF5824">
        <w:rPr>
          <w:rFonts w:ascii="Times New Roman" w:hAnsi="Times New Roman" w:cs="Times New Roman"/>
          <w:sz w:val="24"/>
          <w:szCs w:val="24"/>
        </w:rPr>
        <w:t xml:space="preserve">most </w:t>
      </w:r>
      <w:r w:rsidRPr="00A505AF">
        <w:rPr>
          <w:rFonts w:ascii="Times New Roman" w:hAnsi="Times New Roman" w:cs="Times New Roman"/>
          <w:sz w:val="24"/>
          <w:szCs w:val="24"/>
        </w:rPr>
        <w:t xml:space="preserve">likely limited the access of the reactants to the active sites, making the reaction less efficient. Moreover, the use of the supported system seemed to promote the </w:t>
      </w:r>
      <w:r w:rsidR="00DF5824">
        <w:rPr>
          <w:rFonts w:ascii="Times New Roman" w:hAnsi="Times New Roman" w:cs="Times New Roman"/>
          <w:sz w:val="24"/>
          <w:szCs w:val="24"/>
        </w:rPr>
        <w:t>self-</w:t>
      </w:r>
      <w:r w:rsidRPr="00A505AF">
        <w:rPr>
          <w:rFonts w:ascii="Times New Roman" w:hAnsi="Times New Roman" w:cs="Times New Roman"/>
          <w:sz w:val="24"/>
          <w:szCs w:val="24"/>
        </w:rPr>
        <w:t xml:space="preserve">polymerization of glycidol, which further lowered the yield of the desired product. </w:t>
      </w:r>
    </w:p>
    <w:p w14:paraId="5DFACDD1" w14:textId="08BF92F1" w:rsidR="00EF63B0" w:rsidRPr="00A505AF" w:rsidRDefault="00EF63B0" w:rsidP="00EF63B0">
      <w:pPr>
        <w:spacing w:line="480" w:lineRule="auto"/>
        <w:jc w:val="both"/>
        <w:rPr>
          <w:rFonts w:ascii="Times New Roman" w:hAnsi="Times New Roman" w:cs="Times New Roman"/>
          <w:b/>
          <w:bCs/>
          <w:i/>
          <w:iCs/>
          <w:sz w:val="24"/>
          <w:szCs w:val="24"/>
        </w:rPr>
      </w:pPr>
      <w:r w:rsidRPr="00A505AF">
        <w:rPr>
          <w:rFonts w:ascii="Times New Roman" w:hAnsi="Times New Roman" w:cs="Times New Roman"/>
          <w:b/>
          <w:bCs/>
          <w:i/>
          <w:iCs/>
          <w:sz w:val="24"/>
          <w:szCs w:val="24"/>
        </w:rPr>
        <w:t>DGF synthesis via chemo-enzymatic catalysis</w:t>
      </w:r>
      <w:r w:rsidR="00B26185">
        <w:rPr>
          <w:rFonts w:ascii="Times New Roman" w:hAnsi="Times New Roman" w:cs="Times New Roman"/>
          <w:b/>
          <w:bCs/>
          <w:i/>
          <w:iCs/>
          <w:sz w:val="24"/>
          <w:szCs w:val="24"/>
        </w:rPr>
        <w:t xml:space="preserve"> </w:t>
      </w:r>
    </w:p>
    <w:p w14:paraId="3340D105" w14:textId="5ACC824D" w:rsidR="00750206" w:rsidRDefault="007B6E98" w:rsidP="00451512">
      <w:pPr>
        <w:spacing w:after="0" w:line="480" w:lineRule="auto"/>
        <w:jc w:val="both"/>
        <w:rPr>
          <w:rFonts w:ascii="Times New Roman" w:hAnsi="Times New Roman" w:cs="Times New Roman"/>
          <w:sz w:val="24"/>
          <w:szCs w:val="24"/>
        </w:rPr>
      </w:pPr>
      <w:bookmarkStart w:id="10" w:name="_Hlk187987619"/>
      <w:r w:rsidRPr="007B6E98">
        <w:rPr>
          <w:rFonts w:ascii="Times New Roman" w:hAnsi="Times New Roman" w:cs="Times New Roman"/>
          <w:sz w:val="24"/>
          <w:szCs w:val="24"/>
        </w:rPr>
        <w:t xml:space="preserve">The potential of enzymes as a green alternative for the transesterification reaction was </w:t>
      </w:r>
      <w:r>
        <w:rPr>
          <w:rFonts w:ascii="Times New Roman" w:hAnsi="Times New Roman" w:cs="Times New Roman"/>
          <w:sz w:val="24"/>
          <w:szCs w:val="24"/>
        </w:rPr>
        <w:t xml:space="preserve">also </w:t>
      </w:r>
      <w:r w:rsidRPr="007B6E98">
        <w:rPr>
          <w:rFonts w:ascii="Times New Roman" w:hAnsi="Times New Roman" w:cs="Times New Roman"/>
          <w:sz w:val="24"/>
          <w:szCs w:val="24"/>
        </w:rPr>
        <w:t>explored. Enzymes represent a versatile and highly efficient class of catalysts for achieving selective, clean, and sustainable chemical transformations, particularly in non-aqueous environments. Among them, lipases are the most extensively utilized biocatalysts in green media, such as ionic liquids</w:t>
      </w:r>
      <w:r w:rsidR="00D11224">
        <w:rPr>
          <w:rFonts w:ascii="Times New Roman" w:hAnsi="Times New Roman" w:cs="Times New Roman"/>
          <w:sz w:val="24"/>
          <w:szCs w:val="24"/>
        </w:rPr>
        <w:t xml:space="preserve"> (ILs)</w:t>
      </w:r>
      <w:r w:rsidRPr="007B6E98">
        <w:rPr>
          <w:rFonts w:ascii="Times New Roman" w:hAnsi="Times New Roman" w:cs="Times New Roman"/>
          <w:sz w:val="24"/>
          <w:szCs w:val="24"/>
        </w:rPr>
        <w:t xml:space="preserve">, supercritical fluids, and deep eutectic solvents </w:t>
      </w:r>
      <w:r w:rsidR="00D11224">
        <w:rPr>
          <w:rFonts w:ascii="Times New Roman" w:hAnsi="Times New Roman" w:cs="Times New Roman"/>
          <w:sz w:val="24"/>
          <w:szCs w:val="24"/>
        </w:rPr>
        <w:t xml:space="preserve">(DES) </w:t>
      </w:r>
      <w:r w:rsidRPr="007B6E98">
        <w:rPr>
          <w:rFonts w:ascii="Times New Roman" w:hAnsi="Times New Roman" w:cs="Times New Roman"/>
          <w:sz w:val="24"/>
          <w:szCs w:val="24"/>
        </w:rPr>
        <w:t>with low water content</w:t>
      </w:r>
      <w:r w:rsidR="00451512">
        <w:rPr>
          <w:rFonts w:ascii="Times New Roman" w:hAnsi="Times New Roman" w:cs="Times New Roman"/>
          <w:sz w:val="24"/>
          <w:szCs w:val="24"/>
        </w:rPr>
        <w:t xml:space="preserve"> </w:t>
      </w:r>
      <w:r w:rsidR="00DE3443">
        <w:rPr>
          <w:rFonts w:ascii="Times New Roman" w:hAnsi="Times New Roman" w:cs="Times New Roman"/>
          <w:sz w:val="24"/>
          <w:szCs w:val="24"/>
        </w:rPr>
        <w:fldChar w:fldCharType="begin"/>
      </w:r>
      <w:r w:rsidR="00AB279D">
        <w:rPr>
          <w:rFonts w:ascii="Times New Roman" w:hAnsi="Times New Roman" w:cs="Times New Roman"/>
          <w:sz w:val="24"/>
          <w:szCs w:val="24"/>
        </w:rPr>
        <w:instrText xml:space="preserve"> ADDIN ZOTERO_ITEM CSL_CITATION {"citationID":"wETVgpqp","properties":{"formattedCitation":"(Lozano et al., 2015)","plainCitation":"(Lozano et al., 2015)","noteIndex":0},"citationItems":[{"id":443,"uris":["http://zotero.org/users/11450443/items/AW8UQP9F"],"itemData":{"id":443,"type":"article-journal","abstract":"By understanding structure–function relationships of active biopolymers (\n              e.g.\n              enzymes and nucleic acids) in green non-conventional media, sustainable chemical processes may be developed.\n            \n          , \n            \n              The greenness of chemical processes turns around two main axes: the selectivity of catalytic transformations, and the separation of pure products. The transfer of the exquisite catalytic efficiency shown by enzymes in nature to chemical processes is an important challenge. By using appropriate reaction systems, the combination of biopolymers with supercritical carbon dioxide (scCO\n              2\n              ) and ionic liquids (ILs) resulted in synergetic and outstanding platforms for developing (multi)catalytic green chemical processes, even under flow conditions. The stabilization of biocatalysts, together with the design of straightforward approaches for separation of pure products including the full recovery and reuse of enzymes/ILs systems, are essential elements for developing clean chemical processes. By understanding structure–function relationships of biopolymers in ILs, as well as for ILs themselves (\n              e.g.\n              sponge-like ionic liquids, SLILs; supported ionic liquids-like phases, SILLPs,\n              etc.\n              ), several integral green chemical processes of (bio)catalytic transformation and pure product separation are pointed out (\n              e.g.\n              the biocatalytic production of biodiesel in SLILs,\n              etc.\n              ). Other developments based on DNA/ILs systems, as pathfinder studies for further technological applications in the near future, are also considered.","container-title":"Chemical Communications","DOI":"10.1039/C5CC07600E","ISSN":"1359-7345, 1364-548X","issue":"98","journalAbbreviation":"Chem. Commun.","language":"en","page":"17361-17374","source":"DOI.org (Crossref)","title":"Active biopolymers in green non-conventional media: a sustainable tool for developing clean chemical processes","title-short":"Active biopolymers in green non-conventional media","volume":"51","author":[{"family":"Lozano","given":"Pedro"},{"family":"Bernal","given":"Juana M."},{"family":"Nieto","given":"Susana"},{"family":"Gomez","given":"Celia"},{"family":"Garcia-Verdugo","given":"Eduardo"},{"family":"Luis","given":"Santiago V."}],"issued":{"date-parts":[["2015"]]}}}],"schema":"https://github.com/citation-style-language/schema/raw/master/csl-citation.json"} </w:instrText>
      </w:r>
      <w:r w:rsidR="00DE3443">
        <w:rPr>
          <w:rFonts w:ascii="Times New Roman" w:hAnsi="Times New Roman" w:cs="Times New Roman"/>
          <w:sz w:val="24"/>
          <w:szCs w:val="24"/>
        </w:rPr>
        <w:fldChar w:fldCharType="separate"/>
      </w:r>
      <w:r w:rsidR="00AB279D" w:rsidRPr="00AB279D">
        <w:rPr>
          <w:rFonts w:ascii="Times New Roman" w:hAnsi="Times New Roman" w:cs="Times New Roman"/>
          <w:sz w:val="24"/>
        </w:rPr>
        <w:t>(Lozano et al., 2015)</w:t>
      </w:r>
      <w:r w:rsidR="00DE3443">
        <w:rPr>
          <w:rFonts w:ascii="Times New Roman" w:hAnsi="Times New Roman" w:cs="Times New Roman"/>
          <w:sz w:val="24"/>
          <w:szCs w:val="24"/>
        </w:rPr>
        <w:fldChar w:fldCharType="end"/>
      </w:r>
      <w:r w:rsidR="00451512">
        <w:rPr>
          <w:rFonts w:ascii="Times New Roman" w:hAnsi="Times New Roman" w:cs="Times New Roman"/>
          <w:sz w:val="24"/>
          <w:szCs w:val="24"/>
        </w:rPr>
        <w:t>.</w:t>
      </w:r>
      <w:r w:rsidRPr="007B6E98">
        <w:rPr>
          <w:rFonts w:ascii="Times New Roman" w:hAnsi="Times New Roman" w:cs="Times New Roman"/>
          <w:sz w:val="24"/>
          <w:szCs w:val="24"/>
        </w:rPr>
        <w:t xml:space="preserve"> </w:t>
      </w:r>
      <w:r w:rsidR="00357AC6">
        <w:rPr>
          <w:rFonts w:ascii="Times New Roman" w:hAnsi="Times New Roman" w:cs="Times New Roman"/>
          <w:sz w:val="24"/>
          <w:szCs w:val="24"/>
        </w:rPr>
        <w:t>In this view</w:t>
      </w:r>
      <w:r w:rsidRPr="007B6E98">
        <w:rPr>
          <w:rFonts w:ascii="Times New Roman" w:hAnsi="Times New Roman" w:cs="Times New Roman"/>
          <w:sz w:val="24"/>
          <w:szCs w:val="24"/>
        </w:rPr>
        <w:t>, lipases could provide an eco-friendly route for the transesterification of FDME with glycidol to produce DGF.</w:t>
      </w:r>
    </w:p>
    <w:p w14:paraId="6E58FAB8" w14:textId="2E3F39B6" w:rsidR="00EF63B0" w:rsidRPr="00A505AF" w:rsidRDefault="00750206" w:rsidP="00750206">
      <w:pPr>
        <w:spacing w:line="480" w:lineRule="auto"/>
        <w:jc w:val="both"/>
        <w:rPr>
          <w:rFonts w:ascii="Times New Roman" w:hAnsi="Times New Roman" w:cs="Times New Roman"/>
          <w:sz w:val="24"/>
          <w:szCs w:val="24"/>
        </w:rPr>
      </w:pPr>
      <w:r w:rsidRPr="00750206">
        <w:rPr>
          <w:rFonts w:ascii="Times New Roman" w:hAnsi="Times New Roman" w:cs="Times New Roman"/>
          <w:sz w:val="24"/>
          <w:szCs w:val="24"/>
        </w:rPr>
        <w:t xml:space="preserve">The development of materials based on </w:t>
      </w:r>
      <w:r w:rsidR="00D11224">
        <w:rPr>
          <w:rFonts w:ascii="Times New Roman" w:hAnsi="Times New Roman" w:cs="Times New Roman"/>
          <w:sz w:val="24"/>
          <w:szCs w:val="24"/>
        </w:rPr>
        <w:t>ILs</w:t>
      </w:r>
      <w:r w:rsidRPr="00750206">
        <w:rPr>
          <w:rFonts w:ascii="Times New Roman" w:hAnsi="Times New Roman" w:cs="Times New Roman"/>
          <w:sz w:val="24"/>
          <w:szCs w:val="24"/>
        </w:rPr>
        <w:t>, where IL-like moieties are covalently attached to solid supports (Supported Ionic Liquid-Like Phases, SILLPs), provides a valuable tool for creating IL-based microenvironments</w:t>
      </w:r>
      <w:r w:rsidR="00451512">
        <w:rPr>
          <w:rFonts w:ascii="Times New Roman" w:hAnsi="Times New Roman" w:cs="Times New Roman"/>
          <w:sz w:val="24"/>
          <w:szCs w:val="24"/>
        </w:rPr>
        <w:t xml:space="preserve"> </w:t>
      </w:r>
      <w:r w:rsidR="00DE3443">
        <w:rPr>
          <w:rFonts w:ascii="Times New Roman" w:hAnsi="Times New Roman" w:cs="Times New Roman"/>
          <w:sz w:val="24"/>
          <w:szCs w:val="24"/>
        </w:rPr>
        <w:fldChar w:fldCharType="begin"/>
      </w:r>
      <w:r w:rsidR="00AB279D">
        <w:rPr>
          <w:rFonts w:ascii="Times New Roman" w:hAnsi="Times New Roman" w:cs="Times New Roman"/>
          <w:sz w:val="24"/>
          <w:szCs w:val="24"/>
        </w:rPr>
        <w:instrText xml:space="preserve"> ADDIN ZOTERO_ITEM CSL_CITATION {"citationID":"b4JyIM7e","properties":{"formattedCitation":"(Migowski et al., 2023)","plainCitation":"(Migowski et al., 2023)","noteIndex":0},"citationItems":[{"id":445,"uris":["http://zotero.org/users/11450443/items/JAWRWZI6"],"itemData":{"id":445,"type":"article-journal","abstract":"The interplay among the properties of catalysts, substrates, products, and ionic liquids (ILs) for a desired selective reaction is presented with selected examples. A guide to select the most adequate IL for a catalytic device is proposed.\n          , \n            \n              1,3-Dialkyl imidazolium salts are amongst the most versatile family of ionic liquids (ILs) for catalytic processes, acting as a solvents, supports or modifiers given their anisotropic-like structural organisation, as well as their modular physical–chemical properties (thermal chemical stability, basicity, hydrophilicity, viscosity,\n              etc\n              .). Regardless of the catalyst's nature (\n              i.e.\n              transition-metal complexes, nanoparticles, enzymes and classical heterogeneous), the IL forms a barrier surrounding the catalyst and modifies the geometric and electronic properties of the catalyst or serves as a physical–chemical barrier “controlling” the access of the substrates and the eviction of the products. The miscibility of substrates and products, hydrophobicity, ionicity and basicity of the IL can be modulated by the proper choice of the imidazolium alkyl side chain and anions, allowing fine-tuning of the catalytic system, even for straightforward product separation processes. Alternatively, the poly ILs (PILs) and supported IL phases (SILP) on solid carriers also offer the possibility to design greener catalytic tools for various transformations since they facilitate transposing from batch to continuous flow conditions. ILs also enable the fabrication of devices using additive manufacturing to generate advanced and complex geometries. They also provide various methods to separate the products from the catalytic mixture by simple decanting, extraction with supercritical fluids or using external stimuli such as, for example, pressure, temperature, or magnetic induction. This review presents the properties of catalyst/substrates/products in bare, poly and supported ILs that can be used to help readers to select the adequate IL and derivatives for the desired catalytic system.","container-title":"Green Chemistry","DOI":"10.1039/D2GC04749G","ISSN":"1463-9262, 1463-9270","issue":"4","journalAbbreviation":"Green Chem.","language":"en","page":"1237-1260","source":"DOI.org (Crossref)","title":"Imidazolium based ionic liquid-phase green catalytic reactions","volume":"25","author":[{"family":"Migowski","given":"Pedro"},{"family":"Lozano","given":"Pedro"},{"family":"Dupont","given":"Jairton"}],"issued":{"date-parts":[["2023"]]}}}],"schema":"https://github.com/citation-style-language/schema/raw/master/csl-citation.json"} </w:instrText>
      </w:r>
      <w:r w:rsidR="00DE3443">
        <w:rPr>
          <w:rFonts w:ascii="Times New Roman" w:hAnsi="Times New Roman" w:cs="Times New Roman"/>
          <w:sz w:val="24"/>
          <w:szCs w:val="24"/>
        </w:rPr>
        <w:fldChar w:fldCharType="separate"/>
      </w:r>
      <w:r w:rsidR="00AB279D" w:rsidRPr="00AB279D">
        <w:rPr>
          <w:rFonts w:ascii="Times New Roman" w:hAnsi="Times New Roman" w:cs="Times New Roman"/>
          <w:sz w:val="24"/>
        </w:rPr>
        <w:t>(Migowski et al., 2023)</w:t>
      </w:r>
      <w:r w:rsidR="00DE3443">
        <w:rPr>
          <w:rFonts w:ascii="Times New Roman" w:hAnsi="Times New Roman" w:cs="Times New Roman"/>
          <w:sz w:val="24"/>
          <w:szCs w:val="24"/>
        </w:rPr>
        <w:fldChar w:fldCharType="end"/>
      </w:r>
      <w:r w:rsidR="00451512">
        <w:rPr>
          <w:rFonts w:ascii="Times New Roman" w:hAnsi="Times New Roman" w:cs="Times New Roman"/>
          <w:sz w:val="24"/>
          <w:szCs w:val="24"/>
        </w:rPr>
        <w:t>.</w:t>
      </w:r>
      <w:r w:rsidRPr="00750206">
        <w:rPr>
          <w:rFonts w:ascii="Times New Roman" w:hAnsi="Times New Roman" w:cs="Times New Roman"/>
          <w:sz w:val="24"/>
          <w:szCs w:val="24"/>
        </w:rPr>
        <w:t xml:space="preserve"> Such materials serve as “self-organized solid ionic solvents,” exhibiting properties similar to their bulk IL counterparts, making them suitable for continuous biocatalytic processes and as supported catalytic IL-phases.</w:t>
      </w:r>
      <w:r w:rsidR="00DA3F3A">
        <w:rPr>
          <w:rFonts w:ascii="Times New Roman" w:hAnsi="Times New Roman" w:cs="Times New Roman"/>
          <w:sz w:val="24"/>
          <w:szCs w:val="24"/>
        </w:rPr>
        <w:fldChar w:fldCharType="begin"/>
      </w:r>
      <w:r w:rsidR="00AB279D">
        <w:rPr>
          <w:rFonts w:ascii="Times New Roman" w:hAnsi="Times New Roman" w:cs="Times New Roman"/>
          <w:sz w:val="24"/>
          <w:szCs w:val="24"/>
        </w:rPr>
        <w:instrText xml:space="preserve"> ADDIN ZOTERO_ITEM CSL_CITATION {"citationID":"0sm1sZpX","properties":{"formattedCitation":"(Villa et al., 2019)","plainCitation":"(Villa et al., 2019)","noteIndex":0},"citationItems":[{"id":447,"uris":["http://zotero.org/users/11450443/items/CU5F46NE"],"itemData":{"id":447,"type":"article-journal","abstract":"This tutorial review highlights representative examples of ionic liquid (IL)-based (bio)catalytic systems integrating reaction and separation, as a tool for the development of sustainable chemical processes (\n              e.g.\n              IL/scCO\n              2\n              biphasic reactors, membrane reactors, nanodrop systems, microfluidic devices, supported IL phases, sponge-like ILs,\n              etc\n              .).\n            \n          , \n            \n              The development of advanced processes able to directly provide pure products by integrating chemical transformations, product separation and recovery and reuse of solvent and catalytic phases by straightforward and smart approaches is a key feature to build green chemical processes. The unique properties of ionic liquids (ILs), one of the key enabling technologies, can lead, when combined with (bio)catalysts, to amazing synergies not only improving the catalytic efficiency (\n              i.e.\n              improved activity and enantioselectivity, enhanced stability,\n              etc\n              .), but also allowing the design of smart approaches for product separation (\n              e.g.\n              IL/scCO\n              2\n              biphasic reactors, membrane reactors, nanodrop systems, microfluidic devices, supported IL phases, sponge-like ILs,\n              etc\n              .), incorporating the full recovery and reuse of the catalyst and the IL phase. This tutorial review highlights representative examples of IL-based systems integrating reaction/separation as a tool for the development of sustainable chemical processes leading to clean and pure chemical products.","container-title":"Green Chemistry","DOI":"10.1039/C9GC02553G","ISSN":"1463-9262, 1463-9270","issue":"24","journalAbbreviation":"Green Chem.","language":"en","page":"6527-6544","source":"DOI.org (Crossref)","title":"Ionic liquids as an enabling tool to integrate reaction and separation processes","volume":"21","author":[{"family":"Villa","given":"Rocio"},{"family":"Alvarez","given":"Elena"},{"family":"Porcar","given":"Raul"},{"family":"Garcia-Verdugo","given":"Eduardo"},{"family":"Luis","given":"Santiago V."},{"family":"Lozano","given":"Pedro"}],"issued":{"date-parts":[["2019"]]}}}],"schema":"https://github.com/citation-style-language/schema/raw/master/csl-citation.json"} </w:instrText>
      </w:r>
      <w:r w:rsidR="00DA3F3A">
        <w:rPr>
          <w:rFonts w:ascii="Times New Roman" w:hAnsi="Times New Roman" w:cs="Times New Roman"/>
          <w:sz w:val="24"/>
          <w:szCs w:val="24"/>
        </w:rPr>
        <w:fldChar w:fldCharType="separate"/>
      </w:r>
      <w:r w:rsidR="00AB279D" w:rsidRPr="00AB279D">
        <w:rPr>
          <w:rFonts w:ascii="Times New Roman" w:hAnsi="Times New Roman" w:cs="Times New Roman"/>
          <w:sz w:val="24"/>
        </w:rPr>
        <w:t>(Villa et al., 2019)</w:t>
      </w:r>
      <w:r w:rsidR="00DA3F3A">
        <w:rPr>
          <w:rFonts w:ascii="Times New Roman" w:hAnsi="Times New Roman" w:cs="Times New Roman"/>
          <w:sz w:val="24"/>
          <w:szCs w:val="24"/>
        </w:rPr>
        <w:fldChar w:fldCharType="end"/>
      </w:r>
      <w:r w:rsidRPr="00750206">
        <w:rPr>
          <w:rFonts w:ascii="Times New Roman" w:hAnsi="Times New Roman" w:cs="Times New Roman"/>
          <w:sz w:val="24"/>
          <w:szCs w:val="24"/>
        </w:rPr>
        <w:t xml:space="preserve"> Additionally, SILLPs can enhance catalyst performance</w:t>
      </w:r>
      <w:r w:rsidR="00D11224">
        <w:rPr>
          <w:rFonts w:ascii="Times New Roman" w:hAnsi="Times New Roman" w:cs="Times New Roman"/>
          <w:sz w:val="24"/>
          <w:szCs w:val="24"/>
        </w:rPr>
        <w:t>s</w:t>
      </w:r>
      <w:r w:rsidRPr="00750206">
        <w:rPr>
          <w:rFonts w:ascii="Times New Roman" w:hAnsi="Times New Roman" w:cs="Times New Roman"/>
          <w:sz w:val="24"/>
          <w:szCs w:val="24"/>
        </w:rPr>
        <w:t xml:space="preserve"> by aiding enzyme activation, improving activity and stability, and influencing selectivity.</w:t>
      </w:r>
      <w:r w:rsidR="007B6E98">
        <w:rPr>
          <w:rFonts w:ascii="Times New Roman" w:hAnsi="Times New Roman" w:cs="Times New Roman"/>
          <w:sz w:val="24"/>
          <w:szCs w:val="24"/>
        </w:rPr>
        <w:t xml:space="preserve"> </w:t>
      </w:r>
      <w:bookmarkEnd w:id="10"/>
      <w:r w:rsidR="00EF63B0" w:rsidRPr="00A505AF">
        <w:rPr>
          <w:rFonts w:ascii="Times New Roman" w:hAnsi="Times New Roman" w:cs="Times New Roman"/>
          <w:sz w:val="24"/>
          <w:szCs w:val="24"/>
        </w:rPr>
        <w:t xml:space="preserve">These supported systems combine the advantages of biocatalysis </w:t>
      </w:r>
      <w:r w:rsidR="00F77B83">
        <w:rPr>
          <w:rFonts w:ascii="Times New Roman" w:hAnsi="Times New Roman" w:cs="Times New Roman"/>
          <w:sz w:val="24"/>
          <w:szCs w:val="24"/>
        </w:rPr>
        <w:t xml:space="preserve">in ionic liquid media </w:t>
      </w:r>
      <w:r w:rsidR="00EF63B0" w:rsidRPr="00A505AF">
        <w:rPr>
          <w:rFonts w:ascii="Times New Roman" w:hAnsi="Times New Roman" w:cs="Times New Roman"/>
          <w:sz w:val="24"/>
          <w:szCs w:val="24"/>
        </w:rPr>
        <w:t>with the enhanced stability and reusability provided by the immobilized enzyme</w:t>
      </w:r>
      <w:r w:rsidR="00451512">
        <w:rPr>
          <w:rFonts w:ascii="Times New Roman" w:hAnsi="Times New Roman" w:cs="Times New Roman"/>
          <w:sz w:val="24"/>
          <w:szCs w:val="24"/>
        </w:rPr>
        <w:t xml:space="preserve"> </w:t>
      </w:r>
      <w:r w:rsidR="00DA3F3A">
        <w:rPr>
          <w:rFonts w:ascii="Times New Roman" w:hAnsi="Times New Roman" w:cs="Times New Roman"/>
          <w:sz w:val="24"/>
          <w:szCs w:val="24"/>
        </w:rPr>
        <w:fldChar w:fldCharType="begin"/>
      </w:r>
      <w:r w:rsidR="00AB279D">
        <w:rPr>
          <w:rFonts w:ascii="Times New Roman" w:hAnsi="Times New Roman" w:cs="Times New Roman"/>
          <w:sz w:val="24"/>
          <w:szCs w:val="24"/>
        </w:rPr>
        <w:instrText xml:space="preserve"> ADDIN ZOTERO_ITEM CSL_CITATION {"citationID":"6qzGFph9","properties":{"formattedCitation":"(Migowski et al., 2023)","plainCitation":"(Migowski et al., 2023)","noteIndex":0},"citationItems":[{"id":445,"uris":["http://zotero.org/users/11450443/items/JAWRWZI6"],"itemData":{"id":445,"type":"article-journal","abstract":"The interplay among the properties of catalysts, substrates, products, and ionic liquids (ILs) for a desired selective reaction is presented with selected examples. A guide to select the most adequate IL for a catalytic device is proposed.\n          , \n            \n              1,3-Dialkyl imidazolium salts are amongst the most versatile family of ionic liquids (ILs) for catalytic processes, acting as a solvents, supports or modifiers given their anisotropic-like structural organisation, as well as their modular physical–chemical properties (thermal chemical stability, basicity, hydrophilicity, viscosity,\n              etc\n              .). Regardless of the catalyst's nature (\n              i.e.\n              transition-metal complexes, nanoparticles, enzymes and classical heterogeneous), the IL forms a barrier surrounding the catalyst and modifies the geometric and electronic properties of the catalyst or serves as a physical–chemical barrier “controlling” the access of the substrates and the eviction of the products. The miscibility of substrates and products, hydrophobicity, ionicity and basicity of the IL can be modulated by the proper choice of the imidazolium alkyl side chain and anions, allowing fine-tuning of the catalytic system, even for straightforward product separation processes. Alternatively, the poly ILs (PILs) and supported IL phases (SILP) on solid carriers also offer the possibility to design greener catalytic tools for various transformations since they facilitate transposing from batch to continuous flow conditions. ILs also enable the fabrication of devices using additive manufacturing to generate advanced and complex geometries. They also provide various methods to separate the products from the catalytic mixture by simple decanting, extraction with supercritical fluids or using external stimuli such as, for example, pressure, temperature, or magnetic induction. This review presents the properties of catalyst/substrates/products in bare, poly and supported ILs that can be used to help readers to select the adequate IL and derivatives for the desired catalytic system.","container-title":"Green Chemistry","DOI":"10.1039/D2GC04749G","ISSN":"1463-9262, 1463-9270","issue":"4","journalAbbreviation":"Green Chem.","language":"en","page":"1237-1260","source":"DOI.org (Crossref)","title":"Imidazolium based ionic liquid-phase green catalytic reactions","volume":"25","author":[{"family":"Migowski","given":"Pedro"},{"family":"Lozano","given":"Pedro"},{"family":"Dupont","given":"Jairton"}],"issued":{"date-parts":[["2023"]]}}}],"schema":"https://github.com/citation-style-language/schema/raw/master/csl-citation.json"} </w:instrText>
      </w:r>
      <w:r w:rsidR="00DA3F3A">
        <w:rPr>
          <w:rFonts w:ascii="Times New Roman" w:hAnsi="Times New Roman" w:cs="Times New Roman"/>
          <w:sz w:val="24"/>
          <w:szCs w:val="24"/>
        </w:rPr>
        <w:fldChar w:fldCharType="separate"/>
      </w:r>
      <w:r w:rsidR="00AB279D" w:rsidRPr="00AB279D">
        <w:rPr>
          <w:rFonts w:ascii="Times New Roman" w:hAnsi="Times New Roman" w:cs="Times New Roman"/>
          <w:sz w:val="24"/>
        </w:rPr>
        <w:t>(Migowski et al., 2023)</w:t>
      </w:r>
      <w:r w:rsidR="00DA3F3A">
        <w:rPr>
          <w:rFonts w:ascii="Times New Roman" w:hAnsi="Times New Roman" w:cs="Times New Roman"/>
          <w:sz w:val="24"/>
          <w:szCs w:val="24"/>
        </w:rPr>
        <w:fldChar w:fldCharType="end"/>
      </w:r>
      <w:r w:rsidR="00451512">
        <w:rPr>
          <w:rFonts w:ascii="Times New Roman" w:hAnsi="Times New Roman" w:cs="Times New Roman"/>
          <w:sz w:val="24"/>
          <w:szCs w:val="24"/>
        </w:rPr>
        <w:t>.</w:t>
      </w:r>
      <w:r w:rsidR="00EF63B0" w:rsidRPr="00A505AF">
        <w:rPr>
          <w:rFonts w:ascii="Times New Roman" w:hAnsi="Times New Roman" w:cs="Times New Roman"/>
          <w:sz w:val="24"/>
          <w:szCs w:val="24"/>
        </w:rPr>
        <w:t xml:space="preserve"> Building on this</w:t>
      </w:r>
      <w:r w:rsidR="00451512">
        <w:rPr>
          <w:rFonts w:ascii="Times New Roman" w:hAnsi="Times New Roman" w:cs="Times New Roman"/>
          <w:sz w:val="24"/>
          <w:szCs w:val="24"/>
        </w:rPr>
        <w:t xml:space="preserve"> </w:t>
      </w:r>
      <w:r w:rsidR="00DA3F3A">
        <w:rPr>
          <w:rFonts w:ascii="Times New Roman" w:hAnsi="Times New Roman" w:cs="Times New Roman"/>
          <w:sz w:val="24"/>
          <w:szCs w:val="24"/>
        </w:rPr>
        <w:fldChar w:fldCharType="begin"/>
      </w:r>
      <w:r w:rsidR="00AB279D">
        <w:rPr>
          <w:rFonts w:ascii="Times New Roman" w:hAnsi="Times New Roman" w:cs="Times New Roman"/>
          <w:sz w:val="24"/>
          <w:szCs w:val="24"/>
        </w:rPr>
        <w:instrText xml:space="preserve"> ADDIN ZOTERO_ITEM CSL_CITATION {"citationID":"t5e39AGA","properties":{"formattedCitation":"(Lozano et al., 2012; Migowski et al., 2023; Villa et al., 2021)","plainCitation":"(Lozano et al., 2012; Migowski et al., 2023; Villa et al., 2021)","noteIndex":0},"citationItems":[{"id":445,"uris":["http://zotero.org/users/11450443/items/JAWRWZI6"],"itemData":{"id":445,"type":"article-journal","abstract":"The interplay among the properties of catalysts, substrates, products, and ionic liquids (ILs) for a desired selective reaction is presented with selected examples. A guide to select the most adequate IL for a catalytic device is proposed.\n          , \n            \n              1,3-Dialkyl imidazolium salts are amongst the most versatile family of ionic liquids (ILs) for catalytic processes, acting as a solvents, supports or modifiers given their anisotropic-like structural organisation, as well as their modular physical–chemical properties (thermal chemical stability, basicity, hydrophilicity, viscosity,\n              etc\n              .). Regardless of the catalyst's nature (\n              i.e.\n              transition-metal complexes, nanoparticles, enzymes and classical heterogeneous), the IL forms a barrier surrounding the catalyst and modifies the geometric and electronic properties of the catalyst or serves as a physical–chemical barrier “controlling” the access of the substrates and the eviction of the products. The miscibility of substrates and products, hydrophobicity, ionicity and basicity of the IL can be modulated by the proper choice of the imidazolium alkyl side chain and anions, allowing fine-tuning of the catalytic system, even for straightforward product separation processes. Alternatively, the poly ILs (PILs) and supported IL phases (SILP) on solid carriers also offer the possibility to design greener catalytic tools for various transformations since they facilitate transposing from batch to continuous flow conditions. ILs also enable the fabrication of devices using additive manufacturing to generate advanced and complex geometries. They also provide various methods to separate the products from the catalytic mixture by simple decanting, extraction with supercritical fluids or using external stimuli such as, for example, pressure, temperature, or magnetic induction. This review presents the properties of catalyst/substrates/products in bare, poly and supported ILs that can be used to help readers to select the adequate IL and derivatives for the desired catalytic system.","container-title":"Green Chemistry","DOI":"10.1039/D2GC04749G","ISSN":"1463-9262, 1463-9270","issue":"4","journalAbbreviation":"Green Chem.","language":"en","page":"1237-1260","source":"DOI.org (Crossref)","title":"Imidazolium based ionic liquid-phase green catalytic reactions","volume":"25","author":[{"family":"Migowski","given":"Pedro"},{"family":"Lozano","given":"Pedro"},{"family":"Dupont","given":"Jairton"}],"issued":{"date-parts":[["2023"]]}}},{"id":449,"uris":["http://zotero.org/users/11450443/items/F6BDYG5J"],"itemData":{"id":449,"type":"article-journal","abstract":"Abstract\n            \n              Different nanostructured supports, based on 1‐decyl‐2‐methyimidazolium cations covalently attached to a polystyrene divinylbenzene porous matrix, were used as carriers to immobilise\n              Candida antarctica\n              lipase B. The suitability of these immobilised lipase derivatives for the synthesis of biodiesel (methyl oleate) by the methanolysis of triolein has been tested in both\n              tert\n              ‐butanol and supercritical (sc)CO\n              2\n              (18 MPa, 45 °C) as reaction media. The use of modified supports with low ionic‐liquid loading covalently attached to the main polymeric backbone chains provide structured materials that led to the best biodiesel yields (up to 95 %) and operational stability (85 % biodiesel yield after 45 cycles of 8–4 h) in scCO\n              2\n              (45 °C, 18 MPa). The presence of\n              tert\n              ‐butanol as an inert cosolvent in the scCO\n              2\n              phase at the same concentration as triolein was key to avoid poisoning the biocatalyst through the blockage of its active sites by the polar byproduct (glycerol) produced in the biodiesel synthesis.","container-title":"ChemSusChem","DOI":"10.1002/cssc.201100692","ISSN":"1864-5631, 1864-564X","issue":"4","journalAbbreviation":"ChemSusChem","language":"en","page":"790-798","source":"DOI.org (Crossref)","title":"Immobilised Lipase on Structured Supports Containing Covalently Attached Ionic Liquids for the Continuous Synthesis of Biodiesel in scCO&lt;sub&gt;2&lt;/sub&gt;","volume":"5","author":[{"family":"Lozano","given":"Pedro"},{"family":"García‐Verdugo","given":"Eduardo"},{"family":"Bernal","given":"Juana M."},{"family":"Izquierdo","given":"Diana F."},{"family":"Burguete","given":"M. Isabel"},{"family":"Sánchez‐Gómez","given":"Gregorio"},{"family":"Luis","given":"Santiago V."}],"issued":{"date-parts":[["2012",4]]}}},{"id":451,"uris":["http://zotero.org/users/11450443/items/ZGAV2AR7"],"itemData":{"id":451,"type":"article-journal","abstract":"A sustainable chemo-enzymatic process for producing both glycerol carbonate acrylate and glycerol carbonate methacrylate, as monomers for the preparation of biodegradable plastic materials, has been developed by using ionic liquid technologies.\n          , \n            \n              A sustainable chemo-enzymatic process for producing both glycerol carbonate acrylate (GCA) and glycerol carbonate methacrylate (GCMA), as useful monomers for the preparation of biodegradable plastic materials, has been carried out by taking advantage of ionic liquid (IL) technologies. The process consisted of two consecutive catalytic steps, which can be carried out by either sequential or one-pot experimental approaches. Glycidyl (meth)acrylate was firstly synthesized by enzymatic transesterification of (meth)acrylate vinyl ester with glycidol in Sponge Like Ionic Liquids (SLILs) as the reaction medium (100% yield after 6 h at 60 °C). SLILs not only provided a suitable reaction medium, but also allowed the simple isolation of the resulting glycidyl esters as an IL-free pure fraction through a straightforward cooling/centrifugation protocol. The second step consisted of the synthesis of GCA, or GCMA, as the outcome of the cycloaddition of CO\n              2\n              to the obtained glycidyl acrylate or glycidyl methacrylate, respectively, catalysed by a covalently attached 1-decyl-2-methylimidazolium moiety (Supported Ionic Liquid-Like Phase, SILLP) in a solvent-free system and under mild conditions (60 °C, 1–10 bar), leading to up to 100% yield after 6 h. The components of the reaction system (biocatalyst/SLIL/SILLP) can be fully recovered and reused for at least 6 cycles with unchanged catalytic performance.","container-title":"Green Chemistry","DOI":"10.1039/D1GC01096D","ISSN":"1463-9262, 1463-9270","issue":"11","journalAbbreviation":"Green Chem.","language":"en","page":"4191-4200","source":"DOI.org (Crossref)","title":"Sustainable chemo-enzymatic synthesis of glycerol carbonate (meth)acrylate from glycidol and carbon dioxide enabled by ionic liquid technologies","volume":"23","author":[{"family":"Villa","given":"Rocio"},{"family":"Porcar","given":"Raul"},{"family":"Nieto","given":"Susana"},{"family":"Donaire","given":"Antonio"},{"family":"Garcia-Verdugo","given":"Eduardo"},{"family":"Luis","given":"Santiago V."},{"family":"Lozano","given":"Pedro"}],"issued":{"date-parts":[["2021"]]}}}],"schema":"https://github.com/citation-style-language/schema/raw/master/csl-citation.json"} </w:instrText>
      </w:r>
      <w:r w:rsidR="00DA3F3A">
        <w:rPr>
          <w:rFonts w:ascii="Times New Roman" w:hAnsi="Times New Roman" w:cs="Times New Roman"/>
          <w:sz w:val="24"/>
          <w:szCs w:val="24"/>
        </w:rPr>
        <w:fldChar w:fldCharType="separate"/>
      </w:r>
      <w:r w:rsidR="00AB279D" w:rsidRPr="00AB279D">
        <w:rPr>
          <w:rFonts w:ascii="Times New Roman" w:hAnsi="Times New Roman" w:cs="Times New Roman"/>
          <w:sz w:val="24"/>
        </w:rPr>
        <w:t>(Lozano et al., 2012; Migowski et al., 2023; Villa et al., 2021)</w:t>
      </w:r>
      <w:r w:rsidR="00DA3F3A">
        <w:rPr>
          <w:rFonts w:ascii="Times New Roman" w:hAnsi="Times New Roman" w:cs="Times New Roman"/>
          <w:sz w:val="24"/>
          <w:szCs w:val="24"/>
        </w:rPr>
        <w:fldChar w:fldCharType="end"/>
      </w:r>
      <w:r w:rsidR="00451512">
        <w:rPr>
          <w:rFonts w:ascii="Times New Roman" w:hAnsi="Times New Roman" w:cs="Times New Roman"/>
          <w:sz w:val="24"/>
          <w:szCs w:val="24"/>
        </w:rPr>
        <w:t>,</w:t>
      </w:r>
      <w:r w:rsidR="00EF63B0" w:rsidRPr="00A505AF">
        <w:rPr>
          <w:rFonts w:ascii="Times New Roman" w:hAnsi="Times New Roman" w:cs="Times New Roman"/>
          <w:sz w:val="24"/>
          <w:szCs w:val="24"/>
        </w:rPr>
        <w:t xml:space="preserve"> several </w:t>
      </w:r>
      <w:r>
        <w:rPr>
          <w:rFonts w:ascii="Times New Roman" w:hAnsi="Times New Roman" w:cs="Times New Roman"/>
          <w:sz w:val="24"/>
          <w:szCs w:val="24"/>
        </w:rPr>
        <w:t xml:space="preserve">SILLPs bearing different </w:t>
      </w:r>
      <w:r w:rsidRPr="00A505AF">
        <w:rPr>
          <w:rFonts w:ascii="Times New Roman" w:hAnsi="Times New Roman" w:cs="Times New Roman"/>
          <w:sz w:val="24"/>
          <w:szCs w:val="24"/>
        </w:rPr>
        <w:t>alkyl imidazolium moieties</w:t>
      </w:r>
      <w:r w:rsidR="00D11224">
        <w:rPr>
          <w:rFonts w:ascii="Times New Roman" w:hAnsi="Times New Roman" w:cs="Times New Roman"/>
          <w:sz w:val="24"/>
          <w:szCs w:val="24"/>
        </w:rPr>
        <w:t xml:space="preserve"> were evaluated</w:t>
      </w:r>
      <w:r>
        <w:rPr>
          <w:rFonts w:ascii="Times New Roman" w:hAnsi="Times New Roman" w:cs="Times New Roman"/>
          <w:sz w:val="24"/>
          <w:szCs w:val="24"/>
        </w:rPr>
        <w:t>,</w:t>
      </w:r>
      <w:r w:rsidR="00EF63B0" w:rsidRPr="00A505AF">
        <w:rPr>
          <w:rFonts w:ascii="Times New Roman" w:hAnsi="Times New Roman" w:cs="Times New Roman"/>
          <w:sz w:val="24"/>
          <w:szCs w:val="24"/>
        </w:rPr>
        <w:t xml:space="preserve"> based on gel-type or microporous polymeric polystyrene-divinylbenzene (PS-DVB) </w:t>
      </w:r>
      <w:r w:rsidR="00F50B14">
        <w:rPr>
          <w:rFonts w:ascii="Times New Roman" w:hAnsi="Times New Roman" w:cs="Times New Roman"/>
          <w:sz w:val="24"/>
          <w:szCs w:val="24"/>
        </w:rPr>
        <w:t>resins</w:t>
      </w:r>
      <w:r w:rsidR="00EF63B0" w:rsidRPr="00A505AF">
        <w:rPr>
          <w:rFonts w:ascii="Times New Roman" w:hAnsi="Times New Roman" w:cs="Times New Roman"/>
          <w:sz w:val="24"/>
          <w:szCs w:val="24"/>
        </w:rPr>
        <w:t xml:space="preserve"> </w:t>
      </w:r>
      <w:r w:rsidR="00F50B14">
        <w:rPr>
          <w:rFonts w:ascii="Times New Roman" w:hAnsi="Times New Roman" w:cs="Times New Roman"/>
          <w:sz w:val="24"/>
          <w:szCs w:val="24"/>
        </w:rPr>
        <w:t>as support</w:t>
      </w:r>
      <w:r w:rsidR="00EF63B0" w:rsidRPr="00A505AF">
        <w:rPr>
          <w:rFonts w:ascii="Times New Roman" w:hAnsi="Times New Roman" w:cs="Times New Roman"/>
          <w:sz w:val="24"/>
          <w:szCs w:val="24"/>
        </w:rPr>
        <w:t xml:space="preserve"> for the immobilization of </w:t>
      </w:r>
      <w:r w:rsidR="00EF63B0" w:rsidRPr="00451512">
        <w:rPr>
          <w:rFonts w:ascii="Times New Roman" w:hAnsi="Times New Roman" w:cs="Times New Roman"/>
          <w:i/>
          <w:iCs/>
          <w:sz w:val="24"/>
          <w:szCs w:val="24"/>
        </w:rPr>
        <w:t>Candida antarctica</w:t>
      </w:r>
      <w:r w:rsidR="00EF63B0" w:rsidRPr="00A505AF">
        <w:rPr>
          <w:rFonts w:ascii="Times New Roman" w:hAnsi="Times New Roman" w:cs="Times New Roman"/>
          <w:sz w:val="24"/>
          <w:szCs w:val="24"/>
        </w:rPr>
        <w:t xml:space="preserve"> lipase B (CALB).</w:t>
      </w:r>
      <w:r w:rsidR="00D11224">
        <w:rPr>
          <w:rFonts w:ascii="Times New Roman" w:hAnsi="Times New Roman" w:cs="Times New Roman"/>
          <w:sz w:val="24"/>
          <w:szCs w:val="24"/>
        </w:rPr>
        <w:t xml:space="preserve"> </w:t>
      </w:r>
      <w:r w:rsidR="00EF63B0" w:rsidRPr="00A505AF">
        <w:rPr>
          <w:rFonts w:ascii="Times New Roman" w:hAnsi="Times New Roman" w:cs="Times New Roman"/>
          <w:sz w:val="24"/>
          <w:szCs w:val="24"/>
        </w:rPr>
        <w:t xml:space="preserve">These </w:t>
      </w:r>
      <w:r w:rsidR="00F50B14">
        <w:rPr>
          <w:rFonts w:ascii="Times New Roman" w:hAnsi="Times New Roman" w:cs="Times New Roman"/>
          <w:sz w:val="24"/>
          <w:szCs w:val="24"/>
        </w:rPr>
        <w:t>immobilized</w:t>
      </w:r>
      <w:r w:rsidR="00F50B14" w:rsidRPr="00A505AF">
        <w:rPr>
          <w:rFonts w:ascii="Times New Roman" w:hAnsi="Times New Roman" w:cs="Times New Roman"/>
          <w:sz w:val="24"/>
          <w:szCs w:val="24"/>
        </w:rPr>
        <w:t xml:space="preserve"> </w:t>
      </w:r>
      <w:r w:rsidR="00F50B14">
        <w:rPr>
          <w:rFonts w:ascii="Times New Roman" w:hAnsi="Times New Roman" w:cs="Times New Roman"/>
          <w:sz w:val="24"/>
          <w:szCs w:val="24"/>
        </w:rPr>
        <w:t xml:space="preserve">enzymatic </w:t>
      </w:r>
      <w:r w:rsidR="00EF63B0" w:rsidRPr="00A505AF">
        <w:rPr>
          <w:rFonts w:ascii="Times New Roman" w:hAnsi="Times New Roman" w:cs="Times New Roman"/>
          <w:sz w:val="24"/>
          <w:szCs w:val="24"/>
        </w:rPr>
        <w:t>catalysts were tested for the transesterification of FDME with glycidol</w:t>
      </w:r>
      <w:r w:rsidR="00F50B14">
        <w:rPr>
          <w:rFonts w:ascii="Times New Roman" w:hAnsi="Times New Roman" w:cs="Times New Roman"/>
          <w:sz w:val="24"/>
          <w:szCs w:val="24"/>
        </w:rPr>
        <w:t xml:space="preserve"> (Figure 4)</w:t>
      </w:r>
      <w:r w:rsidR="00EF63B0" w:rsidRPr="00A505AF">
        <w:rPr>
          <w:rFonts w:ascii="Times New Roman" w:hAnsi="Times New Roman" w:cs="Times New Roman"/>
          <w:sz w:val="24"/>
          <w:szCs w:val="24"/>
        </w:rPr>
        <w:t>.</w:t>
      </w:r>
    </w:p>
    <w:p w14:paraId="60FEA07B" w14:textId="2775BFAF" w:rsidR="003D278A" w:rsidRDefault="003D278A" w:rsidP="009A568D">
      <w:pPr>
        <w:spacing w:line="240" w:lineRule="auto"/>
        <w:jc w:val="center"/>
        <w:rPr>
          <w:rFonts w:ascii="Times New Roman" w:hAnsi="Times New Roman" w:cs="Times New Roman"/>
          <w:sz w:val="24"/>
          <w:szCs w:val="24"/>
        </w:rPr>
      </w:pPr>
    </w:p>
    <w:p w14:paraId="40DE98C8" w14:textId="4E29E444" w:rsidR="003D278A" w:rsidRDefault="003D278A" w:rsidP="009A568D">
      <w:pPr>
        <w:spacing w:line="24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182DB695" wp14:editId="1872EF13">
            <wp:extent cx="5205046" cy="3682770"/>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224451" cy="3696500"/>
                    </a:xfrm>
                    <a:prstGeom prst="rect">
                      <a:avLst/>
                    </a:prstGeom>
                    <a:noFill/>
                  </pic:spPr>
                </pic:pic>
              </a:graphicData>
            </a:graphic>
          </wp:inline>
        </w:drawing>
      </w:r>
    </w:p>
    <w:p w14:paraId="57D5DD12" w14:textId="141939EB" w:rsidR="00EF63B0" w:rsidRPr="00753FBC" w:rsidRDefault="00551007" w:rsidP="003D278A">
      <w:pPr>
        <w:spacing w:line="240" w:lineRule="auto"/>
        <w:jc w:val="center"/>
        <w:rPr>
          <w:rFonts w:ascii="Times New Roman" w:hAnsi="Times New Roman" w:cs="Times New Roman"/>
          <w:b/>
          <w:bCs/>
          <w:i/>
          <w:iCs/>
          <w:sz w:val="18"/>
          <w:szCs w:val="18"/>
        </w:rPr>
      </w:pPr>
      <w:r w:rsidRPr="00753FBC">
        <w:rPr>
          <w:rFonts w:ascii="Times New Roman" w:hAnsi="Times New Roman" w:cs="Times New Roman"/>
          <w:b/>
          <w:bCs/>
          <w:sz w:val="18"/>
          <w:szCs w:val="18"/>
        </w:rPr>
        <w:t>F</w:t>
      </w:r>
      <w:r w:rsidR="00EF63B0" w:rsidRPr="00753FBC">
        <w:rPr>
          <w:rFonts w:ascii="Times New Roman" w:hAnsi="Times New Roman" w:cs="Times New Roman"/>
          <w:b/>
          <w:bCs/>
          <w:sz w:val="18"/>
          <w:szCs w:val="18"/>
        </w:rPr>
        <w:t>ig</w:t>
      </w:r>
      <w:r w:rsidRPr="00753FBC">
        <w:rPr>
          <w:rFonts w:ascii="Times New Roman" w:hAnsi="Times New Roman" w:cs="Times New Roman"/>
          <w:b/>
          <w:bCs/>
          <w:sz w:val="18"/>
          <w:szCs w:val="18"/>
        </w:rPr>
        <w:t>ure 4</w:t>
      </w:r>
      <w:r w:rsidR="00753FBC" w:rsidRPr="00753FBC">
        <w:rPr>
          <w:rFonts w:ascii="Times New Roman" w:hAnsi="Times New Roman" w:cs="Times New Roman"/>
          <w:b/>
          <w:bCs/>
          <w:sz w:val="18"/>
          <w:szCs w:val="18"/>
        </w:rPr>
        <w:t xml:space="preserve"> -</w:t>
      </w:r>
      <w:r w:rsidR="00EF63B0" w:rsidRPr="00753FBC">
        <w:rPr>
          <w:rFonts w:ascii="Times New Roman" w:hAnsi="Times New Roman" w:cs="Times New Roman"/>
          <w:b/>
          <w:bCs/>
          <w:sz w:val="18"/>
          <w:szCs w:val="18"/>
        </w:rPr>
        <w:t xml:space="preserve"> </w:t>
      </w:r>
      <w:r w:rsidR="00EF63B0" w:rsidRPr="00753FBC">
        <w:rPr>
          <w:rFonts w:ascii="Times New Roman" w:hAnsi="Times New Roman" w:cs="Times New Roman"/>
          <w:sz w:val="18"/>
          <w:szCs w:val="18"/>
        </w:rPr>
        <w:t>Evaluation of different CALB-SILLPs (100 mg) 0.</w:t>
      </w:r>
      <w:r w:rsidR="00973272" w:rsidRPr="00753FBC">
        <w:rPr>
          <w:rFonts w:ascii="Times New Roman" w:hAnsi="Times New Roman" w:cs="Times New Roman"/>
          <w:sz w:val="18"/>
          <w:szCs w:val="18"/>
        </w:rPr>
        <w:t xml:space="preserve">54 </w:t>
      </w:r>
      <w:r w:rsidR="00EF63B0" w:rsidRPr="00753FBC">
        <w:rPr>
          <w:rFonts w:ascii="Times New Roman" w:hAnsi="Times New Roman" w:cs="Times New Roman"/>
          <w:sz w:val="18"/>
          <w:szCs w:val="18"/>
        </w:rPr>
        <w:t xml:space="preserve">M of FDME in 2-Me-THF and 2.4 equivalents of glycidol 60 </w:t>
      </w:r>
      <w:r w:rsidR="00EF63B0" w:rsidRPr="00753FBC">
        <w:rPr>
          <w:rFonts w:ascii="Times New Roman" w:hAnsi="Times New Roman" w:cs="Times New Roman"/>
          <w:sz w:val="18"/>
          <w:szCs w:val="18"/>
          <w:vertAlign w:val="superscript"/>
        </w:rPr>
        <w:t>o</w:t>
      </w:r>
      <w:r w:rsidR="00EF63B0" w:rsidRPr="00753FBC">
        <w:rPr>
          <w:rFonts w:ascii="Times New Roman" w:hAnsi="Times New Roman" w:cs="Times New Roman"/>
          <w:sz w:val="18"/>
          <w:szCs w:val="18"/>
        </w:rPr>
        <w:t>C, 6 hours</w:t>
      </w:r>
      <w:r w:rsidR="00451512" w:rsidRPr="00753FBC">
        <w:rPr>
          <w:rFonts w:ascii="Times New Roman" w:hAnsi="Times New Roman" w:cs="Times New Roman"/>
          <w:sz w:val="18"/>
          <w:szCs w:val="18"/>
        </w:rPr>
        <w:t xml:space="preserve"> (Table SI.</w:t>
      </w:r>
      <w:r w:rsidR="000E7348" w:rsidRPr="00753FBC">
        <w:rPr>
          <w:rFonts w:ascii="Times New Roman" w:hAnsi="Times New Roman" w:cs="Times New Roman"/>
          <w:sz w:val="18"/>
          <w:szCs w:val="18"/>
        </w:rPr>
        <w:t>3</w:t>
      </w:r>
      <w:r w:rsidR="00451512" w:rsidRPr="00753FBC">
        <w:rPr>
          <w:rFonts w:ascii="Times New Roman" w:hAnsi="Times New Roman" w:cs="Times New Roman"/>
          <w:sz w:val="18"/>
          <w:szCs w:val="18"/>
        </w:rPr>
        <w:t>)</w:t>
      </w:r>
      <w:r w:rsidR="00391F38" w:rsidRPr="00753FBC">
        <w:rPr>
          <w:rFonts w:ascii="Times New Roman" w:hAnsi="Times New Roman" w:cs="Times New Roman"/>
          <w:i/>
          <w:iCs/>
          <w:sz w:val="18"/>
          <w:szCs w:val="18"/>
        </w:rPr>
        <w:t xml:space="preserve"> (</w:t>
      </w:r>
      <w:r w:rsidR="00391F38" w:rsidRPr="00753FBC">
        <w:rPr>
          <w:rFonts w:ascii="Times New Roman" w:hAnsi="Times New Roman" w:cs="Times New Roman"/>
          <w:sz w:val="18"/>
          <w:szCs w:val="18"/>
        </w:rPr>
        <w:t xml:space="preserve">blue: </w:t>
      </w:r>
      <w:r w:rsidR="003D278A" w:rsidRPr="00753FBC">
        <w:rPr>
          <w:rFonts w:ascii="Times New Roman" w:hAnsi="Times New Roman" w:cs="Times New Roman"/>
          <w:sz w:val="18"/>
          <w:szCs w:val="18"/>
        </w:rPr>
        <w:t>M</w:t>
      </w:r>
      <w:r w:rsidR="00391F38" w:rsidRPr="00753FBC">
        <w:rPr>
          <w:rFonts w:ascii="Times New Roman" w:hAnsi="Times New Roman" w:cs="Times New Roman"/>
          <w:sz w:val="18"/>
          <w:szCs w:val="18"/>
        </w:rPr>
        <w:t xml:space="preserve">GF; red: </w:t>
      </w:r>
      <w:r w:rsidR="003D278A" w:rsidRPr="00753FBC">
        <w:rPr>
          <w:rFonts w:ascii="Times New Roman" w:hAnsi="Times New Roman" w:cs="Times New Roman"/>
          <w:sz w:val="18"/>
          <w:szCs w:val="18"/>
        </w:rPr>
        <w:t>D</w:t>
      </w:r>
      <w:r w:rsidR="00391F38" w:rsidRPr="00753FBC">
        <w:rPr>
          <w:rFonts w:ascii="Times New Roman" w:hAnsi="Times New Roman" w:cs="Times New Roman"/>
          <w:sz w:val="18"/>
          <w:szCs w:val="18"/>
        </w:rPr>
        <w:t>GF</w:t>
      </w:r>
      <w:r w:rsidR="00391F38" w:rsidRPr="00753FBC">
        <w:rPr>
          <w:rFonts w:ascii="Times New Roman" w:hAnsi="Times New Roman" w:cs="Times New Roman"/>
          <w:i/>
          <w:iCs/>
          <w:sz w:val="18"/>
          <w:szCs w:val="18"/>
        </w:rPr>
        <w:t>)</w:t>
      </w:r>
      <w:r w:rsidR="0014637B" w:rsidRPr="00753FBC">
        <w:rPr>
          <w:rFonts w:ascii="Times New Roman" w:hAnsi="Times New Roman" w:cs="Times New Roman"/>
          <w:sz w:val="18"/>
          <w:szCs w:val="18"/>
        </w:rPr>
        <w:t>.</w:t>
      </w:r>
    </w:p>
    <w:p w14:paraId="428EF2FA" w14:textId="6B6D9F3E" w:rsidR="00EF63B0" w:rsidRPr="00A505AF" w:rsidRDefault="00EF63B0" w:rsidP="00EF63B0">
      <w:pPr>
        <w:spacing w:line="480" w:lineRule="auto"/>
        <w:jc w:val="both"/>
        <w:rPr>
          <w:rFonts w:ascii="Times New Roman" w:hAnsi="Times New Roman" w:cs="Times New Roman"/>
          <w:sz w:val="24"/>
          <w:szCs w:val="24"/>
        </w:rPr>
      </w:pPr>
      <w:r w:rsidRPr="00A505AF">
        <w:rPr>
          <w:rFonts w:ascii="Times New Roman" w:hAnsi="Times New Roman" w:cs="Times New Roman"/>
          <w:sz w:val="24"/>
          <w:szCs w:val="24"/>
        </w:rPr>
        <w:t xml:space="preserve">Figure </w:t>
      </w:r>
      <w:r w:rsidR="00551007">
        <w:rPr>
          <w:rFonts w:ascii="Times New Roman" w:hAnsi="Times New Roman" w:cs="Times New Roman"/>
          <w:sz w:val="24"/>
          <w:szCs w:val="24"/>
        </w:rPr>
        <w:t>4</w:t>
      </w:r>
      <w:r w:rsidRPr="00A505AF">
        <w:rPr>
          <w:rFonts w:ascii="Times New Roman" w:hAnsi="Times New Roman" w:cs="Times New Roman"/>
          <w:sz w:val="24"/>
          <w:szCs w:val="24"/>
        </w:rPr>
        <w:t xml:space="preserve"> compares the catalytic performance of CALB immobilized on different </w:t>
      </w:r>
      <w:r w:rsidR="00F50B14">
        <w:rPr>
          <w:rFonts w:ascii="Times New Roman" w:hAnsi="Times New Roman" w:cs="Times New Roman"/>
          <w:sz w:val="24"/>
          <w:szCs w:val="24"/>
        </w:rPr>
        <w:t>SILLPs</w:t>
      </w:r>
      <w:r w:rsidRPr="00A505AF">
        <w:rPr>
          <w:rFonts w:ascii="Times New Roman" w:hAnsi="Times New Roman" w:cs="Times New Roman"/>
          <w:sz w:val="24"/>
          <w:szCs w:val="24"/>
        </w:rPr>
        <w:t>. Each support was modified with imidazolium groups containing various alkyl</w:t>
      </w:r>
      <w:r w:rsidR="003C5BD7">
        <w:rPr>
          <w:rFonts w:ascii="Times New Roman" w:hAnsi="Times New Roman" w:cs="Times New Roman"/>
          <w:sz w:val="24"/>
          <w:szCs w:val="24"/>
        </w:rPr>
        <w:t xml:space="preserve"> </w:t>
      </w:r>
      <w:r w:rsidRPr="00A505AF">
        <w:rPr>
          <w:rFonts w:ascii="Times New Roman" w:hAnsi="Times New Roman" w:cs="Times New Roman"/>
          <w:sz w:val="24"/>
          <w:szCs w:val="24"/>
        </w:rPr>
        <w:t xml:space="preserve">substituents (methyl, butyl, and 2-methyl-decyl). Furthermore, </w:t>
      </w:r>
      <w:r w:rsidR="00F50B14" w:rsidRPr="00A505AF">
        <w:rPr>
          <w:rFonts w:ascii="Times New Roman" w:hAnsi="Times New Roman" w:cs="Times New Roman"/>
          <w:sz w:val="24"/>
          <w:szCs w:val="24"/>
        </w:rPr>
        <w:t>the commercially</w:t>
      </w:r>
      <w:r w:rsidRPr="00A505AF">
        <w:rPr>
          <w:rFonts w:ascii="Times New Roman" w:hAnsi="Times New Roman" w:cs="Times New Roman"/>
          <w:sz w:val="24"/>
          <w:szCs w:val="24"/>
        </w:rPr>
        <w:t xml:space="preserve"> available Novozym 345 was also evaluated. The results indicate that </w:t>
      </w:r>
      <w:bookmarkStart w:id="11" w:name="_Hlk189490575"/>
      <w:r w:rsidRPr="00A505AF">
        <w:rPr>
          <w:rFonts w:ascii="Times New Roman" w:hAnsi="Times New Roman" w:cs="Times New Roman"/>
          <w:sz w:val="24"/>
          <w:szCs w:val="24"/>
        </w:rPr>
        <w:t xml:space="preserve">all biocatalysts, regardless of the type of support, </w:t>
      </w:r>
      <w:r w:rsidR="00357AC6">
        <w:rPr>
          <w:rFonts w:ascii="Times New Roman" w:hAnsi="Times New Roman" w:cs="Times New Roman"/>
          <w:sz w:val="24"/>
          <w:szCs w:val="24"/>
        </w:rPr>
        <w:t>led to</w:t>
      </w:r>
      <w:r w:rsidRPr="00A505AF">
        <w:rPr>
          <w:rFonts w:ascii="Times New Roman" w:hAnsi="Times New Roman" w:cs="Times New Roman"/>
          <w:sz w:val="24"/>
          <w:szCs w:val="24"/>
        </w:rPr>
        <w:t xml:space="preserve"> conversion of </w:t>
      </w:r>
      <w:r w:rsidR="00357AC6">
        <w:rPr>
          <w:rFonts w:ascii="Times New Roman" w:hAnsi="Times New Roman" w:cs="Times New Roman"/>
          <w:sz w:val="24"/>
          <w:szCs w:val="24"/>
        </w:rPr>
        <w:t>FDME</w:t>
      </w:r>
      <w:r w:rsidRPr="00A505AF">
        <w:rPr>
          <w:rFonts w:ascii="Times New Roman" w:hAnsi="Times New Roman" w:cs="Times New Roman"/>
          <w:sz w:val="24"/>
          <w:szCs w:val="24"/>
        </w:rPr>
        <w:t xml:space="preserve"> from </w:t>
      </w:r>
      <w:r w:rsidR="009B191C" w:rsidRPr="00A505AF">
        <w:rPr>
          <w:rFonts w:ascii="Times New Roman" w:hAnsi="Times New Roman" w:cs="Times New Roman"/>
          <w:sz w:val="24"/>
          <w:szCs w:val="24"/>
        </w:rPr>
        <w:t>5</w:t>
      </w:r>
      <w:r w:rsidR="009B191C">
        <w:rPr>
          <w:rFonts w:ascii="Times New Roman" w:hAnsi="Times New Roman" w:cs="Times New Roman"/>
          <w:sz w:val="24"/>
          <w:szCs w:val="24"/>
        </w:rPr>
        <w:t>6</w:t>
      </w:r>
      <w:r w:rsidRPr="00A505AF">
        <w:rPr>
          <w:rFonts w:ascii="Times New Roman" w:hAnsi="Times New Roman" w:cs="Times New Roman"/>
          <w:sz w:val="24"/>
          <w:szCs w:val="24"/>
        </w:rPr>
        <w:t xml:space="preserve">-72% with a preference </w:t>
      </w:r>
      <w:r w:rsidR="00357AC6">
        <w:rPr>
          <w:rFonts w:ascii="Times New Roman" w:hAnsi="Times New Roman" w:cs="Times New Roman"/>
          <w:sz w:val="24"/>
          <w:szCs w:val="24"/>
        </w:rPr>
        <w:t xml:space="preserve">towards </w:t>
      </w:r>
      <w:r w:rsidR="00584AA9">
        <w:rPr>
          <w:rFonts w:ascii="Times New Roman" w:hAnsi="Times New Roman" w:cs="Times New Roman"/>
          <w:sz w:val="24"/>
          <w:szCs w:val="24"/>
        </w:rPr>
        <w:t>MGF</w:t>
      </w:r>
      <w:r w:rsidRPr="00A74AD9">
        <w:rPr>
          <w:rFonts w:ascii="Times New Roman" w:hAnsi="Times New Roman" w:cs="Times New Roman"/>
          <w:sz w:val="24"/>
          <w:szCs w:val="24"/>
        </w:rPr>
        <w:t>.</w:t>
      </w:r>
      <w:bookmarkEnd w:id="11"/>
      <w:r w:rsidRPr="00A74AD9">
        <w:rPr>
          <w:rFonts w:ascii="Times New Roman" w:hAnsi="Times New Roman" w:cs="Times New Roman"/>
          <w:sz w:val="24"/>
          <w:szCs w:val="24"/>
        </w:rPr>
        <w:t xml:space="preserve"> The yield for the desired </w:t>
      </w:r>
      <w:r w:rsidR="00C11E0D" w:rsidRPr="00A74AD9">
        <w:rPr>
          <w:rFonts w:ascii="Times New Roman" w:hAnsi="Times New Roman" w:cs="Times New Roman"/>
          <w:sz w:val="24"/>
          <w:szCs w:val="24"/>
        </w:rPr>
        <w:t>DGF ran</w:t>
      </w:r>
      <w:r w:rsidRPr="00A74AD9">
        <w:rPr>
          <w:rFonts w:ascii="Times New Roman" w:hAnsi="Times New Roman" w:cs="Times New Roman"/>
          <w:sz w:val="24"/>
          <w:szCs w:val="24"/>
        </w:rPr>
        <w:t>ged between 10-20%, while the</w:t>
      </w:r>
      <w:r w:rsidR="00C11E0D" w:rsidRPr="00A74AD9">
        <w:rPr>
          <w:rFonts w:ascii="Times New Roman" w:hAnsi="Times New Roman" w:cs="Times New Roman"/>
          <w:sz w:val="24"/>
          <w:szCs w:val="24"/>
        </w:rPr>
        <w:t xml:space="preserve"> MG</w:t>
      </w:r>
      <w:r w:rsidR="003C5BD7" w:rsidRPr="00A74AD9">
        <w:rPr>
          <w:rFonts w:ascii="Times New Roman" w:hAnsi="Times New Roman" w:cs="Times New Roman"/>
          <w:sz w:val="24"/>
          <w:szCs w:val="24"/>
        </w:rPr>
        <w:t>F</w:t>
      </w:r>
      <w:r w:rsidRPr="00A74AD9">
        <w:rPr>
          <w:rFonts w:ascii="Times New Roman" w:hAnsi="Times New Roman" w:cs="Times New Roman"/>
          <w:sz w:val="24"/>
          <w:szCs w:val="24"/>
        </w:rPr>
        <w:t xml:space="preserve"> exhibited higher yields</w:t>
      </w:r>
      <w:r w:rsidR="00C11E0D" w:rsidRPr="00A74AD9">
        <w:rPr>
          <w:rFonts w:ascii="Times New Roman" w:hAnsi="Times New Roman" w:cs="Times New Roman"/>
          <w:sz w:val="24"/>
          <w:szCs w:val="24"/>
        </w:rPr>
        <w:t xml:space="preserve"> of ca </w:t>
      </w:r>
      <w:r w:rsidRPr="00A74AD9">
        <w:rPr>
          <w:rFonts w:ascii="Times New Roman" w:hAnsi="Times New Roman" w:cs="Times New Roman"/>
          <w:sz w:val="24"/>
          <w:szCs w:val="24"/>
        </w:rPr>
        <w:t xml:space="preserve">50%. </w:t>
      </w:r>
      <w:bookmarkStart w:id="12" w:name="_Hlk189733323"/>
      <w:r w:rsidRPr="00A74AD9">
        <w:rPr>
          <w:rFonts w:ascii="Times New Roman" w:hAnsi="Times New Roman" w:cs="Times New Roman"/>
          <w:sz w:val="24"/>
          <w:szCs w:val="24"/>
        </w:rPr>
        <w:t xml:space="preserve">The best catalytic performance was observed with the CALB immobilized onto </w:t>
      </w:r>
      <w:r w:rsidR="00AE68DE" w:rsidRPr="00A74AD9">
        <w:rPr>
          <w:rFonts w:ascii="Times New Roman" w:hAnsi="Times New Roman" w:cs="Times New Roman"/>
          <w:sz w:val="24"/>
          <w:szCs w:val="24"/>
        </w:rPr>
        <w:t>macroporous support</w:t>
      </w:r>
      <w:r w:rsidRPr="00A74AD9">
        <w:rPr>
          <w:rFonts w:ascii="Times New Roman" w:hAnsi="Times New Roman" w:cs="Times New Roman"/>
          <w:sz w:val="24"/>
          <w:szCs w:val="24"/>
        </w:rPr>
        <w:t xml:space="preserve"> bearing a butyl substituent</w:t>
      </w:r>
      <w:bookmarkEnd w:id="12"/>
      <w:r w:rsidRPr="00A74AD9">
        <w:rPr>
          <w:rFonts w:ascii="Times New Roman" w:hAnsi="Times New Roman" w:cs="Times New Roman"/>
          <w:sz w:val="24"/>
          <w:szCs w:val="24"/>
        </w:rPr>
        <w:t xml:space="preserve">, achieving approximately 20% yield for the di-substituted ester. This suggests that </w:t>
      </w:r>
      <w:r w:rsidR="00AE68DE" w:rsidRPr="00A74AD9">
        <w:rPr>
          <w:rFonts w:ascii="Times New Roman" w:hAnsi="Times New Roman" w:cs="Times New Roman"/>
          <w:sz w:val="24"/>
          <w:szCs w:val="24"/>
        </w:rPr>
        <w:t>macroporous</w:t>
      </w:r>
      <w:r w:rsidRPr="00A74AD9">
        <w:rPr>
          <w:rFonts w:ascii="Times New Roman" w:hAnsi="Times New Roman" w:cs="Times New Roman"/>
          <w:sz w:val="24"/>
          <w:szCs w:val="24"/>
        </w:rPr>
        <w:t xml:space="preserve"> resin slightly </w:t>
      </w:r>
      <w:r w:rsidR="00B94C78" w:rsidRPr="00A74AD9">
        <w:rPr>
          <w:rFonts w:ascii="Times New Roman" w:hAnsi="Times New Roman" w:cs="Times New Roman"/>
          <w:sz w:val="24"/>
          <w:szCs w:val="24"/>
        </w:rPr>
        <w:t>enhances</w:t>
      </w:r>
      <w:r w:rsidRPr="00A74AD9">
        <w:rPr>
          <w:rFonts w:ascii="Times New Roman" w:hAnsi="Times New Roman" w:cs="Times New Roman"/>
          <w:sz w:val="24"/>
          <w:szCs w:val="24"/>
        </w:rPr>
        <w:t xml:space="preserve"> catalytic efficiency compared to microporous supports. The improved performance of </w:t>
      </w:r>
      <w:r w:rsidR="00AE68DE" w:rsidRPr="00A74AD9">
        <w:rPr>
          <w:rFonts w:ascii="Times New Roman" w:hAnsi="Times New Roman" w:cs="Times New Roman"/>
          <w:sz w:val="24"/>
          <w:szCs w:val="24"/>
        </w:rPr>
        <w:t>macroporous</w:t>
      </w:r>
      <w:r w:rsidRPr="00A74AD9">
        <w:rPr>
          <w:rFonts w:ascii="Times New Roman" w:hAnsi="Times New Roman" w:cs="Times New Roman"/>
          <w:sz w:val="24"/>
          <w:szCs w:val="24"/>
        </w:rPr>
        <w:t xml:space="preserve"> systems is likely due to their enhanced accessibility to reactive sites </w:t>
      </w:r>
      <w:r w:rsidR="007E573E" w:rsidRPr="00A74AD9">
        <w:rPr>
          <w:rFonts w:ascii="Times New Roman" w:hAnsi="Times New Roman" w:cs="Times New Roman"/>
          <w:sz w:val="24"/>
          <w:szCs w:val="24"/>
        </w:rPr>
        <w:fldChar w:fldCharType="begin"/>
      </w:r>
      <w:r w:rsidR="00AB279D" w:rsidRPr="00A74AD9">
        <w:rPr>
          <w:rFonts w:ascii="Times New Roman" w:hAnsi="Times New Roman" w:cs="Times New Roman"/>
          <w:sz w:val="24"/>
          <w:szCs w:val="24"/>
        </w:rPr>
        <w:instrText xml:space="preserve"> ADDIN ZOTERO_ITEM CSL_CITATION {"citationID":"tK0MkuWj","properties":{"formattedCitation":"(Sherrington, 1998)","plainCitation":"(Sherrington, 1998)","noteIndex":0},"citationItems":[{"id":453,"uris":["http://zotero.org/users/11450443/items/ZMXPVPH7"],"itemData":{"id":453,"type":"article-journal","container-title":"Chemical Communications","DOI":"10.1039/a803757d","ISSN":"13597345, 1364548X","issue":"21","journalAbbreviation":"Chem. Commun.","language":"en","page":"2275-2286","source":"DOI.org (Crossref)","title":"Preparation, structure and morphology of polymer supports","author":[{"family":"Sherrington","given":"David C."}],"issued":{"date-parts":[["1998"]]}}}],"schema":"https://github.com/citation-style-language/schema/raw/master/csl-citation.json"} </w:instrText>
      </w:r>
      <w:r w:rsidR="007E573E" w:rsidRPr="00A74AD9">
        <w:rPr>
          <w:rFonts w:ascii="Times New Roman" w:hAnsi="Times New Roman" w:cs="Times New Roman"/>
          <w:sz w:val="24"/>
          <w:szCs w:val="24"/>
        </w:rPr>
        <w:fldChar w:fldCharType="separate"/>
      </w:r>
      <w:r w:rsidR="00AB279D" w:rsidRPr="00A74AD9">
        <w:rPr>
          <w:rFonts w:ascii="Times New Roman" w:hAnsi="Times New Roman" w:cs="Times New Roman"/>
          <w:sz w:val="24"/>
        </w:rPr>
        <w:t>(Sherrington, 1998)</w:t>
      </w:r>
      <w:r w:rsidR="007E573E" w:rsidRPr="00A74AD9">
        <w:rPr>
          <w:rFonts w:ascii="Times New Roman" w:hAnsi="Times New Roman" w:cs="Times New Roman"/>
          <w:sz w:val="24"/>
          <w:szCs w:val="24"/>
        </w:rPr>
        <w:fldChar w:fldCharType="end"/>
      </w:r>
      <w:r w:rsidR="00A6570F" w:rsidRPr="00A74AD9">
        <w:rPr>
          <w:rFonts w:ascii="Times New Roman" w:hAnsi="Times New Roman" w:cs="Times New Roman"/>
          <w:sz w:val="24"/>
          <w:szCs w:val="24"/>
        </w:rPr>
        <w:t>.</w:t>
      </w:r>
      <w:r w:rsidRPr="00A74AD9">
        <w:rPr>
          <w:rFonts w:ascii="Times New Roman" w:hAnsi="Times New Roman" w:cs="Times New Roman"/>
          <w:sz w:val="24"/>
          <w:szCs w:val="24"/>
        </w:rPr>
        <w:t xml:space="preserve"> </w:t>
      </w:r>
      <w:r w:rsidR="00AE68DE" w:rsidRPr="00A74AD9">
        <w:rPr>
          <w:rFonts w:ascii="Times New Roman" w:hAnsi="Times New Roman" w:cs="Times New Roman"/>
          <w:sz w:val="24"/>
          <w:szCs w:val="24"/>
        </w:rPr>
        <w:t xml:space="preserve">The presence of permanent porosity in absence of </w:t>
      </w:r>
      <w:r w:rsidRPr="00A74AD9">
        <w:rPr>
          <w:rFonts w:ascii="Times New Roman" w:hAnsi="Times New Roman" w:cs="Times New Roman"/>
          <w:sz w:val="24"/>
          <w:szCs w:val="24"/>
        </w:rPr>
        <w:t xml:space="preserve">swelling allows for more effective enzyme-substrate interactions, which in turn increases overall catalytic activity. In contrast, for </w:t>
      </w:r>
      <w:r w:rsidR="00AE68DE" w:rsidRPr="00A74AD9">
        <w:rPr>
          <w:rFonts w:ascii="Times New Roman" w:hAnsi="Times New Roman" w:cs="Times New Roman"/>
          <w:sz w:val="24"/>
          <w:szCs w:val="24"/>
        </w:rPr>
        <w:t>gel-type</w:t>
      </w:r>
      <w:r w:rsidRPr="00A74AD9">
        <w:rPr>
          <w:rFonts w:ascii="Times New Roman" w:hAnsi="Times New Roman" w:cs="Times New Roman"/>
          <w:sz w:val="24"/>
          <w:szCs w:val="24"/>
        </w:rPr>
        <w:t xml:space="preserve"> resins, diffusion of reagents </w:t>
      </w:r>
      <w:r w:rsidR="00AE68DE" w:rsidRPr="00A74AD9">
        <w:rPr>
          <w:rFonts w:ascii="Times New Roman" w:hAnsi="Times New Roman" w:cs="Times New Roman"/>
          <w:sz w:val="24"/>
          <w:szCs w:val="24"/>
        </w:rPr>
        <w:t xml:space="preserve">is limited to those systems where the resins are fully swell in </w:t>
      </w:r>
      <w:r w:rsidR="00A74AD9" w:rsidRPr="00A74AD9">
        <w:rPr>
          <w:rFonts w:ascii="Times New Roman" w:hAnsi="Times New Roman" w:cs="Times New Roman"/>
          <w:sz w:val="24"/>
          <w:szCs w:val="24"/>
        </w:rPr>
        <w:t>the presence</w:t>
      </w:r>
      <w:r w:rsidR="00AE68DE" w:rsidRPr="00A74AD9">
        <w:rPr>
          <w:rFonts w:ascii="Times New Roman" w:hAnsi="Times New Roman" w:cs="Times New Roman"/>
          <w:sz w:val="24"/>
          <w:szCs w:val="24"/>
        </w:rPr>
        <w:t xml:space="preserve"> of a solvent and</w:t>
      </w:r>
      <w:r w:rsidRPr="00A74AD9">
        <w:rPr>
          <w:rFonts w:ascii="Times New Roman" w:hAnsi="Times New Roman" w:cs="Times New Roman"/>
          <w:sz w:val="24"/>
          <w:szCs w:val="24"/>
        </w:rPr>
        <w:t xml:space="preserve"> may become a limiting factor. This diffusion limitation can slightly reduce the catalytic activity of these systems, as the substrates may not reach the active sites as easily or uniformly as in the </w:t>
      </w:r>
      <w:r w:rsidR="00AE68DE" w:rsidRPr="00A74AD9">
        <w:rPr>
          <w:rFonts w:ascii="Times New Roman" w:hAnsi="Times New Roman" w:cs="Times New Roman"/>
          <w:sz w:val="24"/>
          <w:szCs w:val="24"/>
        </w:rPr>
        <w:t xml:space="preserve">microporous </w:t>
      </w:r>
      <w:r w:rsidRPr="00A74AD9">
        <w:rPr>
          <w:rFonts w:ascii="Times New Roman" w:hAnsi="Times New Roman" w:cs="Times New Roman"/>
          <w:sz w:val="24"/>
          <w:szCs w:val="24"/>
        </w:rPr>
        <w:t xml:space="preserve">type resins. It should be noted that the Novozym 435 provided very similar </w:t>
      </w:r>
      <w:r w:rsidR="008C2CD9" w:rsidRPr="00A74AD9">
        <w:rPr>
          <w:rFonts w:ascii="Times New Roman" w:hAnsi="Times New Roman" w:cs="Times New Roman"/>
          <w:sz w:val="24"/>
          <w:szCs w:val="24"/>
        </w:rPr>
        <w:t xml:space="preserve">results </w:t>
      </w:r>
      <w:r w:rsidRPr="00A74AD9">
        <w:rPr>
          <w:rFonts w:ascii="Times New Roman" w:hAnsi="Times New Roman" w:cs="Times New Roman"/>
          <w:sz w:val="24"/>
          <w:szCs w:val="24"/>
        </w:rPr>
        <w:t>to those obtained with our systems, even though its enzyme loading is significantly higher. This suggests that the efficiency of our supported systems is comparable in terms of catalytic activity, despite using a lower lipase loading.</w:t>
      </w:r>
    </w:p>
    <w:p w14:paraId="73D5F33F" w14:textId="382A04FE" w:rsidR="00B94C78" w:rsidRDefault="00EF63B0" w:rsidP="00EF63B0">
      <w:pPr>
        <w:spacing w:line="480" w:lineRule="auto"/>
        <w:jc w:val="both"/>
        <w:rPr>
          <w:rFonts w:ascii="Times New Roman" w:hAnsi="Times New Roman" w:cs="Times New Roman"/>
          <w:sz w:val="24"/>
          <w:szCs w:val="24"/>
        </w:rPr>
      </w:pPr>
      <w:bookmarkStart w:id="13" w:name="_Hlk181345163"/>
      <w:r w:rsidRPr="00A74AD9">
        <w:rPr>
          <w:rFonts w:ascii="Times New Roman" w:hAnsi="Times New Roman" w:cs="Times New Roman"/>
          <w:sz w:val="24"/>
          <w:szCs w:val="24"/>
        </w:rPr>
        <w:t xml:space="preserve">Unexpectedly, when the </w:t>
      </w:r>
      <w:r w:rsidR="00551007" w:rsidRPr="00A74AD9">
        <w:rPr>
          <w:rFonts w:ascii="Times New Roman" w:hAnsi="Times New Roman" w:cs="Times New Roman"/>
          <w:sz w:val="24"/>
          <w:szCs w:val="24"/>
        </w:rPr>
        <w:t>reaction</w:t>
      </w:r>
      <w:r w:rsidRPr="00A74AD9">
        <w:rPr>
          <w:rFonts w:ascii="Times New Roman" w:hAnsi="Times New Roman" w:cs="Times New Roman"/>
          <w:sz w:val="24"/>
          <w:szCs w:val="24"/>
        </w:rPr>
        <w:t xml:space="preserve"> profile was monitored </w:t>
      </w:r>
      <w:bookmarkEnd w:id="13"/>
      <w:r w:rsidRPr="00A74AD9">
        <w:rPr>
          <w:rFonts w:ascii="Times New Roman" w:hAnsi="Times New Roman" w:cs="Times New Roman"/>
          <w:sz w:val="24"/>
          <w:szCs w:val="24"/>
        </w:rPr>
        <w:t>and compared using the SILLP in the absence of CALB, similar conversion rates of FDME and yields of mono- and di-substituted esters were observed with the macroporous resin containing butyl substitution (Figure</w:t>
      </w:r>
      <w:r w:rsidR="009A30B4" w:rsidRPr="00A74AD9">
        <w:rPr>
          <w:rFonts w:ascii="Times New Roman" w:hAnsi="Times New Roman" w:cs="Times New Roman"/>
          <w:sz w:val="24"/>
          <w:szCs w:val="24"/>
        </w:rPr>
        <w:t xml:space="preserve"> S</w:t>
      </w:r>
      <w:r w:rsidR="008D70F7" w:rsidRPr="00A74AD9">
        <w:rPr>
          <w:rFonts w:ascii="Times New Roman" w:hAnsi="Times New Roman" w:cs="Times New Roman"/>
          <w:sz w:val="24"/>
          <w:szCs w:val="24"/>
        </w:rPr>
        <w:t>I.1</w:t>
      </w:r>
      <w:r w:rsidR="009A30B4" w:rsidRPr="00A74AD9">
        <w:rPr>
          <w:rFonts w:ascii="Times New Roman" w:hAnsi="Times New Roman" w:cs="Times New Roman"/>
          <w:sz w:val="24"/>
          <w:szCs w:val="24"/>
        </w:rPr>
        <w:t>, SI)</w:t>
      </w:r>
      <w:r w:rsidRPr="00A74AD9">
        <w:rPr>
          <w:rFonts w:ascii="Times New Roman" w:hAnsi="Times New Roman" w:cs="Times New Roman"/>
          <w:sz w:val="24"/>
          <w:szCs w:val="24"/>
        </w:rPr>
        <w:t xml:space="preserve">. </w:t>
      </w:r>
      <w:bookmarkStart w:id="14" w:name="_Hlk189739349"/>
      <w:r w:rsidRPr="00A74AD9">
        <w:rPr>
          <w:rFonts w:ascii="Times New Roman" w:hAnsi="Times New Roman" w:cs="Times New Roman"/>
          <w:sz w:val="24"/>
          <w:szCs w:val="24"/>
        </w:rPr>
        <w:t xml:space="preserve">The fact that the reaction proceeded similarly without the enzyme suggests that the ionic liquid-like phase on the resin is not just a passive </w:t>
      </w:r>
      <w:r w:rsidR="00705C61" w:rsidRPr="00A74AD9">
        <w:rPr>
          <w:rFonts w:ascii="Times New Roman" w:hAnsi="Times New Roman" w:cs="Times New Roman"/>
          <w:sz w:val="24"/>
          <w:szCs w:val="24"/>
        </w:rPr>
        <w:t>support</w:t>
      </w:r>
      <w:r w:rsidR="008C2CD9">
        <w:rPr>
          <w:rFonts w:ascii="Times New Roman" w:hAnsi="Times New Roman" w:cs="Times New Roman"/>
          <w:sz w:val="24"/>
          <w:szCs w:val="24"/>
        </w:rPr>
        <w:t>,</w:t>
      </w:r>
      <w:r w:rsidR="00705C61" w:rsidRPr="00A74AD9">
        <w:rPr>
          <w:rFonts w:ascii="Times New Roman" w:hAnsi="Times New Roman" w:cs="Times New Roman"/>
          <w:sz w:val="24"/>
          <w:szCs w:val="24"/>
        </w:rPr>
        <w:t xml:space="preserve"> but</w:t>
      </w:r>
      <w:r w:rsidRPr="00A74AD9">
        <w:rPr>
          <w:rFonts w:ascii="Times New Roman" w:hAnsi="Times New Roman" w:cs="Times New Roman"/>
          <w:sz w:val="24"/>
          <w:szCs w:val="24"/>
        </w:rPr>
        <w:t xml:space="preserve"> </w:t>
      </w:r>
      <w:r w:rsidR="008C2CD9">
        <w:rPr>
          <w:rFonts w:ascii="Times New Roman" w:hAnsi="Times New Roman" w:cs="Times New Roman"/>
          <w:sz w:val="24"/>
          <w:szCs w:val="24"/>
        </w:rPr>
        <w:t xml:space="preserve">it </w:t>
      </w:r>
      <w:r w:rsidRPr="00A74AD9">
        <w:rPr>
          <w:rFonts w:ascii="Times New Roman" w:hAnsi="Times New Roman" w:cs="Times New Roman"/>
          <w:sz w:val="24"/>
          <w:szCs w:val="24"/>
        </w:rPr>
        <w:t>actively participates in the catalysis.</w:t>
      </w:r>
      <w:r w:rsidRPr="00A505AF">
        <w:rPr>
          <w:rFonts w:ascii="Times New Roman" w:hAnsi="Times New Roman" w:cs="Times New Roman"/>
          <w:sz w:val="24"/>
          <w:szCs w:val="24"/>
        </w:rPr>
        <w:t xml:space="preserve"> </w:t>
      </w:r>
      <w:bookmarkEnd w:id="14"/>
      <w:r w:rsidRPr="00A505AF">
        <w:rPr>
          <w:rFonts w:ascii="Times New Roman" w:hAnsi="Times New Roman" w:cs="Times New Roman"/>
          <w:sz w:val="24"/>
          <w:szCs w:val="24"/>
        </w:rPr>
        <w:t>This could be</w:t>
      </w:r>
      <w:r w:rsidR="00C11E0D">
        <w:rPr>
          <w:rFonts w:ascii="Times New Roman" w:hAnsi="Times New Roman" w:cs="Times New Roman"/>
          <w:sz w:val="24"/>
          <w:szCs w:val="24"/>
        </w:rPr>
        <w:t xml:space="preserve"> ascribed to </w:t>
      </w:r>
      <w:r w:rsidRPr="00A505AF">
        <w:rPr>
          <w:rFonts w:ascii="Times New Roman" w:hAnsi="Times New Roman" w:cs="Times New Roman"/>
          <w:sz w:val="24"/>
          <w:szCs w:val="24"/>
        </w:rPr>
        <w:t>the ionic liquid moieties on the SILLP hav</w:t>
      </w:r>
      <w:r w:rsidR="00C11E0D">
        <w:rPr>
          <w:rFonts w:ascii="Times New Roman" w:hAnsi="Times New Roman" w:cs="Times New Roman"/>
          <w:sz w:val="24"/>
          <w:szCs w:val="24"/>
        </w:rPr>
        <w:t>ing</w:t>
      </w:r>
      <w:r w:rsidRPr="00A505AF">
        <w:rPr>
          <w:rFonts w:ascii="Times New Roman" w:hAnsi="Times New Roman" w:cs="Times New Roman"/>
          <w:sz w:val="24"/>
          <w:szCs w:val="24"/>
        </w:rPr>
        <w:t xml:space="preserve"> weak acidic or basic properties, which might facilitate the nucleophilic attack of glycidol on FDME, even without the enzyme. Additionally, the ionic liquid-like phase </w:t>
      </w:r>
      <w:r w:rsidR="00B94C78">
        <w:rPr>
          <w:rFonts w:ascii="Times New Roman" w:hAnsi="Times New Roman" w:cs="Times New Roman"/>
          <w:sz w:val="24"/>
          <w:szCs w:val="24"/>
        </w:rPr>
        <w:t>might</w:t>
      </w:r>
      <w:r w:rsidRPr="00A505AF">
        <w:rPr>
          <w:rFonts w:ascii="Times New Roman" w:hAnsi="Times New Roman" w:cs="Times New Roman"/>
          <w:sz w:val="24"/>
          <w:szCs w:val="24"/>
        </w:rPr>
        <w:t xml:space="preserve"> create a </w:t>
      </w:r>
      <w:r w:rsidR="009A30B4">
        <w:rPr>
          <w:rFonts w:ascii="Times New Roman" w:hAnsi="Times New Roman" w:cs="Times New Roman"/>
          <w:sz w:val="24"/>
          <w:szCs w:val="24"/>
        </w:rPr>
        <w:t>m</w:t>
      </w:r>
      <w:r w:rsidRPr="00A505AF">
        <w:rPr>
          <w:rFonts w:ascii="Times New Roman" w:hAnsi="Times New Roman" w:cs="Times New Roman"/>
          <w:sz w:val="24"/>
          <w:szCs w:val="24"/>
        </w:rPr>
        <w:t xml:space="preserve">icroenvironment that enhances the transesterification reaction. This microenvironment </w:t>
      </w:r>
      <w:r w:rsidR="00B94C78">
        <w:rPr>
          <w:rFonts w:ascii="Times New Roman" w:hAnsi="Times New Roman" w:cs="Times New Roman"/>
          <w:sz w:val="24"/>
          <w:szCs w:val="24"/>
        </w:rPr>
        <w:t>could</w:t>
      </w:r>
      <w:r w:rsidRPr="00A505AF">
        <w:rPr>
          <w:rFonts w:ascii="Times New Roman" w:hAnsi="Times New Roman" w:cs="Times New Roman"/>
          <w:sz w:val="24"/>
          <w:szCs w:val="24"/>
        </w:rPr>
        <w:t xml:space="preserve"> stabilize the transition states during the reaction, further promoting its efficiency. The influence of solvent effects caused by ionic liquids, which is well-known in the literature, likely plays a role in this catalytic activity</w:t>
      </w:r>
      <w:r w:rsidR="0021613F">
        <w:rPr>
          <w:rFonts w:ascii="Times New Roman" w:hAnsi="Times New Roman" w:cs="Times New Roman"/>
          <w:sz w:val="24"/>
          <w:szCs w:val="24"/>
        </w:rPr>
        <w:t xml:space="preserve"> </w:t>
      </w:r>
      <w:r w:rsidR="00F6603C">
        <w:rPr>
          <w:rFonts w:ascii="Times New Roman" w:hAnsi="Times New Roman" w:cs="Times New Roman"/>
          <w:sz w:val="24"/>
          <w:szCs w:val="24"/>
        </w:rPr>
        <w:fldChar w:fldCharType="begin"/>
      </w:r>
      <w:r w:rsidR="00AB279D">
        <w:rPr>
          <w:rFonts w:ascii="Times New Roman" w:hAnsi="Times New Roman" w:cs="Times New Roman"/>
          <w:sz w:val="24"/>
          <w:szCs w:val="24"/>
        </w:rPr>
        <w:instrText xml:space="preserve"> ADDIN ZOTERO_ITEM CSL_CITATION {"citationID":"06Kocjmq","properties":{"formattedCitation":"(Hsieh et al., 2023; Schindl et al., 2020)","plainCitation":"(Hsieh et al., 2023; Schindl et al., 2020)","noteIndex":0},"citationItems":[{"id":457,"uris":["http://zotero.org/users/11450443/items/5KLHKWA6"],"itemData":{"id":457,"type":"article-journal","abstract":"An iterative, combined experimental and computational approach towards predicting reaction rate constants in ionic liquids is presented.\n          , \n            \n              Rate constants for a bimolecular nucleophilic substitution (S\n              N\n              2) process in a range of ionic liquids are correlated with calculated parameters associated with the charge localisation on the cation of the ionic liquid (including the molecular electrostatic potential). Simple linear regression models proved effective, though the interdependency of the descriptors needs to be taken into account when considering generality. A series of ionic liquids were then prepared and evaluated as solvents for the same process; this data set was rationally chosen to incorporate homologous series (to evaluate systematic variation) and functionalities not available in the original data set. These new data were used to evaluate and refine the original models, which were expanded to include simple artificial neural networks. Along with showing the importance of an appropriate data set and the perils of overfitting, the work demonstrates that such models can be used to reliably predict ionic liquid solvent effects on an organic process, within the limits of the data set.","container-title":"Physical Chemistry Chemical Physics","DOI":"10.1039/D0CP04224B","ISSN":"1463-9076, 1463-9084","issue":"40","journalAbbreviation":"Phys. Chem. Chem. Phys.","language":"en","page":"23009-23018","source":"DOI.org (Crossref)","title":"Controlling the outcome of S&lt;sub&gt;N&lt;/sub&gt; 2 reactions in ionic liquids: from rational data set design to predictive linear regression models","title-short":"Controlling the outcome of S&lt;sub&gt;N&lt;/sub&gt; 2 reactions in ionic liquids","volume":"22","author":[{"family":"Schindl","given":"Alexandra"},{"family":"Hawker","given":"Rebecca R."},{"family":"Schaffarczyk McHale","given":"Karin S."},{"family":"Liu","given":"Kenny T.-C."},{"family":"Morris","given":"Daniel C."},{"family":"Hsieh","given":"Andrew Y."},{"family":"Gilbert","given":"Alyssa"},{"family":"Prescott","given":"Stuart W."},{"family":"Haines","given":"Ronald S."},{"family":"Croft","given":"Anna K."},{"family":"Harper","given":"Jason B."},{"family":"Jäger","given":"Christof M."}],"issued":{"date-parts":[["2020"]]}}},{"id":456,"uris":["http://zotero.org/users/11450443/items/CQMA5HU2"],"itemData":{"id":456,"type":"article-journal","abstract":"The rate constant for ethanolysis of an acenapthyl chloride in mixtures containing ionic liquids is estimated, demonstrating the potential for quantitative prediction of ionic liquid solvent effects.\n          , \n            \n              The reaction of a chlorobenzene in mixtures containing ethanol and eight different ionic liquids was investigated in order to understand the effects of varying proportions and constituent ions of an ionic liquid on the rate constant of the process. The results were found to be generally consistent with previously studied reactions of the same type, with small proportions of an ionic liquid resulting in a rate constant increase compared to ethanol and large proportions causing a rate constant decrease. Temperature dependent kinetic studies were used to interpret the changes in reaction outcome, particularly noting an entropic cost on moving to high proportions of ionic liquid, consistent with organisation of solvent around the transition state. While attempts to use empirical solvent parameters to correlate outcome with the ionic liquid used were unsuccessful, use of recently acquired nucleofugality data for chloride and estimations for the electrofuge allowed for excellent prediction of the effects of ionic liquids, with rate constants quantitatively predicted in systems containing both different proportions of ionic liquid (mean absolute error (MAE) log(\n              k\n              1\n              ) = 0.11) and different ionic liquids (MAE log(\n              k\n              1\n              ) = 0.33). Importantly, this demonstrates the ready application of these quantitative reactivity parameters.","container-title":"RSC Advances","DOI":"10.1039/D3RA04302A","ISSN":"2046-2069","issue":"30","journalAbbreviation":"RSC Adv.","language":"en","page":"21036-21043","source":"DOI.org (Crossref)","title":"The effects of ionic liquids on the ethanolysis of a chloroacenaphthene. Evaluation of the effectiveness of nucleofugality data to predict reaction outcome","volume":"13","author":[{"family":"Hsieh","given":"Andrew Y."},{"family":"Haines","given":"Ronald S."},{"family":"Harper","given":"Jason B."}],"issued":{"date-parts":[["2023"]]}}}],"schema":"https://github.com/citation-style-language/schema/raw/master/csl-citation.json"} </w:instrText>
      </w:r>
      <w:r w:rsidR="00F6603C">
        <w:rPr>
          <w:rFonts w:ascii="Times New Roman" w:hAnsi="Times New Roman" w:cs="Times New Roman"/>
          <w:sz w:val="24"/>
          <w:szCs w:val="24"/>
        </w:rPr>
        <w:fldChar w:fldCharType="separate"/>
      </w:r>
      <w:r w:rsidR="00AB279D" w:rsidRPr="00AB279D">
        <w:rPr>
          <w:rFonts w:ascii="Times New Roman" w:hAnsi="Times New Roman" w:cs="Times New Roman"/>
          <w:sz w:val="24"/>
        </w:rPr>
        <w:t>(Hsieh et al., 2023; Schindl et al., 2020)</w:t>
      </w:r>
      <w:r w:rsidR="00F6603C">
        <w:rPr>
          <w:rFonts w:ascii="Times New Roman" w:hAnsi="Times New Roman" w:cs="Times New Roman"/>
          <w:sz w:val="24"/>
          <w:szCs w:val="24"/>
        </w:rPr>
        <w:fldChar w:fldCharType="end"/>
      </w:r>
      <w:r w:rsidR="0021613F">
        <w:rPr>
          <w:rFonts w:ascii="Times New Roman" w:hAnsi="Times New Roman" w:cs="Times New Roman"/>
          <w:sz w:val="24"/>
          <w:szCs w:val="24"/>
        </w:rPr>
        <w:t>.</w:t>
      </w:r>
      <w:r w:rsidR="008C2CD9">
        <w:rPr>
          <w:rFonts w:ascii="Times New Roman" w:hAnsi="Times New Roman" w:cs="Times New Roman"/>
          <w:sz w:val="24"/>
          <w:szCs w:val="24"/>
        </w:rPr>
        <w:t xml:space="preserve"> </w:t>
      </w:r>
      <w:r w:rsidRPr="00A505AF">
        <w:rPr>
          <w:rFonts w:ascii="Times New Roman" w:hAnsi="Times New Roman" w:cs="Times New Roman"/>
          <w:sz w:val="24"/>
          <w:szCs w:val="24"/>
        </w:rPr>
        <w:t xml:space="preserve">In </w:t>
      </w:r>
      <w:r w:rsidR="00B94C78">
        <w:rPr>
          <w:rFonts w:ascii="Times New Roman" w:hAnsi="Times New Roman" w:cs="Times New Roman"/>
          <w:sz w:val="24"/>
          <w:szCs w:val="24"/>
        </w:rPr>
        <w:t>fact</w:t>
      </w:r>
      <w:r w:rsidRPr="00A505AF">
        <w:rPr>
          <w:rFonts w:ascii="Times New Roman" w:hAnsi="Times New Roman" w:cs="Times New Roman"/>
          <w:sz w:val="24"/>
          <w:szCs w:val="24"/>
        </w:rPr>
        <w:t xml:space="preserve">, simple quaternary alkyl ammonium salts </w:t>
      </w:r>
      <w:r w:rsidR="00B94C78">
        <w:rPr>
          <w:rFonts w:ascii="Times New Roman" w:hAnsi="Times New Roman" w:cs="Times New Roman"/>
          <w:sz w:val="24"/>
          <w:szCs w:val="24"/>
        </w:rPr>
        <w:t>showed</w:t>
      </w:r>
      <w:r w:rsidRPr="00A505AF">
        <w:rPr>
          <w:rFonts w:ascii="Times New Roman" w:hAnsi="Times New Roman" w:cs="Times New Roman"/>
          <w:sz w:val="24"/>
          <w:szCs w:val="24"/>
        </w:rPr>
        <w:t xml:space="preserve"> to promote the transesterification of methyl esters with glycidol, leading to the formation of glycidyl esters</w:t>
      </w:r>
      <w:r w:rsidR="000E7348">
        <w:rPr>
          <w:rFonts w:ascii="Times New Roman" w:hAnsi="Times New Roman" w:cs="Times New Roman"/>
          <w:sz w:val="24"/>
          <w:szCs w:val="24"/>
        </w:rPr>
        <w:t xml:space="preserve"> </w:t>
      </w:r>
      <w:r w:rsidR="00F6603C">
        <w:rPr>
          <w:rFonts w:ascii="Times New Roman" w:hAnsi="Times New Roman" w:cs="Times New Roman"/>
          <w:sz w:val="24"/>
          <w:szCs w:val="24"/>
        </w:rPr>
        <w:fldChar w:fldCharType="begin"/>
      </w:r>
      <w:r w:rsidR="00AB279D">
        <w:rPr>
          <w:rFonts w:ascii="Times New Roman" w:hAnsi="Times New Roman" w:cs="Times New Roman"/>
          <w:sz w:val="24"/>
          <w:szCs w:val="24"/>
        </w:rPr>
        <w:instrText xml:space="preserve"> ADDIN ZOTERO_ITEM CSL_CITATION {"citationID":"aCoF8c3t","properties":{"formattedCitation":"(Tanaka et al., 2022, 2019)","plainCitation":"(Tanaka et al., 2022, 2019)","noteIndex":0},"citationItems":[{"id":460,"uris":["http://zotero.org/users/11450443/items/G8Y9XRM4"],"itemData":{"id":460,"type":"article-journal","abstract":"We demonstrated that DNP-enhanced NMR spectroscopy enables the direct and detailed characterization of polymer-supported alkylammonium catalysts.\n          , \n            \n              Polymer-supported catalysts have been of great interest in organic syntheses, but have suffered from the difficulty in obtaining direct structural information regarding the catalyst species embedded in the polymer due to the limitations of most analytical methods. Here, we show that dynamic nuclear polarization (DNP)-enhanced solid-state NMR is ideally positioned to characterize the ubiquitous cross-linked polystyrene (PS)-supported catalysts, thus enabling molecular-level understanding and rational development. Ammonium-based catalysts, which show excellent catalytic activity and reusability for the transesterification of methyl esters with glycidol, giving glycidyl esters in high yields, were successfully characterized by DNP\n              15\n              N NMR spectroscopy at\n              15\n              N natural abundance. DNP\n              15\n              N NMR shows in particular that the decomposition of quaternary alkylammonium moieties to tertiary amines was completely suppressed during the catalytic reaction. Furthermore, the dilute ring-opened product derived from glycidol and NO\n              3\n              −\n              was directly characterized by DNP\n              15\n              N CPMAS and\n              1\n              H–\n              15\n              N and\n              1\n              H–\n              13\n              C HETCOR NMR using a\n              15\n              N enriched (NO\n              3\n              ) sample, supporting the view that the transesterification mechanism involves an alkoxide anion derived from an epoxide and NO\n              3\n              −\n              . In addition, the detailed analysis of a used catalyst indicated that the adsorption of products on the cationic center is the major deactivation step in this catalysis.","container-title":"Chemical Science","DOI":"10.1039/D2SC00274D","ISSN":"2041-6520, 2041-6539","issue":"16","journalAbbreviation":"Chem. Sci.","language":"en","page":"4490-4497","source":"DOI.org (Crossref)","title":"DNP NMR spectroscopy enabled direct characterization of polystyrene-supported catalyst species for synthesis of glycidyl esters by transesterification","volume":"13","author":[{"family":"Tanaka","given":"Shinji"},{"family":"Nakajima","given":"Yumiko"},{"family":"Ogawa","given":"Atsuko"},{"family":"Kuragano","given":"Takashi"},{"family":"Kon","given":"Yoshihiro"},{"family":"Tamura","given":"Masanori"},{"family":"Sato","given":"Kazuhiko"},{"family":"Copéret","given":"Christophe"}],"issued":{"date-parts":[["2022"]]}}},{"id":461,"uris":["http://zotero.org/users/11450443/items/NP5CTALM"],"itemData":{"id":461,"type":"article-journal","abstract":"Transesteriﬁcation of methyl esters was accelerated by an in situ-generated metal-free catalyst comprising a quaternary alkylammonium salt and an epoxide. The combination of a quaternary alkylammonium acetate and glycidol is optimal, and various esters were synthesized from methyl esters with alcohols in good to excellent yield. Analysis of the catalyst solution revealed that basic species are generated by the ring-opening reaction of epoxide.","container-title":"Tetrahedron Letters","DOI":"10.1016/j.tetlet.2019.06.056","ISSN":"00404039","issue":"30","journalAbbreviation":"Tetrahedron Letters","language":"en","page":"2009-2013","source":"DOI.org (Crossref)","title":"Epoxide as precatalyst for metal-free catalytic transesterification","volume":"60","author":[{"family":"Tanaka","given":"Shinji"},{"family":"Nakashima","given":"Takuya"},{"family":"Satou","given":"Naoto"},{"family":"Oono","given":"Hiromi"},{"family":"Kon","given":"Yoshihiro"},{"family":"Tamura","given":"Masanori"},{"family":"Sato","given":"Kazuhiko"}],"issued":{"date-parts":[["2019",7]]}}}],"schema":"https://github.com/citation-style-language/schema/raw/master/csl-citation.json"} </w:instrText>
      </w:r>
      <w:r w:rsidR="00F6603C">
        <w:rPr>
          <w:rFonts w:ascii="Times New Roman" w:hAnsi="Times New Roman" w:cs="Times New Roman"/>
          <w:sz w:val="24"/>
          <w:szCs w:val="24"/>
        </w:rPr>
        <w:fldChar w:fldCharType="separate"/>
      </w:r>
      <w:r w:rsidR="00AB279D" w:rsidRPr="00AB279D">
        <w:rPr>
          <w:rFonts w:ascii="Times New Roman" w:hAnsi="Times New Roman" w:cs="Times New Roman"/>
          <w:sz w:val="24"/>
        </w:rPr>
        <w:t>(Tanaka et al., 2022, 2019)</w:t>
      </w:r>
      <w:r w:rsidR="00F6603C">
        <w:rPr>
          <w:rFonts w:ascii="Times New Roman" w:hAnsi="Times New Roman" w:cs="Times New Roman"/>
          <w:sz w:val="24"/>
          <w:szCs w:val="24"/>
        </w:rPr>
        <w:fldChar w:fldCharType="end"/>
      </w:r>
      <w:r w:rsidR="000E7348">
        <w:rPr>
          <w:rFonts w:ascii="Times New Roman" w:hAnsi="Times New Roman" w:cs="Times New Roman"/>
          <w:sz w:val="24"/>
          <w:szCs w:val="24"/>
        </w:rPr>
        <w:t>.</w:t>
      </w:r>
      <w:r w:rsidR="00A74AD9">
        <w:rPr>
          <w:rFonts w:ascii="Times New Roman" w:hAnsi="Times New Roman" w:cs="Times New Roman"/>
          <w:sz w:val="24"/>
          <w:szCs w:val="24"/>
        </w:rPr>
        <w:t xml:space="preserve"> </w:t>
      </w:r>
      <w:r w:rsidRPr="00A505AF">
        <w:rPr>
          <w:rFonts w:ascii="Times New Roman" w:hAnsi="Times New Roman" w:cs="Times New Roman"/>
          <w:sz w:val="24"/>
          <w:szCs w:val="24"/>
        </w:rPr>
        <w:t>The proposed mechanism involves the activation of glycidol by the quaternary alkyl ammonium chloride, where chloride anions attack the epoxide, generating an active anionic species that drives the reaction forward.</w:t>
      </w:r>
      <w:r w:rsidR="00F6603C">
        <w:rPr>
          <w:rFonts w:ascii="Times New Roman" w:hAnsi="Times New Roman" w:cs="Times New Roman"/>
          <w:sz w:val="24"/>
          <w:szCs w:val="24"/>
        </w:rPr>
        <w:fldChar w:fldCharType="begin"/>
      </w:r>
      <w:r w:rsidR="00AB279D">
        <w:rPr>
          <w:rFonts w:ascii="Times New Roman" w:hAnsi="Times New Roman" w:cs="Times New Roman"/>
          <w:sz w:val="24"/>
          <w:szCs w:val="24"/>
        </w:rPr>
        <w:instrText xml:space="preserve"> ADDIN ZOTERO_ITEM CSL_CITATION {"citationID":"uNQefS2b","properties":{"formattedCitation":"(Hatano et al., 2018)","plainCitation":"(Hatano et al., 2018)","noteIndex":0},"citationItems":[{"id":463,"uris":["http://zotero.org/users/11450443/items/A2BSMRW8"],"itemData":{"id":463,"type":"article-journal","abstract":"A metal-free [Me\n              4\n              N]\n              +\n              [OCO\n              2\n              Me]\n              −\n              catalyst is effective for the chemoselective, scalable, and reusable transesterification of chelating substrates in common organic solvents.\n            \n          , \n            \n              Environmentally benign metal-free tetramethylammonium methyl carbonate is effective as a catalyst for the chemoselective, scalable, and reusable transesterification of various esters and alcohols in common organic solvents.\n              In situ\n              -generated highly active species, tetramethylammonium alkoxides, can greatly avoid self-decomposition at ≤110 °C, and are reusable. In particular, chelating substrates, such as amino alcohols, diols, triols, sugar derivatives, alkaloids, α-amino acid esters,\n              etc\n              ., which deactivate conventional metal salt catalysts, can be used. A 100 gram scale biodiesel production was also demonstrated.","container-title":"Green Chemistry","DOI":"10.1039/C7GC03858E","ISSN":"1463-9262, 1463-9270","issue":"6","journalAbbreviation":"Green Chem.","language":"en","page":"1193-1198","source":"DOI.org (Crossref)","title":"Metal-free transesterification catalyzed by tetramethylammonium methyl carbonate","volume":"20","author":[{"family":"Hatano","given":"Manabu"},{"family":"Tabata","given":"Yuji"},{"family":"Yoshida","given":"Yurika"},{"family":"Toh","given":"Kohei"},{"family":"Yamashita","given":"Kenji"},{"family":"Ogura","given":"Yoshihiro"},{"family":"Ishihara","given":"Kazuaki"}],"issued":{"date-parts":[["2018"]]}}}],"schema":"https://github.com/citation-style-language/schema/raw/master/csl-citation.json"} </w:instrText>
      </w:r>
      <w:r w:rsidR="00F6603C">
        <w:rPr>
          <w:rFonts w:ascii="Times New Roman" w:hAnsi="Times New Roman" w:cs="Times New Roman"/>
          <w:sz w:val="24"/>
          <w:szCs w:val="24"/>
        </w:rPr>
        <w:fldChar w:fldCharType="separate"/>
      </w:r>
      <w:r w:rsidR="00AB279D" w:rsidRPr="00AB279D">
        <w:rPr>
          <w:rFonts w:ascii="Times New Roman" w:hAnsi="Times New Roman" w:cs="Times New Roman"/>
          <w:sz w:val="24"/>
        </w:rPr>
        <w:t>(Hatano et al., 2018)</w:t>
      </w:r>
      <w:r w:rsidR="00F6603C">
        <w:rPr>
          <w:rFonts w:ascii="Times New Roman" w:hAnsi="Times New Roman" w:cs="Times New Roman"/>
          <w:sz w:val="24"/>
          <w:szCs w:val="24"/>
        </w:rPr>
        <w:fldChar w:fldCharType="end"/>
      </w:r>
      <w:r w:rsidR="00B94C78">
        <w:rPr>
          <w:rFonts w:ascii="Times New Roman" w:hAnsi="Times New Roman" w:cs="Times New Roman"/>
          <w:sz w:val="24"/>
          <w:szCs w:val="24"/>
        </w:rPr>
        <w:t xml:space="preserve"> </w:t>
      </w:r>
    </w:p>
    <w:p w14:paraId="40B9C410" w14:textId="3F0E465C" w:rsidR="00EF63B0" w:rsidRPr="00A505AF" w:rsidRDefault="00627307" w:rsidP="00EF63B0">
      <w:pPr>
        <w:spacing w:line="480" w:lineRule="auto"/>
        <w:jc w:val="both"/>
        <w:rPr>
          <w:rFonts w:ascii="Times New Roman" w:hAnsi="Times New Roman" w:cs="Times New Roman"/>
          <w:sz w:val="24"/>
          <w:szCs w:val="24"/>
        </w:rPr>
      </w:pPr>
      <w:bookmarkStart w:id="15" w:name="_Hlk189739475"/>
      <w:r w:rsidRPr="00A505AF">
        <w:rPr>
          <w:rFonts w:ascii="Times New Roman" w:hAnsi="Times New Roman" w:cs="Times New Roman"/>
          <w:sz w:val="24"/>
          <w:szCs w:val="24"/>
        </w:rPr>
        <w:t>Considering</w:t>
      </w:r>
      <w:r w:rsidR="00EF63B0" w:rsidRPr="00A505AF">
        <w:rPr>
          <w:rFonts w:ascii="Times New Roman" w:hAnsi="Times New Roman" w:cs="Times New Roman"/>
          <w:sz w:val="24"/>
          <w:szCs w:val="24"/>
        </w:rPr>
        <w:t xml:space="preserve"> these </w:t>
      </w:r>
      <w:r w:rsidR="00B94C78">
        <w:rPr>
          <w:rFonts w:ascii="Times New Roman" w:hAnsi="Times New Roman" w:cs="Times New Roman"/>
          <w:sz w:val="24"/>
          <w:szCs w:val="24"/>
        </w:rPr>
        <w:t>observations</w:t>
      </w:r>
      <w:r w:rsidR="00EF63B0" w:rsidRPr="00A505AF">
        <w:rPr>
          <w:rFonts w:ascii="Times New Roman" w:hAnsi="Times New Roman" w:cs="Times New Roman"/>
          <w:sz w:val="24"/>
          <w:szCs w:val="24"/>
        </w:rPr>
        <w:t>, the catalytic behavior of the butyl SILLPs</w:t>
      </w:r>
      <w:r w:rsidR="008D70F7">
        <w:rPr>
          <w:rFonts w:ascii="Times New Roman" w:hAnsi="Times New Roman" w:cs="Times New Roman"/>
          <w:sz w:val="24"/>
          <w:szCs w:val="24"/>
        </w:rPr>
        <w:t xml:space="preserve"> (SIL</w:t>
      </w:r>
      <w:r w:rsidR="008C2CD9">
        <w:rPr>
          <w:rFonts w:ascii="Times New Roman" w:hAnsi="Times New Roman" w:cs="Times New Roman"/>
          <w:sz w:val="24"/>
          <w:szCs w:val="24"/>
        </w:rPr>
        <w:t>L</w:t>
      </w:r>
      <w:r w:rsidR="008D70F7">
        <w:rPr>
          <w:rFonts w:ascii="Times New Roman" w:hAnsi="Times New Roman" w:cs="Times New Roman"/>
          <w:sz w:val="24"/>
          <w:szCs w:val="24"/>
        </w:rPr>
        <w:t>P-1 and SILLP-2)</w:t>
      </w:r>
      <w:r w:rsidR="00EF63B0" w:rsidRPr="00A505AF">
        <w:rPr>
          <w:rFonts w:ascii="Times New Roman" w:hAnsi="Times New Roman" w:cs="Times New Roman"/>
          <w:sz w:val="24"/>
          <w:szCs w:val="24"/>
        </w:rPr>
        <w:t xml:space="preserve"> was compared </w:t>
      </w:r>
      <w:r w:rsidR="000B6E5A">
        <w:rPr>
          <w:rFonts w:ascii="Times New Roman" w:hAnsi="Times New Roman" w:cs="Times New Roman"/>
          <w:sz w:val="24"/>
          <w:szCs w:val="24"/>
        </w:rPr>
        <w:t>to the one</w:t>
      </w:r>
      <w:r w:rsidR="00EF63B0" w:rsidRPr="00A505AF">
        <w:rPr>
          <w:rFonts w:ascii="Times New Roman" w:hAnsi="Times New Roman" w:cs="Times New Roman"/>
          <w:sz w:val="24"/>
          <w:szCs w:val="24"/>
        </w:rPr>
        <w:t xml:space="preserve"> of supported alkyl ammonium salts derived from tributylamine, using Cl⁻</w:t>
      </w:r>
      <w:r w:rsidR="008D70F7">
        <w:rPr>
          <w:rFonts w:ascii="Times New Roman" w:hAnsi="Times New Roman" w:cs="Times New Roman"/>
          <w:sz w:val="24"/>
          <w:szCs w:val="24"/>
        </w:rPr>
        <w:t xml:space="preserve"> (SILLP-3)</w:t>
      </w:r>
      <w:r w:rsidR="00EF63B0" w:rsidRPr="00A505AF">
        <w:rPr>
          <w:rFonts w:ascii="Times New Roman" w:hAnsi="Times New Roman" w:cs="Times New Roman"/>
          <w:sz w:val="24"/>
          <w:szCs w:val="24"/>
        </w:rPr>
        <w:t xml:space="preserve"> and NO₃⁻ </w:t>
      </w:r>
      <w:r w:rsidR="008D70F7">
        <w:rPr>
          <w:rFonts w:ascii="Times New Roman" w:hAnsi="Times New Roman" w:cs="Times New Roman"/>
          <w:sz w:val="24"/>
          <w:szCs w:val="24"/>
        </w:rPr>
        <w:t xml:space="preserve">(SILLP-4) </w:t>
      </w:r>
      <w:r w:rsidR="00EF63B0" w:rsidRPr="00A505AF">
        <w:rPr>
          <w:rFonts w:ascii="Times New Roman" w:hAnsi="Times New Roman" w:cs="Times New Roman"/>
          <w:sz w:val="24"/>
          <w:szCs w:val="24"/>
        </w:rPr>
        <w:t xml:space="preserve">as counterions, and the catalytic activity was evaluated after one hour (Figure </w:t>
      </w:r>
      <w:r w:rsidR="009A30B4">
        <w:rPr>
          <w:rFonts w:ascii="Times New Roman" w:hAnsi="Times New Roman" w:cs="Times New Roman"/>
          <w:sz w:val="24"/>
          <w:szCs w:val="24"/>
        </w:rPr>
        <w:t>5</w:t>
      </w:r>
      <w:r w:rsidR="00EF63B0" w:rsidRPr="00A505AF">
        <w:rPr>
          <w:rFonts w:ascii="Times New Roman" w:hAnsi="Times New Roman" w:cs="Times New Roman"/>
          <w:sz w:val="24"/>
          <w:szCs w:val="24"/>
        </w:rPr>
        <w:t xml:space="preserve">). The imidazolium-based systems showed </w:t>
      </w:r>
      <w:r w:rsidR="00B94C78">
        <w:rPr>
          <w:rFonts w:ascii="Times New Roman" w:hAnsi="Times New Roman" w:cs="Times New Roman"/>
          <w:sz w:val="24"/>
          <w:szCs w:val="24"/>
        </w:rPr>
        <w:t>higher</w:t>
      </w:r>
      <w:r w:rsidR="00EF63B0" w:rsidRPr="00A505AF">
        <w:rPr>
          <w:rFonts w:ascii="Times New Roman" w:hAnsi="Times New Roman" w:cs="Times New Roman"/>
          <w:sz w:val="24"/>
          <w:szCs w:val="24"/>
        </w:rPr>
        <w:t xml:space="preserve"> conversion rates (39% vs. 28%) and yields </w:t>
      </w:r>
      <w:r w:rsidR="00B94C78">
        <w:rPr>
          <w:rFonts w:ascii="Times New Roman" w:hAnsi="Times New Roman" w:cs="Times New Roman"/>
          <w:sz w:val="24"/>
          <w:szCs w:val="24"/>
        </w:rPr>
        <w:t>towards</w:t>
      </w:r>
      <w:r w:rsidR="00EF63B0" w:rsidRPr="00A505AF">
        <w:rPr>
          <w:rFonts w:ascii="Times New Roman" w:hAnsi="Times New Roman" w:cs="Times New Roman"/>
          <w:sz w:val="24"/>
          <w:szCs w:val="24"/>
        </w:rPr>
        <w:t xml:space="preserve"> </w:t>
      </w:r>
      <w:r>
        <w:rPr>
          <w:rFonts w:ascii="Times New Roman" w:hAnsi="Times New Roman" w:cs="Times New Roman"/>
          <w:sz w:val="24"/>
          <w:szCs w:val="24"/>
        </w:rPr>
        <w:t>DGF</w:t>
      </w:r>
      <w:r w:rsidR="00EF63B0" w:rsidRPr="00A505AF">
        <w:rPr>
          <w:rFonts w:ascii="Times New Roman" w:hAnsi="Times New Roman" w:cs="Times New Roman"/>
          <w:sz w:val="24"/>
          <w:szCs w:val="24"/>
        </w:rPr>
        <w:t xml:space="preserve">. Specifically, the imidazolium system yielded 5% </w:t>
      </w:r>
      <w:r w:rsidR="00584AA9">
        <w:rPr>
          <w:rFonts w:ascii="Times New Roman" w:hAnsi="Times New Roman" w:cs="Times New Roman"/>
          <w:sz w:val="24"/>
          <w:szCs w:val="24"/>
        </w:rPr>
        <w:t>DGF</w:t>
      </w:r>
      <w:r w:rsidR="00EF63B0" w:rsidRPr="00A505AF">
        <w:rPr>
          <w:rFonts w:ascii="Times New Roman" w:hAnsi="Times New Roman" w:cs="Times New Roman"/>
          <w:sz w:val="24"/>
          <w:szCs w:val="24"/>
        </w:rPr>
        <w:t xml:space="preserve"> and 39% </w:t>
      </w:r>
      <w:r w:rsidR="00584AA9">
        <w:rPr>
          <w:rFonts w:ascii="Times New Roman" w:hAnsi="Times New Roman" w:cs="Times New Roman"/>
          <w:sz w:val="24"/>
          <w:szCs w:val="24"/>
        </w:rPr>
        <w:t>MGF</w:t>
      </w:r>
      <w:r w:rsidR="00EF63B0" w:rsidRPr="00A505AF">
        <w:rPr>
          <w:rFonts w:ascii="Times New Roman" w:hAnsi="Times New Roman" w:cs="Times New Roman"/>
          <w:sz w:val="24"/>
          <w:szCs w:val="24"/>
        </w:rPr>
        <w:t xml:space="preserve">, whereas the alkyl ammonium system produced only 3% </w:t>
      </w:r>
      <w:r w:rsidR="00584AA9">
        <w:rPr>
          <w:rFonts w:ascii="Times New Roman" w:hAnsi="Times New Roman" w:cs="Times New Roman"/>
          <w:sz w:val="24"/>
          <w:szCs w:val="24"/>
        </w:rPr>
        <w:t>DGF</w:t>
      </w:r>
      <w:r w:rsidR="00EF63B0" w:rsidRPr="00A505AF">
        <w:rPr>
          <w:rFonts w:ascii="Times New Roman" w:hAnsi="Times New Roman" w:cs="Times New Roman"/>
          <w:sz w:val="24"/>
          <w:szCs w:val="24"/>
        </w:rPr>
        <w:t xml:space="preserve"> and 25% </w:t>
      </w:r>
      <w:r w:rsidR="00584AA9">
        <w:rPr>
          <w:rFonts w:ascii="Times New Roman" w:hAnsi="Times New Roman" w:cs="Times New Roman"/>
          <w:sz w:val="24"/>
          <w:szCs w:val="24"/>
        </w:rPr>
        <w:t>MGF</w:t>
      </w:r>
      <w:r w:rsidR="00EF63B0" w:rsidRPr="00A505AF">
        <w:rPr>
          <w:rFonts w:ascii="Times New Roman" w:hAnsi="Times New Roman" w:cs="Times New Roman"/>
          <w:sz w:val="24"/>
          <w:szCs w:val="24"/>
        </w:rPr>
        <w:t>.</w:t>
      </w:r>
    </w:p>
    <w:bookmarkEnd w:id="15"/>
    <w:p w14:paraId="31A37500" w14:textId="77777777" w:rsidR="00EF63B0" w:rsidRPr="00A505AF" w:rsidRDefault="00EF63B0" w:rsidP="00451512">
      <w:pPr>
        <w:spacing w:after="0" w:line="480" w:lineRule="auto"/>
        <w:jc w:val="both"/>
        <w:rPr>
          <w:rFonts w:ascii="Times New Roman" w:hAnsi="Times New Roman" w:cs="Times New Roman"/>
          <w:sz w:val="24"/>
          <w:szCs w:val="24"/>
        </w:rPr>
      </w:pPr>
      <w:r w:rsidRPr="00A505AF">
        <w:rPr>
          <w:rFonts w:ascii="Times New Roman" w:hAnsi="Times New Roman" w:cs="Times New Roman"/>
          <w:sz w:val="24"/>
          <w:szCs w:val="24"/>
        </w:rPr>
        <w:t>When NO₃⁻ was used as the counterion, a sharp decline in activity was observed, with conversions dropping below 1%. This is likely because Cl⁻ is a stronger nucleophile than NO₃⁻. Cl⁻, being smaller and having a concentrated charge, is more reactive and effective in nucleophilic substitution reactions. This highlights the critical role that the choice of counterion plays in determining the efficiency of these catalytic systems.</w:t>
      </w:r>
    </w:p>
    <w:p w14:paraId="66CC5D03" w14:textId="6CA268E2" w:rsidR="00EF63B0" w:rsidRDefault="00EF63B0" w:rsidP="00EF63B0">
      <w:pPr>
        <w:spacing w:line="480" w:lineRule="auto"/>
        <w:jc w:val="both"/>
        <w:rPr>
          <w:rFonts w:ascii="Times New Roman" w:hAnsi="Times New Roman" w:cs="Times New Roman"/>
          <w:sz w:val="24"/>
          <w:szCs w:val="24"/>
        </w:rPr>
      </w:pPr>
      <w:r w:rsidRPr="00A505AF">
        <w:rPr>
          <w:rFonts w:ascii="Times New Roman" w:hAnsi="Times New Roman" w:cs="Times New Roman"/>
          <w:sz w:val="24"/>
          <w:szCs w:val="24"/>
        </w:rPr>
        <w:t>The superior performance of the imidazolium system is likely attributed to the presence of additional hydrogen atoms in the imidazolium ring</w:t>
      </w:r>
      <w:r w:rsidR="008D70F7">
        <w:rPr>
          <w:rFonts w:ascii="Times New Roman" w:hAnsi="Times New Roman" w:cs="Times New Roman"/>
          <w:sz w:val="24"/>
          <w:szCs w:val="24"/>
        </w:rPr>
        <w:t xml:space="preserve"> </w:t>
      </w:r>
      <w:r w:rsidR="000E4477">
        <w:rPr>
          <w:rFonts w:ascii="Times New Roman" w:hAnsi="Times New Roman" w:cs="Times New Roman"/>
          <w:sz w:val="24"/>
          <w:szCs w:val="24"/>
        </w:rPr>
        <w:fldChar w:fldCharType="begin"/>
      </w:r>
      <w:r w:rsidR="00AB279D">
        <w:rPr>
          <w:rFonts w:ascii="Times New Roman" w:hAnsi="Times New Roman" w:cs="Times New Roman"/>
          <w:sz w:val="24"/>
          <w:szCs w:val="24"/>
        </w:rPr>
        <w:instrText xml:space="preserve"> ADDIN ZOTERO_ITEM CSL_CITATION {"citationID":"Z5u2ayNq","properties":{"formattedCitation":"(Weber et al., 2013)","plainCitation":"(Weber et al., 2013)","noteIndex":0},"citationItems":[{"id":465,"uris":["http://zotero.org/users/11450443/items/FMAH9PPP"],"itemData":{"id":465,"type":"article-journal","container-title":"Green Chemistry","DOI":"10.1039/c3gc41313f","ISSN":"1463-9262, 1463-9270","issue":"10","journalAbbreviation":"Green Chem.","language":"en","page":"2655","source":"DOI.org (Crossref)","title":"Structural features of ionic liquids: consequences for material preparation and organic reactivity","title-short":"Structural features of ionic liquids","volume":"15","author":[{"family":"Weber","given":"Cameron C."},{"family":"Masters","given":"Anthony F."},{"family":"Maschmeyer","given":"Thomas"}],"issued":{"date-parts":[["2013"]]}}}],"schema":"https://github.com/citation-style-language/schema/raw/master/csl-citation.json"} </w:instrText>
      </w:r>
      <w:r w:rsidR="000E4477">
        <w:rPr>
          <w:rFonts w:ascii="Times New Roman" w:hAnsi="Times New Roman" w:cs="Times New Roman"/>
          <w:sz w:val="24"/>
          <w:szCs w:val="24"/>
        </w:rPr>
        <w:fldChar w:fldCharType="separate"/>
      </w:r>
      <w:r w:rsidR="00AB279D" w:rsidRPr="00AB279D">
        <w:rPr>
          <w:rFonts w:ascii="Times New Roman" w:hAnsi="Times New Roman" w:cs="Times New Roman"/>
          <w:sz w:val="24"/>
        </w:rPr>
        <w:t>(Weber et al., 2013)</w:t>
      </w:r>
      <w:r w:rsidR="000E4477">
        <w:rPr>
          <w:rFonts w:ascii="Times New Roman" w:hAnsi="Times New Roman" w:cs="Times New Roman"/>
          <w:sz w:val="24"/>
          <w:szCs w:val="24"/>
        </w:rPr>
        <w:fldChar w:fldCharType="end"/>
      </w:r>
      <w:r w:rsidR="008D70F7">
        <w:rPr>
          <w:rFonts w:ascii="Times New Roman" w:hAnsi="Times New Roman" w:cs="Times New Roman"/>
          <w:sz w:val="24"/>
          <w:szCs w:val="24"/>
        </w:rPr>
        <w:t>.</w:t>
      </w:r>
      <w:r w:rsidRPr="00A505AF">
        <w:rPr>
          <w:rFonts w:ascii="Times New Roman" w:hAnsi="Times New Roman" w:cs="Times New Roman"/>
          <w:sz w:val="24"/>
          <w:szCs w:val="24"/>
        </w:rPr>
        <w:t xml:space="preserve"> These hydrogens can form extra hydrogen bonds, which may enhance catalytic activity by stabilizing intermediates during the reaction. This interaction can lead to more efficient and selective catalysis compared to alkyl ammonium salts.</w:t>
      </w:r>
    </w:p>
    <w:p w14:paraId="2A993752" w14:textId="777C04D1" w:rsidR="00A540B6" w:rsidRPr="00A505AF" w:rsidRDefault="002A7913" w:rsidP="00063549">
      <w:pPr>
        <w:tabs>
          <w:tab w:val="num" w:pos="720"/>
        </w:tabs>
        <w:spacing w:line="36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7CE917DA" wp14:editId="51539B75">
            <wp:extent cx="5987593" cy="2345071"/>
            <wp:effectExtent l="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6023203" cy="2359018"/>
                    </a:xfrm>
                    <a:prstGeom prst="rect">
                      <a:avLst/>
                    </a:prstGeom>
                    <a:noFill/>
                  </pic:spPr>
                </pic:pic>
              </a:graphicData>
            </a:graphic>
          </wp:inline>
        </w:drawing>
      </w:r>
    </w:p>
    <w:p w14:paraId="05B15A44" w14:textId="7F272E6D" w:rsidR="008E6F71" w:rsidRPr="002C5814" w:rsidRDefault="008E6F71" w:rsidP="002C5814">
      <w:pPr>
        <w:pStyle w:val="Didascalia"/>
        <w:jc w:val="center"/>
        <w:rPr>
          <w:rFonts w:ascii="Times New Roman" w:hAnsi="Times New Roman" w:cs="Times New Roman"/>
          <w:i w:val="0"/>
          <w:iCs w:val="0"/>
          <w:color w:val="auto"/>
        </w:rPr>
      </w:pPr>
      <w:r w:rsidRPr="008E6F71">
        <w:rPr>
          <w:rFonts w:ascii="Times New Roman" w:hAnsi="Times New Roman" w:cs="Times New Roman"/>
          <w:b/>
          <w:bCs/>
          <w:i w:val="0"/>
          <w:iCs w:val="0"/>
          <w:color w:val="auto"/>
        </w:rPr>
        <w:t xml:space="preserve">Figure </w:t>
      </w:r>
      <w:r w:rsidR="009A30B4">
        <w:rPr>
          <w:rFonts w:ascii="Times New Roman" w:hAnsi="Times New Roman" w:cs="Times New Roman"/>
          <w:b/>
          <w:bCs/>
          <w:i w:val="0"/>
          <w:iCs w:val="0"/>
          <w:color w:val="auto"/>
        </w:rPr>
        <w:t>5</w:t>
      </w:r>
      <w:r w:rsidR="00584AA9">
        <w:rPr>
          <w:rFonts w:ascii="Times New Roman" w:hAnsi="Times New Roman" w:cs="Times New Roman"/>
          <w:b/>
          <w:bCs/>
          <w:i w:val="0"/>
          <w:iCs w:val="0"/>
          <w:color w:val="auto"/>
        </w:rPr>
        <w:t xml:space="preserve"> -</w:t>
      </w:r>
      <w:r w:rsidR="00EF63B0" w:rsidRPr="008E6F71">
        <w:rPr>
          <w:rFonts w:ascii="Times New Roman" w:hAnsi="Times New Roman" w:cs="Times New Roman"/>
          <w:b/>
          <w:bCs/>
          <w:i w:val="0"/>
          <w:iCs w:val="0"/>
          <w:color w:val="auto"/>
        </w:rPr>
        <w:t xml:space="preserve"> </w:t>
      </w:r>
      <w:r w:rsidR="00063549">
        <w:rPr>
          <w:rFonts w:ascii="Times New Roman" w:hAnsi="Times New Roman" w:cs="Times New Roman"/>
          <w:b/>
          <w:bCs/>
          <w:i w:val="0"/>
          <w:iCs w:val="0"/>
          <w:color w:val="auto"/>
        </w:rPr>
        <w:t>A</w:t>
      </w:r>
      <w:r w:rsidR="000B6E5A">
        <w:rPr>
          <w:rFonts w:ascii="Times New Roman" w:hAnsi="Times New Roman" w:cs="Times New Roman"/>
          <w:b/>
          <w:bCs/>
          <w:i w:val="0"/>
          <w:iCs w:val="0"/>
          <w:color w:val="auto"/>
        </w:rPr>
        <w:t>)</w:t>
      </w:r>
      <w:r w:rsidR="00B94C78">
        <w:rPr>
          <w:rFonts w:ascii="Times New Roman" w:hAnsi="Times New Roman" w:cs="Times New Roman"/>
          <w:b/>
          <w:bCs/>
          <w:i w:val="0"/>
          <w:iCs w:val="0"/>
          <w:color w:val="auto"/>
        </w:rPr>
        <w:t xml:space="preserve"> </w:t>
      </w:r>
      <w:r w:rsidR="000B6E5A" w:rsidRPr="000B6E5A">
        <w:rPr>
          <w:rFonts w:ascii="Times New Roman" w:hAnsi="Times New Roman" w:cs="Times New Roman"/>
          <w:i w:val="0"/>
          <w:iCs w:val="0"/>
          <w:color w:val="auto"/>
        </w:rPr>
        <w:t xml:space="preserve">catalytic behavior of the butyl SILLPs compared </w:t>
      </w:r>
      <w:r w:rsidR="000B6E5A">
        <w:rPr>
          <w:rFonts w:ascii="Times New Roman" w:hAnsi="Times New Roman" w:cs="Times New Roman"/>
          <w:i w:val="0"/>
          <w:iCs w:val="0"/>
          <w:color w:val="auto"/>
        </w:rPr>
        <w:t xml:space="preserve">to the one of </w:t>
      </w:r>
      <w:r w:rsidR="000B6E5A" w:rsidRPr="000B6E5A">
        <w:rPr>
          <w:rFonts w:ascii="Times New Roman" w:hAnsi="Times New Roman" w:cs="Times New Roman"/>
          <w:i w:val="0"/>
          <w:iCs w:val="0"/>
          <w:color w:val="auto"/>
        </w:rPr>
        <w:t xml:space="preserve">supported alkyl </w:t>
      </w:r>
      <w:r w:rsidR="000B6E5A" w:rsidRPr="00A74AD9">
        <w:rPr>
          <w:rFonts w:ascii="Times New Roman" w:hAnsi="Times New Roman" w:cs="Times New Roman"/>
          <w:i w:val="0"/>
          <w:iCs w:val="0"/>
          <w:color w:val="auto"/>
        </w:rPr>
        <w:t>ammonium salts</w:t>
      </w:r>
      <w:r w:rsidR="002E69C3" w:rsidRPr="00A74AD9">
        <w:rPr>
          <w:rFonts w:ascii="Times New Roman" w:hAnsi="Times New Roman" w:cs="Times New Roman"/>
          <w:i w:val="0"/>
          <w:iCs w:val="0"/>
          <w:color w:val="auto"/>
        </w:rPr>
        <w:t xml:space="preserve"> (blue: MGF; red: DGF)</w:t>
      </w:r>
      <w:r w:rsidR="00B94C78" w:rsidRPr="00A74AD9">
        <w:rPr>
          <w:rFonts w:ascii="Times New Roman" w:hAnsi="Times New Roman" w:cs="Times New Roman"/>
          <w:i w:val="0"/>
          <w:iCs w:val="0"/>
          <w:color w:val="auto"/>
        </w:rPr>
        <w:t xml:space="preserve">; </w:t>
      </w:r>
      <w:r w:rsidR="00063549" w:rsidRPr="00A74AD9">
        <w:rPr>
          <w:rFonts w:ascii="Times New Roman" w:hAnsi="Times New Roman" w:cs="Times New Roman"/>
          <w:b/>
          <w:bCs/>
          <w:i w:val="0"/>
          <w:iCs w:val="0"/>
          <w:color w:val="auto"/>
        </w:rPr>
        <w:t>B</w:t>
      </w:r>
      <w:r w:rsidR="00B94C78" w:rsidRPr="00A74AD9">
        <w:rPr>
          <w:rFonts w:ascii="Times New Roman" w:hAnsi="Times New Roman" w:cs="Times New Roman"/>
          <w:b/>
          <w:bCs/>
          <w:i w:val="0"/>
          <w:iCs w:val="0"/>
          <w:color w:val="auto"/>
        </w:rPr>
        <w:t xml:space="preserve">) </w:t>
      </w:r>
      <w:r w:rsidR="00EF63B0" w:rsidRPr="00A74AD9">
        <w:rPr>
          <w:rFonts w:ascii="Times New Roman" w:hAnsi="Times New Roman" w:cs="Times New Roman"/>
          <w:i w:val="0"/>
          <w:iCs w:val="0"/>
          <w:color w:val="auto"/>
        </w:rPr>
        <w:t>Comparison of the spectra obtained to highlight the formation of side products</w:t>
      </w:r>
      <w:r w:rsidR="008D70F7" w:rsidRPr="00A74AD9">
        <w:rPr>
          <w:rFonts w:ascii="Times New Roman" w:hAnsi="Times New Roman" w:cs="Times New Roman"/>
          <w:i w:val="0"/>
          <w:iCs w:val="0"/>
          <w:color w:val="auto"/>
        </w:rPr>
        <w:t>.</w:t>
      </w:r>
    </w:p>
    <w:p w14:paraId="48705DF9" w14:textId="25D1F0EA" w:rsidR="00B94C78" w:rsidRDefault="00B94C78" w:rsidP="002E3DF1">
      <w:pPr>
        <w:spacing w:after="0" w:line="480" w:lineRule="auto"/>
        <w:jc w:val="both"/>
        <w:rPr>
          <w:rFonts w:ascii="Times New Roman" w:hAnsi="Times New Roman" w:cs="Times New Roman"/>
          <w:sz w:val="24"/>
          <w:szCs w:val="24"/>
        </w:rPr>
      </w:pPr>
      <w:r w:rsidRPr="00A505AF">
        <w:rPr>
          <w:rFonts w:ascii="Times New Roman" w:hAnsi="Times New Roman" w:cs="Times New Roman"/>
          <w:sz w:val="24"/>
          <w:szCs w:val="24"/>
        </w:rPr>
        <w:t>Additionally, it is important to note that alkyl ammonium salts tend to promote the self-polymerization of glycidol</w:t>
      </w:r>
      <w:r>
        <w:rPr>
          <w:rFonts w:ascii="Times New Roman" w:hAnsi="Times New Roman" w:cs="Times New Roman"/>
          <w:sz w:val="24"/>
          <w:szCs w:val="24"/>
        </w:rPr>
        <w:t xml:space="preserve"> leading to </w:t>
      </w:r>
      <w:r w:rsidRPr="00A505AF">
        <w:rPr>
          <w:rFonts w:ascii="Times New Roman" w:hAnsi="Times New Roman" w:cs="Times New Roman"/>
          <w:sz w:val="24"/>
          <w:szCs w:val="24"/>
        </w:rPr>
        <w:t>a less selective process</w:t>
      </w:r>
      <w:r w:rsidR="00750618">
        <w:rPr>
          <w:rFonts w:ascii="Times New Roman" w:hAnsi="Times New Roman" w:cs="Times New Roman"/>
          <w:sz w:val="24"/>
          <w:szCs w:val="24"/>
        </w:rPr>
        <w:t xml:space="preserve"> as illustrated in Figure </w:t>
      </w:r>
      <w:r w:rsidR="00413A89">
        <w:rPr>
          <w:rFonts w:ascii="Times New Roman" w:hAnsi="Times New Roman" w:cs="Times New Roman"/>
          <w:sz w:val="24"/>
          <w:szCs w:val="24"/>
        </w:rPr>
        <w:t>5B</w:t>
      </w:r>
      <w:r w:rsidRPr="00A505AF">
        <w:rPr>
          <w:rFonts w:ascii="Times New Roman" w:hAnsi="Times New Roman" w:cs="Times New Roman"/>
          <w:sz w:val="24"/>
          <w:szCs w:val="24"/>
        </w:rPr>
        <w:t>. This highlights the advantage of imidazolium-based systems in preventing side reactions and maintaining higher selectivity for the targeted product.</w:t>
      </w:r>
    </w:p>
    <w:p w14:paraId="19D1F3F9" w14:textId="01F1F149" w:rsidR="00B94C78" w:rsidRPr="00A505AF" w:rsidRDefault="00B94C78" w:rsidP="00B94C78">
      <w:pPr>
        <w:spacing w:line="480" w:lineRule="auto"/>
        <w:jc w:val="both"/>
        <w:rPr>
          <w:rFonts w:ascii="Times New Roman" w:hAnsi="Times New Roman" w:cs="Times New Roman"/>
          <w:sz w:val="24"/>
          <w:szCs w:val="24"/>
        </w:rPr>
      </w:pPr>
      <w:bookmarkStart w:id="16" w:name="_Hlk189739522"/>
      <w:r w:rsidRPr="00A505AF">
        <w:rPr>
          <w:rFonts w:ascii="Times New Roman" w:hAnsi="Times New Roman" w:cs="Times New Roman"/>
          <w:sz w:val="24"/>
          <w:szCs w:val="24"/>
        </w:rPr>
        <w:t>To further investigate the effect of SILLP structures, catalysts based on supported ionic liquids incorporating different Brønsted and Lewis acid sites were evaluated</w:t>
      </w:r>
      <w:bookmarkEnd w:id="16"/>
      <w:r w:rsidRPr="00A505AF">
        <w:rPr>
          <w:rFonts w:ascii="Times New Roman" w:hAnsi="Times New Roman" w:cs="Times New Roman"/>
          <w:sz w:val="24"/>
          <w:szCs w:val="24"/>
        </w:rPr>
        <w:t xml:space="preserve">. The catalyst containing scandium triflate (Sc(OTf)₃) as a Lewis acid demonstrated a slight improvement in performance, </w:t>
      </w:r>
      <w:r w:rsidRPr="00AD7DFC">
        <w:rPr>
          <w:rFonts w:ascii="Times New Roman" w:hAnsi="Times New Roman" w:cs="Times New Roman"/>
          <w:sz w:val="24"/>
          <w:szCs w:val="24"/>
        </w:rPr>
        <w:t xml:space="preserve">with 8% yield of </w:t>
      </w:r>
      <w:r w:rsidR="008D70F7">
        <w:rPr>
          <w:rFonts w:ascii="Times New Roman" w:hAnsi="Times New Roman" w:cs="Times New Roman"/>
          <w:sz w:val="24"/>
          <w:szCs w:val="24"/>
        </w:rPr>
        <w:t>DGF</w:t>
      </w:r>
      <w:r w:rsidRPr="00AD7DFC">
        <w:rPr>
          <w:rFonts w:ascii="Times New Roman" w:hAnsi="Times New Roman" w:cs="Times New Roman"/>
          <w:sz w:val="24"/>
          <w:szCs w:val="24"/>
        </w:rPr>
        <w:t xml:space="preserve"> and 41% yield of the </w:t>
      </w:r>
      <w:r w:rsidR="003C5BD7">
        <w:rPr>
          <w:rFonts w:ascii="Times New Roman" w:hAnsi="Times New Roman" w:cs="Times New Roman"/>
          <w:sz w:val="24"/>
          <w:szCs w:val="24"/>
        </w:rPr>
        <w:t>MGF monomer</w:t>
      </w:r>
      <w:r w:rsidRPr="00AD7DFC">
        <w:rPr>
          <w:rFonts w:ascii="Times New Roman" w:hAnsi="Times New Roman" w:cs="Times New Roman"/>
          <w:sz w:val="24"/>
          <w:szCs w:val="24"/>
        </w:rPr>
        <w:t>.</w:t>
      </w:r>
      <w:r w:rsidRPr="00A505AF">
        <w:rPr>
          <w:rFonts w:ascii="Times New Roman" w:hAnsi="Times New Roman" w:cs="Times New Roman"/>
          <w:sz w:val="24"/>
          <w:szCs w:val="24"/>
        </w:rPr>
        <w:t xml:space="preserve"> In contrast, the incorporation of sulfonic acid groups (-SO₃H) as Brønsted acid sites resulted in a significant reduction in catalytic efficiency, with lower yields of the target esters. This suggests that Lewis acid sites, such as Sc³⁺, enhance catalytic activity by coordinating with the carbonyl group of the ester, facilitating nucleophilic attack. On the other hand, strong Brønsted acids may interfere with the reaction environment, promoting side reactions or creating less favorable conditions for ester formation.</w:t>
      </w:r>
    </w:p>
    <w:p w14:paraId="26895B1F" w14:textId="4642E6DF" w:rsidR="00B94C78" w:rsidRDefault="00B94C78" w:rsidP="00B94C78">
      <w:pPr>
        <w:spacing w:line="480" w:lineRule="auto"/>
        <w:jc w:val="both"/>
        <w:rPr>
          <w:rFonts w:ascii="Times New Roman" w:hAnsi="Times New Roman" w:cs="Times New Roman"/>
          <w:sz w:val="24"/>
          <w:szCs w:val="24"/>
        </w:rPr>
      </w:pPr>
      <w:r w:rsidRPr="00A505AF">
        <w:rPr>
          <w:rFonts w:ascii="Times New Roman" w:hAnsi="Times New Roman" w:cs="Times New Roman"/>
          <w:sz w:val="24"/>
          <w:szCs w:val="24"/>
        </w:rPr>
        <w:t>The modest improvements in conversion and yield obtained for the system bearing scandium are outweighed by the added complexity and cost of synthesizing this system, using rare and expensive metals. From an industrial perspective, the application of SILLPs without the need for such intricate modifications would be far more advantageous in terms of cost and efficiency. The butyl imidazolium chloride SILLP, which demonstrated promising performance</w:t>
      </w:r>
      <w:r w:rsidR="002E3DF1">
        <w:rPr>
          <w:rFonts w:ascii="Times New Roman" w:hAnsi="Times New Roman" w:cs="Times New Roman"/>
          <w:sz w:val="24"/>
          <w:szCs w:val="24"/>
        </w:rPr>
        <w:t>s</w:t>
      </w:r>
      <w:r w:rsidRPr="00A505AF">
        <w:rPr>
          <w:rFonts w:ascii="Times New Roman" w:hAnsi="Times New Roman" w:cs="Times New Roman"/>
          <w:sz w:val="24"/>
          <w:szCs w:val="24"/>
        </w:rPr>
        <w:t>, offers a simpler, more scalable, and cost-effective solution, making it better suited for large-scale processes. The use of readily available materials, along with the avoidance of expensive metals and complex synthesis routes, positions the systems as a more viable option for further optimization.</w:t>
      </w:r>
    </w:p>
    <w:p w14:paraId="21E30E81" w14:textId="5DEC771C" w:rsidR="00B726B1" w:rsidRPr="00935CCA" w:rsidRDefault="00B726B1" w:rsidP="00B726B1">
      <w:pPr>
        <w:spacing w:line="480" w:lineRule="auto"/>
        <w:jc w:val="both"/>
        <w:rPr>
          <w:rFonts w:ascii="Times New Roman" w:hAnsi="Times New Roman" w:cs="Times New Roman"/>
          <w:sz w:val="24"/>
          <w:szCs w:val="24"/>
        </w:rPr>
      </w:pPr>
      <w:r w:rsidRPr="00935CCA">
        <w:rPr>
          <w:rFonts w:ascii="Times New Roman" w:hAnsi="Times New Roman" w:cs="Times New Roman"/>
          <w:sz w:val="24"/>
          <w:szCs w:val="24"/>
        </w:rPr>
        <w:t xml:space="preserve">A key aspect of working with immobilized catalysts is ensuring their stability to develop systems suitable for practical applications. To emphasize this, the experiment was conducted at 60 °C for 6 hours in </w:t>
      </w:r>
      <w:r w:rsidR="002E3DF1">
        <w:rPr>
          <w:rFonts w:ascii="Times New Roman" w:hAnsi="Times New Roman" w:cs="Times New Roman"/>
          <w:sz w:val="24"/>
          <w:szCs w:val="24"/>
        </w:rPr>
        <w:t>2-</w:t>
      </w:r>
      <w:r w:rsidRPr="00935CCA">
        <w:rPr>
          <w:rFonts w:ascii="Times New Roman" w:hAnsi="Times New Roman" w:cs="Times New Roman"/>
          <w:sz w:val="24"/>
          <w:szCs w:val="24"/>
        </w:rPr>
        <w:t xml:space="preserve">MeTHF </w:t>
      </w:r>
      <w:r w:rsidR="00A14299">
        <w:rPr>
          <w:rFonts w:ascii="Times New Roman" w:hAnsi="Times New Roman" w:cs="Times New Roman"/>
          <w:sz w:val="24"/>
          <w:szCs w:val="24"/>
        </w:rPr>
        <w:t xml:space="preserve">in the presence </w:t>
      </w:r>
      <w:r w:rsidRPr="00935CCA">
        <w:rPr>
          <w:rFonts w:ascii="Times New Roman" w:hAnsi="Times New Roman" w:cs="Times New Roman"/>
          <w:sz w:val="24"/>
          <w:szCs w:val="24"/>
        </w:rPr>
        <w:t>of the SILLP</w:t>
      </w:r>
      <w:r w:rsidR="006E7E91">
        <w:rPr>
          <w:rFonts w:ascii="Times New Roman" w:hAnsi="Times New Roman" w:cs="Times New Roman"/>
          <w:sz w:val="24"/>
          <w:szCs w:val="24"/>
        </w:rPr>
        <w:t>-1</w:t>
      </w:r>
      <w:r w:rsidRPr="00935CCA">
        <w:rPr>
          <w:rFonts w:ascii="Times New Roman" w:hAnsi="Times New Roman" w:cs="Times New Roman"/>
          <w:sz w:val="24"/>
          <w:szCs w:val="24"/>
        </w:rPr>
        <w:t xml:space="preserve"> catalyst. </w:t>
      </w:r>
      <w:r w:rsidR="00304C4F">
        <w:rPr>
          <w:rFonts w:ascii="Times New Roman" w:hAnsi="Times New Roman" w:cs="Times New Roman"/>
          <w:sz w:val="24"/>
          <w:szCs w:val="24"/>
        </w:rPr>
        <w:t>Although</w:t>
      </w:r>
      <w:r w:rsidR="00F86BFD">
        <w:rPr>
          <w:rFonts w:ascii="Times New Roman" w:hAnsi="Times New Roman" w:cs="Times New Roman"/>
          <w:sz w:val="24"/>
          <w:szCs w:val="24"/>
        </w:rPr>
        <w:t xml:space="preserve"> </w:t>
      </w:r>
      <w:r w:rsidR="00850D48">
        <w:rPr>
          <w:rFonts w:ascii="Times New Roman" w:hAnsi="Times New Roman" w:cs="Times New Roman"/>
          <w:sz w:val="24"/>
          <w:szCs w:val="24"/>
        </w:rPr>
        <w:t>these</w:t>
      </w:r>
      <w:r w:rsidR="00F86BFD">
        <w:rPr>
          <w:rFonts w:ascii="Times New Roman" w:hAnsi="Times New Roman" w:cs="Times New Roman"/>
          <w:sz w:val="24"/>
          <w:szCs w:val="24"/>
        </w:rPr>
        <w:t xml:space="preserve"> are not </w:t>
      </w:r>
      <w:r w:rsidR="00AD7DFC">
        <w:rPr>
          <w:rFonts w:ascii="Times New Roman" w:hAnsi="Times New Roman" w:cs="Times New Roman"/>
          <w:sz w:val="24"/>
          <w:szCs w:val="24"/>
        </w:rPr>
        <w:t>optimal</w:t>
      </w:r>
      <w:r w:rsidR="00F86BFD">
        <w:rPr>
          <w:rFonts w:ascii="Times New Roman" w:hAnsi="Times New Roman" w:cs="Times New Roman"/>
          <w:sz w:val="24"/>
          <w:szCs w:val="24"/>
        </w:rPr>
        <w:t xml:space="preserve"> conditions, this study </w:t>
      </w:r>
      <w:r w:rsidRPr="00935CCA">
        <w:rPr>
          <w:rFonts w:ascii="Times New Roman" w:hAnsi="Times New Roman" w:cs="Times New Roman"/>
          <w:sz w:val="24"/>
          <w:szCs w:val="24"/>
        </w:rPr>
        <w:t xml:space="preserve">allowed for a clear assessment of the </w:t>
      </w:r>
      <w:r w:rsidR="00850D48">
        <w:rPr>
          <w:rFonts w:ascii="Times New Roman" w:hAnsi="Times New Roman" w:cs="Times New Roman"/>
          <w:sz w:val="24"/>
          <w:szCs w:val="24"/>
        </w:rPr>
        <w:t>catalyst's</w:t>
      </w:r>
      <w:r w:rsidRPr="00935CCA">
        <w:rPr>
          <w:rFonts w:ascii="Times New Roman" w:hAnsi="Times New Roman" w:cs="Times New Roman"/>
          <w:sz w:val="24"/>
          <w:szCs w:val="24"/>
        </w:rPr>
        <w:t xml:space="preserve"> inherent stability and reusability, independent of maximum efficiency conditions. After each cycle, the supported catalyst was filtered and reused in subsequent reactions. The results (</w:t>
      </w:r>
      <w:r w:rsidRPr="008B0600">
        <w:rPr>
          <w:rFonts w:ascii="Times New Roman" w:hAnsi="Times New Roman" w:cs="Times New Roman"/>
          <w:sz w:val="24"/>
          <w:szCs w:val="24"/>
        </w:rPr>
        <w:t>Figure S</w:t>
      </w:r>
      <w:r w:rsidR="00120567" w:rsidRPr="008B0600">
        <w:rPr>
          <w:rFonts w:ascii="Times New Roman" w:hAnsi="Times New Roman" w:cs="Times New Roman"/>
          <w:sz w:val="24"/>
          <w:szCs w:val="24"/>
        </w:rPr>
        <w:t>I.</w:t>
      </w:r>
      <w:r w:rsidRPr="008B0600">
        <w:rPr>
          <w:rFonts w:ascii="Times New Roman" w:hAnsi="Times New Roman" w:cs="Times New Roman"/>
          <w:sz w:val="24"/>
          <w:szCs w:val="24"/>
        </w:rPr>
        <w:t>2, SI</w:t>
      </w:r>
      <w:r w:rsidRPr="00935CCA">
        <w:rPr>
          <w:rFonts w:ascii="Times New Roman" w:hAnsi="Times New Roman" w:cs="Times New Roman"/>
          <w:sz w:val="24"/>
          <w:szCs w:val="24"/>
        </w:rPr>
        <w:t>) demonstrated that the catalyst maintained stable performance over 12 consecutive cycles without significant loss in catalytic efficiency, confirming its robustness and reusability.</w:t>
      </w:r>
      <w:r w:rsidR="006E7E91">
        <w:rPr>
          <w:rFonts w:ascii="Times New Roman" w:hAnsi="Times New Roman" w:cs="Times New Roman"/>
          <w:sz w:val="24"/>
          <w:szCs w:val="24"/>
        </w:rPr>
        <w:t xml:space="preserve"> </w:t>
      </w:r>
      <w:r w:rsidR="006E7E91" w:rsidRPr="00A505AF">
        <w:rPr>
          <w:rFonts w:ascii="Times New Roman" w:hAnsi="Times New Roman" w:cs="Times New Roman"/>
          <w:sz w:val="24"/>
          <w:szCs w:val="24"/>
        </w:rPr>
        <w:t>The slight fluctuations observed can likely be attributed to the fact that the solid catalytic phase was not thoroughly washed between cycles, potentially leading to minor residue buildup or activity variation. Nonetheless, the overall stability of the system demonstrates its suitability for repeated use, enhancing its practical value</w:t>
      </w:r>
      <w:r w:rsidR="000E4477">
        <w:rPr>
          <w:rFonts w:ascii="Times New Roman" w:hAnsi="Times New Roman" w:cs="Times New Roman"/>
          <w:sz w:val="24"/>
          <w:szCs w:val="24"/>
        </w:rPr>
        <w:t>.</w:t>
      </w:r>
    </w:p>
    <w:p w14:paraId="12296DCA" w14:textId="667FEB8F" w:rsidR="00EF63B0" w:rsidRPr="00B14CC2" w:rsidRDefault="00B726B1" w:rsidP="003C6F06">
      <w:pPr>
        <w:spacing w:line="480" w:lineRule="auto"/>
        <w:jc w:val="both"/>
        <w:rPr>
          <w:rFonts w:ascii="Times New Roman" w:hAnsi="Times New Roman" w:cs="Times New Roman"/>
          <w:sz w:val="24"/>
          <w:szCs w:val="24"/>
        </w:rPr>
      </w:pPr>
      <w:r w:rsidRPr="00935CCA">
        <w:rPr>
          <w:rFonts w:ascii="Times New Roman" w:hAnsi="Times New Roman" w:cs="Times New Roman"/>
          <w:sz w:val="24"/>
          <w:szCs w:val="24"/>
        </w:rPr>
        <w:t xml:space="preserve">Having established the stability of the catalyst, subsequent efforts </w:t>
      </w:r>
      <w:r w:rsidR="00452EB3" w:rsidRPr="00B14CC2">
        <w:rPr>
          <w:rFonts w:ascii="Times New Roman" w:hAnsi="Times New Roman" w:cs="Times New Roman"/>
          <w:sz w:val="24"/>
          <w:szCs w:val="24"/>
        </w:rPr>
        <w:t xml:space="preserve">were </w:t>
      </w:r>
      <w:r w:rsidRPr="00935CCA">
        <w:rPr>
          <w:rFonts w:ascii="Times New Roman" w:hAnsi="Times New Roman" w:cs="Times New Roman"/>
          <w:sz w:val="24"/>
          <w:szCs w:val="24"/>
        </w:rPr>
        <w:t>focused on optimizing the reaction conditions to enhance the conversion of FDME and improve selectivity toward the diester, aiming for greater efficiency in the catalytic process.</w:t>
      </w:r>
      <w:r w:rsidR="00EF63B0" w:rsidRPr="00B14CC2">
        <w:rPr>
          <w:rFonts w:ascii="Times New Roman" w:hAnsi="Times New Roman" w:cs="Times New Roman"/>
          <w:sz w:val="24"/>
          <w:szCs w:val="24"/>
        </w:rPr>
        <w:t xml:space="preserve">  Firstly, the effect </w:t>
      </w:r>
      <w:r w:rsidR="00730B60" w:rsidRPr="00B14CC2">
        <w:rPr>
          <w:rFonts w:ascii="Times New Roman" w:hAnsi="Times New Roman" w:cs="Times New Roman"/>
          <w:sz w:val="24"/>
          <w:szCs w:val="24"/>
        </w:rPr>
        <w:t xml:space="preserve">of </w:t>
      </w:r>
      <w:r w:rsidR="00D82BC7">
        <w:rPr>
          <w:rFonts w:ascii="Times New Roman" w:hAnsi="Times New Roman" w:cs="Times New Roman"/>
          <w:sz w:val="24"/>
          <w:szCs w:val="24"/>
        </w:rPr>
        <w:t xml:space="preserve">an increased </w:t>
      </w:r>
      <w:r w:rsidR="00730B60" w:rsidRPr="00B14CC2">
        <w:rPr>
          <w:rFonts w:ascii="Times New Roman" w:hAnsi="Times New Roman" w:cs="Times New Roman"/>
          <w:sz w:val="24"/>
          <w:szCs w:val="24"/>
        </w:rPr>
        <w:t xml:space="preserve">glycidol </w:t>
      </w:r>
      <w:r w:rsidR="00D82BC7">
        <w:rPr>
          <w:rFonts w:ascii="Times New Roman" w:hAnsi="Times New Roman" w:cs="Times New Roman"/>
          <w:sz w:val="24"/>
          <w:szCs w:val="24"/>
        </w:rPr>
        <w:t xml:space="preserve">amount </w:t>
      </w:r>
      <w:r w:rsidR="00D33868" w:rsidRPr="00B14CC2">
        <w:rPr>
          <w:rFonts w:ascii="Times New Roman" w:hAnsi="Times New Roman" w:cs="Times New Roman"/>
          <w:sz w:val="24"/>
          <w:szCs w:val="24"/>
        </w:rPr>
        <w:t xml:space="preserve">was evaluated. As the excess of </w:t>
      </w:r>
      <w:r w:rsidR="00C61D5B" w:rsidRPr="00B14CC2">
        <w:rPr>
          <w:rFonts w:ascii="Times New Roman" w:hAnsi="Times New Roman" w:cs="Times New Roman"/>
          <w:sz w:val="24"/>
          <w:szCs w:val="24"/>
        </w:rPr>
        <w:t>glycidol</w:t>
      </w:r>
      <w:r w:rsidR="001317C7" w:rsidRPr="00B14CC2">
        <w:rPr>
          <w:rFonts w:ascii="Times New Roman" w:hAnsi="Times New Roman" w:cs="Times New Roman"/>
          <w:sz w:val="24"/>
          <w:szCs w:val="24"/>
        </w:rPr>
        <w:t xml:space="preserve"> was </w:t>
      </w:r>
      <w:r w:rsidR="00D82BC7">
        <w:rPr>
          <w:rFonts w:ascii="Times New Roman" w:hAnsi="Times New Roman" w:cs="Times New Roman"/>
          <w:sz w:val="24"/>
          <w:szCs w:val="24"/>
        </w:rPr>
        <w:t>raised</w:t>
      </w:r>
      <w:r w:rsidR="00D82BC7" w:rsidRPr="00B14CC2">
        <w:rPr>
          <w:rFonts w:ascii="Times New Roman" w:hAnsi="Times New Roman" w:cs="Times New Roman"/>
          <w:sz w:val="24"/>
          <w:szCs w:val="24"/>
        </w:rPr>
        <w:t xml:space="preserve"> </w:t>
      </w:r>
      <w:r w:rsidR="001317C7" w:rsidRPr="00B14CC2">
        <w:rPr>
          <w:rFonts w:ascii="Times New Roman" w:hAnsi="Times New Roman" w:cs="Times New Roman"/>
          <w:sz w:val="24"/>
          <w:szCs w:val="24"/>
        </w:rPr>
        <w:t>from 2.4 to 4</w:t>
      </w:r>
      <w:r w:rsidR="00D82BC7">
        <w:rPr>
          <w:rFonts w:ascii="Times New Roman" w:hAnsi="Times New Roman" w:cs="Times New Roman"/>
          <w:sz w:val="24"/>
          <w:szCs w:val="24"/>
        </w:rPr>
        <w:t>.0</w:t>
      </w:r>
      <w:r w:rsidR="001317C7" w:rsidRPr="00B14CC2">
        <w:rPr>
          <w:rFonts w:ascii="Times New Roman" w:hAnsi="Times New Roman" w:cs="Times New Roman"/>
          <w:sz w:val="24"/>
          <w:szCs w:val="24"/>
        </w:rPr>
        <w:t xml:space="preserve"> </w:t>
      </w:r>
      <w:r w:rsidR="00D82BC7">
        <w:rPr>
          <w:rFonts w:ascii="Times New Roman" w:hAnsi="Times New Roman" w:cs="Times New Roman"/>
          <w:sz w:val="24"/>
          <w:szCs w:val="24"/>
        </w:rPr>
        <w:t xml:space="preserve">mol eq. </w:t>
      </w:r>
      <w:r w:rsidR="00D82BC7" w:rsidRPr="00B14CC2">
        <w:rPr>
          <w:rFonts w:ascii="Times New Roman" w:hAnsi="Times New Roman" w:cs="Times New Roman"/>
          <w:sz w:val="24"/>
          <w:szCs w:val="24"/>
        </w:rPr>
        <w:t>(</w:t>
      </w:r>
      <w:r w:rsidR="00D82BC7">
        <w:rPr>
          <w:rFonts w:ascii="Times New Roman" w:hAnsi="Times New Roman" w:cs="Times New Roman"/>
          <w:sz w:val="24"/>
          <w:szCs w:val="24"/>
        </w:rPr>
        <w:t>#</w:t>
      </w:r>
      <w:r w:rsidR="001A1A7F" w:rsidRPr="00B14CC2">
        <w:rPr>
          <w:rFonts w:ascii="Times New Roman" w:hAnsi="Times New Roman" w:cs="Times New Roman"/>
          <w:sz w:val="24"/>
          <w:szCs w:val="24"/>
        </w:rPr>
        <w:t xml:space="preserve">1 vs </w:t>
      </w:r>
      <w:r w:rsidR="00D82BC7">
        <w:rPr>
          <w:rFonts w:ascii="Times New Roman" w:hAnsi="Times New Roman" w:cs="Times New Roman"/>
          <w:sz w:val="24"/>
          <w:szCs w:val="24"/>
        </w:rPr>
        <w:t>#2</w:t>
      </w:r>
      <w:r w:rsidR="001A1A7F" w:rsidRPr="00B14CC2">
        <w:rPr>
          <w:rFonts w:ascii="Times New Roman" w:hAnsi="Times New Roman" w:cs="Times New Roman"/>
          <w:sz w:val="24"/>
          <w:szCs w:val="24"/>
        </w:rPr>
        <w:t xml:space="preserve">, Table 4) the conversion </w:t>
      </w:r>
      <w:r w:rsidR="00CD189B" w:rsidRPr="00B14CC2">
        <w:rPr>
          <w:rFonts w:ascii="Times New Roman" w:hAnsi="Times New Roman" w:cs="Times New Roman"/>
          <w:sz w:val="24"/>
          <w:szCs w:val="24"/>
        </w:rPr>
        <w:t xml:space="preserve">slightly </w:t>
      </w:r>
      <w:r w:rsidR="00823CB5" w:rsidRPr="00B14CC2">
        <w:rPr>
          <w:rFonts w:ascii="Times New Roman" w:hAnsi="Times New Roman" w:cs="Times New Roman"/>
          <w:sz w:val="24"/>
          <w:szCs w:val="24"/>
        </w:rPr>
        <w:t>increased</w:t>
      </w:r>
      <w:r w:rsidR="00CE5D90" w:rsidRPr="00B14CC2">
        <w:rPr>
          <w:rFonts w:ascii="Times New Roman" w:hAnsi="Times New Roman" w:cs="Times New Roman"/>
          <w:sz w:val="24"/>
          <w:szCs w:val="24"/>
        </w:rPr>
        <w:t xml:space="preserve"> </w:t>
      </w:r>
      <w:r w:rsidR="00CD189B" w:rsidRPr="00B14CC2">
        <w:rPr>
          <w:rFonts w:ascii="Times New Roman" w:hAnsi="Times New Roman" w:cs="Times New Roman"/>
          <w:sz w:val="24"/>
          <w:szCs w:val="24"/>
        </w:rPr>
        <w:t xml:space="preserve">together with </w:t>
      </w:r>
      <w:r w:rsidR="00902414" w:rsidRPr="00B14CC2">
        <w:rPr>
          <w:rFonts w:ascii="Times New Roman" w:hAnsi="Times New Roman" w:cs="Times New Roman"/>
          <w:sz w:val="24"/>
          <w:szCs w:val="24"/>
        </w:rPr>
        <w:t>DFG yield</w:t>
      </w:r>
      <w:r w:rsidR="008B6D7C" w:rsidRPr="00B14CC2">
        <w:rPr>
          <w:rFonts w:ascii="Times New Roman" w:hAnsi="Times New Roman" w:cs="Times New Roman"/>
          <w:sz w:val="24"/>
          <w:szCs w:val="24"/>
        </w:rPr>
        <w:t xml:space="preserve">. </w:t>
      </w:r>
      <w:r w:rsidR="00EF63B0" w:rsidRPr="00B14CC2">
        <w:rPr>
          <w:rFonts w:ascii="Times New Roman" w:hAnsi="Times New Roman" w:cs="Times New Roman"/>
          <w:sz w:val="24"/>
          <w:szCs w:val="24"/>
        </w:rPr>
        <w:t xml:space="preserve">As the reaction time </w:t>
      </w:r>
      <w:r w:rsidR="00D82BC7">
        <w:rPr>
          <w:rFonts w:ascii="Times New Roman" w:hAnsi="Times New Roman" w:cs="Times New Roman"/>
          <w:sz w:val="24"/>
          <w:szCs w:val="24"/>
        </w:rPr>
        <w:t xml:space="preserve">was </w:t>
      </w:r>
      <w:r w:rsidR="00EF63B0" w:rsidRPr="00B14CC2">
        <w:rPr>
          <w:rFonts w:ascii="Times New Roman" w:hAnsi="Times New Roman" w:cs="Times New Roman"/>
          <w:sz w:val="24"/>
          <w:szCs w:val="24"/>
        </w:rPr>
        <w:t>increase</w:t>
      </w:r>
      <w:r w:rsidR="00D82BC7">
        <w:rPr>
          <w:rFonts w:ascii="Times New Roman" w:hAnsi="Times New Roman" w:cs="Times New Roman"/>
          <w:sz w:val="24"/>
          <w:szCs w:val="24"/>
        </w:rPr>
        <w:t>d</w:t>
      </w:r>
      <w:r w:rsidR="00EF63B0" w:rsidRPr="00B14CC2">
        <w:rPr>
          <w:rFonts w:ascii="Times New Roman" w:hAnsi="Times New Roman" w:cs="Times New Roman"/>
          <w:sz w:val="24"/>
          <w:szCs w:val="24"/>
        </w:rPr>
        <w:t xml:space="preserve"> from 6 to </w:t>
      </w:r>
      <w:r w:rsidR="008B6D7C" w:rsidRPr="00B14CC2">
        <w:rPr>
          <w:rFonts w:ascii="Times New Roman" w:hAnsi="Times New Roman" w:cs="Times New Roman"/>
          <w:sz w:val="24"/>
          <w:szCs w:val="24"/>
        </w:rPr>
        <w:t>12</w:t>
      </w:r>
      <w:r w:rsidR="00847B63" w:rsidRPr="00B14CC2">
        <w:rPr>
          <w:rFonts w:ascii="Times New Roman" w:hAnsi="Times New Roman" w:cs="Times New Roman"/>
          <w:sz w:val="24"/>
          <w:szCs w:val="24"/>
        </w:rPr>
        <w:t xml:space="preserve"> </w:t>
      </w:r>
      <w:r w:rsidR="00D82BC7">
        <w:rPr>
          <w:rFonts w:ascii="Times New Roman" w:hAnsi="Times New Roman" w:cs="Times New Roman"/>
          <w:sz w:val="24"/>
          <w:szCs w:val="24"/>
        </w:rPr>
        <w:t>hours, no</w:t>
      </w:r>
      <w:r w:rsidR="00847B63" w:rsidRPr="00B14CC2">
        <w:rPr>
          <w:rFonts w:ascii="Times New Roman" w:hAnsi="Times New Roman" w:cs="Times New Roman"/>
          <w:sz w:val="24"/>
          <w:szCs w:val="24"/>
        </w:rPr>
        <w:t xml:space="preserve"> </w:t>
      </w:r>
      <w:r w:rsidR="00823AD7" w:rsidRPr="00B14CC2">
        <w:rPr>
          <w:rFonts w:ascii="Times New Roman" w:hAnsi="Times New Roman" w:cs="Times New Roman"/>
          <w:sz w:val="24"/>
          <w:szCs w:val="24"/>
        </w:rPr>
        <w:t>si</w:t>
      </w:r>
      <w:r w:rsidR="00D07C81" w:rsidRPr="00B14CC2">
        <w:rPr>
          <w:rFonts w:ascii="Times New Roman" w:hAnsi="Times New Roman" w:cs="Times New Roman"/>
          <w:sz w:val="24"/>
          <w:szCs w:val="24"/>
        </w:rPr>
        <w:t xml:space="preserve">gnificant </w:t>
      </w:r>
      <w:r w:rsidR="00D82BC7" w:rsidRPr="00B14CC2">
        <w:rPr>
          <w:rFonts w:ascii="Times New Roman" w:hAnsi="Times New Roman" w:cs="Times New Roman"/>
          <w:sz w:val="24"/>
          <w:szCs w:val="24"/>
        </w:rPr>
        <w:t>improvement in</w:t>
      </w:r>
      <w:r w:rsidR="00D07C81" w:rsidRPr="00B14CC2">
        <w:rPr>
          <w:rFonts w:ascii="Times New Roman" w:hAnsi="Times New Roman" w:cs="Times New Roman"/>
          <w:sz w:val="24"/>
          <w:szCs w:val="24"/>
        </w:rPr>
        <w:t xml:space="preserve"> DFG yield </w:t>
      </w:r>
      <w:r w:rsidR="00D82BC7">
        <w:rPr>
          <w:rFonts w:ascii="Times New Roman" w:hAnsi="Times New Roman" w:cs="Times New Roman"/>
          <w:sz w:val="24"/>
          <w:szCs w:val="24"/>
        </w:rPr>
        <w:t xml:space="preserve">was detected </w:t>
      </w:r>
      <w:r w:rsidR="00D07C81" w:rsidRPr="00B14CC2">
        <w:rPr>
          <w:rFonts w:ascii="Times New Roman" w:hAnsi="Times New Roman" w:cs="Times New Roman"/>
          <w:sz w:val="24"/>
          <w:szCs w:val="24"/>
        </w:rPr>
        <w:t xml:space="preserve">(#3, Table 4). </w:t>
      </w:r>
      <w:r w:rsidR="00D04750" w:rsidRPr="00B14CC2">
        <w:rPr>
          <w:rFonts w:ascii="Times New Roman" w:hAnsi="Times New Roman" w:cs="Times New Roman"/>
          <w:sz w:val="24"/>
          <w:szCs w:val="24"/>
        </w:rPr>
        <w:t xml:space="preserve">Further increase of </w:t>
      </w:r>
      <w:r w:rsidR="006C3361" w:rsidRPr="00B14CC2">
        <w:rPr>
          <w:rFonts w:ascii="Times New Roman" w:hAnsi="Times New Roman" w:cs="Times New Roman"/>
          <w:sz w:val="24"/>
          <w:szCs w:val="24"/>
        </w:rPr>
        <w:t>glycidol</w:t>
      </w:r>
      <w:r w:rsidR="00D04750" w:rsidRPr="00B14CC2">
        <w:rPr>
          <w:rFonts w:ascii="Times New Roman" w:hAnsi="Times New Roman" w:cs="Times New Roman"/>
          <w:sz w:val="24"/>
          <w:szCs w:val="24"/>
        </w:rPr>
        <w:t xml:space="preserve"> </w:t>
      </w:r>
      <w:r w:rsidR="006C3361" w:rsidRPr="00B14CC2">
        <w:rPr>
          <w:rFonts w:ascii="Times New Roman" w:hAnsi="Times New Roman" w:cs="Times New Roman"/>
          <w:sz w:val="24"/>
          <w:szCs w:val="24"/>
        </w:rPr>
        <w:t>excess</w:t>
      </w:r>
      <w:r w:rsidR="00EF63B0" w:rsidRPr="00B14CC2">
        <w:rPr>
          <w:rFonts w:ascii="Times New Roman" w:hAnsi="Times New Roman" w:cs="Times New Roman"/>
          <w:sz w:val="24"/>
          <w:szCs w:val="24"/>
        </w:rPr>
        <w:t xml:space="preserve"> </w:t>
      </w:r>
      <w:r w:rsidR="00134CE4" w:rsidRPr="00B14CC2">
        <w:rPr>
          <w:rFonts w:ascii="Times New Roman" w:hAnsi="Times New Roman" w:cs="Times New Roman"/>
          <w:sz w:val="24"/>
          <w:szCs w:val="24"/>
        </w:rPr>
        <w:t>induced</w:t>
      </w:r>
      <w:r w:rsidR="00D575CC" w:rsidRPr="00B14CC2">
        <w:rPr>
          <w:rFonts w:ascii="Times New Roman" w:hAnsi="Times New Roman" w:cs="Times New Roman"/>
          <w:sz w:val="24"/>
          <w:szCs w:val="24"/>
        </w:rPr>
        <w:t xml:space="preserve"> an </w:t>
      </w:r>
      <w:r w:rsidR="00D82BC7" w:rsidRPr="00B14CC2">
        <w:rPr>
          <w:rFonts w:ascii="Times New Roman" w:hAnsi="Times New Roman" w:cs="Times New Roman"/>
          <w:sz w:val="24"/>
          <w:szCs w:val="24"/>
        </w:rPr>
        <w:t>increase in</w:t>
      </w:r>
      <w:r w:rsidR="006C3361" w:rsidRPr="00B14CC2">
        <w:rPr>
          <w:rFonts w:ascii="Times New Roman" w:hAnsi="Times New Roman" w:cs="Times New Roman"/>
          <w:sz w:val="24"/>
          <w:szCs w:val="24"/>
        </w:rPr>
        <w:t xml:space="preserve"> the yield</w:t>
      </w:r>
      <w:r w:rsidR="00EF63B0" w:rsidRPr="00B14CC2">
        <w:rPr>
          <w:rFonts w:ascii="Times New Roman" w:hAnsi="Times New Roman" w:cs="Times New Roman"/>
          <w:sz w:val="24"/>
          <w:szCs w:val="24"/>
        </w:rPr>
        <w:t xml:space="preserve"> </w:t>
      </w:r>
      <w:r w:rsidR="00595EB9" w:rsidRPr="00B14CC2">
        <w:rPr>
          <w:rFonts w:ascii="Times New Roman" w:hAnsi="Times New Roman" w:cs="Times New Roman"/>
          <w:sz w:val="24"/>
          <w:szCs w:val="24"/>
        </w:rPr>
        <w:t>to</w:t>
      </w:r>
      <w:r w:rsidR="006C3361" w:rsidRPr="00B14CC2">
        <w:rPr>
          <w:rFonts w:ascii="Times New Roman" w:hAnsi="Times New Roman" w:cs="Times New Roman"/>
          <w:sz w:val="24"/>
          <w:szCs w:val="24"/>
        </w:rPr>
        <w:t xml:space="preserve"> 4</w:t>
      </w:r>
      <w:r w:rsidR="00402B0C" w:rsidRPr="00B14CC2">
        <w:rPr>
          <w:rFonts w:ascii="Times New Roman" w:hAnsi="Times New Roman" w:cs="Times New Roman"/>
          <w:sz w:val="24"/>
          <w:szCs w:val="24"/>
        </w:rPr>
        <w:t>3</w:t>
      </w:r>
      <w:r w:rsidR="00F51AC8" w:rsidRPr="00B14CC2">
        <w:rPr>
          <w:rFonts w:ascii="Times New Roman" w:hAnsi="Times New Roman" w:cs="Times New Roman"/>
          <w:sz w:val="24"/>
          <w:szCs w:val="24"/>
        </w:rPr>
        <w:t>% of</w:t>
      </w:r>
      <w:r w:rsidR="00402B0C" w:rsidRPr="00B14CC2">
        <w:rPr>
          <w:rFonts w:ascii="Times New Roman" w:hAnsi="Times New Roman" w:cs="Times New Roman"/>
          <w:sz w:val="24"/>
          <w:szCs w:val="24"/>
        </w:rPr>
        <w:t xml:space="preserve"> DGF</w:t>
      </w:r>
      <w:r w:rsidR="00EF63B0" w:rsidRPr="00B14CC2">
        <w:rPr>
          <w:rFonts w:ascii="Times New Roman" w:hAnsi="Times New Roman" w:cs="Times New Roman"/>
          <w:sz w:val="24"/>
          <w:szCs w:val="24"/>
        </w:rPr>
        <w:t xml:space="preserve"> (</w:t>
      </w:r>
      <w:r w:rsidR="007A7CAA" w:rsidRPr="00B14CC2">
        <w:rPr>
          <w:rFonts w:ascii="Times New Roman" w:hAnsi="Times New Roman" w:cs="Times New Roman"/>
          <w:sz w:val="24"/>
          <w:szCs w:val="24"/>
        </w:rPr>
        <w:t>#</w:t>
      </w:r>
      <w:r w:rsidR="00D575CC" w:rsidRPr="00B14CC2">
        <w:rPr>
          <w:rFonts w:ascii="Times New Roman" w:hAnsi="Times New Roman" w:cs="Times New Roman"/>
          <w:sz w:val="24"/>
          <w:szCs w:val="24"/>
        </w:rPr>
        <w:t>4</w:t>
      </w:r>
      <w:r w:rsidR="00EF63B0" w:rsidRPr="00B14CC2">
        <w:rPr>
          <w:rFonts w:ascii="Times New Roman" w:hAnsi="Times New Roman" w:cs="Times New Roman"/>
          <w:sz w:val="24"/>
          <w:szCs w:val="24"/>
        </w:rPr>
        <w:t xml:space="preserve">, Table </w:t>
      </w:r>
      <w:r w:rsidR="00E44DEF" w:rsidRPr="00B14CC2">
        <w:rPr>
          <w:rFonts w:ascii="Times New Roman" w:hAnsi="Times New Roman" w:cs="Times New Roman"/>
          <w:sz w:val="24"/>
          <w:szCs w:val="24"/>
        </w:rPr>
        <w:t>4</w:t>
      </w:r>
      <w:r w:rsidR="00EF63B0" w:rsidRPr="00B14CC2">
        <w:rPr>
          <w:rFonts w:ascii="Times New Roman" w:hAnsi="Times New Roman" w:cs="Times New Roman"/>
          <w:sz w:val="24"/>
          <w:szCs w:val="24"/>
        </w:rPr>
        <w:t xml:space="preserve">). </w:t>
      </w:r>
    </w:p>
    <w:p w14:paraId="66FE24F2" w14:textId="5228B762" w:rsidR="00EF63B0" w:rsidRPr="00AD7DFC" w:rsidRDefault="00EF63B0" w:rsidP="00EF63B0">
      <w:pPr>
        <w:pStyle w:val="Didascalia"/>
        <w:keepNext/>
        <w:rPr>
          <w:rFonts w:ascii="Times New Roman" w:hAnsi="Times New Roman" w:cs="Times New Roman"/>
          <w:i w:val="0"/>
          <w:iCs w:val="0"/>
          <w:color w:val="auto"/>
        </w:rPr>
      </w:pPr>
      <w:r w:rsidRPr="00AD7DFC">
        <w:rPr>
          <w:rFonts w:ascii="Times New Roman" w:hAnsi="Times New Roman" w:cs="Times New Roman"/>
          <w:b/>
          <w:bCs/>
          <w:i w:val="0"/>
          <w:iCs w:val="0"/>
          <w:color w:val="auto"/>
        </w:rPr>
        <w:t xml:space="preserve">Table </w:t>
      </w:r>
      <w:r w:rsidR="00E44DEF" w:rsidRPr="00AD7DFC">
        <w:rPr>
          <w:rFonts w:ascii="Times New Roman" w:hAnsi="Times New Roman" w:cs="Times New Roman"/>
          <w:b/>
          <w:bCs/>
          <w:i w:val="0"/>
          <w:iCs w:val="0"/>
          <w:color w:val="auto"/>
        </w:rPr>
        <w:t>4</w:t>
      </w:r>
      <w:r w:rsidRPr="00AD7DFC">
        <w:rPr>
          <w:rFonts w:ascii="Times New Roman" w:hAnsi="Times New Roman" w:cs="Times New Roman"/>
          <w:b/>
          <w:bCs/>
          <w:i w:val="0"/>
          <w:iCs w:val="0"/>
          <w:color w:val="auto"/>
        </w:rPr>
        <w:t>-</w:t>
      </w:r>
      <w:r w:rsidRPr="00AD7DFC">
        <w:rPr>
          <w:rFonts w:ascii="Times New Roman" w:hAnsi="Times New Roman" w:cs="Times New Roman"/>
          <w:i w:val="0"/>
          <w:iCs w:val="0"/>
          <w:color w:val="auto"/>
        </w:rPr>
        <w:t xml:space="preserve"> </w:t>
      </w:r>
      <w:r w:rsidR="00EC1903" w:rsidRPr="00AD7DFC">
        <w:rPr>
          <w:rFonts w:ascii="Times New Roman" w:hAnsi="Times New Roman" w:cs="Times New Roman"/>
          <w:i w:val="0"/>
          <w:iCs w:val="0"/>
          <w:color w:val="auto"/>
        </w:rPr>
        <w:t xml:space="preserve">Optimization of the reaction condition for DGF synthesis </w:t>
      </w:r>
      <w:r w:rsidR="008E27BD" w:rsidRPr="00AD7DFC">
        <w:rPr>
          <w:rFonts w:ascii="Times New Roman" w:hAnsi="Times New Roman" w:cs="Times New Roman"/>
          <w:i w:val="0"/>
          <w:iCs w:val="0"/>
          <w:color w:val="auto"/>
        </w:rPr>
        <w:t>using</w:t>
      </w:r>
      <w:r w:rsidR="00E44DEF" w:rsidRPr="00AD7DFC">
        <w:rPr>
          <w:rFonts w:ascii="Times New Roman" w:hAnsi="Times New Roman" w:cs="Times New Roman"/>
          <w:i w:val="0"/>
          <w:iCs w:val="0"/>
          <w:color w:val="auto"/>
        </w:rPr>
        <w:t xml:space="preserve"> SILLP</w:t>
      </w:r>
      <w:r w:rsidR="006E3F68" w:rsidRPr="00AD7DFC">
        <w:rPr>
          <w:rFonts w:ascii="Times New Roman" w:hAnsi="Times New Roman" w:cs="Times New Roman"/>
          <w:i w:val="0"/>
          <w:iCs w:val="0"/>
          <w:color w:val="auto"/>
        </w:rPr>
        <w:t>-1</w:t>
      </w:r>
      <w:r w:rsidR="00EC1903" w:rsidRPr="00AD7DFC">
        <w:rPr>
          <w:rFonts w:ascii="Times New Roman" w:hAnsi="Times New Roman" w:cs="Times New Roman"/>
          <w:i w:val="0"/>
          <w:iCs w:val="0"/>
          <w:color w:val="auto"/>
        </w:rPr>
        <w:t xml:space="preserve"> as immobilized catalyst </w:t>
      </w:r>
    </w:p>
    <w:tbl>
      <w:tblPr>
        <w:tblW w:w="0" w:type="auto"/>
        <w:jc w:val="center"/>
        <w:tblLook w:val="04A0" w:firstRow="1" w:lastRow="0" w:firstColumn="1" w:lastColumn="0" w:noHBand="0" w:noVBand="1"/>
      </w:tblPr>
      <w:tblGrid>
        <w:gridCol w:w="316"/>
        <w:gridCol w:w="661"/>
        <w:gridCol w:w="766"/>
        <w:gridCol w:w="1028"/>
        <w:gridCol w:w="972"/>
        <w:gridCol w:w="722"/>
        <w:gridCol w:w="714"/>
        <w:gridCol w:w="763"/>
        <w:gridCol w:w="1144"/>
      </w:tblGrid>
      <w:tr w:rsidR="00901418" w:rsidRPr="00B14CC2" w14:paraId="1B981B5C" w14:textId="77777777" w:rsidTr="009A00F5">
        <w:trPr>
          <w:trHeight w:val="449"/>
          <w:jc w:val="center"/>
        </w:trPr>
        <w:tc>
          <w:tcPr>
            <w:tcW w:w="0" w:type="auto"/>
            <w:vMerge w:val="restart"/>
            <w:tcBorders>
              <w:top w:val="thinThickSmallGap" w:sz="24" w:space="0" w:color="auto"/>
              <w:bottom w:val="single" w:sz="8" w:space="0" w:color="BFBFBF"/>
            </w:tcBorders>
            <w:shd w:val="clear" w:color="auto" w:fill="auto"/>
            <w:noWrap/>
            <w:vAlign w:val="center"/>
            <w:hideMark/>
          </w:tcPr>
          <w:p w14:paraId="1FB3F7F2" w14:textId="77777777" w:rsidR="00901418" w:rsidRPr="00B14CC2" w:rsidRDefault="00901418" w:rsidP="009A00F5">
            <w:pPr>
              <w:spacing w:after="0" w:line="240" w:lineRule="auto"/>
              <w:jc w:val="center"/>
              <w:rPr>
                <w:rFonts w:asciiTheme="majorBidi" w:eastAsia="Times New Roman" w:hAnsiTheme="majorBidi" w:cstheme="majorBidi"/>
                <w:b/>
                <w:bCs/>
                <w:color w:val="000000"/>
                <w:sz w:val="20"/>
                <w:szCs w:val="20"/>
                <w14:ligatures w14:val="none"/>
              </w:rPr>
            </w:pPr>
            <w:r w:rsidRPr="00B14CC2">
              <w:rPr>
                <w:rFonts w:asciiTheme="majorBidi" w:eastAsia="Times New Roman" w:hAnsiTheme="majorBidi" w:cstheme="majorBidi"/>
                <w:b/>
                <w:bCs/>
                <w:color w:val="000000"/>
                <w:sz w:val="20"/>
                <w:szCs w:val="20"/>
                <w14:ligatures w14:val="none"/>
              </w:rPr>
              <w:t>#</w:t>
            </w:r>
          </w:p>
        </w:tc>
        <w:tc>
          <w:tcPr>
            <w:tcW w:w="0" w:type="auto"/>
            <w:vMerge w:val="restart"/>
            <w:tcBorders>
              <w:top w:val="thinThickSmallGap" w:sz="24" w:space="0" w:color="auto"/>
              <w:left w:val="nil"/>
            </w:tcBorders>
            <w:shd w:val="clear" w:color="auto" w:fill="auto"/>
            <w:vAlign w:val="center"/>
            <w:hideMark/>
          </w:tcPr>
          <w:p w14:paraId="563BC918" w14:textId="77777777" w:rsidR="00901418" w:rsidRPr="00B14CC2" w:rsidRDefault="00901418" w:rsidP="009A00F5">
            <w:pPr>
              <w:spacing w:after="0" w:line="240" w:lineRule="auto"/>
              <w:jc w:val="center"/>
              <w:rPr>
                <w:rFonts w:asciiTheme="majorBidi" w:eastAsia="Times New Roman" w:hAnsiTheme="majorBidi" w:cstheme="majorBidi"/>
                <w:b/>
                <w:bCs/>
                <w:color w:val="000000"/>
                <w:sz w:val="20"/>
                <w:szCs w:val="20"/>
                <w14:ligatures w14:val="none"/>
              </w:rPr>
            </w:pPr>
            <w:r w:rsidRPr="00B14CC2">
              <w:rPr>
                <w:rFonts w:asciiTheme="majorBidi" w:eastAsia="Times New Roman" w:hAnsiTheme="majorBidi" w:cstheme="majorBidi"/>
                <w:b/>
                <w:bCs/>
                <w:color w:val="000000"/>
                <w:sz w:val="20"/>
                <w:szCs w:val="20"/>
                <w14:ligatures w14:val="none"/>
              </w:rPr>
              <w:t>Time</w:t>
            </w:r>
          </w:p>
          <w:p w14:paraId="4E9E70D0" w14:textId="77777777" w:rsidR="00901418" w:rsidRPr="00B14CC2" w:rsidRDefault="00901418" w:rsidP="009A00F5">
            <w:pPr>
              <w:spacing w:after="0" w:line="240" w:lineRule="auto"/>
              <w:jc w:val="center"/>
              <w:rPr>
                <w:rFonts w:asciiTheme="majorBidi" w:eastAsia="Times New Roman" w:hAnsiTheme="majorBidi" w:cstheme="majorBidi"/>
                <w:b/>
                <w:bCs/>
                <w:color w:val="000000"/>
                <w:sz w:val="20"/>
                <w:szCs w:val="20"/>
                <w14:ligatures w14:val="none"/>
              </w:rPr>
            </w:pPr>
            <w:r w:rsidRPr="00B14CC2">
              <w:rPr>
                <w:rFonts w:asciiTheme="majorBidi" w:eastAsia="Times New Roman" w:hAnsiTheme="majorBidi" w:cstheme="majorBidi"/>
                <w:b/>
                <w:bCs/>
                <w:color w:val="000000"/>
                <w:sz w:val="20"/>
                <w:szCs w:val="20"/>
                <w14:ligatures w14:val="none"/>
              </w:rPr>
              <w:t>(h)</w:t>
            </w:r>
          </w:p>
        </w:tc>
        <w:tc>
          <w:tcPr>
            <w:tcW w:w="0" w:type="auto"/>
            <w:vMerge w:val="restart"/>
            <w:tcBorders>
              <w:top w:val="thinThickSmallGap" w:sz="24" w:space="0" w:color="auto"/>
              <w:left w:val="nil"/>
              <w:right w:val="nil"/>
            </w:tcBorders>
            <w:vAlign w:val="center"/>
          </w:tcPr>
          <w:p w14:paraId="2F5AC643" w14:textId="77777777" w:rsidR="00901418" w:rsidRPr="00B14CC2" w:rsidRDefault="00901418" w:rsidP="009A00F5">
            <w:pPr>
              <w:spacing w:after="0" w:line="240" w:lineRule="auto"/>
              <w:jc w:val="center"/>
              <w:rPr>
                <w:rFonts w:asciiTheme="majorBidi" w:eastAsia="Times New Roman" w:hAnsiTheme="majorBidi" w:cstheme="majorBidi"/>
                <w:b/>
                <w:bCs/>
                <w:color w:val="000000"/>
                <w:sz w:val="20"/>
                <w:szCs w:val="20"/>
                <w14:ligatures w14:val="none"/>
              </w:rPr>
            </w:pPr>
            <w:r w:rsidRPr="00B14CC2">
              <w:rPr>
                <w:rFonts w:asciiTheme="majorBidi" w:eastAsia="Times New Roman" w:hAnsiTheme="majorBidi" w:cstheme="majorBidi"/>
                <w:b/>
                <w:bCs/>
                <w:color w:val="000000"/>
                <w:sz w:val="20"/>
                <w:szCs w:val="20"/>
                <w14:ligatures w14:val="none"/>
              </w:rPr>
              <w:t>Temp.</w:t>
            </w:r>
          </w:p>
          <w:p w14:paraId="4874C4FE" w14:textId="77777777" w:rsidR="00901418" w:rsidRPr="00B14CC2" w:rsidRDefault="00901418" w:rsidP="009A00F5">
            <w:pPr>
              <w:spacing w:after="0" w:line="240" w:lineRule="auto"/>
              <w:jc w:val="center"/>
              <w:rPr>
                <w:rFonts w:asciiTheme="majorBidi" w:eastAsia="Times New Roman" w:hAnsiTheme="majorBidi" w:cstheme="majorBidi"/>
                <w:b/>
                <w:bCs/>
                <w:color w:val="000000"/>
                <w:sz w:val="20"/>
                <w:szCs w:val="20"/>
                <w14:ligatures w14:val="none"/>
              </w:rPr>
            </w:pPr>
            <w:r w:rsidRPr="00B14CC2">
              <w:rPr>
                <w:rFonts w:asciiTheme="majorBidi" w:eastAsia="Times New Roman" w:hAnsiTheme="majorBidi" w:cstheme="majorBidi"/>
                <w:b/>
                <w:bCs/>
                <w:color w:val="000000"/>
                <w:sz w:val="20"/>
                <w:szCs w:val="20"/>
                <w14:ligatures w14:val="none"/>
              </w:rPr>
              <w:t>(</w:t>
            </w:r>
            <w:r w:rsidRPr="00B14CC2">
              <w:rPr>
                <w:rFonts w:asciiTheme="majorBidi" w:eastAsia="Times New Roman" w:hAnsiTheme="majorBidi" w:cstheme="majorBidi"/>
                <w:b/>
                <w:bCs/>
                <w:color w:val="000000"/>
                <w:sz w:val="20"/>
                <w:szCs w:val="20"/>
                <w:vertAlign w:val="superscript"/>
                <w14:ligatures w14:val="none"/>
              </w:rPr>
              <w:t>o</w:t>
            </w:r>
            <w:r w:rsidRPr="00B14CC2">
              <w:rPr>
                <w:rFonts w:asciiTheme="majorBidi" w:eastAsia="Times New Roman" w:hAnsiTheme="majorBidi" w:cstheme="majorBidi"/>
                <w:b/>
                <w:bCs/>
                <w:color w:val="000000"/>
                <w:sz w:val="20"/>
                <w:szCs w:val="20"/>
                <w14:ligatures w14:val="none"/>
              </w:rPr>
              <w:t>C)</w:t>
            </w:r>
          </w:p>
        </w:tc>
        <w:tc>
          <w:tcPr>
            <w:tcW w:w="0" w:type="auto"/>
            <w:vMerge w:val="restart"/>
            <w:tcBorders>
              <w:top w:val="thinThickSmallGap" w:sz="24" w:space="0" w:color="auto"/>
              <w:left w:val="nil"/>
              <w:right w:val="nil"/>
            </w:tcBorders>
            <w:vAlign w:val="center"/>
          </w:tcPr>
          <w:p w14:paraId="42B61725" w14:textId="77777777" w:rsidR="00901418" w:rsidRPr="00B14CC2" w:rsidRDefault="00901418" w:rsidP="009A00F5">
            <w:pPr>
              <w:spacing w:after="0" w:line="240" w:lineRule="auto"/>
              <w:jc w:val="center"/>
              <w:rPr>
                <w:rFonts w:asciiTheme="majorBidi" w:eastAsia="Times New Roman" w:hAnsiTheme="majorBidi" w:cstheme="majorBidi"/>
                <w:b/>
                <w:bCs/>
                <w:color w:val="000000"/>
                <w:sz w:val="20"/>
                <w:szCs w:val="20"/>
                <w14:ligatures w14:val="none"/>
              </w:rPr>
            </w:pPr>
            <w:r w:rsidRPr="00B14CC2">
              <w:rPr>
                <w:rFonts w:asciiTheme="majorBidi" w:eastAsia="Times New Roman" w:hAnsiTheme="majorBidi" w:cstheme="majorBidi"/>
                <w:b/>
                <w:bCs/>
                <w:color w:val="000000"/>
                <w:sz w:val="20"/>
                <w:szCs w:val="20"/>
                <w14:ligatures w14:val="none"/>
              </w:rPr>
              <w:t>Solvent</w:t>
            </w:r>
          </w:p>
        </w:tc>
        <w:tc>
          <w:tcPr>
            <w:tcW w:w="0" w:type="auto"/>
            <w:vMerge w:val="restart"/>
            <w:tcBorders>
              <w:top w:val="thinThickSmallGap" w:sz="24" w:space="0" w:color="auto"/>
              <w:left w:val="nil"/>
            </w:tcBorders>
            <w:shd w:val="clear" w:color="auto" w:fill="auto"/>
            <w:noWrap/>
            <w:vAlign w:val="center"/>
            <w:hideMark/>
          </w:tcPr>
          <w:p w14:paraId="5EA2BC3C" w14:textId="77777777" w:rsidR="00901418" w:rsidRPr="00B14CC2" w:rsidRDefault="00901418" w:rsidP="009A00F5">
            <w:pPr>
              <w:spacing w:after="0" w:line="240" w:lineRule="auto"/>
              <w:jc w:val="center"/>
              <w:rPr>
                <w:rFonts w:asciiTheme="majorBidi" w:eastAsia="Times New Roman" w:hAnsiTheme="majorBidi" w:cstheme="majorBidi"/>
                <w:b/>
                <w:bCs/>
                <w:color w:val="000000"/>
                <w:sz w:val="20"/>
                <w:szCs w:val="20"/>
                <w14:ligatures w14:val="none"/>
              </w:rPr>
            </w:pPr>
            <w:r w:rsidRPr="00B14CC2">
              <w:rPr>
                <w:rFonts w:asciiTheme="majorBidi" w:eastAsia="Times New Roman" w:hAnsiTheme="majorBidi" w:cstheme="majorBidi"/>
                <w:b/>
                <w:bCs/>
                <w:color w:val="000000"/>
                <w:sz w:val="20"/>
                <w:szCs w:val="20"/>
                <w14:ligatures w14:val="none"/>
              </w:rPr>
              <w:t>Glycidol</w:t>
            </w:r>
          </w:p>
          <w:p w14:paraId="241C22D0" w14:textId="77777777" w:rsidR="00901418" w:rsidRPr="00B14CC2" w:rsidRDefault="00901418" w:rsidP="009A00F5">
            <w:pPr>
              <w:spacing w:after="0" w:line="240" w:lineRule="auto"/>
              <w:jc w:val="center"/>
              <w:rPr>
                <w:rFonts w:asciiTheme="majorBidi" w:eastAsia="Times New Roman" w:hAnsiTheme="majorBidi" w:cstheme="majorBidi"/>
                <w:b/>
                <w:bCs/>
                <w:color w:val="000000"/>
                <w:sz w:val="20"/>
                <w:szCs w:val="20"/>
                <w14:ligatures w14:val="none"/>
              </w:rPr>
            </w:pPr>
            <w:r w:rsidRPr="00B14CC2">
              <w:rPr>
                <w:rFonts w:asciiTheme="majorBidi" w:eastAsia="Times New Roman" w:hAnsiTheme="majorBidi" w:cstheme="majorBidi"/>
                <w:b/>
                <w:bCs/>
                <w:color w:val="000000"/>
                <w:sz w:val="20"/>
                <w:szCs w:val="20"/>
                <w14:ligatures w14:val="none"/>
              </w:rPr>
              <w:t>(mol eq.)</w:t>
            </w:r>
          </w:p>
        </w:tc>
        <w:tc>
          <w:tcPr>
            <w:tcW w:w="0" w:type="auto"/>
            <w:vMerge w:val="restart"/>
            <w:tcBorders>
              <w:top w:val="thinThickSmallGap" w:sz="24" w:space="0" w:color="auto"/>
              <w:left w:val="nil"/>
            </w:tcBorders>
            <w:shd w:val="clear" w:color="auto" w:fill="auto"/>
            <w:noWrap/>
            <w:vAlign w:val="center"/>
            <w:hideMark/>
          </w:tcPr>
          <w:p w14:paraId="6670574F" w14:textId="77777777" w:rsidR="00901418" w:rsidRPr="00B14CC2" w:rsidRDefault="00901418" w:rsidP="009A00F5">
            <w:pPr>
              <w:spacing w:after="0" w:line="240" w:lineRule="auto"/>
              <w:jc w:val="center"/>
              <w:rPr>
                <w:rFonts w:asciiTheme="majorBidi" w:eastAsia="Times New Roman" w:hAnsiTheme="majorBidi" w:cstheme="majorBidi"/>
                <w:b/>
                <w:bCs/>
                <w:color w:val="000000"/>
                <w:sz w:val="20"/>
                <w:szCs w:val="20"/>
                <w14:ligatures w14:val="none"/>
              </w:rPr>
            </w:pPr>
            <w:r w:rsidRPr="00B14CC2">
              <w:rPr>
                <w:rFonts w:asciiTheme="majorBidi" w:eastAsia="Times New Roman" w:hAnsiTheme="majorBidi" w:cstheme="majorBidi"/>
                <w:b/>
                <w:bCs/>
                <w:color w:val="000000"/>
                <w:sz w:val="20"/>
                <w:szCs w:val="20"/>
                <w14:ligatures w14:val="none"/>
              </w:rPr>
              <w:t>Conv.</w:t>
            </w:r>
          </w:p>
          <w:p w14:paraId="7ED2520E" w14:textId="77777777" w:rsidR="00901418" w:rsidRPr="00B14CC2" w:rsidRDefault="00901418" w:rsidP="009A00F5">
            <w:pPr>
              <w:spacing w:after="0" w:line="240" w:lineRule="auto"/>
              <w:jc w:val="center"/>
              <w:rPr>
                <w:rFonts w:asciiTheme="majorBidi" w:eastAsia="Times New Roman" w:hAnsiTheme="majorBidi" w:cstheme="majorBidi"/>
                <w:b/>
                <w:bCs/>
                <w:color w:val="000000"/>
                <w:sz w:val="20"/>
                <w:szCs w:val="20"/>
                <w14:ligatures w14:val="none"/>
              </w:rPr>
            </w:pPr>
            <w:r w:rsidRPr="00B14CC2">
              <w:rPr>
                <w:rFonts w:asciiTheme="majorBidi" w:eastAsia="Times New Roman" w:hAnsiTheme="majorBidi" w:cstheme="majorBidi"/>
                <w:b/>
                <w:bCs/>
                <w:color w:val="000000"/>
                <w:sz w:val="20"/>
                <w:szCs w:val="20"/>
                <w14:ligatures w14:val="none"/>
              </w:rPr>
              <w:t>(%)</w:t>
            </w:r>
          </w:p>
        </w:tc>
        <w:tc>
          <w:tcPr>
            <w:tcW w:w="0" w:type="auto"/>
            <w:gridSpan w:val="2"/>
            <w:tcBorders>
              <w:top w:val="thinThickSmallGap" w:sz="24" w:space="0" w:color="auto"/>
              <w:left w:val="nil"/>
              <w:bottom w:val="single" w:sz="4" w:space="0" w:color="ADADAD" w:themeColor="background2" w:themeShade="BF"/>
            </w:tcBorders>
            <w:shd w:val="clear" w:color="auto" w:fill="auto"/>
            <w:noWrap/>
            <w:vAlign w:val="center"/>
            <w:hideMark/>
          </w:tcPr>
          <w:p w14:paraId="65A2D38D" w14:textId="77777777" w:rsidR="00901418" w:rsidRPr="00B14CC2" w:rsidRDefault="00901418" w:rsidP="009A00F5">
            <w:pPr>
              <w:spacing w:after="0" w:line="240" w:lineRule="auto"/>
              <w:jc w:val="center"/>
              <w:rPr>
                <w:rFonts w:asciiTheme="majorBidi" w:eastAsia="Times New Roman" w:hAnsiTheme="majorBidi" w:cstheme="majorBidi"/>
                <w:b/>
                <w:bCs/>
                <w:color w:val="000000"/>
                <w:sz w:val="20"/>
                <w:szCs w:val="20"/>
                <w14:ligatures w14:val="none"/>
              </w:rPr>
            </w:pPr>
            <w:r w:rsidRPr="00B14CC2">
              <w:rPr>
                <w:rFonts w:asciiTheme="majorBidi" w:eastAsia="Times New Roman" w:hAnsiTheme="majorBidi" w:cstheme="majorBidi"/>
                <w:b/>
                <w:bCs/>
                <w:color w:val="000000"/>
                <w:sz w:val="20"/>
                <w:szCs w:val="20"/>
                <w14:ligatures w14:val="none"/>
              </w:rPr>
              <w:t>Selectivity (%)</w:t>
            </w:r>
          </w:p>
        </w:tc>
        <w:tc>
          <w:tcPr>
            <w:tcW w:w="0" w:type="auto"/>
            <w:vMerge w:val="restart"/>
            <w:tcBorders>
              <w:top w:val="thinThickSmallGap" w:sz="24" w:space="0" w:color="auto"/>
              <w:left w:val="nil"/>
            </w:tcBorders>
            <w:shd w:val="clear" w:color="auto" w:fill="auto"/>
            <w:vAlign w:val="center"/>
            <w:hideMark/>
          </w:tcPr>
          <w:p w14:paraId="329ABACA" w14:textId="77777777" w:rsidR="00901418" w:rsidRPr="00B14CC2" w:rsidRDefault="00901418" w:rsidP="009A00F5">
            <w:pPr>
              <w:spacing w:after="0" w:line="240" w:lineRule="auto"/>
              <w:jc w:val="center"/>
              <w:rPr>
                <w:rFonts w:asciiTheme="majorBidi" w:eastAsia="Times New Roman" w:hAnsiTheme="majorBidi" w:cstheme="majorBidi"/>
                <w:b/>
                <w:bCs/>
                <w:color w:val="000000"/>
                <w:sz w:val="20"/>
                <w:szCs w:val="20"/>
                <w14:ligatures w14:val="none"/>
              </w:rPr>
            </w:pPr>
            <w:r w:rsidRPr="00B14CC2">
              <w:rPr>
                <w:rFonts w:asciiTheme="majorBidi" w:eastAsia="Times New Roman" w:hAnsiTheme="majorBidi" w:cstheme="majorBidi"/>
                <w:b/>
                <w:bCs/>
                <w:color w:val="000000"/>
                <w:sz w:val="20"/>
                <w:szCs w:val="20"/>
                <w14:ligatures w14:val="none"/>
              </w:rPr>
              <w:t>DGF Yield</w:t>
            </w:r>
          </w:p>
          <w:p w14:paraId="74FCA6CE" w14:textId="77777777" w:rsidR="00901418" w:rsidRPr="00B14CC2" w:rsidRDefault="00901418" w:rsidP="009A00F5">
            <w:pPr>
              <w:spacing w:after="0" w:line="240" w:lineRule="auto"/>
              <w:jc w:val="center"/>
              <w:rPr>
                <w:rFonts w:asciiTheme="majorBidi" w:eastAsia="Times New Roman" w:hAnsiTheme="majorBidi" w:cstheme="majorBidi"/>
                <w:b/>
                <w:bCs/>
                <w:color w:val="000000"/>
                <w:sz w:val="20"/>
                <w:szCs w:val="20"/>
                <w14:ligatures w14:val="none"/>
              </w:rPr>
            </w:pPr>
            <w:r w:rsidRPr="00B14CC2">
              <w:rPr>
                <w:rFonts w:asciiTheme="majorBidi" w:eastAsia="Times New Roman" w:hAnsiTheme="majorBidi" w:cstheme="majorBidi"/>
                <w:b/>
                <w:bCs/>
                <w:color w:val="000000"/>
                <w:sz w:val="20"/>
                <w:szCs w:val="20"/>
                <w14:ligatures w14:val="none"/>
              </w:rPr>
              <w:t>(%)</w:t>
            </w:r>
          </w:p>
        </w:tc>
      </w:tr>
      <w:tr w:rsidR="00901418" w:rsidRPr="00B14CC2" w14:paraId="005BA0FE" w14:textId="77777777" w:rsidTr="009A00F5">
        <w:trPr>
          <w:trHeight w:val="35"/>
          <w:jc w:val="center"/>
        </w:trPr>
        <w:tc>
          <w:tcPr>
            <w:tcW w:w="0" w:type="auto"/>
            <w:vMerge/>
            <w:tcBorders>
              <w:top w:val="single" w:sz="8" w:space="0" w:color="BFBFBF"/>
              <w:bottom w:val="single" w:sz="8" w:space="0" w:color="auto"/>
            </w:tcBorders>
            <w:vAlign w:val="center"/>
            <w:hideMark/>
          </w:tcPr>
          <w:p w14:paraId="355E48E7" w14:textId="77777777" w:rsidR="00901418" w:rsidRPr="00B14CC2" w:rsidRDefault="00901418" w:rsidP="009A00F5">
            <w:pPr>
              <w:spacing w:after="0" w:line="240" w:lineRule="auto"/>
              <w:jc w:val="center"/>
              <w:rPr>
                <w:rFonts w:asciiTheme="majorBidi" w:eastAsia="Times New Roman" w:hAnsiTheme="majorBidi" w:cstheme="majorBidi"/>
                <w:b/>
                <w:bCs/>
                <w:color w:val="000000"/>
                <w:sz w:val="20"/>
                <w:szCs w:val="20"/>
                <w14:ligatures w14:val="none"/>
              </w:rPr>
            </w:pPr>
          </w:p>
        </w:tc>
        <w:tc>
          <w:tcPr>
            <w:tcW w:w="0" w:type="auto"/>
            <w:vMerge/>
            <w:tcBorders>
              <w:left w:val="nil"/>
              <w:bottom w:val="single" w:sz="8" w:space="0" w:color="auto"/>
            </w:tcBorders>
            <w:shd w:val="clear" w:color="auto" w:fill="auto"/>
            <w:vAlign w:val="center"/>
            <w:hideMark/>
          </w:tcPr>
          <w:p w14:paraId="7D1F8D65" w14:textId="77777777" w:rsidR="00901418" w:rsidRPr="00B14CC2" w:rsidRDefault="00901418" w:rsidP="009A00F5">
            <w:pPr>
              <w:spacing w:after="0" w:line="240" w:lineRule="auto"/>
              <w:jc w:val="center"/>
              <w:rPr>
                <w:rFonts w:asciiTheme="majorBidi" w:eastAsia="Times New Roman" w:hAnsiTheme="majorBidi" w:cstheme="majorBidi"/>
                <w:color w:val="000000"/>
                <w:sz w:val="20"/>
                <w:szCs w:val="20"/>
                <w14:ligatures w14:val="none"/>
              </w:rPr>
            </w:pPr>
          </w:p>
        </w:tc>
        <w:tc>
          <w:tcPr>
            <w:tcW w:w="0" w:type="auto"/>
            <w:vMerge/>
            <w:tcBorders>
              <w:left w:val="nil"/>
              <w:bottom w:val="single" w:sz="8" w:space="0" w:color="auto"/>
              <w:right w:val="nil"/>
            </w:tcBorders>
            <w:vAlign w:val="center"/>
          </w:tcPr>
          <w:p w14:paraId="3E8066D5" w14:textId="77777777" w:rsidR="00901418" w:rsidRPr="00B14CC2" w:rsidRDefault="00901418" w:rsidP="009A00F5">
            <w:pPr>
              <w:spacing w:after="0" w:line="240" w:lineRule="auto"/>
              <w:jc w:val="center"/>
              <w:rPr>
                <w:rFonts w:asciiTheme="majorBidi" w:eastAsia="Times New Roman" w:hAnsiTheme="majorBidi" w:cstheme="majorBidi"/>
                <w:color w:val="000000"/>
                <w:sz w:val="20"/>
                <w:szCs w:val="20"/>
                <w14:ligatures w14:val="none"/>
              </w:rPr>
            </w:pPr>
          </w:p>
        </w:tc>
        <w:tc>
          <w:tcPr>
            <w:tcW w:w="0" w:type="auto"/>
            <w:vMerge/>
            <w:tcBorders>
              <w:left w:val="nil"/>
              <w:bottom w:val="single" w:sz="8" w:space="0" w:color="auto"/>
              <w:right w:val="nil"/>
            </w:tcBorders>
            <w:vAlign w:val="center"/>
          </w:tcPr>
          <w:p w14:paraId="5EF5DF0E" w14:textId="77777777" w:rsidR="00901418" w:rsidRPr="00B14CC2" w:rsidRDefault="00901418" w:rsidP="009A00F5">
            <w:pPr>
              <w:spacing w:after="0" w:line="240" w:lineRule="auto"/>
              <w:jc w:val="center"/>
              <w:rPr>
                <w:rFonts w:asciiTheme="majorBidi" w:eastAsia="Times New Roman" w:hAnsiTheme="majorBidi" w:cstheme="majorBidi"/>
                <w:color w:val="000000"/>
                <w:sz w:val="20"/>
                <w:szCs w:val="20"/>
                <w14:ligatures w14:val="none"/>
              </w:rPr>
            </w:pPr>
          </w:p>
        </w:tc>
        <w:tc>
          <w:tcPr>
            <w:tcW w:w="0" w:type="auto"/>
            <w:vMerge/>
            <w:tcBorders>
              <w:left w:val="nil"/>
              <w:bottom w:val="single" w:sz="8" w:space="0" w:color="auto"/>
            </w:tcBorders>
            <w:shd w:val="clear" w:color="auto" w:fill="auto"/>
            <w:noWrap/>
            <w:vAlign w:val="center"/>
            <w:hideMark/>
          </w:tcPr>
          <w:p w14:paraId="197B0896" w14:textId="77777777" w:rsidR="00901418" w:rsidRPr="00B14CC2" w:rsidRDefault="00901418" w:rsidP="009A00F5">
            <w:pPr>
              <w:spacing w:after="0" w:line="240" w:lineRule="auto"/>
              <w:jc w:val="center"/>
              <w:rPr>
                <w:rFonts w:asciiTheme="majorBidi" w:eastAsia="Times New Roman" w:hAnsiTheme="majorBidi" w:cstheme="majorBidi"/>
                <w:color w:val="000000"/>
                <w:sz w:val="20"/>
                <w:szCs w:val="20"/>
                <w14:ligatures w14:val="none"/>
              </w:rPr>
            </w:pPr>
          </w:p>
        </w:tc>
        <w:tc>
          <w:tcPr>
            <w:tcW w:w="0" w:type="auto"/>
            <w:vMerge/>
            <w:tcBorders>
              <w:left w:val="nil"/>
              <w:bottom w:val="single" w:sz="8" w:space="0" w:color="auto"/>
            </w:tcBorders>
            <w:shd w:val="clear" w:color="auto" w:fill="auto"/>
            <w:noWrap/>
            <w:vAlign w:val="center"/>
            <w:hideMark/>
          </w:tcPr>
          <w:p w14:paraId="20051692" w14:textId="77777777" w:rsidR="00901418" w:rsidRPr="00B14CC2" w:rsidRDefault="00901418" w:rsidP="009A00F5">
            <w:pPr>
              <w:spacing w:after="0" w:line="240" w:lineRule="auto"/>
              <w:jc w:val="center"/>
              <w:rPr>
                <w:rFonts w:asciiTheme="majorBidi" w:eastAsia="Times New Roman" w:hAnsiTheme="majorBidi" w:cstheme="majorBidi"/>
                <w:color w:val="000000"/>
                <w:sz w:val="20"/>
                <w:szCs w:val="20"/>
                <w14:ligatures w14:val="none"/>
              </w:rPr>
            </w:pPr>
          </w:p>
        </w:tc>
        <w:tc>
          <w:tcPr>
            <w:tcW w:w="0" w:type="auto"/>
            <w:tcBorders>
              <w:top w:val="single" w:sz="4" w:space="0" w:color="ADADAD" w:themeColor="background2" w:themeShade="BF"/>
              <w:left w:val="nil"/>
              <w:bottom w:val="single" w:sz="8" w:space="0" w:color="auto"/>
            </w:tcBorders>
            <w:shd w:val="clear" w:color="auto" w:fill="auto"/>
            <w:noWrap/>
            <w:vAlign w:val="center"/>
            <w:hideMark/>
          </w:tcPr>
          <w:p w14:paraId="7E3F9BBA" w14:textId="77777777" w:rsidR="00901418" w:rsidRPr="00B14CC2" w:rsidRDefault="00901418" w:rsidP="009A00F5">
            <w:pPr>
              <w:spacing w:after="0" w:line="240" w:lineRule="auto"/>
              <w:jc w:val="center"/>
              <w:rPr>
                <w:rFonts w:asciiTheme="majorBidi" w:eastAsia="Times New Roman" w:hAnsiTheme="majorBidi" w:cstheme="majorBidi"/>
                <w:b/>
                <w:bCs/>
                <w:color w:val="000000"/>
                <w:sz w:val="20"/>
                <w:szCs w:val="20"/>
                <w14:ligatures w14:val="none"/>
              </w:rPr>
            </w:pPr>
            <w:r w:rsidRPr="00B14CC2">
              <w:rPr>
                <w:rFonts w:asciiTheme="majorBidi" w:eastAsia="Times New Roman" w:hAnsiTheme="majorBidi" w:cstheme="majorBidi"/>
                <w:b/>
                <w:bCs/>
                <w:color w:val="000000"/>
                <w:sz w:val="20"/>
                <w:szCs w:val="20"/>
                <w14:ligatures w14:val="none"/>
              </w:rPr>
              <w:t>DGF</w:t>
            </w:r>
          </w:p>
        </w:tc>
        <w:tc>
          <w:tcPr>
            <w:tcW w:w="0" w:type="auto"/>
            <w:tcBorders>
              <w:top w:val="single" w:sz="4" w:space="0" w:color="ADADAD" w:themeColor="background2" w:themeShade="BF"/>
              <w:left w:val="nil"/>
              <w:bottom w:val="single" w:sz="8" w:space="0" w:color="auto"/>
            </w:tcBorders>
            <w:shd w:val="clear" w:color="auto" w:fill="auto"/>
            <w:noWrap/>
            <w:vAlign w:val="center"/>
            <w:hideMark/>
          </w:tcPr>
          <w:p w14:paraId="694633B7" w14:textId="77777777" w:rsidR="00901418" w:rsidRPr="00B14CC2" w:rsidRDefault="00901418" w:rsidP="009A00F5">
            <w:pPr>
              <w:spacing w:after="0" w:line="240" w:lineRule="auto"/>
              <w:jc w:val="center"/>
              <w:rPr>
                <w:rFonts w:asciiTheme="majorBidi" w:eastAsia="Times New Roman" w:hAnsiTheme="majorBidi" w:cstheme="majorBidi"/>
                <w:b/>
                <w:bCs/>
                <w:color w:val="000000"/>
                <w:sz w:val="20"/>
                <w:szCs w:val="20"/>
                <w14:ligatures w14:val="none"/>
              </w:rPr>
            </w:pPr>
            <w:r w:rsidRPr="00B14CC2">
              <w:rPr>
                <w:rFonts w:asciiTheme="majorBidi" w:eastAsia="Times New Roman" w:hAnsiTheme="majorBidi" w:cstheme="majorBidi"/>
                <w:b/>
                <w:bCs/>
                <w:color w:val="000000"/>
                <w:sz w:val="20"/>
                <w:szCs w:val="20"/>
                <w14:ligatures w14:val="none"/>
              </w:rPr>
              <w:t>MGF</w:t>
            </w:r>
          </w:p>
        </w:tc>
        <w:tc>
          <w:tcPr>
            <w:tcW w:w="0" w:type="auto"/>
            <w:vMerge/>
            <w:tcBorders>
              <w:bottom w:val="single" w:sz="8" w:space="0" w:color="auto"/>
            </w:tcBorders>
            <w:shd w:val="clear" w:color="auto" w:fill="auto"/>
            <w:vAlign w:val="center"/>
            <w:hideMark/>
          </w:tcPr>
          <w:p w14:paraId="453AEB24" w14:textId="77777777" w:rsidR="00901418" w:rsidRPr="00B14CC2" w:rsidRDefault="00901418" w:rsidP="009A00F5">
            <w:pPr>
              <w:spacing w:after="0" w:line="240" w:lineRule="auto"/>
              <w:jc w:val="center"/>
              <w:rPr>
                <w:rFonts w:asciiTheme="majorBidi" w:eastAsia="Times New Roman" w:hAnsiTheme="majorBidi" w:cstheme="majorBidi"/>
                <w:color w:val="000000"/>
                <w:sz w:val="20"/>
                <w:szCs w:val="20"/>
                <w14:ligatures w14:val="none"/>
              </w:rPr>
            </w:pPr>
          </w:p>
        </w:tc>
      </w:tr>
      <w:tr w:rsidR="00901418" w:rsidRPr="00B14CC2" w14:paraId="4CA013B6" w14:textId="77777777" w:rsidTr="009A00F5">
        <w:trPr>
          <w:trHeight w:val="300"/>
          <w:jc w:val="center"/>
        </w:trPr>
        <w:tc>
          <w:tcPr>
            <w:tcW w:w="0" w:type="auto"/>
            <w:tcBorders>
              <w:top w:val="single" w:sz="8" w:space="0" w:color="auto"/>
            </w:tcBorders>
            <w:shd w:val="clear" w:color="auto" w:fill="auto"/>
            <w:noWrap/>
            <w:vAlign w:val="center"/>
            <w:hideMark/>
          </w:tcPr>
          <w:p w14:paraId="563BECBD" w14:textId="77777777" w:rsidR="00901418" w:rsidRPr="00B14CC2" w:rsidRDefault="00901418" w:rsidP="009A00F5">
            <w:pPr>
              <w:spacing w:after="0" w:line="240" w:lineRule="auto"/>
              <w:jc w:val="center"/>
              <w:rPr>
                <w:rFonts w:asciiTheme="majorBidi" w:eastAsia="Times New Roman" w:hAnsiTheme="majorBidi" w:cstheme="majorBidi"/>
                <w:color w:val="000000"/>
                <w:sz w:val="20"/>
                <w:szCs w:val="20"/>
                <w14:ligatures w14:val="none"/>
              </w:rPr>
            </w:pPr>
            <w:r w:rsidRPr="00B14CC2">
              <w:rPr>
                <w:rFonts w:asciiTheme="majorBidi" w:eastAsia="Times New Roman" w:hAnsiTheme="majorBidi" w:cstheme="majorBidi"/>
                <w:color w:val="000000"/>
                <w:sz w:val="20"/>
                <w:szCs w:val="20"/>
                <w14:ligatures w14:val="none"/>
              </w:rPr>
              <w:t>1</w:t>
            </w:r>
          </w:p>
        </w:tc>
        <w:tc>
          <w:tcPr>
            <w:tcW w:w="0" w:type="auto"/>
            <w:tcBorders>
              <w:top w:val="single" w:sz="8" w:space="0" w:color="auto"/>
              <w:left w:val="nil"/>
            </w:tcBorders>
            <w:shd w:val="clear" w:color="auto" w:fill="auto"/>
            <w:vAlign w:val="center"/>
          </w:tcPr>
          <w:p w14:paraId="53F5FEE7" w14:textId="77777777" w:rsidR="00901418" w:rsidRPr="00B14CC2" w:rsidRDefault="00901418" w:rsidP="009A00F5">
            <w:pPr>
              <w:spacing w:after="0" w:line="240" w:lineRule="auto"/>
              <w:jc w:val="center"/>
              <w:rPr>
                <w:rFonts w:asciiTheme="majorBidi" w:eastAsia="Times New Roman" w:hAnsiTheme="majorBidi" w:cstheme="majorBidi"/>
                <w:color w:val="000000"/>
                <w:sz w:val="20"/>
                <w:szCs w:val="20"/>
                <w14:ligatures w14:val="none"/>
              </w:rPr>
            </w:pPr>
            <w:r w:rsidRPr="00B14CC2">
              <w:rPr>
                <w:rFonts w:asciiTheme="majorBidi" w:eastAsia="Times New Roman" w:hAnsiTheme="majorBidi" w:cstheme="majorBidi"/>
                <w:color w:val="000000"/>
                <w:sz w:val="20"/>
                <w:szCs w:val="20"/>
                <w14:ligatures w14:val="none"/>
              </w:rPr>
              <w:t>6</w:t>
            </w:r>
          </w:p>
        </w:tc>
        <w:tc>
          <w:tcPr>
            <w:tcW w:w="0" w:type="auto"/>
            <w:tcBorders>
              <w:top w:val="single" w:sz="8" w:space="0" w:color="auto"/>
              <w:left w:val="nil"/>
              <w:right w:val="nil"/>
            </w:tcBorders>
            <w:vAlign w:val="center"/>
          </w:tcPr>
          <w:p w14:paraId="1F40CFE4" w14:textId="77777777" w:rsidR="00901418" w:rsidRPr="00B14CC2" w:rsidRDefault="00901418" w:rsidP="009A00F5">
            <w:pPr>
              <w:spacing w:after="0" w:line="240" w:lineRule="auto"/>
              <w:jc w:val="center"/>
              <w:rPr>
                <w:rFonts w:asciiTheme="majorBidi" w:eastAsia="Times New Roman" w:hAnsiTheme="majorBidi" w:cstheme="majorBidi"/>
                <w:color w:val="000000"/>
                <w:sz w:val="20"/>
                <w:szCs w:val="20"/>
                <w14:ligatures w14:val="none"/>
              </w:rPr>
            </w:pPr>
            <w:r w:rsidRPr="00B14CC2">
              <w:rPr>
                <w:rFonts w:asciiTheme="majorBidi" w:eastAsia="Times New Roman" w:hAnsiTheme="majorBidi" w:cstheme="majorBidi"/>
                <w:color w:val="000000"/>
                <w:sz w:val="20"/>
                <w:szCs w:val="20"/>
                <w14:ligatures w14:val="none"/>
              </w:rPr>
              <w:t>60</w:t>
            </w:r>
          </w:p>
        </w:tc>
        <w:tc>
          <w:tcPr>
            <w:tcW w:w="0" w:type="auto"/>
            <w:tcBorders>
              <w:top w:val="single" w:sz="8" w:space="0" w:color="auto"/>
              <w:left w:val="nil"/>
              <w:right w:val="nil"/>
            </w:tcBorders>
            <w:vAlign w:val="center"/>
          </w:tcPr>
          <w:p w14:paraId="14742DDB" w14:textId="1B083E61" w:rsidR="00901418" w:rsidRPr="00B14CC2" w:rsidRDefault="00595EB9" w:rsidP="009A00F5">
            <w:pPr>
              <w:spacing w:after="0" w:line="240" w:lineRule="auto"/>
              <w:jc w:val="center"/>
              <w:rPr>
                <w:rFonts w:asciiTheme="majorBidi" w:eastAsia="Times New Roman" w:hAnsiTheme="majorBidi" w:cstheme="majorBidi"/>
                <w:color w:val="000000"/>
                <w:sz w:val="20"/>
                <w:szCs w:val="20"/>
                <w14:ligatures w14:val="none"/>
              </w:rPr>
            </w:pPr>
            <w:r>
              <w:rPr>
                <w:rFonts w:asciiTheme="majorBidi" w:eastAsia="Times New Roman" w:hAnsiTheme="majorBidi" w:cstheme="majorBidi"/>
                <w:color w:val="000000"/>
                <w:sz w:val="20"/>
                <w:szCs w:val="20"/>
                <w14:ligatures w14:val="none"/>
              </w:rPr>
              <w:t>2-</w:t>
            </w:r>
            <w:r w:rsidR="00901418" w:rsidRPr="00B14CC2">
              <w:rPr>
                <w:rFonts w:asciiTheme="majorBidi" w:eastAsia="Times New Roman" w:hAnsiTheme="majorBidi" w:cstheme="majorBidi"/>
                <w:color w:val="000000"/>
                <w:sz w:val="20"/>
                <w:szCs w:val="20"/>
                <w14:ligatures w14:val="none"/>
              </w:rPr>
              <w:t>MeTHF</w:t>
            </w:r>
          </w:p>
        </w:tc>
        <w:tc>
          <w:tcPr>
            <w:tcW w:w="0" w:type="auto"/>
            <w:tcBorders>
              <w:top w:val="single" w:sz="8" w:space="0" w:color="auto"/>
              <w:left w:val="nil"/>
            </w:tcBorders>
            <w:shd w:val="clear" w:color="auto" w:fill="auto"/>
            <w:noWrap/>
            <w:vAlign w:val="center"/>
            <w:hideMark/>
          </w:tcPr>
          <w:p w14:paraId="480FDDBC" w14:textId="77777777" w:rsidR="00901418" w:rsidRPr="00B14CC2" w:rsidRDefault="00901418" w:rsidP="009A00F5">
            <w:pPr>
              <w:spacing w:after="0" w:line="240" w:lineRule="auto"/>
              <w:jc w:val="center"/>
              <w:rPr>
                <w:rFonts w:asciiTheme="majorBidi" w:eastAsia="Times New Roman" w:hAnsiTheme="majorBidi" w:cstheme="majorBidi"/>
                <w:color w:val="000000"/>
                <w:sz w:val="20"/>
                <w:szCs w:val="20"/>
                <w14:ligatures w14:val="none"/>
              </w:rPr>
            </w:pPr>
            <w:r w:rsidRPr="00B14CC2">
              <w:rPr>
                <w:rFonts w:asciiTheme="majorBidi" w:eastAsia="Times New Roman" w:hAnsiTheme="majorBidi" w:cstheme="majorBidi"/>
                <w:color w:val="000000"/>
                <w:sz w:val="20"/>
                <w:szCs w:val="20"/>
                <w14:ligatures w14:val="none"/>
              </w:rPr>
              <w:t>2.4</w:t>
            </w:r>
          </w:p>
        </w:tc>
        <w:tc>
          <w:tcPr>
            <w:tcW w:w="0" w:type="auto"/>
            <w:tcBorders>
              <w:top w:val="single" w:sz="8" w:space="0" w:color="auto"/>
              <w:left w:val="nil"/>
            </w:tcBorders>
            <w:shd w:val="clear" w:color="auto" w:fill="auto"/>
            <w:noWrap/>
            <w:vAlign w:val="center"/>
            <w:hideMark/>
          </w:tcPr>
          <w:p w14:paraId="23BA5176" w14:textId="77777777" w:rsidR="00901418" w:rsidRPr="00B14CC2" w:rsidRDefault="00901418" w:rsidP="009A00F5">
            <w:pPr>
              <w:spacing w:after="0" w:line="240" w:lineRule="auto"/>
              <w:jc w:val="center"/>
              <w:rPr>
                <w:rFonts w:asciiTheme="majorBidi" w:eastAsia="Times New Roman" w:hAnsiTheme="majorBidi" w:cstheme="majorBidi"/>
                <w:color w:val="000000"/>
                <w:sz w:val="20"/>
                <w:szCs w:val="20"/>
                <w14:ligatures w14:val="none"/>
              </w:rPr>
            </w:pPr>
            <w:r w:rsidRPr="00B14CC2">
              <w:rPr>
                <w:rFonts w:asciiTheme="majorBidi" w:hAnsiTheme="majorBidi" w:cstheme="majorBidi"/>
                <w:sz w:val="20"/>
                <w:szCs w:val="20"/>
              </w:rPr>
              <w:t>75</w:t>
            </w:r>
          </w:p>
        </w:tc>
        <w:tc>
          <w:tcPr>
            <w:tcW w:w="0" w:type="auto"/>
            <w:tcBorders>
              <w:top w:val="single" w:sz="8" w:space="0" w:color="auto"/>
              <w:left w:val="nil"/>
            </w:tcBorders>
            <w:shd w:val="clear" w:color="auto" w:fill="auto"/>
            <w:noWrap/>
            <w:vAlign w:val="center"/>
            <w:hideMark/>
          </w:tcPr>
          <w:p w14:paraId="3DD3DF61" w14:textId="39808F74" w:rsidR="00901418" w:rsidRPr="00B14CC2" w:rsidRDefault="005658D4" w:rsidP="009A00F5">
            <w:pPr>
              <w:spacing w:after="0" w:line="240" w:lineRule="auto"/>
              <w:jc w:val="center"/>
              <w:rPr>
                <w:rFonts w:asciiTheme="majorBidi" w:eastAsia="Times New Roman" w:hAnsiTheme="majorBidi" w:cstheme="majorBidi"/>
                <w:color w:val="000000"/>
                <w:sz w:val="20"/>
                <w:szCs w:val="20"/>
                <w14:ligatures w14:val="none"/>
              </w:rPr>
            </w:pPr>
            <w:r>
              <w:rPr>
                <w:rFonts w:asciiTheme="majorBidi" w:eastAsia="Times New Roman" w:hAnsiTheme="majorBidi" w:cstheme="majorBidi"/>
                <w:color w:val="000000"/>
                <w:sz w:val="20"/>
                <w:szCs w:val="20"/>
                <w14:ligatures w14:val="none"/>
              </w:rPr>
              <w:t>26</w:t>
            </w:r>
          </w:p>
        </w:tc>
        <w:tc>
          <w:tcPr>
            <w:tcW w:w="0" w:type="auto"/>
            <w:tcBorders>
              <w:top w:val="single" w:sz="8" w:space="0" w:color="auto"/>
              <w:left w:val="nil"/>
            </w:tcBorders>
            <w:shd w:val="clear" w:color="auto" w:fill="auto"/>
            <w:noWrap/>
            <w:vAlign w:val="center"/>
            <w:hideMark/>
          </w:tcPr>
          <w:p w14:paraId="042D58F8" w14:textId="3EC44D54" w:rsidR="00901418" w:rsidRPr="00B14CC2" w:rsidRDefault="00901418" w:rsidP="009A00F5">
            <w:pPr>
              <w:spacing w:after="0" w:line="240" w:lineRule="auto"/>
              <w:jc w:val="center"/>
              <w:rPr>
                <w:rFonts w:asciiTheme="majorBidi" w:eastAsia="Times New Roman" w:hAnsiTheme="majorBidi" w:cstheme="majorBidi"/>
                <w:color w:val="000000"/>
                <w:sz w:val="20"/>
                <w:szCs w:val="20"/>
                <w14:ligatures w14:val="none"/>
              </w:rPr>
            </w:pPr>
            <w:r w:rsidRPr="00B14CC2">
              <w:rPr>
                <w:rFonts w:asciiTheme="majorBidi" w:hAnsiTheme="majorBidi" w:cstheme="majorBidi"/>
                <w:sz w:val="20"/>
                <w:szCs w:val="20"/>
              </w:rPr>
              <w:t>7</w:t>
            </w:r>
            <w:r w:rsidR="004D1921">
              <w:rPr>
                <w:rFonts w:asciiTheme="majorBidi" w:hAnsiTheme="majorBidi" w:cstheme="majorBidi"/>
                <w:sz w:val="20"/>
                <w:szCs w:val="20"/>
              </w:rPr>
              <w:t>3</w:t>
            </w:r>
          </w:p>
        </w:tc>
        <w:tc>
          <w:tcPr>
            <w:tcW w:w="0" w:type="auto"/>
            <w:tcBorders>
              <w:top w:val="single" w:sz="8" w:space="0" w:color="auto"/>
              <w:left w:val="nil"/>
            </w:tcBorders>
            <w:shd w:val="clear" w:color="auto" w:fill="auto"/>
            <w:vAlign w:val="center"/>
            <w:hideMark/>
          </w:tcPr>
          <w:p w14:paraId="5ABAD591" w14:textId="29F8C339" w:rsidR="00901418" w:rsidRPr="00B14CC2" w:rsidRDefault="00901418" w:rsidP="009A00F5">
            <w:pPr>
              <w:spacing w:after="0" w:line="240" w:lineRule="auto"/>
              <w:jc w:val="center"/>
              <w:rPr>
                <w:rFonts w:asciiTheme="majorBidi" w:eastAsia="Times New Roman" w:hAnsiTheme="majorBidi" w:cstheme="majorBidi"/>
                <w:color w:val="000000"/>
                <w:sz w:val="20"/>
                <w:szCs w:val="20"/>
                <w14:ligatures w14:val="none"/>
              </w:rPr>
            </w:pPr>
            <w:r w:rsidRPr="00B14CC2">
              <w:rPr>
                <w:rFonts w:asciiTheme="majorBidi" w:hAnsiTheme="majorBidi" w:cstheme="majorBidi"/>
                <w:sz w:val="20"/>
                <w:szCs w:val="20"/>
              </w:rPr>
              <w:t>2</w:t>
            </w:r>
            <w:r w:rsidR="007E0AB1">
              <w:rPr>
                <w:rFonts w:asciiTheme="majorBidi" w:hAnsiTheme="majorBidi" w:cstheme="majorBidi"/>
                <w:sz w:val="20"/>
                <w:szCs w:val="20"/>
              </w:rPr>
              <w:t>0</w:t>
            </w:r>
          </w:p>
        </w:tc>
      </w:tr>
      <w:tr w:rsidR="00901418" w:rsidRPr="00B14CC2" w14:paraId="7395279B" w14:textId="77777777" w:rsidTr="009A00F5">
        <w:trPr>
          <w:trHeight w:val="300"/>
          <w:jc w:val="center"/>
        </w:trPr>
        <w:tc>
          <w:tcPr>
            <w:tcW w:w="0" w:type="auto"/>
            <w:shd w:val="clear" w:color="auto" w:fill="auto"/>
            <w:noWrap/>
            <w:vAlign w:val="center"/>
          </w:tcPr>
          <w:p w14:paraId="34210682" w14:textId="77777777" w:rsidR="00901418" w:rsidRPr="00B14CC2" w:rsidRDefault="00901418" w:rsidP="009A00F5">
            <w:pPr>
              <w:spacing w:after="0" w:line="240" w:lineRule="auto"/>
              <w:jc w:val="center"/>
              <w:rPr>
                <w:rFonts w:asciiTheme="majorBidi" w:eastAsia="Times New Roman" w:hAnsiTheme="majorBidi" w:cstheme="majorBidi"/>
                <w:color w:val="000000"/>
                <w:sz w:val="20"/>
                <w:szCs w:val="20"/>
                <w14:ligatures w14:val="none"/>
              </w:rPr>
            </w:pPr>
            <w:r w:rsidRPr="00B14CC2">
              <w:rPr>
                <w:rFonts w:asciiTheme="majorBidi" w:eastAsia="Times New Roman" w:hAnsiTheme="majorBidi" w:cstheme="majorBidi"/>
                <w:color w:val="000000"/>
                <w:sz w:val="20"/>
                <w:szCs w:val="20"/>
                <w14:ligatures w14:val="none"/>
              </w:rPr>
              <w:t>2</w:t>
            </w:r>
          </w:p>
        </w:tc>
        <w:tc>
          <w:tcPr>
            <w:tcW w:w="0" w:type="auto"/>
            <w:tcBorders>
              <w:left w:val="nil"/>
            </w:tcBorders>
            <w:shd w:val="clear" w:color="auto" w:fill="auto"/>
            <w:vAlign w:val="center"/>
          </w:tcPr>
          <w:p w14:paraId="72037773" w14:textId="77777777" w:rsidR="00901418" w:rsidRPr="00B14CC2" w:rsidRDefault="00901418" w:rsidP="009A00F5">
            <w:pPr>
              <w:spacing w:after="0" w:line="240" w:lineRule="auto"/>
              <w:jc w:val="center"/>
              <w:rPr>
                <w:rFonts w:asciiTheme="majorBidi" w:eastAsia="Times New Roman" w:hAnsiTheme="majorBidi" w:cstheme="majorBidi"/>
                <w:color w:val="000000"/>
                <w:sz w:val="20"/>
                <w:szCs w:val="20"/>
                <w14:ligatures w14:val="none"/>
              </w:rPr>
            </w:pPr>
            <w:r w:rsidRPr="00B14CC2">
              <w:rPr>
                <w:rFonts w:asciiTheme="majorBidi" w:eastAsia="Times New Roman" w:hAnsiTheme="majorBidi" w:cstheme="majorBidi"/>
                <w:color w:val="000000"/>
                <w:sz w:val="20"/>
                <w:szCs w:val="20"/>
                <w14:ligatures w14:val="none"/>
              </w:rPr>
              <w:t>6</w:t>
            </w:r>
          </w:p>
        </w:tc>
        <w:tc>
          <w:tcPr>
            <w:tcW w:w="0" w:type="auto"/>
            <w:tcBorders>
              <w:left w:val="nil"/>
              <w:right w:val="nil"/>
            </w:tcBorders>
            <w:vAlign w:val="center"/>
          </w:tcPr>
          <w:p w14:paraId="0A0A68E6" w14:textId="77777777" w:rsidR="00901418" w:rsidRPr="00B14CC2" w:rsidRDefault="00901418" w:rsidP="009A00F5">
            <w:pPr>
              <w:spacing w:after="0" w:line="240" w:lineRule="auto"/>
              <w:jc w:val="center"/>
              <w:rPr>
                <w:rFonts w:asciiTheme="majorBidi" w:eastAsia="Times New Roman" w:hAnsiTheme="majorBidi" w:cstheme="majorBidi"/>
                <w:color w:val="000000"/>
                <w:sz w:val="20"/>
                <w:szCs w:val="20"/>
                <w14:ligatures w14:val="none"/>
              </w:rPr>
            </w:pPr>
            <w:r w:rsidRPr="00B14CC2">
              <w:rPr>
                <w:rFonts w:asciiTheme="majorBidi" w:eastAsia="Times New Roman" w:hAnsiTheme="majorBidi" w:cstheme="majorBidi"/>
                <w:color w:val="000000"/>
                <w:sz w:val="20"/>
                <w:szCs w:val="20"/>
                <w14:ligatures w14:val="none"/>
              </w:rPr>
              <w:t>60</w:t>
            </w:r>
          </w:p>
        </w:tc>
        <w:tc>
          <w:tcPr>
            <w:tcW w:w="0" w:type="auto"/>
            <w:tcBorders>
              <w:left w:val="nil"/>
              <w:right w:val="nil"/>
            </w:tcBorders>
            <w:vAlign w:val="center"/>
          </w:tcPr>
          <w:p w14:paraId="4C66E53E" w14:textId="4724850B" w:rsidR="00901418" w:rsidRPr="00B14CC2" w:rsidRDefault="00595EB9" w:rsidP="009A00F5">
            <w:pPr>
              <w:spacing w:after="0" w:line="240" w:lineRule="auto"/>
              <w:jc w:val="center"/>
              <w:rPr>
                <w:rFonts w:asciiTheme="majorBidi" w:eastAsia="Times New Roman" w:hAnsiTheme="majorBidi" w:cstheme="majorBidi"/>
                <w:color w:val="000000"/>
                <w:sz w:val="20"/>
                <w:szCs w:val="20"/>
                <w14:ligatures w14:val="none"/>
              </w:rPr>
            </w:pPr>
            <w:r>
              <w:rPr>
                <w:rFonts w:asciiTheme="majorBidi" w:eastAsia="Times New Roman" w:hAnsiTheme="majorBidi" w:cstheme="majorBidi"/>
                <w:color w:val="000000"/>
                <w:sz w:val="20"/>
                <w:szCs w:val="20"/>
                <w14:ligatures w14:val="none"/>
              </w:rPr>
              <w:t>2-</w:t>
            </w:r>
            <w:r w:rsidR="00901418" w:rsidRPr="00B14CC2">
              <w:rPr>
                <w:rFonts w:asciiTheme="majorBidi" w:eastAsia="Times New Roman" w:hAnsiTheme="majorBidi" w:cstheme="majorBidi"/>
                <w:color w:val="000000"/>
                <w:sz w:val="20"/>
                <w:szCs w:val="20"/>
                <w14:ligatures w14:val="none"/>
              </w:rPr>
              <w:t>MeTHF</w:t>
            </w:r>
          </w:p>
        </w:tc>
        <w:tc>
          <w:tcPr>
            <w:tcW w:w="0" w:type="auto"/>
            <w:tcBorders>
              <w:left w:val="nil"/>
            </w:tcBorders>
            <w:shd w:val="clear" w:color="auto" w:fill="auto"/>
            <w:noWrap/>
            <w:vAlign w:val="center"/>
          </w:tcPr>
          <w:p w14:paraId="22756360" w14:textId="77777777" w:rsidR="00901418" w:rsidRPr="00B14CC2" w:rsidRDefault="00901418" w:rsidP="009A00F5">
            <w:pPr>
              <w:spacing w:after="0" w:line="240" w:lineRule="auto"/>
              <w:jc w:val="center"/>
              <w:rPr>
                <w:rFonts w:asciiTheme="majorBidi" w:eastAsia="Times New Roman" w:hAnsiTheme="majorBidi" w:cstheme="majorBidi"/>
                <w:color w:val="000000"/>
                <w:sz w:val="20"/>
                <w:szCs w:val="20"/>
                <w14:ligatures w14:val="none"/>
              </w:rPr>
            </w:pPr>
            <w:r w:rsidRPr="00B14CC2">
              <w:rPr>
                <w:rFonts w:asciiTheme="majorBidi" w:eastAsia="Times New Roman" w:hAnsiTheme="majorBidi" w:cstheme="majorBidi"/>
                <w:color w:val="000000"/>
                <w:sz w:val="20"/>
                <w:szCs w:val="20"/>
                <w14:ligatures w14:val="none"/>
              </w:rPr>
              <w:t>4</w:t>
            </w:r>
          </w:p>
        </w:tc>
        <w:tc>
          <w:tcPr>
            <w:tcW w:w="0" w:type="auto"/>
            <w:tcBorders>
              <w:left w:val="nil"/>
            </w:tcBorders>
            <w:shd w:val="clear" w:color="auto" w:fill="auto"/>
            <w:noWrap/>
            <w:vAlign w:val="center"/>
          </w:tcPr>
          <w:p w14:paraId="0C722A47" w14:textId="03DA963D" w:rsidR="00901418" w:rsidRPr="00B14CC2" w:rsidRDefault="00901418" w:rsidP="009A00F5">
            <w:pPr>
              <w:spacing w:after="0" w:line="240" w:lineRule="auto"/>
              <w:jc w:val="center"/>
              <w:rPr>
                <w:rFonts w:asciiTheme="majorBidi" w:eastAsia="Times New Roman" w:hAnsiTheme="majorBidi" w:cstheme="majorBidi"/>
                <w:color w:val="000000"/>
                <w:sz w:val="20"/>
                <w:szCs w:val="20"/>
                <w14:ligatures w14:val="none"/>
              </w:rPr>
            </w:pPr>
            <w:r w:rsidRPr="00B14CC2">
              <w:rPr>
                <w:rFonts w:asciiTheme="majorBidi" w:hAnsiTheme="majorBidi" w:cstheme="majorBidi"/>
                <w:sz w:val="20"/>
                <w:szCs w:val="20"/>
              </w:rPr>
              <w:t>8</w:t>
            </w:r>
            <w:r w:rsidR="00B575C9" w:rsidRPr="00B14CC2">
              <w:rPr>
                <w:rFonts w:asciiTheme="majorBidi" w:hAnsiTheme="majorBidi" w:cstheme="majorBidi"/>
                <w:sz w:val="20"/>
                <w:szCs w:val="20"/>
              </w:rPr>
              <w:t>5</w:t>
            </w:r>
          </w:p>
        </w:tc>
        <w:tc>
          <w:tcPr>
            <w:tcW w:w="0" w:type="auto"/>
            <w:tcBorders>
              <w:left w:val="nil"/>
            </w:tcBorders>
            <w:shd w:val="clear" w:color="auto" w:fill="auto"/>
            <w:noWrap/>
            <w:vAlign w:val="center"/>
          </w:tcPr>
          <w:p w14:paraId="12CC9573" w14:textId="77777777" w:rsidR="00901418" w:rsidRPr="00B14CC2" w:rsidRDefault="00901418" w:rsidP="009A00F5">
            <w:pPr>
              <w:spacing w:after="0" w:line="240" w:lineRule="auto"/>
              <w:jc w:val="center"/>
              <w:rPr>
                <w:rFonts w:asciiTheme="majorBidi" w:eastAsia="Times New Roman" w:hAnsiTheme="majorBidi" w:cstheme="majorBidi"/>
                <w:color w:val="000000"/>
                <w:sz w:val="20"/>
                <w:szCs w:val="20"/>
                <w14:ligatures w14:val="none"/>
              </w:rPr>
            </w:pPr>
            <w:r w:rsidRPr="00B14CC2">
              <w:rPr>
                <w:rFonts w:asciiTheme="majorBidi" w:hAnsiTheme="majorBidi" w:cstheme="majorBidi"/>
                <w:sz w:val="20"/>
                <w:szCs w:val="20"/>
              </w:rPr>
              <w:t>35</w:t>
            </w:r>
          </w:p>
        </w:tc>
        <w:tc>
          <w:tcPr>
            <w:tcW w:w="0" w:type="auto"/>
            <w:tcBorders>
              <w:left w:val="nil"/>
            </w:tcBorders>
            <w:shd w:val="clear" w:color="auto" w:fill="auto"/>
            <w:noWrap/>
            <w:vAlign w:val="center"/>
          </w:tcPr>
          <w:p w14:paraId="4D8E2455" w14:textId="77777777" w:rsidR="00901418" w:rsidRPr="00B14CC2" w:rsidRDefault="00901418" w:rsidP="009A00F5">
            <w:pPr>
              <w:spacing w:after="0" w:line="240" w:lineRule="auto"/>
              <w:jc w:val="center"/>
              <w:rPr>
                <w:rFonts w:asciiTheme="majorBidi" w:eastAsia="Times New Roman" w:hAnsiTheme="majorBidi" w:cstheme="majorBidi"/>
                <w:color w:val="000000"/>
                <w:sz w:val="20"/>
                <w:szCs w:val="20"/>
                <w14:ligatures w14:val="none"/>
              </w:rPr>
            </w:pPr>
            <w:r w:rsidRPr="00B14CC2">
              <w:rPr>
                <w:rFonts w:asciiTheme="majorBidi" w:hAnsiTheme="majorBidi" w:cstheme="majorBidi"/>
                <w:sz w:val="20"/>
                <w:szCs w:val="20"/>
              </w:rPr>
              <w:t>65</w:t>
            </w:r>
          </w:p>
        </w:tc>
        <w:tc>
          <w:tcPr>
            <w:tcW w:w="0" w:type="auto"/>
            <w:tcBorders>
              <w:left w:val="nil"/>
            </w:tcBorders>
            <w:shd w:val="clear" w:color="auto" w:fill="auto"/>
            <w:vAlign w:val="center"/>
          </w:tcPr>
          <w:p w14:paraId="6114BCA0" w14:textId="39AA55AB" w:rsidR="00901418" w:rsidRPr="00B14CC2" w:rsidRDefault="00823AD7" w:rsidP="009A00F5">
            <w:pPr>
              <w:spacing w:after="0" w:line="240" w:lineRule="auto"/>
              <w:jc w:val="center"/>
              <w:rPr>
                <w:rFonts w:asciiTheme="majorBidi" w:eastAsia="Times New Roman" w:hAnsiTheme="majorBidi" w:cstheme="majorBidi"/>
                <w:color w:val="000000"/>
                <w:sz w:val="20"/>
                <w:szCs w:val="20"/>
                <w14:ligatures w14:val="none"/>
              </w:rPr>
            </w:pPr>
            <w:r w:rsidRPr="00B14CC2">
              <w:rPr>
                <w:rFonts w:asciiTheme="majorBidi" w:hAnsiTheme="majorBidi" w:cstheme="majorBidi"/>
                <w:sz w:val="20"/>
                <w:szCs w:val="20"/>
              </w:rPr>
              <w:t>29</w:t>
            </w:r>
          </w:p>
        </w:tc>
      </w:tr>
      <w:tr w:rsidR="00595EB9" w:rsidRPr="00B14CC2" w14:paraId="7C4252C5" w14:textId="77777777" w:rsidTr="00451512">
        <w:trPr>
          <w:trHeight w:val="300"/>
          <w:jc w:val="center"/>
        </w:trPr>
        <w:tc>
          <w:tcPr>
            <w:tcW w:w="0" w:type="auto"/>
            <w:tcBorders>
              <w:top w:val="nil"/>
              <w:bottom w:val="nil"/>
            </w:tcBorders>
            <w:shd w:val="clear" w:color="auto" w:fill="auto"/>
            <w:noWrap/>
            <w:vAlign w:val="center"/>
            <w:hideMark/>
          </w:tcPr>
          <w:p w14:paraId="3C1D4B36" w14:textId="4122F26D" w:rsidR="00595EB9" w:rsidRPr="00B14CC2" w:rsidRDefault="00595EB9" w:rsidP="00595EB9">
            <w:pPr>
              <w:spacing w:after="0" w:line="240" w:lineRule="auto"/>
              <w:jc w:val="center"/>
              <w:rPr>
                <w:rFonts w:asciiTheme="majorBidi" w:eastAsia="Times New Roman" w:hAnsiTheme="majorBidi" w:cstheme="majorBidi"/>
                <w:color w:val="000000"/>
                <w:sz w:val="20"/>
                <w:szCs w:val="20"/>
                <w14:ligatures w14:val="none"/>
              </w:rPr>
            </w:pPr>
            <w:r>
              <w:rPr>
                <w:rFonts w:asciiTheme="majorBidi" w:eastAsia="Times New Roman" w:hAnsiTheme="majorBidi" w:cstheme="majorBidi"/>
                <w:color w:val="000000"/>
                <w:sz w:val="20"/>
                <w:szCs w:val="20"/>
                <w14:ligatures w14:val="none"/>
              </w:rPr>
              <w:t>3</w:t>
            </w:r>
          </w:p>
        </w:tc>
        <w:tc>
          <w:tcPr>
            <w:tcW w:w="0" w:type="auto"/>
            <w:tcBorders>
              <w:top w:val="nil"/>
              <w:left w:val="nil"/>
              <w:bottom w:val="nil"/>
            </w:tcBorders>
            <w:shd w:val="clear" w:color="auto" w:fill="auto"/>
            <w:vAlign w:val="center"/>
          </w:tcPr>
          <w:p w14:paraId="4ADB31A8" w14:textId="77777777" w:rsidR="00595EB9" w:rsidRPr="00B14CC2" w:rsidRDefault="00595EB9" w:rsidP="00595EB9">
            <w:pPr>
              <w:spacing w:after="0" w:line="240" w:lineRule="auto"/>
              <w:jc w:val="center"/>
              <w:rPr>
                <w:rFonts w:asciiTheme="majorBidi" w:eastAsia="Times New Roman" w:hAnsiTheme="majorBidi" w:cstheme="majorBidi"/>
                <w:color w:val="000000"/>
                <w:sz w:val="20"/>
                <w:szCs w:val="20"/>
                <w14:ligatures w14:val="none"/>
              </w:rPr>
            </w:pPr>
            <w:r w:rsidRPr="00B14CC2">
              <w:rPr>
                <w:rFonts w:asciiTheme="majorBidi" w:eastAsia="Times New Roman" w:hAnsiTheme="majorBidi" w:cstheme="majorBidi"/>
                <w:color w:val="000000"/>
                <w:sz w:val="20"/>
                <w:szCs w:val="20"/>
                <w14:ligatures w14:val="none"/>
              </w:rPr>
              <w:t>12</w:t>
            </w:r>
          </w:p>
        </w:tc>
        <w:tc>
          <w:tcPr>
            <w:tcW w:w="0" w:type="auto"/>
            <w:tcBorders>
              <w:top w:val="nil"/>
              <w:left w:val="nil"/>
              <w:bottom w:val="nil"/>
              <w:right w:val="nil"/>
            </w:tcBorders>
            <w:vAlign w:val="center"/>
          </w:tcPr>
          <w:p w14:paraId="560CC81B" w14:textId="77777777" w:rsidR="00595EB9" w:rsidRPr="00B14CC2" w:rsidRDefault="00595EB9" w:rsidP="00595EB9">
            <w:pPr>
              <w:spacing w:after="0" w:line="240" w:lineRule="auto"/>
              <w:jc w:val="center"/>
              <w:rPr>
                <w:rFonts w:asciiTheme="majorBidi" w:eastAsia="Times New Roman" w:hAnsiTheme="majorBidi" w:cstheme="majorBidi"/>
                <w:color w:val="000000"/>
                <w:sz w:val="20"/>
                <w:szCs w:val="20"/>
                <w14:ligatures w14:val="none"/>
              </w:rPr>
            </w:pPr>
            <w:r w:rsidRPr="00B14CC2">
              <w:rPr>
                <w:rFonts w:asciiTheme="majorBidi" w:eastAsia="Times New Roman" w:hAnsiTheme="majorBidi" w:cstheme="majorBidi"/>
                <w:color w:val="000000"/>
                <w:sz w:val="20"/>
                <w:szCs w:val="20"/>
                <w14:ligatures w14:val="none"/>
              </w:rPr>
              <w:t>60</w:t>
            </w:r>
          </w:p>
        </w:tc>
        <w:tc>
          <w:tcPr>
            <w:tcW w:w="0" w:type="auto"/>
            <w:tcBorders>
              <w:top w:val="nil"/>
              <w:left w:val="nil"/>
              <w:bottom w:val="nil"/>
              <w:right w:val="nil"/>
            </w:tcBorders>
          </w:tcPr>
          <w:p w14:paraId="436597FD" w14:textId="76CB083C" w:rsidR="00595EB9" w:rsidRPr="00B14CC2" w:rsidRDefault="00595EB9" w:rsidP="00595EB9">
            <w:pPr>
              <w:spacing w:after="0" w:line="240" w:lineRule="auto"/>
              <w:jc w:val="center"/>
              <w:rPr>
                <w:rFonts w:asciiTheme="majorBidi" w:eastAsia="Times New Roman" w:hAnsiTheme="majorBidi" w:cstheme="majorBidi"/>
                <w:color w:val="000000"/>
                <w:sz w:val="20"/>
                <w:szCs w:val="20"/>
                <w14:ligatures w14:val="none"/>
              </w:rPr>
            </w:pPr>
            <w:r w:rsidRPr="00BA3442">
              <w:rPr>
                <w:rFonts w:asciiTheme="majorBidi" w:eastAsia="Times New Roman" w:hAnsiTheme="majorBidi" w:cstheme="majorBidi"/>
                <w:color w:val="000000"/>
                <w:sz w:val="20"/>
                <w:szCs w:val="20"/>
                <w14:ligatures w14:val="none"/>
              </w:rPr>
              <w:t>2-MeTHF</w:t>
            </w:r>
          </w:p>
        </w:tc>
        <w:tc>
          <w:tcPr>
            <w:tcW w:w="0" w:type="auto"/>
            <w:tcBorders>
              <w:top w:val="nil"/>
              <w:left w:val="nil"/>
              <w:bottom w:val="nil"/>
            </w:tcBorders>
            <w:shd w:val="clear" w:color="auto" w:fill="auto"/>
            <w:noWrap/>
            <w:vAlign w:val="center"/>
          </w:tcPr>
          <w:p w14:paraId="2B849922" w14:textId="77777777" w:rsidR="00595EB9" w:rsidRPr="00B14CC2" w:rsidRDefault="00595EB9" w:rsidP="00595EB9">
            <w:pPr>
              <w:spacing w:after="0" w:line="240" w:lineRule="auto"/>
              <w:jc w:val="center"/>
              <w:rPr>
                <w:rFonts w:asciiTheme="majorBidi" w:eastAsia="Times New Roman" w:hAnsiTheme="majorBidi" w:cstheme="majorBidi"/>
                <w:color w:val="000000"/>
                <w:sz w:val="20"/>
                <w:szCs w:val="20"/>
                <w14:ligatures w14:val="none"/>
              </w:rPr>
            </w:pPr>
            <w:r w:rsidRPr="00B14CC2">
              <w:rPr>
                <w:rFonts w:asciiTheme="majorBidi" w:eastAsia="Times New Roman" w:hAnsiTheme="majorBidi" w:cstheme="majorBidi"/>
                <w:color w:val="000000"/>
                <w:sz w:val="20"/>
                <w:szCs w:val="20"/>
                <w14:ligatures w14:val="none"/>
              </w:rPr>
              <w:t>4</w:t>
            </w:r>
          </w:p>
        </w:tc>
        <w:tc>
          <w:tcPr>
            <w:tcW w:w="0" w:type="auto"/>
            <w:tcBorders>
              <w:top w:val="nil"/>
              <w:left w:val="nil"/>
              <w:bottom w:val="nil"/>
            </w:tcBorders>
            <w:shd w:val="clear" w:color="auto" w:fill="auto"/>
            <w:noWrap/>
            <w:vAlign w:val="center"/>
          </w:tcPr>
          <w:p w14:paraId="18F36720" w14:textId="77777777" w:rsidR="00595EB9" w:rsidRPr="00B14CC2" w:rsidRDefault="00595EB9" w:rsidP="00595EB9">
            <w:pPr>
              <w:spacing w:after="0" w:line="240" w:lineRule="auto"/>
              <w:jc w:val="center"/>
              <w:rPr>
                <w:rFonts w:asciiTheme="majorBidi" w:eastAsia="Times New Roman" w:hAnsiTheme="majorBidi" w:cstheme="majorBidi"/>
                <w:color w:val="000000"/>
                <w:sz w:val="20"/>
                <w:szCs w:val="20"/>
                <w14:ligatures w14:val="none"/>
              </w:rPr>
            </w:pPr>
            <w:r w:rsidRPr="00B14CC2">
              <w:rPr>
                <w:rFonts w:asciiTheme="majorBidi" w:hAnsiTheme="majorBidi" w:cstheme="majorBidi"/>
                <w:sz w:val="20"/>
                <w:szCs w:val="20"/>
              </w:rPr>
              <w:t>85</w:t>
            </w:r>
          </w:p>
        </w:tc>
        <w:tc>
          <w:tcPr>
            <w:tcW w:w="0" w:type="auto"/>
            <w:tcBorders>
              <w:top w:val="nil"/>
              <w:left w:val="nil"/>
              <w:bottom w:val="nil"/>
            </w:tcBorders>
            <w:shd w:val="clear" w:color="auto" w:fill="auto"/>
            <w:noWrap/>
            <w:vAlign w:val="center"/>
          </w:tcPr>
          <w:p w14:paraId="4CC7EBD3" w14:textId="77777777" w:rsidR="00595EB9" w:rsidRPr="00B14CC2" w:rsidRDefault="00595EB9" w:rsidP="00595EB9">
            <w:pPr>
              <w:spacing w:after="0" w:line="240" w:lineRule="auto"/>
              <w:jc w:val="center"/>
              <w:rPr>
                <w:rFonts w:asciiTheme="majorBidi" w:eastAsia="Times New Roman" w:hAnsiTheme="majorBidi" w:cstheme="majorBidi"/>
                <w:color w:val="000000"/>
                <w:sz w:val="20"/>
                <w:szCs w:val="20"/>
                <w14:ligatures w14:val="none"/>
              </w:rPr>
            </w:pPr>
            <w:r w:rsidRPr="00B14CC2">
              <w:rPr>
                <w:rFonts w:asciiTheme="majorBidi" w:hAnsiTheme="majorBidi" w:cstheme="majorBidi"/>
                <w:sz w:val="20"/>
                <w:szCs w:val="20"/>
              </w:rPr>
              <w:t>38</w:t>
            </w:r>
          </w:p>
        </w:tc>
        <w:tc>
          <w:tcPr>
            <w:tcW w:w="0" w:type="auto"/>
            <w:tcBorders>
              <w:top w:val="nil"/>
              <w:left w:val="nil"/>
              <w:bottom w:val="nil"/>
            </w:tcBorders>
            <w:shd w:val="clear" w:color="auto" w:fill="auto"/>
            <w:noWrap/>
            <w:vAlign w:val="center"/>
          </w:tcPr>
          <w:p w14:paraId="2CAED625" w14:textId="77777777" w:rsidR="00595EB9" w:rsidRPr="00B14CC2" w:rsidRDefault="00595EB9" w:rsidP="00595EB9">
            <w:pPr>
              <w:spacing w:after="0" w:line="240" w:lineRule="auto"/>
              <w:jc w:val="center"/>
              <w:rPr>
                <w:rFonts w:asciiTheme="majorBidi" w:eastAsia="Times New Roman" w:hAnsiTheme="majorBidi" w:cstheme="majorBidi"/>
                <w:color w:val="000000"/>
                <w:sz w:val="20"/>
                <w:szCs w:val="20"/>
                <w14:ligatures w14:val="none"/>
              </w:rPr>
            </w:pPr>
            <w:r w:rsidRPr="00B14CC2">
              <w:rPr>
                <w:rFonts w:asciiTheme="majorBidi" w:hAnsiTheme="majorBidi" w:cstheme="majorBidi"/>
                <w:sz w:val="20"/>
                <w:szCs w:val="20"/>
              </w:rPr>
              <w:t>62</w:t>
            </w:r>
          </w:p>
        </w:tc>
        <w:tc>
          <w:tcPr>
            <w:tcW w:w="0" w:type="auto"/>
            <w:tcBorders>
              <w:top w:val="nil"/>
              <w:left w:val="nil"/>
              <w:bottom w:val="nil"/>
            </w:tcBorders>
            <w:shd w:val="clear" w:color="auto" w:fill="auto"/>
            <w:vAlign w:val="center"/>
          </w:tcPr>
          <w:p w14:paraId="4A5A10C6" w14:textId="77777777" w:rsidR="00595EB9" w:rsidRPr="00B14CC2" w:rsidRDefault="00595EB9" w:rsidP="00595EB9">
            <w:pPr>
              <w:spacing w:after="0" w:line="240" w:lineRule="auto"/>
              <w:jc w:val="center"/>
              <w:rPr>
                <w:rFonts w:asciiTheme="majorBidi" w:eastAsia="Times New Roman" w:hAnsiTheme="majorBidi" w:cstheme="majorBidi"/>
                <w:color w:val="000000"/>
                <w:sz w:val="20"/>
                <w:szCs w:val="20"/>
                <w14:ligatures w14:val="none"/>
              </w:rPr>
            </w:pPr>
            <w:r w:rsidRPr="00B14CC2">
              <w:rPr>
                <w:rFonts w:asciiTheme="majorBidi" w:hAnsiTheme="majorBidi" w:cstheme="majorBidi"/>
                <w:sz w:val="20"/>
                <w:szCs w:val="20"/>
              </w:rPr>
              <w:t>33</w:t>
            </w:r>
          </w:p>
        </w:tc>
      </w:tr>
      <w:tr w:rsidR="00595EB9" w:rsidRPr="00B14CC2" w14:paraId="48C48818" w14:textId="77777777" w:rsidTr="00451512">
        <w:trPr>
          <w:trHeight w:val="300"/>
          <w:jc w:val="center"/>
        </w:trPr>
        <w:tc>
          <w:tcPr>
            <w:tcW w:w="0" w:type="auto"/>
            <w:tcBorders>
              <w:top w:val="nil"/>
              <w:bottom w:val="nil"/>
            </w:tcBorders>
            <w:shd w:val="clear" w:color="auto" w:fill="auto"/>
            <w:noWrap/>
            <w:vAlign w:val="center"/>
          </w:tcPr>
          <w:p w14:paraId="176E3D6A" w14:textId="77777777" w:rsidR="00595EB9" w:rsidRPr="00B14CC2" w:rsidRDefault="00595EB9" w:rsidP="00595EB9">
            <w:pPr>
              <w:spacing w:after="0" w:line="240" w:lineRule="auto"/>
              <w:jc w:val="center"/>
              <w:rPr>
                <w:rFonts w:asciiTheme="majorBidi" w:eastAsia="Times New Roman" w:hAnsiTheme="majorBidi" w:cstheme="majorBidi"/>
                <w:color w:val="000000"/>
                <w:sz w:val="20"/>
                <w:szCs w:val="20"/>
                <w14:ligatures w14:val="none"/>
              </w:rPr>
            </w:pPr>
            <w:r w:rsidRPr="00B14CC2">
              <w:rPr>
                <w:rFonts w:asciiTheme="majorBidi" w:eastAsia="Times New Roman" w:hAnsiTheme="majorBidi" w:cstheme="majorBidi"/>
                <w:color w:val="000000"/>
                <w:sz w:val="20"/>
                <w:szCs w:val="20"/>
                <w14:ligatures w14:val="none"/>
              </w:rPr>
              <w:t>4</w:t>
            </w:r>
          </w:p>
        </w:tc>
        <w:tc>
          <w:tcPr>
            <w:tcW w:w="0" w:type="auto"/>
            <w:tcBorders>
              <w:top w:val="nil"/>
              <w:left w:val="nil"/>
              <w:bottom w:val="nil"/>
            </w:tcBorders>
            <w:shd w:val="clear" w:color="auto" w:fill="auto"/>
            <w:vAlign w:val="center"/>
          </w:tcPr>
          <w:p w14:paraId="7B36CA12" w14:textId="77777777" w:rsidR="00595EB9" w:rsidRPr="00B14CC2" w:rsidRDefault="00595EB9" w:rsidP="00595EB9">
            <w:pPr>
              <w:spacing w:after="0" w:line="240" w:lineRule="auto"/>
              <w:jc w:val="center"/>
              <w:rPr>
                <w:rFonts w:asciiTheme="majorBidi" w:eastAsia="Times New Roman" w:hAnsiTheme="majorBidi" w:cstheme="majorBidi"/>
                <w:color w:val="000000"/>
                <w:sz w:val="20"/>
                <w:szCs w:val="20"/>
                <w14:ligatures w14:val="none"/>
              </w:rPr>
            </w:pPr>
            <w:r w:rsidRPr="00B14CC2">
              <w:rPr>
                <w:rFonts w:asciiTheme="majorBidi" w:eastAsia="Times New Roman" w:hAnsiTheme="majorBidi" w:cstheme="majorBidi"/>
                <w:color w:val="000000"/>
                <w:sz w:val="20"/>
                <w:szCs w:val="20"/>
                <w14:ligatures w14:val="none"/>
              </w:rPr>
              <w:t>12</w:t>
            </w:r>
          </w:p>
        </w:tc>
        <w:tc>
          <w:tcPr>
            <w:tcW w:w="0" w:type="auto"/>
            <w:tcBorders>
              <w:top w:val="nil"/>
              <w:left w:val="nil"/>
              <w:bottom w:val="nil"/>
              <w:right w:val="nil"/>
            </w:tcBorders>
            <w:vAlign w:val="center"/>
          </w:tcPr>
          <w:p w14:paraId="7FF30813" w14:textId="77777777" w:rsidR="00595EB9" w:rsidRPr="00B14CC2" w:rsidRDefault="00595EB9" w:rsidP="00595EB9">
            <w:pPr>
              <w:spacing w:after="0" w:line="240" w:lineRule="auto"/>
              <w:jc w:val="center"/>
              <w:rPr>
                <w:rFonts w:asciiTheme="majorBidi" w:eastAsia="Times New Roman" w:hAnsiTheme="majorBidi" w:cstheme="majorBidi"/>
                <w:color w:val="000000"/>
                <w:sz w:val="20"/>
                <w:szCs w:val="20"/>
                <w14:ligatures w14:val="none"/>
              </w:rPr>
            </w:pPr>
            <w:r w:rsidRPr="00B14CC2">
              <w:rPr>
                <w:rFonts w:asciiTheme="majorBidi" w:eastAsia="Times New Roman" w:hAnsiTheme="majorBidi" w:cstheme="majorBidi"/>
                <w:color w:val="000000"/>
                <w:sz w:val="20"/>
                <w:szCs w:val="20"/>
                <w14:ligatures w14:val="none"/>
              </w:rPr>
              <w:t>60</w:t>
            </w:r>
          </w:p>
        </w:tc>
        <w:tc>
          <w:tcPr>
            <w:tcW w:w="0" w:type="auto"/>
            <w:tcBorders>
              <w:top w:val="nil"/>
              <w:left w:val="nil"/>
              <w:bottom w:val="nil"/>
              <w:right w:val="nil"/>
            </w:tcBorders>
          </w:tcPr>
          <w:p w14:paraId="2989C4B4" w14:textId="2644A8FC" w:rsidR="00595EB9" w:rsidRPr="00B14CC2" w:rsidRDefault="00595EB9" w:rsidP="00595EB9">
            <w:pPr>
              <w:spacing w:after="0" w:line="240" w:lineRule="auto"/>
              <w:jc w:val="center"/>
              <w:rPr>
                <w:rFonts w:asciiTheme="majorBidi" w:eastAsia="Times New Roman" w:hAnsiTheme="majorBidi" w:cstheme="majorBidi"/>
                <w:color w:val="000000"/>
                <w:sz w:val="20"/>
                <w:szCs w:val="20"/>
                <w14:ligatures w14:val="none"/>
              </w:rPr>
            </w:pPr>
            <w:r w:rsidRPr="00BA3442">
              <w:rPr>
                <w:rFonts w:asciiTheme="majorBidi" w:eastAsia="Times New Roman" w:hAnsiTheme="majorBidi" w:cstheme="majorBidi"/>
                <w:color w:val="000000"/>
                <w:sz w:val="20"/>
                <w:szCs w:val="20"/>
                <w14:ligatures w14:val="none"/>
              </w:rPr>
              <w:t>2-MeTHF</w:t>
            </w:r>
          </w:p>
        </w:tc>
        <w:tc>
          <w:tcPr>
            <w:tcW w:w="0" w:type="auto"/>
            <w:tcBorders>
              <w:top w:val="nil"/>
              <w:left w:val="nil"/>
              <w:bottom w:val="nil"/>
            </w:tcBorders>
            <w:shd w:val="clear" w:color="auto" w:fill="auto"/>
            <w:noWrap/>
            <w:vAlign w:val="center"/>
          </w:tcPr>
          <w:p w14:paraId="254BF45A" w14:textId="77777777" w:rsidR="00595EB9" w:rsidRPr="00B14CC2" w:rsidRDefault="00595EB9" w:rsidP="00595EB9">
            <w:pPr>
              <w:spacing w:after="0" w:line="240" w:lineRule="auto"/>
              <w:jc w:val="center"/>
              <w:rPr>
                <w:rFonts w:asciiTheme="majorBidi" w:eastAsia="Times New Roman" w:hAnsiTheme="majorBidi" w:cstheme="majorBidi"/>
                <w:color w:val="000000"/>
                <w:sz w:val="20"/>
                <w:szCs w:val="20"/>
                <w14:ligatures w14:val="none"/>
              </w:rPr>
            </w:pPr>
            <w:r w:rsidRPr="00B14CC2">
              <w:rPr>
                <w:rFonts w:asciiTheme="majorBidi" w:eastAsia="Times New Roman" w:hAnsiTheme="majorBidi" w:cstheme="majorBidi"/>
                <w:color w:val="000000"/>
                <w:sz w:val="20"/>
                <w:szCs w:val="20"/>
                <w14:ligatures w14:val="none"/>
              </w:rPr>
              <w:t>6</w:t>
            </w:r>
          </w:p>
        </w:tc>
        <w:tc>
          <w:tcPr>
            <w:tcW w:w="0" w:type="auto"/>
            <w:tcBorders>
              <w:top w:val="nil"/>
              <w:left w:val="nil"/>
              <w:bottom w:val="nil"/>
            </w:tcBorders>
            <w:shd w:val="clear" w:color="auto" w:fill="auto"/>
            <w:noWrap/>
            <w:vAlign w:val="center"/>
          </w:tcPr>
          <w:p w14:paraId="6DE9D4B1" w14:textId="77777777" w:rsidR="00595EB9" w:rsidRPr="00B14CC2" w:rsidRDefault="00595EB9" w:rsidP="00595EB9">
            <w:pPr>
              <w:spacing w:after="0" w:line="240" w:lineRule="auto"/>
              <w:jc w:val="center"/>
              <w:rPr>
                <w:rFonts w:asciiTheme="majorBidi" w:eastAsia="Times New Roman" w:hAnsiTheme="majorBidi" w:cstheme="majorBidi"/>
                <w:color w:val="000000"/>
                <w:sz w:val="20"/>
                <w:szCs w:val="20"/>
                <w14:ligatures w14:val="none"/>
              </w:rPr>
            </w:pPr>
            <w:r w:rsidRPr="00B14CC2">
              <w:rPr>
                <w:rFonts w:asciiTheme="majorBidi" w:hAnsiTheme="majorBidi" w:cstheme="majorBidi"/>
                <w:sz w:val="20"/>
                <w:szCs w:val="20"/>
              </w:rPr>
              <w:t>93</w:t>
            </w:r>
          </w:p>
        </w:tc>
        <w:tc>
          <w:tcPr>
            <w:tcW w:w="0" w:type="auto"/>
            <w:tcBorders>
              <w:top w:val="nil"/>
              <w:left w:val="nil"/>
              <w:bottom w:val="nil"/>
            </w:tcBorders>
            <w:shd w:val="clear" w:color="auto" w:fill="auto"/>
            <w:noWrap/>
            <w:vAlign w:val="center"/>
          </w:tcPr>
          <w:p w14:paraId="3E918CC0" w14:textId="77777777" w:rsidR="00595EB9" w:rsidRPr="00B14CC2" w:rsidRDefault="00595EB9" w:rsidP="00595EB9">
            <w:pPr>
              <w:spacing w:after="0" w:line="240" w:lineRule="auto"/>
              <w:jc w:val="center"/>
              <w:rPr>
                <w:rFonts w:asciiTheme="majorBidi" w:eastAsia="Times New Roman" w:hAnsiTheme="majorBidi" w:cstheme="majorBidi"/>
                <w:color w:val="000000"/>
                <w:sz w:val="20"/>
                <w:szCs w:val="20"/>
                <w14:ligatures w14:val="none"/>
              </w:rPr>
            </w:pPr>
            <w:r w:rsidRPr="00B14CC2">
              <w:rPr>
                <w:rFonts w:asciiTheme="majorBidi" w:hAnsiTheme="majorBidi" w:cstheme="majorBidi"/>
                <w:sz w:val="20"/>
                <w:szCs w:val="20"/>
              </w:rPr>
              <w:t>46</w:t>
            </w:r>
          </w:p>
        </w:tc>
        <w:tc>
          <w:tcPr>
            <w:tcW w:w="0" w:type="auto"/>
            <w:tcBorders>
              <w:top w:val="nil"/>
              <w:left w:val="nil"/>
              <w:bottom w:val="nil"/>
            </w:tcBorders>
            <w:shd w:val="clear" w:color="auto" w:fill="auto"/>
            <w:noWrap/>
            <w:vAlign w:val="center"/>
          </w:tcPr>
          <w:p w14:paraId="70D184BA" w14:textId="77777777" w:rsidR="00595EB9" w:rsidRPr="00B14CC2" w:rsidRDefault="00595EB9" w:rsidP="00595EB9">
            <w:pPr>
              <w:spacing w:after="0" w:line="240" w:lineRule="auto"/>
              <w:jc w:val="center"/>
              <w:rPr>
                <w:rFonts w:asciiTheme="majorBidi" w:eastAsia="Times New Roman" w:hAnsiTheme="majorBidi" w:cstheme="majorBidi"/>
                <w:color w:val="000000"/>
                <w:sz w:val="20"/>
                <w:szCs w:val="20"/>
                <w14:ligatures w14:val="none"/>
              </w:rPr>
            </w:pPr>
            <w:r w:rsidRPr="00B14CC2">
              <w:rPr>
                <w:rFonts w:asciiTheme="majorBidi" w:hAnsiTheme="majorBidi" w:cstheme="majorBidi"/>
                <w:sz w:val="20"/>
                <w:szCs w:val="20"/>
              </w:rPr>
              <w:t>54</w:t>
            </w:r>
          </w:p>
        </w:tc>
        <w:tc>
          <w:tcPr>
            <w:tcW w:w="0" w:type="auto"/>
            <w:tcBorders>
              <w:top w:val="nil"/>
              <w:left w:val="nil"/>
              <w:bottom w:val="nil"/>
            </w:tcBorders>
            <w:shd w:val="clear" w:color="auto" w:fill="auto"/>
            <w:vAlign w:val="center"/>
          </w:tcPr>
          <w:p w14:paraId="30DDD1C0" w14:textId="77777777" w:rsidR="00595EB9" w:rsidRPr="00B14CC2" w:rsidRDefault="00595EB9" w:rsidP="00595EB9">
            <w:pPr>
              <w:spacing w:after="0" w:line="240" w:lineRule="auto"/>
              <w:jc w:val="center"/>
              <w:rPr>
                <w:rFonts w:asciiTheme="majorBidi" w:eastAsia="Times New Roman" w:hAnsiTheme="majorBidi" w:cstheme="majorBidi"/>
                <w:color w:val="000000"/>
                <w:sz w:val="20"/>
                <w:szCs w:val="20"/>
                <w14:ligatures w14:val="none"/>
              </w:rPr>
            </w:pPr>
            <w:r w:rsidRPr="00B14CC2">
              <w:rPr>
                <w:rFonts w:asciiTheme="majorBidi" w:hAnsiTheme="majorBidi" w:cstheme="majorBidi"/>
                <w:sz w:val="20"/>
                <w:szCs w:val="20"/>
              </w:rPr>
              <w:t>43</w:t>
            </w:r>
          </w:p>
        </w:tc>
      </w:tr>
      <w:tr w:rsidR="00595EB9" w:rsidRPr="00B14CC2" w14:paraId="6CCF8534" w14:textId="77777777" w:rsidTr="00451512">
        <w:trPr>
          <w:trHeight w:val="300"/>
          <w:jc w:val="center"/>
        </w:trPr>
        <w:tc>
          <w:tcPr>
            <w:tcW w:w="0" w:type="auto"/>
            <w:tcBorders>
              <w:top w:val="nil"/>
              <w:bottom w:val="nil"/>
            </w:tcBorders>
            <w:shd w:val="clear" w:color="auto" w:fill="auto"/>
            <w:noWrap/>
            <w:vAlign w:val="center"/>
          </w:tcPr>
          <w:p w14:paraId="36A5D64A" w14:textId="77777777" w:rsidR="00595EB9" w:rsidRPr="00B14CC2" w:rsidRDefault="00595EB9" w:rsidP="00595EB9">
            <w:pPr>
              <w:spacing w:after="0" w:line="240" w:lineRule="auto"/>
              <w:jc w:val="center"/>
              <w:rPr>
                <w:rFonts w:asciiTheme="majorBidi" w:eastAsia="Times New Roman" w:hAnsiTheme="majorBidi" w:cstheme="majorBidi"/>
                <w:color w:val="000000"/>
                <w:sz w:val="20"/>
                <w:szCs w:val="20"/>
                <w14:ligatures w14:val="none"/>
              </w:rPr>
            </w:pPr>
            <w:r w:rsidRPr="00B14CC2">
              <w:rPr>
                <w:rFonts w:asciiTheme="majorBidi" w:eastAsia="Times New Roman" w:hAnsiTheme="majorBidi" w:cstheme="majorBidi"/>
                <w:color w:val="000000"/>
                <w:sz w:val="20"/>
                <w:szCs w:val="20"/>
                <w14:ligatures w14:val="none"/>
              </w:rPr>
              <w:t>5</w:t>
            </w:r>
          </w:p>
        </w:tc>
        <w:tc>
          <w:tcPr>
            <w:tcW w:w="0" w:type="auto"/>
            <w:tcBorders>
              <w:top w:val="nil"/>
              <w:left w:val="nil"/>
              <w:bottom w:val="nil"/>
            </w:tcBorders>
            <w:shd w:val="clear" w:color="auto" w:fill="auto"/>
            <w:vAlign w:val="center"/>
          </w:tcPr>
          <w:p w14:paraId="131A98FF" w14:textId="77777777" w:rsidR="00595EB9" w:rsidRPr="00B14CC2" w:rsidRDefault="00595EB9" w:rsidP="00595EB9">
            <w:pPr>
              <w:spacing w:after="0" w:line="240" w:lineRule="auto"/>
              <w:jc w:val="center"/>
              <w:rPr>
                <w:rFonts w:asciiTheme="majorBidi" w:eastAsia="Times New Roman" w:hAnsiTheme="majorBidi" w:cstheme="majorBidi"/>
                <w:sz w:val="20"/>
                <w:szCs w:val="20"/>
                <w14:ligatures w14:val="none"/>
              </w:rPr>
            </w:pPr>
            <w:r w:rsidRPr="00B14CC2">
              <w:rPr>
                <w:rFonts w:asciiTheme="majorBidi" w:eastAsia="Times New Roman" w:hAnsiTheme="majorBidi" w:cstheme="majorBidi"/>
                <w:color w:val="000000"/>
                <w:sz w:val="20"/>
                <w:szCs w:val="20"/>
                <w14:ligatures w14:val="none"/>
              </w:rPr>
              <w:t>24</w:t>
            </w:r>
          </w:p>
        </w:tc>
        <w:tc>
          <w:tcPr>
            <w:tcW w:w="0" w:type="auto"/>
            <w:tcBorders>
              <w:top w:val="nil"/>
              <w:left w:val="nil"/>
              <w:bottom w:val="nil"/>
              <w:right w:val="nil"/>
            </w:tcBorders>
            <w:vAlign w:val="center"/>
          </w:tcPr>
          <w:p w14:paraId="7E6C2661" w14:textId="77777777" w:rsidR="00595EB9" w:rsidRPr="00B14CC2" w:rsidRDefault="00595EB9" w:rsidP="00595EB9">
            <w:pPr>
              <w:spacing w:after="0" w:line="240" w:lineRule="auto"/>
              <w:jc w:val="center"/>
              <w:rPr>
                <w:rFonts w:asciiTheme="majorBidi" w:eastAsia="Times New Roman" w:hAnsiTheme="majorBidi" w:cstheme="majorBidi"/>
                <w:color w:val="000000"/>
                <w:sz w:val="20"/>
                <w:szCs w:val="20"/>
                <w14:ligatures w14:val="none"/>
              </w:rPr>
            </w:pPr>
            <w:r w:rsidRPr="00B14CC2">
              <w:rPr>
                <w:rFonts w:asciiTheme="majorBidi" w:eastAsia="Times New Roman" w:hAnsiTheme="majorBidi" w:cstheme="majorBidi"/>
                <w:color w:val="000000"/>
                <w:sz w:val="20"/>
                <w:szCs w:val="20"/>
                <w14:ligatures w14:val="none"/>
              </w:rPr>
              <w:t>60</w:t>
            </w:r>
          </w:p>
        </w:tc>
        <w:tc>
          <w:tcPr>
            <w:tcW w:w="0" w:type="auto"/>
            <w:tcBorders>
              <w:top w:val="nil"/>
              <w:left w:val="nil"/>
              <w:bottom w:val="nil"/>
              <w:right w:val="nil"/>
            </w:tcBorders>
          </w:tcPr>
          <w:p w14:paraId="16095CD7" w14:textId="5519A398" w:rsidR="00595EB9" w:rsidRPr="00B14CC2" w:rsidRDefault="00595EB9" w:rsidP="00595EB9">
            <w:pPr>
              <w:spacing w:after="0" w:line="240" w:lineRule="auto"/>
              <w:jc w:val="center"/>
              <w:rPr>
                <w:rFonts w:asciiTheme="majorBidi" w:eastAsia="Times New Roman" w:hAnsiTheme="majorBidi" w:cstheme="majorBidi"/>
                <w:color w:val="000000"/>
                <w:sz w:val="20"/>
                <w:szCs w:val="20"/>
                <w14:ligatures w14:val="none"/>
              </w:rPr>
            </w:pPr>
            <w:r w:rsidRPr="00BA3442">
              <w:rPr>
                <w:rFonts w:asciiTheme="majorBidi" w:eastAsia="Times New Roman" w:hAnsiTheme="majorBidi" w:cstheme="majorBidi"/>
                <w:color w:val="000000"/>
                <w:sz w:val="20"/>
                <w:szCs w:val="20"/>
                <w14:ligatures w14:val="none"/>
              </w:rPr>
              <w:t>2-MeTHF</w:t>
            </w:r>
          </w:p>
        </w:tc>
        <w:tc>
          <w:tcPr>
            <w:tcW w:w="0" w:type="auto"/>
            <w:tcBorders>
              <w:top w:val="nil"/>
              <w:left w:val="nil"/>
              <w:bottom w:val="nil"/>
            </w:tcBorders>
            <w:shd w:val="clear" w:color="auto" w:fill="auto"/>
            <w:noWrap/>
            <w:vAlign w:val="center"/>
          </w:tcPr>
          <w:p w14:paraId="003B527E" w14:textId="77777777" w:rsidR="00595EB9" w:rsidRPr="00B14CC2" w:rsidRDefault="00595EB9" w:rsidP="00595EB9">
            <w:pPr>
              <w:spacing w:after="0" w:line="240" w:lineRule="auto"/>
              <w:jc w:val="center"/>
              <w:rPr>
                <w:rFonts w:asciiTheme="majorBidi" w:eastAsia="Times New Roman" w:hAnsiTheme="majorBidi" w:cstheme="majorBidi"/>
                <w:sz w:val="20"/>
                <w:szCs w:val="20"/>
                <w14:ligatures w14:val="none"/>
              </w:rPr>
            </w:pPr>
            <w:r w:rsidRPr="00B14CC2">
              <w:rPr>
                <w:rFonts w:asciiTheme="majorBidi" w:eastAsia="Times New Roman" w:hAnsiTheme="majorBidi" w:cstheme="majorBidi"/>
                <w:color w:val="000000"/>
                <w:sz w:val="20"/>
                <w:szCs w:val="20"/>
                <w14:ligatures w14:val="none"/>
              </w:rPr>
              <w:t>2.4</w:t>
            </w:r>
          </w:p>
        </w:tc>
        <w:tc>
          <w:tcPr>
            <w:tcW w:w="0" w:type="auto"/>
            <w:tcBorders>
              <w:top w:val="nil"/>
              <w:left w:val="nil"/>
              <w:bottom w:val="nil"/>
            </w:tcBorders>
            <w:shd w:val="clear" w:color="auto" w:fill="auto"/>
            <w:noWrap/>
            <w:vAlign w:val="center"/>
          </w:tcPr>
          <w:p w14:paraId="7ED84997" w14:textId="77777777" w:rsidR="00595EB9" w:rsidRPr="00B14CC2" w:rsidRDefault="00595EB9" w:rsidP="00595EB9">
            <w:pPr>
              <w:spacing w:after="0" w:line="240" w:lineRule="auto"/>
              <w:jc w:val="center"/>
              <w:rPr>
                <w:rFonts w:asciiTheme="majorBidi" w:eastAsia="Times New Roman" w:hAnsiTheme="majorBidi" w:cstheme="majorBidi"/>
                <w:sz w:val="20"/>
                <w:szCs w:val="20"/>
                <w14:ligatures w14:val="none"/>
              </w:rPr>
            </w:pPr>
            <w:r w:rsidRPr="00B14CC2">
              <w:rPr>
                <w:rFonts w:asciiTheme="majorBidi" w:hAnsiTheme="majorBidi" w:cstheme="majorBidi"/>
                <w:sz w:val="20"/>
                <w:szCs w:val="20"/>
              </w:rPr>
              <w:t>84</w:t>
            </w:r>
          </w:p>
        </w:tc>
        <w:tc>
          <w:tcPr>
            <w:tcW w:w="0" w:type="auto"/>
            <w:tcBorders>
              <w:top w:val="nil"/>
              <w:left w:val="nil"/>
              <w:bottom w:val="nil"/>
            </w:tcBorders>
            <w:shd w:val="clear" w:color="auto" w:fill="auto"/>
            <w:noWrap/>
            <w:vAlign w:val="center"/>
          </w:tcPr>
          <w:p w14:paraId="4A8C314C" w14:textId="77777777" w:rsidR="00595EB9" w:rsidRPr="00B14CC2" w:rsidRDefault="00595EB9" w:rsidP="00595EB9">
            <w:pPr>
              <w:spacing w:after="0" w:line="240" w:lineRule="auto"/>
              <w:jc w:val="center"/>
              <w:rPr>
                <w:rFonts w:asciiTheme="majorBidi" w:eastAsia="Times New Roman" w:hAnsiTheme="majorBidi" w:cstheme="majorBidi"/>
                <w:sz w:val="20"/>
                <w:szCs w:val="20"/>
                <w14:ligatures w14:val="none"/>
              </w:rPr>
            </w:pPr>
            <w:r w:rsidRPr="00B14CC2">
              <w:rPr>
                <w:rFonts w:asciiTheme="majorBidi" w:hAnsiTheme="majorBidi" w:cstheme="majorBidi"/>
                <w:sz w:val="20"/>
                <w:szCs w:val="20"/>
              </w:rPr>
              <w:t>38</w:t>
            </w:r>
          </w:p>
        </w:tc>
        <w:tc>
          <w:tcPr>
            <w:tcW w:w="0" w:type="auto"/>
            <w:tcBorders>
              <w:top w:val="nil"/>
              <w:left w:val="nil"/>
              <w:bottom w:val="nil"/>
            </w:tcBorders>
            <w:shd w:val="clear" w:color="auto" w:fill="auto"/>
            <w:noWrap/>
            <w:vAlign w:val="center"/>
          </w:tcPr>
          <w:p w14:paraId="7F4C1A2E" w14:textId="77777777" w:rsidR="00595EB9" w:rsidRPr="00B14CC2" w:rsidRDefault="00595EB9" w:rsidP="00595EB9">
            <w:pPr>
              <w:spacing w:after="0" w:line="240" w:lineRule="auto"/>
              <w:jc w:val="center"/>
              <w:rPr>
                <w:rFonts w:asciiTheme="majorBidi" w:eastAsia="Times New Roman" w:hAnsiTheme="majorBidi" w:cstheme="majorBidi"/>
                <w:sz w:val="20"/>
                <w:szCs w:val="20"/>
                <w14:ligatures w14:val="none"/>
              </w:rPr>
            </w:pPr>
            <w:r w:rsidRPr="00B14CC2">
              <w:rPr>
                <w:rFonts w:asciiTheme="majorBidi" w:hAnsiTheme="majorBidi" w:cstheme="majorBidi"/>
                <w:sz w:val="20"/>
                <w:szCs w:val="20"/>
              </w:rPr>
              <w:t>62</w:t>
            </w:r>
          </w:p>
        </w:tc>
        <w:tc>
          <w:tcPr>
            <w:tcW w:w="0" w:type="auto"/>
            <w:tcBorders>
              <w:top w:val="nil"/>
              <w:left w:val="nil"/>
              <w:bottom w:val="nil"/>
            </w:tcBorders>
            <w:shd w:val="clear" w:color="auto" w:fill="auto"/>
            <w:vAlign w:val="center"/>
          </w:tcPr>
          <w:p w14:paraId="2595544B" w14:textId="77777777" w:rsidR="00595EB9" w:rsidRPr="00B14CC2" w:rsidRDefault="00595EB9" w:rsidP="00595EB9">
            <w:pPr>
              <w:spacing w:after="0" w:line="240" w:lineRule="auto"/>
              <w:jc w:val="center"/>
              <w:rPr>
                <w:rFonts w:asciiTheme="majorBidi" w:eastAsia="Times New Roman" w:hAnsiTheme="majorBidi" w:cstheme="majorBidi"/>
                <w:color w:val="000000"/>
                <w:sz w:val="20"/>
                <w:szCs w:val="20"/>
                <w14:ligatures w14:val="none"/>
              </w:rPr>
            </w:pPr>
            <w:r w:rsidRPr="00B14CC2">
              <w:rPr>
                <w:rFonts w:asciiTheme="majorBidi" w:hAnsiTheme="majorBidi" w:cstheme="majorBidi"/>
                <w:sz w:val="20"/>
                <w:szCs w:val="20"/>
              </w:rPr>
              <w:t>32</w:t>
            </w:r>
          </w:p>
        </w:tc>
      </w:tr>
      <w:tr w:rsidR="00595EB9" w:rsidRPr="00B14CC2" w14:paraId="2247BB96" w14:textId="77777777" w:rsidTr="008B0600">
        <w:trPr>
          <w:trHeight w:val="300"/>
          <w:jc w:val="center"/>
        </w:trPr>
        <w:tc>
          <w:tcPr>
            <w:tcW w:w="0" w:type="auto"/>
            <w:tcBorders>
              <w:top w:val="nil"/>
              <w:bottom w:val="single" w:sz="4" w:space="0" w:color="auto"/>
            </w:tcBorders>
            <w:shd w:val="clear" w:color="auto" w:fill="auto"/>
            <w:noWrap/>
            <w:vAlign w:val="center"/>
          </w:tcPr>
          <w:p w14:paraId="7036126D" w14:textId="77777777" w:rsidR="00595EB9" w:rsidRPr="00B14CC2" w:rsidRDefault="00595EB9" w:rsidP="00595EB9">
            <w:pPr>
              <w:spacing w:after="0" w:line="240" w:lineRule="auto"/>
              <w:jc w:val="center"/>
              <w:rPr>
                <w:rFonts w:asciiTheme="majorBidi" w:eastAsia="Times New Roman" w:hAnsiTheme="majorBidi" w:cstheme="majorBidi"/>
                <w:color w:val="000000"/>
                <w:sz w:val="20"/>
                <w:szCs w:val="20"/>
                <w14:ligatures w14:val="none"/>
              </w:rPr>
            </w:pPr>
            <w:r w:rsidRPr="00B14CC2">
              <w:rPr>
                <w:rFonts w:asciiTheme="majorBidi" w:eastAsia="Times New Roman" w:hAnsiTheme="majorBidi" w:cstheme="majorBidi"/>
                <w:color w:val="000000"/>
                <w:sz w:val="20"/>
                <w:szCs w:val="20"/>
                <w14:ligatures w14:val="none"/>
              </w:rPr>
              <w:t>6</w:t>
            </w:r>
          </w:p>
        </w:tc>
        <w:tc>
          <w:tcPr>
            <w:tcW w:w="0" w:type="auto"/>
            <w:tcBorders>
              <w:top w:val="nil"/>
              <w:left w:val="nil"/>
              <w:bottom w:val="single" w:sz="4" w:space="0" w:color="auto"/>
            </w:tcBorders>
            <w:shd w:val="clear" w:color="auto" w:fill="auto"/>
            <w:vAlign w:val="center"/>
          </w:tcPr>
          <w:p w14:paraId="656DC739" w14:textId="77777777" w:rsidR="00595EB9" w:rsidRPr="00B14CC2" w:rsidRDefault="00595EB9" w:rsidP="00595EB9">
            <w:pPr>
              <w:spacing w:after="0" w:line="240" w:lineRule="auto"/>
              <w:jc w:val="center"/>
              <w:rPr>
                <w:rFonts w:asciiTheme="majorBidi" w:eastAsia="Times New Roman" w:hAnsiTheme="majorBidi" w:cstheme="majorBidi"/>
                <w:sz w:val="20"/>
                <w:szCs w:val="20"/>
                <w14:ligatures w14:val="none"/>
              </w:rPr>
            </w:pPr>
            <w:r w:rsidRPr="00B14CC2">
              <w:rPr>
                <w:rFonts w:asciiTheme="majorBidi" w:eastAsia="Times New Roman" w:hAnsiTheme="majorBidi" w:cstheme="majorBidi"/>
                <w:color w:val="000000"/>
                <w:sz w:val="20"/>
                <w:szCs w:val="20"/>
                <w14:ligatures w14:val="none"/>
              </w:rPr>
              <w:t>24</w:t>
            </w:r>
          </w:p>
        </w:tc>
        <w:tc>
          <w:tcPr>
            <w:tcW w:w="0" w:type="auto"/>
            <w:tcBorders>
              <w:top w:val="nil"/>
              <w:left w:val="nil"/>
              <w:bottom w:val="single" w:sz="4" w:space="0" w:color="auto"/>
              <w:right w:val="nil"/>
            </w:tcBorders>
            <w:vAlign w:val="center"/>
          </w:tcPr>
          <w:p w14:paraId="3F80B7A3" w14:textId="77777777" w:rsidR="00595EB9" w:rsidRPr="00B14CC2" w:rsidRDefault="00595EB9" w:rsidP="00595EB9">
            <w:pPr>
              <w:spacing w:after="0" w:line="240" w:lineRule="auto"/>
              <w:jc w:val="center"/>
              <w:rPr>
                <w:rFonts w:asciiTheme="majorBidi" w:eastAsia="Times New Roman" w:hAnsiTheme="majorBidi" w:cstheme="majorBidi"/>
                <w:color w:val="000000"/>
                <w:sz w:val="20"/>
                <w:szCs w:val="20"/>
                <w14:ligatures w14:val="none"/>
              </w:rPr>
            </w:pPr>
            <w:r w:rsidRPr="00B14CC2">
              <w:rPr>
                <w:rFonts w:asciiTheme="majorBidi" w:eastAsia="Times New Roman" w:hAnsiTheme="majorBidi" w:cstheme="majorBidi"/>
                <w:color w:val="000000"/>
                <w:sz w:val="20"/>
                <w:szCs w:val="20"/>
                <w14:ligatures w14:val="none"/>
              </w:rPr>
              <w:t>90</w:t>
            </w:r>
          </w:p>
        </w:tc>
        <w:tc>
          <w:tcPr>
            <w:tcW w:w="0" w:type="auto"/>
            <w:tcBorders>
              <w:top w:val="nil"/>
              <w:left w:val="nil"/>
              <w:bottom w:val="single" w:sz="4" w:space="0" w:color="auto"/>
              <w:right w:val="nil"/>
            </w:tcBorders>
          </w:tcPr>
          <w:p w14:paraId="4811D190" w14:textId="2E5C2E70" w:rsidR="00595EB9" w:rsidRPr="00B14CC2" w:rsidRDefault="00595EB9" w:rsidP="00595EB9">
            <w:pPr>
              <w:spacing w:after="0" w:line="240" w:lineRule="auto"/>
              <w:jc w:val="center"/>
              <w:rPr>
                <w:rFonts w:asciiTheme="majorBidi" w:eastAsia="Times New Roman" w:hAnsiTheme="majorBidi" w:cstheme="majorBidi"/>
                <w:color w:val="000000"/>
                <w:sz w:val="20"/>
                <w:szCs w:val="20"/>
                <w14:ligatures w14:val="none"/>
              </w:rPr>
            </w:pPr>
            <w:r w:rsidRPr="00BA3442">
              <w:rPr>
                <w:rFonts w:asciiTheme="majorBidi" w:eastAsia="Times New Roman" w:hAnsiTheme="majorBidi" w:cstheme="majorBidi"/>
                <w:color w:val="000000"/>
                <w:sz w:val="20"/>
                <w:szCs w:val="20"/>
                <w14:ligatures w14:val="none"/>
              </w:rPr>
              <w:t>2-MeTHF</w:t>
            </w:r>
          </w:p>
        </w:tc>
        <w:tc>
          <w:tcPr>
            <w:tcW w:w="0" w:type="auto"/>
            <w:tcBorders>
              <w:top w:val="nil"/>
              <w:left w:val="nil"/>
              <w:bottom w:val="single" w:sz="4" w:space="0" w:color="auto"/>
            </w:tcBorders>
            <w:shd w:val="clear" w:color="auto" w:fill="auto"/>
            <w:noWrap/>
            <w:vAlign w:val="center"/>
          </w:tcPr>
          <w:p w14:paraId="6EA169FC" w14:textId="77777777" w:rsidR="00595EB9" w:rsidRPr="00B14CC2" w:rsidRDefault="00595EB9" w:rsidP="00595EB9">
            <w:pPr>
              <w:spacing w:after="0" w:line="240" w:lineRule="auto"/>
              <w:jc w:val="center"/>
              <w:rPr>
                <w:rFonts w:asciiTheme="majorBidi" w:eastAsia="Times New Roman" w:hAnsiTheme="majorBidi" w:cstheme="majorBidi"/>
                <w:sz w:val="20"/>
                <w:szCs w:val="20"/>
                <w14:ligatures w14:val="none"/>
              </w:rPr>
            </w:pPr>
            <w:r w:rsidRPr="00B14CC2">
              <w:rPr>
                <w:rFonts w:asciiTheme="majorBidi" w:eastAsia="Times New Roman" w:hAnsiTheme="majorBidi" w:cstheme="majorBidi"/>
                <w:color w:val="000000"/>
                <w:sz w:val="20"/>
                <w:szCs w:val="20"/>
                <w14:ligatures w14:val="none"/>
              </w:rPr>
              <w:t>2.4</w:t>
            </w:r>
          </w:p>
        </w:tc>
        <w:tc>
          <w:tcPr>
            <w:tcW w:w="0" w:type="auto"/>
            <w:tcBorders>
              <w:top w:val="nil"/>
              <w:left w:val="nil"/>
              <w:bottom w:val="single" w:sz="4" w:space="0" w:color="auto"/>
            </w:tcBorders>
            <w:shd w:val="clear" w:color="auto" w:fill="auto"/>
            <w:noWrap/>
            <w:vAlign w:val="center"/>
          </w:tcPr>
          <w:p w14:paraId="416BDF3C" w14:textId="77777777" w:rsidR="00595EB9" w:rsidRPr="00B14CC2" w:rsidRDefault="00595EB9" w:rsidP="00595EB9">
            <w:pPr>
              <w:spacing w:after="0" w:line="240" w:lineRule="auto"/>
              <w:jc w:val="center"/>
              <w:rPr>
                <w:rFonts w:asciiTheme="majorBidi" w:eastAsia="Times New Roman" w:hAnsiTheme="majorBidi" w:cstheme="majorBidi"/>
                <w:sz w:val="20"/>
                <w:szCs w:val="20"/>
                <w14:ligatures w14:val="none"/>
              </w:rPr>
            </w:pPr>
            <w:r w:rsidRPr="00B14CC2">
              <w:rPr>
                <w:rFonts w:asciiTheme="majorBidi" w:hAnsiTheme="majorBidi" w:cstheme="majorBidi"/>
                <w:sz w:val="20"/>
                <w:szCs w:val="20"/>
              </w:rPr>
              <w:t>91</w:t>
            </w:r>
          </w:p>
        </w:tc>
        <w:tc>
          <w:tcPr>
            <w:tcW w:w="0" w:type="auto"/>
            <w:tcBorders>
              <w:top w:val="nil"/>
              <w:left w:val="nil"/>
              <w:bottom w:val="single" w:sz="4" w:space="0" w:color="auto"/>
            </w:tcBorders>
            <w:shd w:val="clear" w:color="auto" w:fill="auto"/>
            <w:noWrap/>
            <w:vAlign w:val="center"/>
          </w:tcPr>
          <w:p w14:paraId="625FCFD8" w14:textId="77777777" w:rsidR="00595EB9" w:rsidRPr="00B14CC2" w:rsidRDefault="00595EB9" w:rsidP="00595EB9">
            <w:pPr>
              <w:spacing w:after="0" w:line="240" w:lineRule="auto"/>
              <w:jc w:val="center"/>
              <w:rPr>
                <w:rFonts w:asciiTheme="majorBidi" w:eastAsia="Times New Roman" w:hAnsiTheme="majorBidi" w:cstheme="majorBidi"/>
                <w:sz w:val="20"/>
                <w:szCs w:val="20"/>
                <w14:ligatures w14:val="none"/>
              </w:rPr>
            </w:pPr>
            <w:r w:rsidRPr="00B14CC2">
              <w:rPr>
                <w:rFonts w:asciiTheme="majorBidi" w:hAnsiTheme="majorBidi" w:cstheme="majorBidi"/>
                <w:sz w:val="20"/>
                <w:szCs w:val="20"/>
              </w:rPr>
              <w:t>56</w:t>
            </w:r>
          </w:p>
        </w:tc>
        <w:tc>
          <w:tcPr>
            <w:tcW w:w="0" w:type="auto"/>
            <w:tcBorders>
              <w:top w:val="nil"/>
              <w:left w:val="nil"/>
              <w:bottom w:val="single" w:sz="4" w:space="0" w:color="auto"/>
            </w:tcBorders>
            <w:shd w:val="clear" w:color="auto" w:fill="auto"/>
            <w:noWrap/>
            <w:vAlign w:val="center"/>
          </w:tcPr>
          <w:p w14:paraId="10B58383" w14:textId="77777777" w:rsidR="00595EB9" w:rsidRPr="00B14CC2" w:rsidRDefault="00595EB9" w:rsidP="00595EB9">
            <w:pPr>
              <w:spacing w:after="0" w:line="240" w:lineRule="auto"/>
              <w:jc w:val="center"/>
              <w:rPr>
                <w:rFonts w:asciiTheme="majorBidi" w:eastAsia="Times New Roman" w:hAnsiTheme="majorBidi" w:cstheme="majorBidi"/>
                <w:sz w:val="20"/>
                <w:szCs w:val="20"/>
                <w14:ligatures w14:val="none"/>
              </w:rPr>
            </w:pPr>
            <w:r w:rsidRPr="00B14CC2">
              <w:rPr>
                <w:rFonts w:asciiTheme="majorBidi" w:hAnsiTheme="majorBidi" w:cstheme="majorBidi"/>
                <w:sz w:val="20"/>
                <w:szCs w:val="20"/>
              </w:rPr>
              <w:t>44</w:t>
            </w:r>
          </w:p>
        </w:tc>
        <w:tc>
          <w:tcPr>
            <w:tcW w:w="0" w:type="auto"/>
            <w:tcBorders>
              <w:top w:val="nil"/>
              <w:left w:val="nil"/>
              <w:bottom w:val="single" w:sz="4" w:space="0" w:color="auto"/>
            </w:tcBorders>
            <w:shd w:val="clear" w:color="auto" w:fill="auto"/>
            <w:vAlign w:val="center"/>
          </w:tcPr>
          <w:p w14:paraId="1E82FD9A" w14:textId="77777777" w:rsidR="00595EB9" w:rsidRPr="00B14CC2" w:rsidRDefault="00595EB9" w:rsidP="00595EB9">
            <w:pPr>
              <w:spacing w:after="0" w:line="240" w:lineRule="auto"/>
              <w:jc w:val="center"/>
              <w:rPr>
                <w:rFonts w:asciiTheme="majorBidi" w:eastAsia="Times New Roman" w:hAnsiTheme="majorBidi" w:cstheme="majorBidi"/>
                <w:color w:val="000000"/>
                <w:sz w:val="20"/>
                <w:szCs w:val="20"/>
                <w14:ligatures w14:val="none"/>
              </w:rPr>
            </w:pPr>
            <w:r w:rsidRPr="00B14CC2">
              <w:rPr>
                <w:rFonts w:asciiTheme="majorBidi" w:hAnsiTheme="majorBidi" w:cstheme="majorBidi"/>
                <w:sz w:val="20"/>
                <w:szCs w:val="20"/>
              </w:rPr>
              <w:t>51</w:t>
            </w:r>
          </w:p>
        </w:tc>
      </w:tr>
      <w:tr w:rsidR="004451BD" w:rsidRPr="00B14CC2" w14:paraId="1DFB8EC5" w14:textId="77777777" w:rsidTr="008B0600">
        <w:trPr>
          <w:trHeight w:val="300"/>
          <w:jc w:val="center"/>
        </w:trPr>
        <w:tc>
          <w:tcPr>
            <w:tcW w:w="0" w:type="auto"/>
            <w:tcBorders>
              <w:top w:val="single" w:sz="4" w:space="0" w:color="auto"/>
              <w:bottom w:val="nil"/>
            </w:tcBorders>
            <w:shd w:val="clear" w:color="auto" w:fill="auto"/>
            <w:noWrap/>
            <w:vAlign w:val="center"/>
          </w:tcPr>
          <w:p w14:paraId="01FE82ED" w14:textId="77AA9CF6" w:rsidR="004451BD" w:rsidRPr="00B14CC2" w:rsidRDefault="002D2B69" w:rsidP="009A00F5">
            <w:pPr>
              <w:spacing w:after="0" w:line="240" w:lineRule="auto"/>
              <w:jc w:val="center"/>
              <w:rPr>
                <w:rFonts w:asciiTheme="majorBidi" w:eastAsia="Times New Roman" w:hAnsiTheme="majorBidi" w:cstheme="majorBidi"/>
                <w:color w:val="000000"/>
                <w:sz w:val="20"/>
                <w:szCs w:val="20"/>
                <w14:ligatures w14:val="none"/>
              </w:rPr>
            </w:pPr>
            <w:r w:rsidRPr="00B14CC2">
              <w:rPr>
                <w:rFonts w:asciiTheme="majorBidi" w:eastAsia="Times New Roman" w:hAnsiTheme="majorBidi" w:cstheme="majorBidi"/>
                <w:color w:val="000000"/>
                <w:sz w:val="20"/>
                <w:szCs w:val="20"/>
                <w14:ligatures w14:val="none"/>
              </w:rPr>
              <w:t>7</w:t>
            </w:r>
          </w:p>
        </w:tc>
        <w:tc>
          <w:tcPr>
            <w:tcW w:w="0" w:type="auto"/>
            <w:tcBorders>
              <w:top w:val="single" w:sz="4" w:space="0" w:color="auto"/>
              <w:left w:val="nil"/>
              <w:bottom w:val="nil"/>
            </w:tcBorders>
            <w:shd w:val="clear" w:color="auto" w:fill="auto"/>
            <w:vAlign w:val="center"/>
          </w:tcPr>
          <w:p w14:paraId="1BF16823" w14:textId="3CE21A47" w:rsidR="004451BD" w:rsidRPr="00B14CC2" w:rsidRDefault="002D2B69" w:rsidP="009A00F5">
            <w:pPr>
              <w:spacing w:after="0" w:line="240" w:lineRule="auto"/>
              <w:jc w:val="center"/>
              <w:rPr>
                <w:rFonts w:asciiTheme="majorBidi" w:eastAsia="Times New Roman" w:hAnsiTheme="majorBidi" w:cstheme="majorBidi"/>
                <w:color w:val="000000"/>
                <w:sz w:val="20"/>
                <w:szCs w:val="20"/>
                <w14:ligatures w14:val="none"/>
              </w:rPr>
            </w:pPr>
            <w:r w:rsidRPr="00B14CC2">
              <w:rPr>
                <w:rFonts w:asciiTheme="majorBidi" w:eastAsia="Times New Roman" w:hAnsiTheme="majorBidi" w:cstheme="majorBidi"/>
                <w:color w:val="000000"/>
                <w:sz w:val="20"/>
                <w:szCs w:val="20"/>
                <w14:ligatures w14:val="none"/>
              </w:rPr>
              <w:t>24</w:t>
            </w:r>
          </w:p>
        </w:tc>
        <w:tc>
          <w:tcPr>
            <w:tcW w:w="0" w:type="auto"/>
            <w:tcBorders>
              <w:top w:val="single" w:sz="4" w:space="0" w:color="auto"/>
              <w:left w:val="nil"/>
              <w:bottom w:val="nil"/>
              <w:right w:val="nil"/>
            </w:tcBorders>
            <w:vAlign w:val="center"/>
          </w:tcPr>
          <w:p w14:paraId="1734B660" w14:textId="2E66AEE4" w:rsidR="004451BD" w:rsidRPr="00B14CC2" w:rsidRDefault="002D2B69" w:rsidP="009A00F5">
            <w:pPr>
              <w:spacing w:after="0" w:line="240" w:lineRule="auto"/>
              <w:jc w:val="center"/>
              <w:rPr>
                <w:rFonts w:asciiTheme="majorBidi" w:eastAsia="Times New Roman" w:hAnsiTheme="majorBidi" w:cstheme="majorBidi"/>
                <w:color w:val="000000"/>
                <w:sz w:val="20"/>
                <w:szCs w:val="20"/>
                <w14:ligatures w14:val="none"/>
              </w:rPr>
            </w:pPr>
            <w:r w:rsidRPr="00B14CC2">
              <w:rPr>
                <w:rFonts w:asciiTheme="majorBidi" w:eastAsia="Times New Roman" w:hAnsiTheme="majorBidi" w:cstheme="majorBidi"/>
                <w:color w:val="000000"/>
                <w:sz w:val="20"/>
                <w:szCs w:val="20"/>
                <w14:ligatures w14:val="none"/>
              </w:rPr>
              <w:t>90</w:t>
            </w:r>
          </w:p>
        </w:tc>
        <w:tc>
          <w:tcPr>
            <w:tcW w:w="0" w:type="auto"/>
            <w:tcBorders>
              <w:top w:val="single" w:sz="4" w:space="0" w:color="auto"/>
              <w:left w:val="nil"/>
              <w:bottom w:val="nil"/>
              <w:right w:val="nil"/>
            </w:tcBorders>
            <w:vAlign w:val="center"/>
          </w:tcPr>
          <w:p w14:paraId="5C453912" w14:textId="0E44D407" w:rsidR="004451BD" w:rsidRPr="00B14CC2" w:rsidRDefault="004451BD" w:rsidP="009A00F5">
            <w:pPr>
              <w:spacing w:after="0" w:line="240" w:lineRule="auto"/>
              <w:jc w:val="center"/>
              <w:rPr>
                <w:rFonts w:asciiTheme="majorBidi" w:eastAsia="Times New Roman" w:hAnsiTheme="majorBidi" w:cstheme="majorBidi"/>
                <w:color w:val="000000"/>
                <w:sz w:val="20"/>
                <w:szCs w:val="20"/>
                <w14:ligatures w14:val="none"/>
              </w:rPr>
            </w:pPr>
            <w:r w:rsidRPr="00B14CC2">
              <w:rPr>
                <w:rFonts w:asciiTheme="majorBidi" w:eastAsia="Times New Roman" w:hAnsiTheme="majorBidi" w:cstheme="majorBidi"/>
                <w:color w:val="000000"/>
                <w:sz w:val="20"/>
                <w:szCs w:val="20"/>
                <w14:ligatures w14:val="none"/>
              </w:rPr>
              <w:t>CP</w:t>
            </w:r>
            <w:r w:rsidR="002D2B69" w:rsidRPr="00B14CC2">
              <w:rPr>
                <w:rFonts w:asciiTheme="majorBidi" w:eastAsia="Times New Roman" w:hAnsiTheme="majorBidi" w:cstheme="majorBidi"/>
                <w:color w:val="000000"/>
                <w:sz w:val="20"/>
                <w:szCs w:val="20"/>
                <w14:ligatures w14:val="none"/>
              </w:rPr>
              <w:t>ME</w:t>
            </w:r>
          </w:p>
        </w:tc>
        <w:tc>
          <w:tcPr>
            <w:tcW w:w="0" w:type="auto"/>
            <w:tcBorders>
              <w:top w:val="single" w:sz="4" w:space="0" w:color="auto"/>
              <w:left w:val="nil"/>
              <w:bottom w:val="nil"/>
            </w:tcBorders>
            <w:shd w:val="clear" w:color="auto" w:fill="auto"/>
            <w:noWrap/>
            <w:vAlign w:val="center"/>
          </w:tcPr>
          <w:p w14:paraId="66AB4A38" w14:textId="14E21BDB" w:rsidR="004451BD" w:rsidRPr="00B14CC2" w:rsidRDefault="002D2B69" w:rsidP="009A00F5">
            <w:pPr>
              <w:spacing w:after="0" w:line="240" w:lineRule="auto"/>
              <w:jc w:val="center"/>
              <w:rPr>
                <w:rFonts w:asciiTheme="majorBidi" w:eastAsia="Times New Roman" w:hAnsiTheme="majorBidi" w:cstheme="majorBidi"/>
                <w:color w:val="000000"/>
                <w:sz w:val="20"/>
                <w:szCs w:val="20"/>
                <w14:ligatures w14:val="none"/>
              </w:rPr>
            </w:pPr>
            <w:r w:rsidRPr="00B14CC2">
              <w:rPr>
                <w:rFonts w:asciiTheme="majorBidi" w:eastAsia="Times New Roman" w:hAnsiTheme="majorBidi" w:cstheme="majorBidi"/>
                <w:color w:val="000000"/>
                <w:sz w:val="20"/>
                <w:szCs w:val="20"/>
                <w14:ligatures w14:val="none"/>
              </w:rPr>
              <w:t>2.4</w:t>
            </w:r>
          </w:p>
        </w:tc>
        <w:tc>
          <w:tcPr>
            <w:tcW w:w="0" w:type="auto"/>
            <w:tcBorders>
              <w:top w:val="single" w:sz="4" w:space="0" w:color="auto"/>
              <w:left w:val="nil"/>
              <w:bottom w:val="nil"/>
            </w:tcBorders>
            <w:shd w:val="clear" w:color="auto" w:fill="auto"/>
            <w:noWrap/>
            <w:vAlign w:val="center"/>
          </w:tcPr>
          <w:p w14:paraId="544B28A6" w14:textId="1385D2E9" w:rsidR="004451BD" w:rsidRPr="00B14CC2" w:rsidRDefault="00830848" w:rsidP="009A00F5">
            <w:pPr>
              <w:spacing w:after="0" w:line="240" w:lineRule="auto"/>
              <w:jc w:val="center"/>
              <w:rPr>
                <w:rFonts w:asciiTheme="majorBidi" w:hAnsiTheme="majorBidi" w:cstheme="majorBidi"/>
                <w:sz w:val="20"/>
                <w:szCs w:val="20"/>
              </w:rPr>
            </w:pPr>
            <w:r w:rsidRPr="00B14CC2">
              <w:rPr>
                <w:rFonts w:asciiTheme="majorBidi" w:hAnsiTheme="majorBidi" w:cstheme="majorBidi"/>
                <w:sz w:val="20"/>
                <w:szCs w:val="20"/>
              </w:rPr>
              <w:t>68</w:t>
            </w:r>
          </w:p>
        </w:tc>
        <w:tc>
          <w:tcPr>
            <w:tcW w:w="0" w:type="auto"/>
            <w:tcBorders>
              <w:top w:val="single" w:sz="4" w:space="0" w:color="auto"/>
              <w:left w:val="nil"/>
              <w:bottom w:val="nil"/>
            </w:tcBorders>
            <w:shd w:val="clear" w:color="auto" w:fill="auto"/>
            <w:noWrap/>
            <w:vAlign w:val="center"/>
          </w:tcPr>
          <w:p w14:paraId="62634E21" w14:textId="00BC562B" w:rsidR="004451BD" w:rsidRPr="00B14CC2" w:rsidRDefault="00830848" w:rsidP="009A00F5">
            <w:pPr>
              <w:spacing w:after="0" w:line="240" w:lineRule="auto"/>
              <w:jc w:val="center"/>
              <w:rPr>
                <w:rFonts w:asciiTheme="majorBidi" w:hAnsiTheme="majorBidi" w:cstheme="majorBidi"/>
                <w:sz w:val="20"/>
                <w:szCs w:val="20"/>
              </w:rPr>
            </w:pPr>
            <w:r w:rsidRPr="00B14CC2">
              <w:rPr>
                <w:rFonts w:asciiTheme="majorBidi" w:hAnsiTheme="majorBidi" w:cstheme="majorBidi"/>
                <w:sz w:val="20"/>
                <w:szCs w:val="20"/>
              </w:rPr>
              <w:t>23</w:t>
            </w:r>
          </w:p>
        </w:tc>
        <w:tc>
          <w:tcPr>
            <w:tcW w:w="0" w:type="auto"/>
            <w:tcBorders>
              <w:top w:val="single" w:sz="4" w:space="0" w:color="auto"/>
              <w:left w:val="nil"/>
              <w:bottom w:val="nil"/>
            </w:tcBorders>
            <w:shd w:val="clear" w:color="auto" w:fill="auto"/>
            <w:noWrap/>
            <w:vAlign w:val="center"/>
          </w:tcPr>
          <w:p w14:paraId="16B9426D" w14:textId="2678A753" w:rsidR="004451BD" w:rsidRPr="00B14CC2" w:rsidRDefault="00830848" w:rsidP="009A00F5">
            <w:pPr>
              <w:spacing w:after="0" w:line="240" w:lineRule="auto"/>
              <w:jc w:val="center"/>
              <w:rPr>
                <w:rFonts w:asciiTheme="majorBidi" w:hAnsiTheme="majorBidi" w:cstheme="majorBidi"/>
                <w:sz w:val="20"/>
                <w:szCs w:val="20"/>
              </w:rPr>
            </w:pPr>
            <w:r w:rsidRPr="00B14CC2">
              <w:rPr>
                <w:rFonts w:asciiTheme="majorBidi" w:hAnsiTheme="majorBidi" w:cstheme="majorBidi"/>
                <w:sz w:val="20"/>
                <w:szCs w:val="20"/>
              </w:rPr>
              <w:t>77</w:t>
            </w:r>
          </w:p>
        </w:tc>
        <w:tc>
          <w:tcPr>
            <w:tcW w:w="0" w:type="auto"/>
            <w:tcBorders>
              <w:top w:val="single" w:sz="4" w:space="0" w:color="auto"/>
              <w:left w:val="nil"/>
              <w:bottom w:val="nil"/>
            </w:tcBorders>
            <w:shd w:val="clear" w:color="auto" w:fill="auto"/>
            <w:vAlign w:val="center"/>
          </w:tcPr>
          <w:p w14:paraId="5C35FB6E" w14:textId="7BF92B01" w:rsidR="004451BD" w:rsidRPr="00B14CC2" w:rsidRDefault="00EB70EE" w:rsidP="009A00F5">
            <w:pPr>
              <w:spacing w:after="0" w:line="240" w:lineRule="auto"/>
              <w:jc w:val="center"/>
              <w:rPr>
                <w:rFonts w:asciiTheme="majorBidi" w:hAnsiTheme="majorBidi" w:cstheme="majorBidi"/>
                <w:sz w:val="20"/>
                <w:szCs w:val="20"/>
              </w:rPr>
            </w:pPr>
            <w:r w:rsidRPr="00B14CC2">
              <w:rPr>
                <w:rFonts w:asciiTheme="majorBidi" w:hAnsiTheme="majorBidi" w:cstheme="majorBidi"/>
                <w:sz w:val="20"/>
                <w:szCs w:val="20"/>
              </w:rPr>
              <w:t>16</w:t>
            </w:r>
          </w:p>
        </w:tc>
      </w:tr>
      <w:tr w:rsidR="00901418" w:rsidRPr="00B14CC2" w14:paraId="3D83F90D" w14:textId="77777777" w:rsidTr="009A00F5">
        <w:trPr>
          <w:trHeight w:val="300"/>
          <w:jc w:val="center"/>
        </w:trPr>
        <w:tc>
          <w:tcPr>
            <w:tcW w:w="0" w:type="auto"/>
            <w:tcBorders>
              <w:top w:val="nil"/>
              <w:bottom w:val="nil"/>
            </w:tcBorders>
            <w:shd w:val="clear" w:color="auto" w:fill="auto"/>
            <w:noWrap/>
            <w:vAlign w:val="center"/>
          </w:tcPr>
          <w:p w14:paraId="34F43DA3" w14:textId="1178B998" w:rsidR="00901418" w:rsidRPr="00B14CC2" w:rsidRDefault="002D2B69" w:rsidP="009A00F5">
            <w:pPr>
              <w:spacing w:after="0" w:line="240" w:lineRule="auto"/>
              <w:jc w:val="center"/>
              <w:rPr>
                <w:rFonts w:asciiTheme="majorBidi" w:eastAsia="Times New Roman" w:hAnsiTheme="majorBidi" w:cstheme="majorBidi"/>
                <w:color w:val="000000"/>
                <w:sz w:val="20"/>
                <w:szCs w:val="20"/>
                <w14:ligatures w14:val="none"/>
              </w:rPr>
            </w:pPr>
            <w:r w:rsidRPr="00B14CC2">
              <w:rPr>
                <w:rFonts w:asciiTheme="majorBidi" w:eastAsia="Times New Roman" w:hAnsiTheme="majorBidi" w:cstheme="majorBidi"/>
                <w:color w:val="000000"/>
                <w:sz w:val="20"/>
                <w:szCs w:val="20"/>
                <w14:ligatures w14:val="none"/>
              </w:rPr>
              <w:t>8</w:t>
            </w:r>
          </w:p>
        </w:tc>
        <w:tc>
          <w:tcPr>
            <w:tcW w:w="0" w:type="auto"/>
            <w:tcBorders>
              <w:top w:val="nil"/>
              <w:left w:val="nil"/>
              <w:bottom w:val="nil"/>
            </w:tcBorders>
            <w:shd w:val="clear" w:color="auto" w:fill="auto"/>
            <w:vAlign w:val="center"/>
          </w:tcPr>
          <w:p w14:paraId="18ED6F62" w14:textId="77777777" w:rsidR="00901418" w:rsidRPr="00B14CC2" w:rsidRDefault="00901418" w:rsidP="009A00F5">
            <w:pPr>
              <w:spacing w:after="0" w:line="240" w:lineRule="auto"/>
              <w:jc w:val="center"/>
              <w:rPr>
                <w:rFonts w:asciiTheme="majorBidi" w:eastAsia="Times New Roman" w:hAnsiTheme="majorBidi" w:cstheme="majorBidi"/>
                <w:sz w:val="20"/>
                <w:szCs w:val="20"/>
                <w14:ligatures w14:val="none"/>
              </w:rPr>
            </w:pPr>
            <w:r w:rsidRPr="00B14CC2">
              <w:rPr>
                <w:rFonts w:asciiTheme="majorBidi" w:eastAsia="Times New Roman" w:hAnsiTheme="majorBidi" w:cstheme="majorBidi"/>
                <w:color w:val="000000"/>
                <w:sz w:val="20"/>
                <w:szCs w:val="20"/>
                <w14:ligatures w14:val="none"/>
              </w:rPr>
              <w:t>12</w:t>
            </w:r>
          </w:p>
        </w:tc>
        <w:tc>
          <w:tcPr>
            <w:tcW w:w="0" w:type="auto"/>
            <w:tcBorders>
              <w:top w:val="nil"/>
              <w:left w:val="nil"/>
              <w:bottom w:val="nil"/>
              <w:right w:val="nil"/>
            </w:tcBorders>
            <w:vAlign w:val="center"/>
          </w:tcPr>
          <w:p w14:paraId="67D6BBEB" w14:textId="77777777" w:rsidR="00901418" w:rsidRPr="00B14CC2" w:rsidRDefault="00901418" w:rsidP="009A00F5">
            <w:pPr>
              <w:spacing w:after="0" w:line="240" w:lineRule="auto"/>
              <w:jc w:val="center"/>
              <w:rPr>
                <w:rFonts w:asciiTheme="majorBidi" w:eastAsia="Times New Roman" w:hAnsiTheme="majorBidi" w:cstheme="majorBidi"/>
                <w:color w:val="000000"/>
                <w:sz w:val="20"/>
                <w:szCs w:val="20"/>
                <w14:ligatures w14:val="none"/>
              </w:rPr>
            </w:pPr>
            <w:r w:rsidRPr="00B14CC2">
              <w:rPr>
                <w:rFonts w:asciiTheme="majorBidi" w:eastAsia="Times New Roman" w:hAnsiTheme="majorBidi" w:cstheme="majorBidi"/>
                <w:color w:val="000000"/>
                <w:sz w:val="20"/>
                <w:szCs w:val="20"/>
                <w14:ligatures w14:val="none"/>
              </w:rPr>
              <w:t>90</w:t>
            </w:r>
          </w:p>
        </w:tc>
        <w:tc>
          <w:tcPr>
            <w:tcW w:w="0" w:type="auto"/>
            <w:tcBorders>
              <w:top w:val="nil"/>
              <w:left w:val="nil"/>
              <w:bottom w:val="nil"/>
              <w:right w:val="nil"/>
            </w:tcBorders>
            <w:vAlign w:val="center"/>
          </w:tcPr>
          <w:p w14:paraId="33F424DA" w14:textId="77777777" w:rsidR="00901418" w:rsidRPr="00B14CC2" w:rsidRDefault="00901418" w:rsidP="009A00F5">
            <w:pPr>
              <w:spacing w:after="0" w:line="240" w:lineRule="auto"/>
              <w:jc w:val="center"/>
              <w:rPr>
                <w:rFonts w:asciiTheme="majorBidi" w:eastAsia="Times New Roman" w:hAnsiTheme="majorBidi" w:cstheme="majorBidi"/>
                <w:color w:val="000000"/>
                <w:sz w:val="20"/>
                <w:szCs w:val="20"/>
                <w14:ligatures w14:val="none"/>
              </w:rPr>
            </w:pPr>
            <w:r w:rsidRPr="00B14CC2">
              <w:rPr>
                <w:rFonts w:asciiTheme="majorBidi" w:eastAsia="Times New Roman" w:hAnsiTheme="majorBidi" w:cstheme="majorBidi"/>
                <w:color w:val="000000"/>
                <w:sz w:val="20"/>
                <w:szCs w:val="20"/>
                <w14:ligatures w14:val="none"/>
              </w:rPr>
              <w:t>ACN</w:t>
            </w:r>
          </w:p>
        </w:tc>
        <w:tc>
          <w:tcPr>
            <w:tcW w:w="0" w:type="auto"/>
            <w:tcBorders>
              <w:top w:val="nil"/>
              <w:left w:val="nil"/>
              <w:bottom w:val="nil"/>
            </w:tcBorders>
            <w:shd w:val="clear" w:color="auto" w:fill="auto"/>
            <w:noWrap/>
            <w:vAlign w:val="center"/>
          </w:tcPr>
          <w:p w14:paraId="38368A0D" w14:textId="77777777" w:rsidR="00901418" w:rsidRPr="00B14CC2" w:rsidRDefault="00901418" w:rsidP="009A00F5">
            <w:pPr>
              <w:spacing w:after="0" w:line="240" w:lineRule="auto"/>
              <w:jc w:val="center"/>
              <w:rPr>
                <w:rFonts w:asciiTheme="majorBidi" w:eastAsia="Times New Roman" w:hAnsiTheme="majorBidi" w:cstheme="majorBidi"/>
                <w:sz w:val="20"/>
                <w:szCs w:val="20"/>
                <w14:ligatures w14:val="none"/>
              </w:rPr>
            </w:pPr>
            <w:r w:rsidRPr="00B14CC2">
              <w:rPr>
                <w:rFonts w:asciiTheme="majorBidi" w:eastAsia="Times New Roman" w:hAnsiTheme="majorBidi" w:cstheme="majorBidi"/>
                <w:color w:val="000000"/>
                <w:sz w:val="20"/>
                <w:szCs w:val="20"/>
                <w14:ligatures w14:val="none"/>
              </w:rPr>
              <w:t>2.4</w:t>
            </w:r>
          </w:p>
        </w:tc>
        <w:tc>
          <w:tcPr>
            <w:tcW w:w="0" w:type="auto"/>
            <w:tcBorders>
              <w:top w:val="nil"/>
              <w:left w:val="nil"/>
              <w:bottom w:val="nil"/>
            </w:tcBorders>
            <w:shd w:val="clear" w:color="auto" w:fill="auto"/>
            <w:noWrap/>
            <w:vAlign w:val="center"/>
          </w:tcPr>
          <w:p w14:paraId="1F5AD9CF" w14:textId="77777777" w:rsidR="00901418" w:rsidRPr="00B14CC2" w:rsidRDefault="00901418" w:rsidP="009A00F5">
            <w:pPr>
              <w:spacing w:after="0" w:line="240" w:lineRule="auto"/>
              <w:jc w:val="center"/>
              <w:rPr>
                <w:rFonts w:asciiTheme="majorBidi" w:eastAsia="Times New Roman" w:hAnsiTheme="majorBidi" w:cstheme="majorBidi"/>
                <w:sz w:val="20"/>
                <w:szCs w:val="20"/>
                <w14:ligatures w14:val="none"/>
              </w:rPr>
            </w:pPr>
            <w:r w:rsidRPr="00B14CC2">
              <w:rPr>
                <w:rFonts w:asciiTheme="majorBidi" w:hAnsiTheme="majorBidi" w:cstheme="majorBidi"/>
                <w:sz w:val="20"/>
                <w:szCs w:val="20"/>
              </w:rPr>
              <w:t>94</w:t>
            </w:r>
          </w:p>
        </w:tc>
        <w:tc>
          <w:tcPr>
            <w:tcW w:w="0" w:type="auto"/>
            <w:tcBorders>
              <w:top w:val="nil"/>
              <w:left w:val="nil"/>
              <w:bottom w:val="nil"/>
            </w:tcBorders>
            <w:shd w:val="clear" w:color="auto" w:fill="auto"/>
            <w:noWrap/>
            <w:vAlign w:val="center"/>
          </w:tcPr>
          <w:p w14:paraId="7B629FCE" w14:textId="77777777" w:rsidR="00901418" w:rsidRPr="00B14CC2" w:rsidRDefault="00901418" w:rsidP="009A00F5">
            <w:pPr>
              <w:spacing w:after="0" w:line="240" w:lineRule="auto"/>
              <w:jc w:val="center"/>
              <w:rPr>
                <w:rFonts w:asciiTheme="majorBidi" w:eastAsia="Times New Roman" w:hAnsiTheme="majorBidi" w:cstheme="majorBidi"/>
                <w:sz w:val="20"/>
                <w:szCs w:val="20"/>
                <w14:ligatures w14:val="none"/>
              </w:rPr>
            </w:pPr>
            <w:r w:rsidRPr="00B14CC2">
              <w:rPr>
                <w:rFonts w:asciiTheme="majorBidi" w:hAnsiTheme="majorBidi" w:cstheme="majorBidi"/>
                <w:sz w:val="20"/>
                <w:szCs w:val="20"/>
              </w:rPr>
              <w:t>60</w:t>
            </w:r>
          </w:p>
        </w:tc>
        <w:tc>
          <w:tcPr>
            <w:tcW w:w="0" w:type="auto"/>
            <w:tcBorders>
              <w:top w:val="nil"/>
              <w:left w:val="nil"/>
              <w:bottom w:val="nil"/>
            </w:tcBorders>
            <w:shd w:val="clear" w:color="auto" w:fill="auto"/>
            <w:noWrap/>
            <w:vAlign w:val="center"/>
          </w:tcPr>
          <w:p w14:paraId="1199983A" w14:textId="77777777" w:rsidR="00901418" w:rsidRPr="00B14CC2" w:rsidRDefault="00901418" w:rsidP="009A00F5">
            <w:pPr>
              <w:spacing w:after="0" w:line="240" w:lineRule="auto"/>
              <w:jc w:val="center"/>
              <w:rPr>
                <w:rFonts w:asciiTheme="majorBidi" w:eastAsia="Times New Roman" w:hAnsiTheme="majorBidi" w:cstheme="majorBidi"/>
                <w:sz w:val="20"/>
                <w:szCs w:val="20"/>
                <w14:ligatures w14:val="none"/>
              </w:rPr>
            </w:pPr>
            <w:r w:rsidRPr="00B14CC2">
              <w:rPr>
                <w:rFonts w:asciiTheme="majorBidi" w:hAnsiTheme="majorBidi" w:cstheme="majorBidi"/>
                <w:sz w:val="20"/>
                <w:szCs w:val="20"/>
              </w:rPr>
              <w:t>40</w:t>
            </w:r>
          </w:p>
        </w:tc>
        <w:tc>
          <w:tcPr>
            <w:tcW w:w="0" w:type="auto"/>
            <w:tcBorders>
              <w:top w:val="nil"/>
              <w:left w:val="nil"/>
              <w:bottom w:val="nil"/>
            </w:tcBorders>
            <w:shd w:val="clear" w:color="auto" w:fill="auto"/>
            <w:vAlign w:val="center"/>
          </w:tcPr>
          <w:p w14:paraId="4C719C3F" w14:textId="77777777" w:rsidR="00901418" w:rsidRPr="00B14CC2" w:rsidRDefault="00901418" w:rsidP="009A00F5">
            <w:pPr>
              <w:spacing w:after="0" w:line="240" w:lineRule="auto"/>
              <w:jc w:val="center"/>
              <w:rPr>
                <w:rFonts w:asciiTheme="majorBidi" w:eastAsia="Times New Roman" w:hAnsiTheme="majorBidi" w:cstheme="majorBidi"/>
                <w:color w:val="000000"/>
                <w:sz w:val="20"/>
                <w:szCs w:val="20"/>
                <w14:ligatures w14:val="none"/>
              </w:rPr>
            </w:pPr>
            <w:r w:rsidRPr="00B14CC2">
              <w:rPr>
                <w:rFonts w:asciiTheme="majorBidi" w:hAnsiTheme="majorBidi" w:cstheme="majorBidi"/>
                <w:sz w:val="20"/>
                <w:szCs w:val="20"/>
              </w:rPr>
              <w:t>56</w:t>
            </w:r>
          </w:p>
        </w:tc>
      </w:tr>
      <w:tr w:rsidR="00901418" w:rsidRPr="00B14CC2" w14:paraId="0E9DD252" w14:textId="77777777" w:rsidTr="009A00F5">
        <w:trPr>
          <w:trHeight w:val="300"/>
          <w:jc w:val="center"/>
        </w:trPr>
        <w:tc>
          <w:tcPr>
            <w:tcW w:w="0" w:type="auto"/>
            <w:tcBorders>
              <w:top w:val="nil"/>
              <w:bottom w:val="thinThickSmallGap" w:sz="24" w:space="0" w:color="auto"/>
            </w:tcBorders>
            <w:shd w:val="clear" w:color="auto" w:fill="auto"/>
            <w:noWrap/>
            <w:vAlign w:val="center"/>
          </w:tcPr>
          <w:p w14:paraId="0AF62B3D" w14:textId="2395CE61" w:rsidR="00901418" w:rsidRPr="00B14CC2" w:rsidRDefault="002D2B69" w:rsidP="009A00F5">
            <w:pPr>
              <w:spacing w:after="0" w:line="240" w:lineRule="auto"/>
              <w:jc w:val="center"/>
              <w:rPr>
                <w:rFonts w:asciiTheme="majorBidi" w:eastAsia="Times New Roman" w:hAnsiTheme="majorBidi" w:cstheme="majorBidi"/>
                <w:color w:val="000000"/>
                <w:sz w:val="20"/>
                <w:szCs w:val="20"/>
                <w14:ligatures w14:val="none"/>
              </w:rPr>
            </w:pPr>
            <w:r w:rsidRPr="00B14CC2">
              <w:rPr>
                <w:rFonts w:asciiTheme="majorBidi" w:eastAsia="Times New Roman" w:hAnsiTheme="majorBidi" w:cstheme="majorBidi"/>
                <w:color w:val="000000"/>
                <w:sz w:val="20"/>
                <w:szCs w:val="20"/>
                <w14:ligatures w14:val="none"/>
              </w:rPr>
              <w:t>9</w:t>
            </w:r>
          </w:p>
        </w:tc>
        <w:tc>
          <w:tcPr>
            <w:tcW w:w="0" w:type="auto"/>
            <w:tcBorders>
              <w:top w:val="nil"/>
              <w:left w:val="nil"/>
              <w:bottom w:val="thinThickSmallGap" w:sz="24" w:space="0" w:color="auto"/>
            </w:tcBorders>
            <w:shd w:val="clear" w:color="auto" w:fill="auto"/>
            <w:vAlign w:val="center"/>
          </w:tcPr>
          <w:p w14:paraId="20E56987" w14:textId="77777777" w:rsidR="00901418" w:rsidRPr="00B14CC2" w:rsidRDefault="00901418" w:rsidP="009A00F5">
            <w:pPr>
              <w:spacing w:after="0" w:line="240" w:lineRule="auto"/>
              <w:jc w:val="center"/>
              <w:rPr>
                <w:rFonts w:asciiTheme="majorBidi" w:eastAsia="Times New Roman" w:hAnsiTheme="majorBidi" w:cstheme="majorBidi"/>
                <w:color w:val="000000"/>
                <w:sz w:val="20"/>
                <w:szCs w:val="20"/>
                <w14:ligatures w14:val="none"/>
              </w:rPr>
            </w:pPr>
            <w:r w:rsidRPr="00B14CC2">
              <w:rPr>
                <w:rFonts w:asciiTheme="majorBidi" w:eastAsia="Times New Roman" w:hAnsiTheme="majorBidi" w:cstheme="majorBidi"/>
                <w:color w:val="000000"/>
                <w:sz w:val="20"/>
                <w:szCs w:val="20"/>
                <w14:ligatures w14:val="none"/>
              </w:rPr>
              <w:t>24</w:t>
            </w:r>
          </w:p>
        </w:tc>
        <w:tc>
          <w:tcPr>
            <w:tcW w:w="0" w:type="auto"/>
            <w:tcBorders>
              <w:top w:val="nil"/>
              <w:left w:val="nil"/>
              <w:bottom w:val="thinThickSmallGap" w:sz="24" w:space="0" w:color="auto"/>
              <w:right w:val="nil"/>
            </w:tcBorders>
            <w:vAlign w:val="center"/>
          </w:tcPr>
          <w:p w14:paraId="1C0E1385" w14:textId="77777777" w:rsidR="00901418" w:rsidRPr="00B14CC2" w:rsidRDefault="00901418" w:rsidP="009A00F5">
            <w:pPr>
              <w:spacing w:after="0" w:line="240" w:lineRule="auto"/>
              <w:jc w:val="center"/>
              <w:rPr>
                <w:rFonts w:asciiTheme="majorBidi" w:eastAsia="Times New Roman" w:hAnsiTheme="majorBidi" w:cstheme="majorBidi"/>
                <w:sz w:val="20"/>
                <w:szCs w:val="20"/>
                <w14:ligatures w14:val="none"/>
              </w:rPr>
            </w:pPr>
            <w:r w:rsidRPr="00B14CC2">
              <w:rPr>
                <w:rFonts w:asciiTheme="majorBidi" w:eastAsia="Times New Roman" w:hAnsiTheme="majorBidi" w:cstheme="majorBidi"/>
                <w:color w:val="000000"/>
                <w:sz w:val="20"/>
                <w:szCs w:val="20"/>
                <w14:ligatures w14:val="none"/>
              </w:rPr>
              <w:t>90</w:t>
            </w:r>
          </w:p>
        </w:tc>
        <w:tc>
          <w:tcPr>
            <w:tcW w:w="0" w:type="auto"/>
            <w:tcBorders>
              <w:top w:val="nil"/>
              <w:left w:val="nil"/>
              <w:bottom w:val="thinThickSmallGap" w:sz="24" w:space="0" w:color="auto"/>
              <w:right w:val="nil"/>
            </w:tcBorders>
            <w:vAlign w:val="center"/>
          </w:tcPr>
          <w:p w14:paraId="630FA6FD" w14:textId="77777777" w:rsidR="00901418" w:rsidRPr="00B14CC2" w:rsidRDefault="00901418" w:rsidP="009A00F5">
            <w:pPr>
              <w:spacing w:after="0" w:line="240" w:lineRule="auto"/>
              <w:jc w:val="center"/>
              <w:rPr>
                <w:rFonts w:asciiTheme="majorBidi" w:eastAsia="Times New Roman" w:hAnsiTheme="majorBidi" w:cstheme="majorBidi"/>
                <w:sz w:val="20"/>
                <w:szCs w:val="20"/>
                <w14:ligatures w14:val="none"/>
              </w:rPr>
            </w:pPr>
            <w:r w:rsidRPr="00B14CC2">
              <w:rPr>
                <w:rFonts w:asciiTheme="majorBidi" w:eastAsia="Times New Roman" w:hAnsiTheme="majorBidi" w:cstheme="majorBidi"/>
                <w:color w:val="000000"/>
                <w:sz w:val="20"/>
                <w:szCs w:val="20"/>
                <w14:ligatures w14:val="none"/>
              </w:rPr>
              <w:t>ACN</w:t>
            </w:r>
          </w:p>
        </w:tc>
        <w:tc>
          <w:tcPr>
            <w:tcW w:w="0" w:type="auto"/>
            <w:tcBorders>
              <w:top w:val="nil"/>
              <w:left w:val="nil"/>
              <w:bottom w:val="thinThickSmallGap" w:sz="24" w:space="0" w:color="auto"/>
            </w:tcBorders>
            <w:shd w:val="clear" w:color="auto" w:fill="auto"/>
            <w:noWrap/>
            <w:vAlign w:val="center"/>
          </w:tcPr>
          <w:p w14:paraId="6A86114C" w14:textId="77777777" w:rsidR="00901418" w:rsidRPr="00B14CC2" w:rsidRDefault="00901418" w:rsidP="009A00F5">
            <w:pPr>
              <w:spacing w:after="0" w:line="240" w:lineRule="auto"/>
              <w:jc w:val="center"/>
              <w:rPr>
                <w:rFonts w:asciiTheme="majorBidi" w:eastAsia="Times New Roman" w:hAnsiTheme="majorBidi" w:cstheme="majorBidi"/>
                <w:color w:val="000000"/>
                <w:sz w:val="20"/>
                <w:szCs w:val="20"/>
                <w14:ligatures w14:val="none"/>
              </w:rPr>
            </w:pPr>
            <w:r w:rsidRPr="00B14CC2">
              <w:rPr>
                <w:rFonts w:asciiTheme="majorBidi" w:eastAsia="Times New Roman" w:hAnsiTheme="majorBidi" w:cstheme="majorBidi"/>
                <w:color w:val="000000"/>
                <w:sz w:val="20"/>
                <w:szCs w:val="20"/>
                <w14:ligatures w14:val="none"/>
              </w:rPr>
              <w:t>2.4</w:t>
            </w:r>
          </w:p>
        </w:tc>
        <w:tc>
          <w:tcPr>
            <w:tcW w:w="0" w:type="auto"/>
            <w:tcBorders>
              <w:top w:val="nil"/>
              <w:left w:val="nil"/>
              <w:bottom w:val="thinThickSmallGap" w:sz="24" w:space="0" w:color="auto"/>
            </w:tcBorders>
            <w:shd w:val="clear" w:color="auto" w:fill="auto"/>
            <w:noWrap/>
            <w:vAlign w:val="center"/>
          </w:tcPr>
          <w:p w14:paraId="34528533" w14:textId="77777777" w:rsidR="00901418" w:rsidRPr="00B14CC2" w:rsidRDefault="00901418" w:rsidP="009A00F5">
            <w:pPr>
              <w:spacing w:after="0" w:line="240" w:lineRule="auto"/>
              <w:jc w:val="center"/>
              <w:rPr>
                <w:rFonts w:asciiTheme="majorBidi" w:eastAsia="Times New Roman" w:hAnsiTheme="majorBidi" w:cstheme="majorBidi"/>
                <w:color w:val="000000"/>
                <w:sz w:val="20"/>
                <w:szCs w:val="20"/>
                <w14:ligatures w14:val="none"/>
              </w:rPr>
            </w:pPr>
            <w:r w:rsidRPr="00B14CC2">
              <w:rPr>
                <w:rFonts w:asciiTheme="majorBidi" w:hAnsiTheme="majorBidi" w:cstheme="majorBidi"/>
                <w:sz w:val="20"/>
                <w:szCs w:val="20"/>
              </w:rPr>
              <w:t>98</w:t>
            </w:r>
          </w:p>
        </w:tc>
        <w:tc>
          <w:tcPr>
            <w:tcW w:w="0" w:type="auto"/>
            <w:tcBorders>
              <w:top w:val="nil"/>
              <w:left w:val="nil"/>
              <w:bottom w:val="thinThickSmallGap" w:sz="24" w:space="0" w:color="auto"/>
            </w:tcBorders>
            <w:shd w:val="clear" w:color="auto" w:fill="auto"/>
            <w:noWrap/>
            <w:vAlign w:val="center"/>
          </w:tcPr>
          <w:p w14:paraId="5CCCC147" w14:textId="77777777" w:rsidR="00901418" w:rsidRPr="00B14CC2" w:rsidRDefault="00901418" w:rsidP="009A00F5">
            <w:pPr>
              <w:spacing w:after="0" w:line="240" w:lineRule="auto"/>
              <w:jc w:val="center"/>
              <w:rPr>
                <w:rFonts w:asciiTheme="majorBidi" w:eastAsia="Times New Roman" w:hAnsiTheme="majorBidi" w:cstheme="majorBidi"/>
                <w:color w:val="000000"/>
                <w:sz w:val="20"/>
                <w:szCs w:val="20"/>
                <w14:ligatures w14:val="none"/>
              </w:rPr>
            </w:pPr>
            <w:r w:rsidRPr="00B14CC2">
              <w:rPr>
                <w:rFonts w:asciiTheme="majorBidi" w:hAnsiTheme="majorBidi" w:cstheme="majorBidi"/>
                <w:sz w:val="20"/>
                <w:szCs w:val="20"/>
              </w:rPr>
              <w:t>81</w:t>
            </w:r>
          </w:p>
        </w:tc>
        <w:tc>
          <w:tcPr>
            <w:tcW w:w="0" w:type="auto"/>
            <w:tcBorders>
              <w:top w:val="nil"/>
              <w:left w:val="nil"/>
              <w:bottom w:val="thinThickSmallGap" w:sz="24" w:space="0" w:color="auto"/>
            </w:tcBorders>
            <w:shd w:val="clear" w:color="auto" w:fill="auto"/>
            <w:noWrap/>
            <w:vAlign w:val="center"/>
          </w:tcPr>
          <w:p w14:paraId="361FB322" w14:textId="77777777" w:rsidR="00901418" w:rsidRPr="00B14CC2" w:rsidRDefault="00901418" w:rsidP="009A00F5">
            <w:pPr>
              <w:spacing w:after="0" w:line="240" w:lineRule="auto"/>
              <w:jc w:val="center"/>
              <w:rPr>
                <w:rFonts w:asciiTheme="majorBidi" w:eastAsia="Times New Roman" w:hAnsiTheme="majorBidi" w:cstheme="majorBidi"/>
                <w:color w:val="000000"/>
                <w:sz w:val="20"/>
                <w:szCs w:val="20"/>
                <w14:ligatures w14:val="none"/>
              </w:rPr>
            </w:pPr>
            <w:r w:rsidRPr="00B14CC2">
              <w:rPr>
                <w:rFonts w:asciiTheme="majorBidi" w:hAnsiTheme="majorBidi" w:cstheme="majorBidi"/>
                <w:sz w:val="20"/>
                <w:szCs w:val="20"/>
              </w:rPr>
              <w:t>19</w:t>
            </w:r>
          </w:p>
        </w:tc>
        <w:tc>
          <w:tcPr>
            <w:tcW w:w="0" w:type="auto"/>
            <w:tcBorders>
              <w:top w:val="nil"/>
              <w:left w:val="nil"/>
              <w:bottom w:val="thinThickSmallGap" w:sz="24" w:space="0" w:color="auto"/>
            </w:tcBorders>
            <w:shd w:val="clear" w:color="auto" w:fill="auto"/>
            <w:vAlign w:val="center"/>
          </w:tcPr>
          <w:p w14:paraId="7928003B" w14:textId="77777777" w:rsidR="00901418" w:rsidRPr="00B14CC2" w:rsidRDefault="00901418" w:rsidP="009A00F5">
            <w:pPr>
              <w:spacing w:after="0" w:line="240" w:lineRule="auto"/>
              <w:jc w:val="center"/>
              <w:rPr>
                <w:rFonts w:asciiTheme="majorBidi" w:eastAsia="Times New Roman" w:hAnsiTheme="majorBidi" w:cstheme="majorBidi"/>
                <w:color w:val="000000"/>
                <w:sz w:val="20"/>
                <w:szCs w:val="20"/>
                <w14:ligatures w14:val="none"/>
              </w:rPr>
            </w:pPr>
            <w:r w:rsidRPr="00B14CC2">
              <w:rPr>
                <w:rFonts w:asciiTheme="majorBidi" w:hAnsiTheme="majorBidi" w:cstheme="majorBidi"/>
                <w:sz w:val="20"/>
                <w:szCs w:val="20"/>
              </w:rPr>
              <w:t>79</w:t>
            </w:r>
          </w:p>
        </w:tc>
      </w:tr>
    </w:tbl>
    <w:p w14:paraId="4FE77FCB" w14:textId="6C666286" w:rsidR="00B14CC2" w:rsidRPr="00817596" w:rsidRDefault="00B14CC2" w:rsidP="00AD7DFC">
      <w:pPr>
        <w:spacing w:line="240" w:lineRule="auto"/>
        <w:jc w:val="both"/>
        <w:rPr>
          <w:rFonts w:ascii="Times New Roman" w:hAnsi="Times New Roman" w:cs="Times New Roman"/>
          <w:sz w:val="18"/>
          <w:szCs w:val="18"/>
        </w:rPr>
      </w:pPr>
      <w:r w:rsidRPr="00A505AF">
        <w:rPr>
          <w:rFonts w:ascii="Times New Roman" w:hAnsi="Times New Roman" w:cs="Times New Roman"/>
          <w:sz w:val="18"/>
          <w:szCs w:val="18"/>
        </w:rPr>
        <w:t xml:space="preserve">Reaction conditions: </w:t>
      </w:r>
      <w:r w:rsidR="009A69D0" w:rsidRPr="00817596">
        <w:rPr>
          <w:rFonts w:ascii="Times New Roman" w:hAnsi="Times New Roman" w:cs="Times New Roman"/>
          <w:sz w:val="18"/>
          <w:szCs w:val="18"/>
        </w:rPr>
        <w:t xml:space="preserve">FDME (0.54 M) in </w:t>
      </w:r>
      <w:r w:rsidR="00595EB9" w:rsidRPr="00817596">
        <w:rPr>
          <w:rFonts w:ascii="Times New Roman" w:hAnsi="Times New Roman" w:cs="Times New Roman"/>
          <w:sz w:val="18"/>
          <w:szCs w:val="18"/>
        </w:rPr>
        <w:t>2-</w:t>
      </w:r>
      <w:r w:rsidR="009A69D0" w:rsidRPr="00817596">
        <w:rPr>
          <w:rFonts w:ascii="Times New Roman" w:hAnsi="Times New Roman" w:cs="Times New Roman"/>
          <w:sz w:val="18"/>
          <w:szCs w:val="18"/>
        </w:rPr>
        <w:t>MeTHF 125 mg supported catalyst</w:t>
      </w:r>
      <w:r w:rsidR="00817596">
        <w:rPr>
          <w:rFonts w:ascii="Times New Roman" w:hAnsi="Times New Roman" w:cs="Times New Roman"/>
          <w:sz w:val="18"/>
          <w:szCs w:val="18"/>
        </w:rPr>
        <w:t xml:space="preserve">; </w:t>
      </w:r>
      <w:r w:rsidR="00817596" w:rsidRPr="00115D5D">
        <w:rPr>
          <w:rFonts w:ascii="Times New Roman" w:hAnsi="Times New Roman" w:cs="Times New Roman"/>
          <w:sz w:val="18"/>
          <w:szCs w:val="18"/>
        </w:rPr>
        <w:t>Conversion, selectivity and yields were evaluated via proton NMR</w:t>
      </w:r>
      <w:r w:rsidR="00817596">
        <w:rPr>
          <w:rFonts w:ascii="Times New Roman" w:hAnsi="Times New Roman" w:cs="Times New Roman"/>
          <w:sz w:val="18"/>
          <w:szCs w:val="18"/>
        </w:rPr>
        <w:t>.</w:t>
      </w:r>
    </w:p>
    <w:p w14:paraId="085FD0EE" w14:textId="2F09BB4E" w:rsidR="00EB0453" w:rsidRPr="00F95723" w:rsidRDefault="00231C14" w:rsidP="00F95723">
      <w:pPr>
        <w:spacing w:line="480" w:lineRule="auto"/>
        <w:jc w:val="both"/>
        <w:rPr>
          <w:rFonts w:ascii="Times New Roman" w:hAnsi="Times New Roman" w:cs="Times New Roman"/>
          <w:sz w:val="24"/>
          <w:szCs w:val="24"/>
        </w:rPr>
      </w:pPr>
      <w:r w:rsidRPr="00935CCA">
        <w:rPr>
          <w:rFonts w:ascii="Times New Roman" w:hAnsi="Times New Roman" w:cs="Times New Roman"/>
          <w:sz w:val="24"/>
          <w:szCs w:val="24"/>
        </w:rPr>
        <w:t>Given that the increase in DGF performance did not result in a high level of yield, and the use of a large excess of glycidol is problematic due to the need to separate the excess at the end of the reaction, we shifted our focus to experiments evaluating the effect of temperature</w:t>
      </w:r>
      <w:r w:rsidR="005A01F4">
        <w:rPr>
          <w:rFonts w:ascii="Times New Roman" w:hAnsi="Times New Roman" w:cs="Times New Roman"/>
          <w:sz w:val="24"/>
          <w:szCs w:val="24"/>
        </w:rPr>
        <w:t xml:space="preserve"> u</w:t>
      </w:r>
      <w:r w:rsidRPr="00935CCA">
        <w:rPr>
          <w:rFonts w:ascii="Times New Roman" w:hAnsi="Times New Roman" w:cs="Times New Roman"/>
          <w:sz w:val="24"/>
          <w:szCs w:val="24"/>
        </w:rPr>
        <w:t>sing only 2.4 equivalents of glycidol</w:t>
      </w:r>
      <w:r w:rsidR="005A01F4">
        <w:rPr>
          <w:rFonts w:ascii="Times New Roman" w:hAnsi="Times New Roman" w:cs="Times New Roman"/>
          <w:sz w:val="24"/>
          <w:szCs w:val="24"/>
        </w:rPr>
        <w:t>.</w:t>
      </w:r>
      <w:r w:rsidRPr="00935CCA">
        <w:rPr>
          <w:rFonts w:ascii="Times New Roman" w:hAnsi="Times New Roman" w:cs="Times New Roman"/>
          <w:sz w:val="24"/>
          <w:szCs w:val="24"/>
        </w:rPr>
        <w:t xml:space="preserve"> </w:t>
      </w:r>
      <w:r w:rsidR="005A01F4">
        <w:rPr>
          <w:rFonts w:ascii="Times New Roman" w:hAnsi="Times New Roman" w:cs="Times New Roman"/>
          <w:sz w:val="24"/>
          <w:szCs w:val="24"/>
        </w:rPr>
        <w:t>T</w:t>
      </w:r>
      <w:r w:rsidRPr="00935CCA">
        <w:rPr>
          <w:rFonts w:ascii="Times New Roman" w:hAnsi="Times New Roman" w:cs="Times New Roman"/>
          <w:sz w:val="24"/>
          <w:szCs w:val="24"/>
        </w:rPr>
        <w:t>he reaction was performed at 60</w:t>
      </w:r>
      <w:r w:rsidR="00AD7DFC">
        <w:rPr>
          <w:rFonts w:ascii="Times New Roman" w:hAnsi="Times New Roman" w:cs="Times New Roman"/>
          <w:sz w:val="24"/>
          <w:szCs w:val="24"/>
        </w:rPr>
        <w:t xml:space="preserve"> </w:t>
      </w:r>
      <w:r w:rsidRPr="00935CCA">
        <w:rPr>
          <w:rFonts w:ascii="Times New Roman" w:hAnsi="Times New Roman" w:cs="Times New Roman"/>
          <w:sz w:val="24"/>
          <w:szCs w:val="24"/>
        </w:rPr>
        <w:t>°C and under reflux at 90</w:t>
      </w:r>
      <w:r w:rsidR="00AD7DFC">
        <w:rPr>
          <w:rFonts w:ascii="Times New Roman" w:hAnsi="Times New Roman" w:cs="Times New Roman"/>
          <w:sz w:val="24"/>
          <w:szCs w:val="24"/>
        </w:rPr>
        <w:t xml:space="preserve"> </w:t>
      </w:r>
      <w:r w:rsidRPr="00935CCA">
        <w:rPr>
          <w:rFonts w:ascii="Times New Roman" w:hAnsi="Times New Roman" w:cs="Times New Roman"/>
          <w:sz w:val="24"/>
          <w:szCs w:val="24"/>
        </w:rPr>
        <w:t>°C</w:t>
      </w:r>
      <w:r w:rsidR="005A01F4">
        <w:rPr>
          <w:rFonts w:ascii="Times New Roman" w:hAnsi="Times New Roman" w:cs="Times New Roman"/>
          <w:sz w:val="24"/>
          <w:szCs w:val="24"/>
        </w:rPr>
        <w:t xml:space="preserve"> </w:t>
      </w:r>
      <w:r w:rsidR="005A01F4" w:rsidRPr="00B14CC2">
        <w:rPr>
          <w:rFonts w:ascii="Times New Roman" w:hAnsi="Times New Roman" w:cs="Times New Roman"/>
          <w:sz w:val="24"/>
          <w:szCs w:val="24"/>
        </w:rPr>
        <w:t>(#</w:t>
      </w:r>
      <w:r w:rsidR="0069191A">
        <w:rPr>
          <w:rFonts w:ascii="Times New Roman" w:hAnsi="Times New Roman" w:cs="Times New Roman"/>
          <w:sz w:val="24"/>
          <w:szCs w:val="24"/>
        </w:rPr>
        <w:t>5-6</w:t>
      </w:r>
      <w:r w:rsidR="005A01F4" w:rsidRPr="00B14CC2">
        <w:rPr>
          <w:rFonts w:ascii="Times New Roman" w:hAnsi="Times New Roman" w:cs="Times New Roman"/>
          <w:sz w:val="24"/>
          <w:szCs w:val="24"/>
        </w:rPr>
        <w:t xml:space="preserve">, Table 4). </w:t>
      </w:r>
      <w:r w:rsidRPr="00935CCA">
        <w:rPr>
          <w:rFonts w:ascii="Times New Roman" w:hAnsi="Times New Roman" w:cs="Times New Roman"/>
          <w:sz w:val="24"/>
          <w:szCs w:val="24"/>
        </w:rPr>
        <w:t>The results demonstrated that under reflux, high conversion and a yield of up to 51% could be achieved.</w:t>
      </w:r>
      <w:r w:rsidR="00803F6F">
        <w:rPr>
          <w:rFonts w:ascii="Times New Roman" w:hAnsi="Times New Roman" w:cs="Times New Roman"/>
          <w:sz w:val="24"/>
          <w:szCs w:val="24"/>
        </w:rPr>
        <w:t xml:space="preserve"> </w:t>
      </w:r>
      <w:r w:rsidRPr="00935CCA">
        <w:rPr>
          <w:rFonts w:ascii="Times New Roman" w:hAnsi="Times New Roman" w:cs="Times New Roman"/>
          <w:sz w:val="24"/>
          <w:szCs w:val="24"/>
        </w:rPr>
        <w:t>Finally, the effect of the solvent was evaluated</w:t>
      </w:r>
      <w:r w:rsidR="00803F6F">
        <w:rPr>
          <w:rFonts w:ascii="Times New Roman" w:hAnsi="Times New Roman" w:cs="Times New Roman"/>
          <w:sz w:val="24"/>
          <w:szCs w:val="24"/>
        </w:rPr>
        <w:t xml:space="preserve"> </w:t>
      </w:r>
      <w:r w:rsidR="00803F6F" w:rsidRPr="00B14CC2">
        <w:rPr>
          <w:rFonts w:ascii="Times New Roman" w:hAnsi="Times New Roman" w:cs="Times New Roman"/>
          <w:sz w:val="24"/>
          <w:szCs w:val="24"/>
        </w:rPr>
        <w:t>(#</w:t>
      </w:r>
      <w:r w:rsidR="00803F6F">
        <w:rPr>
          <w:rFonts w:ascii="Times New Roman" w:hAnsi="Times New Roman" w:cs="Times New Roman"/>
          <w:sz w:val="24"/>
          <w:szCs w:val="24"/>
        </w:rPr>
        <w:t>6-</w:t>
      </w:r>
      <w:r w:rsidR="002B28BA">
        <w:rPr>
          <w:rFonts w:ascii="Times New Roman" w:hAnsi="Times New Roman" w:cs="Times New Roman"/>
          <w:sz w:val="24"/>
          <w:szCs w:val="24"/>
        </w:rPr>
        <w:t>7</w:t>
      </w:r>
      <w:r w:rsidR="009B596A">
        <w:rPr>
          <w:rFonts w:ascii="Times New Roman" w:hAnsi="Times New Roman" w:cs="Times New Roman"/>
          <w:sz w:val="24"/>
          <w:szCs w:val="24"/>
        </w:rPr>
        <w:t xml:space="preserve"> and 9</w:t>
      </w:r>
      <w:r w:rsidR="00803F6F" w:rsidRPr="00B14CC2">
        <w:rPr>
          <w:rFonts w:ascii="Times New Roman" w:hAnsi="Times New Roman" w:cs="Times New Roman"/>
          <w:sz w:val="24"/>
          <w:szCs w:val="24"/>
        </w:rPr>
        <w:t>, Table 4).</w:t>
      </w:r>
      <w:r w:rsidRPr="00935CCA">
        <w:rPr>
          <w:rFonts w:ascii="Times New Roman" w:hAnsi="Times New Roman" w:cs="Times New Roman"/>
          <w:sz w:val="24"/>
          <w:szCs w:val="24"/>
        </w:rPr>
        <w:t xml:space="preserve"> </w:t>
      </w:r>
      <w:r w:rsidR="00D978CB" w:rsidRPr="00D978CB">
        <w:rPr>
          <w:rFonts w:ascii="Times New Roman" w:hAnsi="Times New Roman" w:cs="Times New Roman"/>
          <w:sz w:val="24"/>
          <w:szCs w:val="24"/>
        </w:rPr>
        <w:t xml:space="preserve">When </w:t>
      </w:r>
      <w:r w:rsidR="009A0C29">
        <w:rPr>
          <w:rFonts w:ascii="Times New Roman" w:hAnsi="Times New Roman" w:cs="Times New Roman"/>
          <w:sz w:val="24"/>
          <w:szCs w:val="24"/>
        </w:rPr>
        <w:t>acetonitrile (ACN)</w:t>
      </w:r>
      <w:r w:rsidR="00D978CB" w:rsidRPr="00D978CB">
        <w:rPr>
          <w:rFonts w:ascii="Times New Roman" w:hAnsi="Times New Roman" w:cs="Times New Roman"/>
          <w:sz w:val="24"/>
          <w:szCs w:val="24"/>
        </w:rPr>
        <w:t xml:space="preserve"> and CPME were tested as solvents, ACN demonstrated the highest yield, achieving 79% of DGF. By reducing the reaction time to 12 hours in ACN, a yield comparable to that obtained in 2-MeTHF over 24 hours was achieved (#6 vs. #8 and #9, Table 4). These results clearly highlight the significant influence of the solvent on the reaction when SILLP-1 is used as a catalyst. A balance must be established between the reaction's efficiency and the environmental impact of the solvent to optimize the process.</w:t>
      </w:r>
      <w:r w:rsidR="00DC25E8" w:rsidRPr="00DC25E8">
        <w:t xml:space="preserve"> </w:t>
      </w:r>
      <w:r w:rsidR="00DC25E8" w:rsidRPr="00DC25E8">
        <w:rPr>
          <w:rFonts w:ascii="Times New Roman" w:hAnsi="Times New Roman" w:cs="Times New Roman"/>
          <w:sz w:val="24"/>
          <w:szCs w:val="24"/>
        </w:rPr>
        <w:t xml:space="preserve">It should also be noted that the effect of the media depends on the type of catalyst </w:t>
      </w:r>
      <w:r w:rsidR="00DC25E8">
        <w:rPr>
          <w:rFonts w:ascii="Times New Roman" w:hAnsi="Times New Roman" w:cs="Times New Roman"/>
          <w:sz w:val="24"/>
          <w:szCs w:val="24"/>
        </w:rPr>
        <w:t xml:space="preserve">- </w:t>
      </w:r>
      <w:r w:rsidR="00DC25E8" w:rsidRPr="00DC25E8">
        <w:rPr>
          <w:rFonts w:ascii="Times New Roman" w:hAnsi="Times New Roman" w:cs="Times New Roman"/>
          <w:sz w:val="24"/>
          <w:szCs w:val="24"/>
        </w:rPr>
        <w:t>homogeneous or heterogeneous</w:t>
      </w:r>
      <w:r w:rsidR="00DC25E8">
        <w:rPr>
          <w:rFonts w:ascii="Times New Roman" w:hAnsi="Times New Roman" w:cs="Times New Roman"/>
          <w:sz w:val="24"/>
          <w:szCs w:val="24"/>
        </w:rPr>
        <w:t xml:space="preserve"> -</w:t>
      </w:r>
      <w:r w:rsidR="00DC25E8" w:rsidRPr="00DC25E8">
        <w:rPr>
          <w:rFonts w:ascii="Times New Roman" w:hAnsi="Times New Roman" w:cs="Times New Roman"/>
          <w:sz w:val="24"/>
          <w:szCs w:val="24"/>
        </w:rPr>
        <w:t xml:space="preserve"> and the </w:t>
      </w:r>
      <w:r w:rsidR="00DC25E8">
        <w:rPr>
          <w:rFonts w:ascii="Times New Roman" w:hAnsi="Times New Roman" w:cs="Times New Roman"/>
          <w:sz w:val="24"/>
          <w:szCs w:val="24"/>
        </w:rPr>
        <w:t>related catalytic cycle involved</w:t>
      </w:r>
      <w:r w:rsidR="00DC25E8" w:rsidRPr="00DC25E8">
        <w:rPr>
          <w:rFonts w:ascii="Times New Roman" w:hAnsi="Times New Roman" w:cs="Times New Roman"/>
          <w:sz w:val="24"/>
          <w:szCs w:val="24"/>
        </w:rPr>
        <w:t xml:space="preserve">. This </w:t>
      </w:r>
      <w:r w:rsidR="00DC25E8">
        <w:rPr>
          <w:rFonts w:ascii="Times New Roman" w:hAnsi="Times New Roman" w:cs="Times New Roman"/>
          <w:sz w:val="24"/>
          <w:szCs w:val="24"/>
        </w:rPr>
        <w:t>is evident in t</w:t>
      </w:r>
      <w:r w:rsidR="00DC25E8" w:rsidRPr="00DC25E8">
        <w:rPr>
          <w:rFonts w:ascii="Times New Roman" w:hAnsi="Times New Roman" w:cs="Times New Roman"/>
          <w:sz w:val="24"/>
          <w:szCs w:val="24"/>
        </w:rPr>
        <w:t xml:space="preserve">he different </w:t>
      </w:r>
      <w:r w:rsidR="00DC25E8">
        <w:rPr>
          <w:rFonts w:ascii="Times New Roman" w:hAnsi="Times New Roman" w:cs="Times New Roman"/>
          <w:sz w:val="24"/>
          <w:szCs w:val="24"/>
        </w:rPr>
        <w:t>results collected</w:t>
      </w:r>
      <w:r w:rsidR="00DC25E8" w:rsidRPr="00DC25E8">
        <w:rPr>
          <w:rFonts w:ascii="Times New Roman" w:hAnsi="Times New Roman" w:cs="Times New Roman"/>
          <w:sz w:val="24"/>
          <w:szCs w:val="24"/>
        </w:rPr>
        <w:t xml:space="preserve"> in the transesterification when using Et</w:t>
      </w:r>
      <w:r w:rsidR="00DC25E8" w:rsidRPr="00DC25E8">
        <w:rPr>
          <w:rFonts w:ascii="Times New Roman" w:hAnsi="Times New Roman" w:cs="Times New Roman"/>
          <w:sz w:val="24"/>
          <w:szCs w:val="24"/>
          <w:vertAlign w:val="subscript"/>
        </w:rPr>
        <w:t>3</w:t>
      </w:r>
      <w:r w:rsidR="00DC25E8" w:rsidRPr="00DC25E8">
        <w:rPr>
          <w:rFonts w:ascii="Times New Roman" w:hAnsi="Times New Roman" w:cs="Times New Roman"/>
          <w:sz w:val="24"/>
          <w:szCs w:val="24"/>
        </w:rPr>
        <w:t>N and SILLP-1 as promoters</w:t>
      </w:r>
      <w:r w:rsidR="00DC25E8">
        <w:rPr>
          <w:rFonts w:ascii="Times New Roman" w:hAnsi="Times New Roman" w:cs="Times New Roman"/>
          <w:sz w:val="24"/>
          <w:szCs w:val="24"/>
        </w:rPr>
        <w:t xml:space="preserve"> using </w:t>
      </w:r>
      <w:r w:rsidR="009A0C29">
        <w:rPr>
          <w:rFonts w:ascii="Times New Roman" w:hAnsi="Times New Roman" w:cs="Times New Roman"/>
          <w:sz w:val="24"/>
          <w:szCs w:val="24"/>
        </w:rPr>
        <w:t>ACN</w:t>
      </w:r>
      <w:r w:rsidR="00DC25E8">
        <w:rPr>
          <w:rFonts w:ascii="Times New Roman" w:hAnsi="Times New Roman" w:cs="Times New Roman"/>
          <w:sz w:val="24"/>
          <w:szCs w:val="24"/>
        </w:rPr>
        <w:t xml:space="preserve"> or Me-THF as reaction media</w:t>
      </w:r>
      <w:r w:rsidR="00DC25E8" w:rsidRPr="00DC25E8">
        <w:rPr>
          <w:rFonts w:ascii="Times New Roman" w:hAnsi="Times New Roman" w:cs="Times New Roman"/>
          <w:sz w:val="24"/>
          <w:szCs w:val="24"/>
        </w:rPr>
        <w:t>.</w:t>
      </w:r>
    </w:p>
    <w:p w14:paraId="7E1AD956" w14:textId="0E83985E" w:rsidR="00E63CEB" w:rsidRPr="00370B37" w:rsidRDefault="009724B8" w:rsidP="00370B37">
      <w:pPr>
        <w:spacing w:line="480" w:lineRule="auto"/>
        <w:jc w:val="both"/>
        <w:rPr>
          <w:rFonts w:ascii="Times New Roman" w:hAnsi="Times New Roman" w:cs="Times New Roman"/>
          <w:b/>
          <w:bCs/>
          <w:sz w:val="24"/>
          <w:szCs w:val="24"/>
        </w:rPr>
      </w:pPr>
      <w:r w:rsidRPr="00370B37">
        <w:rPr>
          <w:rFonts w:ascii="Times New Roman" w:hAnsi="Times New Roman" w:cs="Times New Roman"/>
          <w:b/>
          <w:bCs/>
          <w:sz w:val="24"/>
          <w:szCs w:val="24"/>
        </w:rPr>
        <w:t>Conclusions</w:t>
      </w:r>
    </w:p>
    <w:p w14:paraId="580A32C4" w14:textId="77777777" w:rsidR="00B914A7" w:rsidRDefault="00B914A7" w:rsidP="0004046A">
      <w:pPr>
        <w:spacing w:line="480" w:lineRule="auto"/>
        <w:jc w:val="both"/>
        <w:rPr>
          <w:rFonts w:ascii="Times New Roman" w:hAnsi="Times New Roman" w:cs="Times New Roman"/>
          <w:sz w:val="24"/>
          <w:szCs w:val="24"/>
        </w:rPr>
      </w:pPr>
      <w:bookmarkStart w:id="17" w:name="_Hlk189814506"/>
      <w:r w:rsidRPr="00B914A7">
        <w:rPr>
          <w:rFonts w:ascii="Times New Roman" w:hAnsi="Times New Roman" w:cs="Times New Roman"/>
          <w:sz w:val="24"/>
          <w:szCs w:val="24"/>
        </w:rPr>
        <w:t xml:space="preserve">In this study, we investigated alternative, eco-friendly synthetic methods for FDCA-based bis-epoxy monomers starting from FDME, utilizing homogeneous, heterogeneous, and enzymatic catalysts without relying on chlorine chemistry. </w:t>
      </w:r>
    </w:p>
    <w:p w14:paraId="0F158993" w14:textId="49532456" w:rsidR="00B914A7" w:rsidRDefault="00B914A7" w:rsidP="00B914A7">
      <w:pPr>
        <w:spacing w:line="480" w:lineRule="auto"/>
        <w:jc w:val="both"/>
        <w:rPr>
          <w:rFonts w:ascii="Times New Roman" w:hAnsi="Times New Roman" w:cs="Times New Roman"/>
          <w:sz w:val="24"/>
          <w:szCs w:val="24"/>
        </w:rPr>
      </w:pPr>
      <w:r w:rsidRPr="00B914A7">
        <w:rPr>
          <w:rFonts w:ascii="Times New Roman" w:hAnsi="Times New Roman" w:cs="Times New Roman"/>
          <w:sz w:val="24"/>
          <w:szCs w:val="24"/>
        </w:rPr>
        <w:t xml:space="preserve">The homogeneous method </w:t>
      </w:r>
      <w:r w:rsidR="009A0C29">
        <w:rPr>
          <w:rFonts w:ascii="Times New Roman" w:hAnsi="Times New Roman" w:cs="Times New Roman"/>
          <w:sz w:val="24"/>
          <w:szCs w:val="24"/>
        </w:rPr>
        <w:t>led to</w:t>
      </w:r>
      <w:r w:rsidRPr="00B914A7">
        <w:rPr>
          <w:rFonts w:ascii="Times New Roman" w:hAnsi="Times New Roman" w:cs="Times New Roman"/>
          <w:sz w:val="24"/>
          <w:szCs w:val="24"/>
        </w:rPr>
        <w:t xml:space="preserve"> the best results, achieving </w:t>
      </w:r>
      <w:r w:rsidR="00EE6F0A">
        <w:rPr>
          <w:rFonts w:ascii="Times New Roman" w:hAnsi="Times New Roman" w:cs="Times New Roman"/>
          <w:sz w:val="24"/>
          <w:szCs w:val="24"/>
        </w:rPr>
        <w:t xml:space="preserve">82% </w:t>
      </w:r>
      <w:r w:rsidRPr="00B914A7">
        <w:rPr>
          <w:rFonts w:ascii="Times New Roman" w:hAnsi="Times New Roman" w:cs="Times New Roman"/>
          <w:sz w:val="24"/>
          <w:szCs w:val="24"/>
        </w:rPr>
        <w:t xml:space="preserve">isolated yield of </w:t>
      </w:r>
      <w:r w:rsidR="00EE6F0A">
        <w:rPr>
          <w:rFonts w:ascii="Times New Roman" w:hAnsi="Times New Roman" w:cs="Times New Roman"/>
          <w:sz w:val="24"/>
          <w:szCs w:val="24"/>
        </w:rPr>
        <w:t>DGF</w:t>
      </w:r>
      <w:r w:rsidRPr="00B914A7">
        <w:rPr>
          <w:rFonts w:ascii="Times New Roman" w:hAnsi="Times New Roman" w:cs="Times New Roman"/>
          <w:sz w:val="24"/>
          <w:szCs w:val="24"/>
        </w:rPr>
        <w:t xml:space="preserve"> from a milligram-scale reaction. This was accomplished with minimal purification after a straightforward transesterification reaction conducted at 60 °C, using Et</w:t>
      </w:r>
      <w:r w:rsidRPr="00B914A7">
        <w:rPr>
          <w:rFonts w:ascii="Times New Roman" w:hAnsi="Times New Roman" w:cs="Times New Roman"/>
          <w:sz w:val="24"/>
          <w:szCs w:val="24"/>
          <w:vertAlign w:val="subscript"/>
        </w:rPr>
        <w:t>3</w:t>
      </w:r>
      <w:r w:rsidRPr="00B914A7">
        <w:rPr>
          <w:rFonts w:ascii="Times New Roman" w:hAnsi="Times New Roman" w:cs="Times New Roman"/>
          <w:sz w:val="24"/>
          <w:szCs w:val="24"/>
        </w:rPr>
        <w:t>N as a catalyst.</w:t>
      </w:r>
      <w:r>
        <w:rPr>
          <w:rFonts w:ascii="Times New Roman" w:hAnsi="Times New Roman" w:cs="Times New Roman"/>
          <w:sz w:val="24"/>
          <w:szCs w:val="24"/>
        </w:rPr>
        <w:t xml:space="preserve"> </w:t>
      </w:r>
      <w:r w:rsidRPr="00B914A7">
        <w:rPr>
          <w:rFonts w:ascii="Times New Roman" w:hAnsi="Times New Roman" w:cs="Times New Roman"/>
          <w:sz w:val="24"/>
          <w:szCs w:val="24"/>
        </w:rPr>
        <w:t xml:space="preserve">Interestingly, the solvent used during the reaction, 2-Me-THF, seemed to form an azeotropic mixture with methanol, which helped drive the reaction forward. However, for gram-scale reactions, </w:t>
      </w:r>
      <w:r w:rsidR="008B0600">
        <w:rPr>
          <w:rFonts w:ascii="Times New Roman" w:hAnsi="Times New Roman" w:cs="Times New Roman"/>
          <w:sz w:val="24"/>
          <w:szCs w:val="24"/>
        </w:rPr>
        <w:t xml:space="preserve">reaction yield </w:t>
      </w:r>
      <w:r w:rsidRPr="00B914A7">
        <w:rPr>
          <w:rFonts w:ascii="Times New Roman" w:hAnsi="Times New Roman" w:cs="Times New Roman"/>
          <w:sz w:val="24"/>
          <w:szCs w:val="24"/>
        </w:rPr>
        <w:t>decreased</w:t>
      </w:r>
      <w:r w:rsidR="008B0600">
        <w:rPr>
          <w:rFonts w:ascii="Times New Roman" w:hAnsi="Times New Roman" w:cs="Times New Roman"/>
          <w:sz w:val="24"/>
          <w:szCs w:val="24"/>
        </w:rPr>
        <w:t xml:space="preserve">, being just </w:t>
      </w:r>
      <w:r w:rsidR="007E7990" w:rsidRPr="00AB2613">
        <w:rPr>
          <w:rFonts w:ascii="Times New Roman" w:hAnsi="Times New Roman" w:cs="Times New Roman"/>
          <w:sz w:val="24"/>
          <w:szCs w:val="24"/>
        </w:rPr>
        <w:t>moderate</w:t>
      </w:r>
      <w:r w:rsidRPr="00B914A7">
        <w:rPr>
          <w:rFonts w:ascii="Times New Roman" w:hAnsi="Times New Roman" w:cs="Times New Roman"/>
          <w:sz w:val="24"/>
          <w:szCs w:val="24"/>
        </w:rPr>
        <w:t xml:space="preserve">. Since this is a thermodynamically driven reaction, there may have been changes beyond our understanding that </w:t>
      </w:r>
      <w:r w:rsidR="00192D5F" w:rsidRPr="00B914A7">
        <w:rPr>
          <w:rFonts w:ascii="Times New Roman" w:hAnsi="Times New Roman" w:cs="Times New Roman"/>
          <w:sz w:val="24"/>
          <w:szCs w:val="24"/>
        </w:rPr>
        <w:t>have affected</w:t>
      </w:r>
      <w:r w:rsidRPr="00B914A7">
        <w:rPr>
          <w:rFonts w:ascii="Times New Roman" w:hAnsi="Times New Roman" w:cs="Times New Roman"/>
          <w:sz w:val="24"/>
          <w:szCs w:val="24"/>
        </w:rPr>
        <w:t xml:space="preserve"> its efficiency. </w:t>
      </w:r>
    </w:p>
    <w:p w14:paraId="05307E02" w14:textId="1E08BEEB" w:rsidR="00B914A7" w:rsidRDefault="00B914A7" w:rsidP="00B914A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results for the homogeneous route were </w:t>
      </w:r>
      <w:r w:rsidR="00192D5F">
        <w:rPr>
          <w:rFonts w:ascii="Times New Roman" w:hAnsi="Times New Roman" w:cs="Times New Roman"/>
          <w:sz w:val="24"/>
          <w:szCs w:val="24"/>
        </w:rPr>
        <w:t xml:space="preserve">then used to develop a </w:t>
      </w:r>
      <w:r w:rsidR="00602967">
        <w:rPr>
          <w:rFonts w:ascii="Times New Roman" w:hAnsi="Times New Roman" w:cs="Times New Roman"/>
          <w:sz w:val="24"/>
          <w:szCs w:val="24"/>
        </w:rPr>
        <w:t xml:space="preserve">heterogeneous catalyst </w:t>
      </w:r>
      <w:r w:rsidR="00EE6F0A">
        <w:rPr>
          <w:rFonts w:ascii="Times New Roman" w:hAnsi="Times New Roman" w:cs="Times New Roman"/>
          <w:sz w:val="24"/>
          <w:szCs w:val="24"/>
        </w:rPr>
        <w:t xml:space="preserve">made by immobilizing </w:t>
      </w:r>
      <w:r w:rsidRPr="00A505AF">
        <w:rPr>
          <w:rFonts w:ascii="Times New Roman" w:hAnsi="Times New Roman" w:cs="Times New Roman"/>
          <w:sz w:val="24"/>
          <w:szCs w:val="24"/>
        </w:rPr>
        <w:t xml:space="preserve">triethylamine and methylpyrrolidine </w:t>
      </w:r>
      <w:r>
        <w:rPr>
          <w:rFonts w:ascii="Times New Roman" w:hAnsi="Times New Roman" w:cs="Times New Roman"/>
          <w:sz w:val="24"/>
          <w:szCs w:val="24"/>
        </w:rPr>
        <w:t xml:space="preserve">on </w:t>
      </w:r>
      <w:r w:rsidR="00EE6F0A">
        <w:rPr>
          <w:rFonts w:ascii="Times New Roman" w:hAnsi="Times New Roman" w:cs="Times New Roman"/>
          <w:sz w:val="24"/>
          <w:szCs w:val="24"/>
        </w:rPr>
        <w:t xml:space="preserve">a </w:t>
      </w:r>
      <w:r w:rsidRPr="00E44371">
        <w:rPr>
          <w:rFonts w:ascii="Times New Roman" w:hAnsi="Times New Roman" w:cs="Times New Roman"/>
          <w:sz w:val="24"/>
          <w:szCs w:val="24"/>
        </w:rPr>
        <w:t>polymeric polystyrene-divinylbenzene (PS-DVB)</w:t>
      </w:r>
      <w:r w:rsidR="00EE6F0A">
        <w:rPr>
          <w:rFonts w:ascii="Times New Roman" w:hAnsi="Times New Roman" w:cs="Times New Roman"/>
          <w:sz w:val="24"/>
          <w:szCs w:val="24"/>
        </w:rPr>
        <w:t xml:space="preserve"> support </w:t>
      </w:r>
      <w:r w:rsidR="00EE6F0A" w:rsidRPr="00A505AF">
        <w:rPr>
          <w:rFonts w:ascii="Times New Roman" w:hAnsi="Times New Roman" w:cs="Times New Roman"/>
          <w:sz w:val="24"/>
          <w:szCs w:val="24"/>
        </w:rPr>
        <w:t>(</w:t>
      </w:r>
      <w:r w:rsidR="00EE6F0A">
        <w:rPr>
          <w:rFonts w:ascii="Times New Roman" w:hAnsi="Times New Roman" w:cs="Times New Roman"/>
          <w:sz w:val="24"/>
          <w:szCs w:val="24"/>
        </w:rPr>
        <w:t>S-Et</w:t>
      </w:r>
      <w:r w:rsidR="00EE6F0A" w:rsidRPr="0076379E">
        <w:rPr>
          <w:rFonts w:ascii="Times New Roman" w:hAnsi="Times New Roman" w:cs="Times New Roman"/>
          <w:sz w:val="24"/>
          <w:szCs w:val="24"/>
          <w:vertAlign w:val="subscript"/>
        </w:rPr>
        <w:t>3</w:t>
      </w:r>
      <w:r w:rsidR="00EE6F0A">
        <w:rPr>
          <w:rFonts w:ascii="Times New Roman" w:hAnsi="Times New Roman" w:cs="Times New Roman"/>
          <w:sz w:val="24"/>
          <w:szCs w:val="24"/>
        </w:rPr>
        <w:t>N and S-NMPy, respectively</w:t>
      </w:r>
      <w:r w:rsidR="00EE6F0A" w:rsidRPr="00A505AF">
        <w:rPr>
          <w:rFonts w:ascii="Times New Roman" w:hAnsi="Times New Roman" w:cs="Times New Roman"/>
          <w:sz w:val="24"/>
          <w:szCs w:val="24"/>
        </w:rPr>
        <w:t>)</w:t>
      </w:r>
      <w:r w:rsidR="000D64E9">
        <w:rPr>
          <w:rFonts w:ascii="Times New Roman" w:hAnsi="Times New Roman" w:cs="Times New Roman"/>
          <w:sz w:val="24"/>
          <w:szCs w:val="24"/>
        </w:rPr>
        <w:t xml:space="preserve">. </w:t>
      </w:r>
      <w:r w:rsidR="000D64E9" w:rsidRPr="000D64E9">
        <w:rPr>
          <w:rFonts w:ascii="Times New Roman" w:hAnsi="Times New Roman" w:cs="Times New Roman"/>
          <w:sz w:val="24"/>
          <w:szCs w:val="24"/>
        </w:rPr>
        <w:t>However, their activity was significantly reduced compared to the homogeneous process, with conversions of only 63% for S-Et</w:t>
      </w:r>
      <w:r w:rsidR="000D64E9" w:rsidRPr="00192D5F">
        <w:rPr>
          <w:rFonts w:ascii="Times New Roman" w:hAnsi="Times New Roman" w:cs="Times New Roman"/>
          <w:sz w:val="24"/>
          <w:szCs w:val="24"/>
          <w:vertAlign w:val="subscript"/>
        </w:rPr>
        <w:t>3</w:t>
      </w:r>
      <w:r w:rsidR="000D64E9" w:rsidRPr="000D64E9">
        <w:rPr>
          <w:rFonts w:ascii="Times New Roman" w:hAnsi="Times New Roman" w:cs="Times New Roman"/>
          <w:sz w:val="24"/>
          <w:szCs w:val="24"/>
        </w:rPr>
        <w:t>N and 38% for S-NMPy.</w:t>
      </w:r>
    </w:p>
    <w:p w14:paraId="11543A4A" w14:textId="294E444D" w:rsidR="00755E65" w:rsidRDefault="000D64E9" w:rsidP="00B914A7">
      <w:pPr>
        <w:spacing w:line="480" w:lineRule="auto"/>
        <w:jc w:val="both"/>
        <w:rPr>
          <w:rFonts w:ascii="Times New Roman" w:hAnsi="Times New Roman" w:cs="Times New Roman"/>
          <w:sz w:val="24"/>
          <w:szCs w:val="24"/>
        </w:rPr>
      </w:pPr>
      <w:r>
        <w:rPr>
          <w:rFonts w:ascii="Times New Roman" w:hAnsi="Times New Roman" w:cs="Times New Roman"/>
          <w:sz w:val="24"/>
          <w:szCs w:val="24"/>
        </w:rPr>
        <w:t>C</w:t>
      </w:r>
      <w:r w:rsidRPr="000D64E9">
        <w:rPr>
          <w:rFonts w:ascii="Times New Roman" w:hAnsi="Times New Roman" w:cs="Times New Roman"/>
          <w:sz w:val="24"/>
          <w:szCs w:val="24"/>
        </w:rPr>
        <w:t>hemo-enzymatic</w:t>
      </w:r>
      <w:r>
        <w:rPr>
          <w:rFonts w:ascii="Times New Roman" w:hAnsi="Times New Roman" w:cs="Times New Roman"/>
          <w:sz w:val="24"/>
          <w:szCs w:val="24"/>
        </w:rPr>
        <w:t xml:space="preserve"> route was then explored</w:t>
      </w:r>
      <w:r w:rsidR="00EE6F0A">
        <w:rPr>
          <w:rFonts w:ascii="Times New Roman" w:hAnsi="Times New Roman" w:cs="Times New Roman"/>
          <w:sz w:val="24"/>
          <w:szCs w:val="24"/>
        </w:rPr>
        <w:t>.</w:t>
      </w:r>
      <w:r>
        <w:rPr>
          <w:rFonts w:ascii="Times New Roman" w:hAnsi="Times New Roman" w:cs="Times New Roman"/>
          <w:sz w:val="24"/>
          <w:szCs w:val="24"/>
        </w:rPr>
        <w:t xml:space="preserve"> </w:t>
      </w:r>
      <w:r w:rsidRPr="00451512">
        <w:rPr>
          <w:rFonts w:ascii="Times New Roman" w:hAnsi="Times New Roman" w:cs="Times New Roman"/>
          <w:i/>
          <w:iCs/>
          <w:sz w:val="24"/>
          <w:szCs w:val="24"/>
        </w:rPr>
        <w:t>Candida antarctica</w:t>
      </w:r>
      <w:r w:rsidRPr="00A505AF">
        <w:rPr>
          <w:rFonts w:ascii="Times New Roman" w:hAnsi="Times New Roman" w:cs="Times New Roman"/>
          <w:sz w:val="24"/>
          <w:szCs w:val="24"/>
        </w:rPr>
        <w:t xml:space="preserve"> lipase B (CALB)</w:t>
      </w:r>
      <w:r>
        <w:rPr>
          <w:rFonts w:ascii="Times New Roman" w:hAnsi="Times New Roman" w:cs="Times New Roman"/>
          <w:sz w:val="24"/>
          <w:szCs w:val="24"/>
        </w:rPr>
        <w:t xml:space="preserve"> </w:t>
      </w:r>
      <w:r w:rsidR="000C306A">
        <w:rPr>
          <w:rFonts w:ascii="Times New Roman" w:hAnsi="Times New Roman" w:cs="Times New Roman"/>
          <w:sz w:val="24"/>
          <w:szCs w:val="24"/>
        </w:rPr>
        <w:t xml:space="preserve">was </w:t>
      </w:r>
      <w:r>
        <w:rPr>
          <w:rFonts w:ascii="Times New Roman" w:hAnsi="Times New Roman" w:cs="Times New Roman"/>
          <w:sz w:val="24"/>
          <w:szCs w:val="24"/>
        </w:rPr>
        <w:t xml:space="preserve">supported on </w:t>
      </w:r>
      <w:r w:rsidRPr="00A505AF">
        <w:rPr>
          <w:rFonts w:ascii="Times New Roman" w:hAnsi="Times New Roman" w:cs="Times New Roman"/>
          <w:sz w:val="24"/>
          <w:szCs w:val="24"/>
        </w:rPr>
        <w:t xml:space="preserve">several </w:t>
      </w:r>
      <w:r>
        <w:rPr>
          <w:rFonts w:ascii="Times New Roman" w:hAnsi="Times New Roman" w:cs="Times New Roman"/>
          <w:sz w:val="24"/>
          <w:szCs w:val="24"/>
        </w:rPr>
        <w:t xml:space="preserve">SILLPs </w:t>
      </w:r>
      <w:r w:rsidR="000C306A" w:rsidRPr="00A505AF">
        <w:rPr>
          <w:rFonts w:ascii="Times New Roman" w:hAnsi="Times New Roman" w:cs="Times New Roman"/>
          <w:sz w:val="24"/>
          <w:szCs w:val="24"/>
        </w:rPr>
        <w:t xml:space="preserve">based on gel-type or microporous polymeric polystyrene-divinylbenzene (PS-DVB) </w:t>
      </w:r>
      <w:r w:rsidR="000C306A">
        <w:rPr>
          <w:rFonts w:ascii="Times New Roman" w:hAnsi="Times New Roman" w:cs="Times New Roman"/>
          <w:sz w:val="24"/>
          <w:szCs w:val="24"/>
        </w:rPr>
        <w:t xml:space="preserve">and </w:t>
      </w:r>
      <w:r>
        <w:rPr>
          <w:rFonts w:ascii="Times New Roman" w:hAnsi="Times New Roman" w:cs="Times New Roman"/>
          <w:sz w:val="24"/>
          <w:szCs w:val="24"/>
        </w:rPr>
        <w:t xml:space="preserve">bearing different </w:t>
      </w:r>
      <w:r w:rsidRPr="00A505AF">
        <w:rPr>
          <w:rFonts w:ascii="Times New Roman" w:hAnsi="Times New Roman" w:cs="Times New Roman"/>
          <w:sz w:val="24"/>
          <w:szCs w:val="24"/>
        </w:rPr>
        <w:t>alkyl imidazolium moieties</w:t>
      </w:r>
      <w:r w:rsidR="000C306A">
        <w:rPr>
          <w:rFonts w:ascii="Times New Roman" w:hAnsi="Times New Roman" w:cs="Times New Roman"/>
          <w:sz w:val="24"/>
          <w:szCs w:val="24"/>
        </w:rPr>
        <w:t xml:space="preserve">. </w:t>
      </w:r>
      <w:r w:rsidR="006C39E3">
        <w:rPr>
          <w:rFonts w:ascii="Times New Roman" w:hAnsi="Times New Roman" w:cs="Times New Roman"/>
          <w:sz w:val="24"/>
          <w:szCs w:val="24"/>
        </w:rPr>
        <w:t>A</w:t>
      </w:r>
      <w:r w:rsidR="007A4FFA" w:rsidRPr="007A4FFA">
        <w:rPr>
          <w:rFonts w:ascii="Times New Roman" w:hAnsi="Times New Roman" w:cs="Times New Roman"/>
          <w:sz w:val="24"/>
          <w:szCs w:val="24"/>
        </w:rPr>
        <w:t>ll biocatalysts</w:t>
      </w:r>
      <w:r w:rsidR="006C39E3">
        <w:rPr>
          <w:rFonts w:ascii="Times New Roman" w:hAnsi="Times New Roman" w:cs="Times New Roman"/>
          <w:sz w:val="24"/>
          <w:szCs w:val="24"/>
        </w:rPr>
        <w:t xml:space="preserve"> tested</w:t>
      </w:r>
      <w:r w:rsidR="007A4FFA" w:rsidRPr="007A4FFA">
        <w:rPr>
          <w:rFonts w:ascii="Times New Roman" w:hAnsi="Times New Roman" w:cs="Times New Roman"/>
          <w:sz w:val="24"/>
          <w:szCs w:val="24"/>
        </w:rPr>
        <w:t xml:space="preserve">, regardless of the type of support, produced </w:t>
      </w:r>
      <w:r w:rsidR="006C39E3">
        <w:rPr>
          <w:rFonts w:ascii="Times New Roman" w:hAnsi="Times New Roman" w:cs="Times New Roman"/>
          <w:sz w:val="24"/>
          <w:szCs w:val="24"/>
        </w:rPr>
        <w:t xml:space="preserve">FDME </w:t>
      </w:r>
      <w:r w:rsidR="007A4FFA" w:rsidRPr="007A4FFA">
        <w:rPr>
          <w:rFonts w:ascii="Times New Roman" w:hAnsi="Times New Roman" w:cs="Times New Roman"/>
          <w:sz w:val="24"/>
          <w:szCs w:val="24"/>
        </w:rPr>
        <w:t>conversions from 56</w:t>
      </w:r>
      <w:r w:rsidR="006C39E3">
        <w:rPr>
          <w:rFonts w:ascii="Times New Roman" w:hAnsi="Times New Roman" w:cs="Times New Roman"/>
          <w:sz w:val="24"/>
          <w:szCs w:val="24"/>
        </w:rPr>
        <w:t xml:space="preserve"> to</w:t>
      </w:r>
      <w:r w:rsidR="00B26D3E">
        <w:rPr>
          <w:rFonts w:ascii="Times New Roman" w:hAnsi="Times New Roman" w:cs="Times New Roman"/>
          <w:sz w:val="24"/>
          <w:szCs w:val="24"/>
        </w:rPr>
        <w:t xml:space="preserve"> </w:t>
      </w:r>
      <w:r w:rsidR="007A4FFA" w:rsidRPr="007A4FFA">
        <w:rPr>
          <w:rFonts w:ascii="Times New Roman" w:hAnsi="Times New Roman" w:cs="Times New Roman"/>
          <w:sz w:val="24"/>
          <w:szCs w:val="24"/>
        </w:rPr>
        <w:t>72%</w:t>
      </w:r>
      <w:r w:rsidR="00F0033C">
        <w:rPr>
          <w:rFonts w:ascii="Times New Roman" w:hAnsi="Times New Roman" w:cs="Times New Roman"/>
          <w:sz w:val="24"/>
          <w:szCs w:val="24"/>
        </w:rPr>
        <w:t>,</w:t>
      </w:r>
      <w:r w:rsidR="007A4FFA" w:rsidRPr="007A4FFA">
        <w:rPr>
          <w:rFonts w:ascii="Times New Roman" w:hAnsi="Times New Roman" w:cs="Times New Roman"/>
          <w:sz w:val="24"/>
          <w:szCs w:val="24"/>
        </w:rPr>
        <w:t xml:space="preserve"> with a preference for the mono-substituted ester.</w:t>
      </w:r>
      <w:r w:rsidR="003C5BD7">
        <w:rPr>
          <w:rFonts w:ascii="Times New Roman" w:hAnsi="Times New Roman" w:cs="Times New Roman"/>
          <w:sz w:val="24"/>
          <w:szCs w:val="24"/>
        </w:rPr>
        <w:t xml:space="preserve"> </w:t>
      </w:r>
      <w:r w:rsidR="006C39E3">
        <w:rPr>
          <w:rFonts w:ascii="Times New Roman" w:hAnsi="Times New Roman" w:cs="Times New Roman"/>
          <w:sz w:val="24"/>
          <w:szCs w:val="24"/>
        </w:rPr>
        <w:t>T</w:t>
      </w:r>
      <w:r w:rsidR="003C5BD7" w:rsidRPr="003C5BD7">
        <w:rPr>
          <w:rFonts w:ascii="Times New Roman" w:hAnsi="Times New Roman" w:cs="Times New Roman"/>
          <w:sz w:val="24"/>
          <w:szCs w:val="24"/>
        </w:rPr>
        <w:t>he best catalytic performance was observed with CALB immobilized onto gel-type support bearing a butyl substituent</w:t>
      </w:r>
      <w:r w:rsidR="00266871">
        <w:rPr>
          <w:rFonts w:ascii="Times New Roman" w:hAnsi="Times New Roman" w:cs="Times New Roman"/>
          <w:sz w:val="24"/>
          <w:szCs w:val="24"/>
        </w:rPr>
        <w:t xml:space="preserve">. </w:t>
      </w:r>
      <w:r w:rsidR="00F0033C">
        <w:rPr>
          <w:rFonts w:ascii="Times New Roman" w:hAnsi="Times New Roman" w:cs="Times New Roman"/>
          <w:sz w:val="24"/>
          <w:szCs w:val="24"/>
        </w:rPr>
        <w:t>Interestingly</w:t>
      </w:r>
      <w:r w:rsidR="006C39E3">
        <w:rPr>
          <w:rFonts w:ascii="Times New Roman" w:hAnsi="Times New Roman" w:cs="Times New Roman"/>
          <w:sz w:val="24"/>
          <w:szCs w:val="24"/>
        </w:rPr>
        <w:t>,</w:t>
      </w:r>
      <w:r w:rsidR="00F0033C">
        <w:rPr>
          <w:rFonts w:ascii="Times New Roman" w:hAnsi="Times New Roman" w:cs="Times New Roman"/>
          <w:sz w:val="24"/>
          <w:szCs w:val="24"/>
        </w:rPr>
        <w:t xml:space="preserve"> the reaction </w:t>
      </w:r>
      <w:r w:rsidR="00F0033C" w:rsidRPr="00F0033C">
        <w:rPr>
          <w:rFonts w:ascii="Times New Roman" w:hAnsi="Times New Roman" w:cs="Times New Roman"/>
          <w:sz w:val="24"/>
          <w:szCs w:val="24"/>
        </w:rPr>
        <w:t xml:space="preserve">proceeded </w:t>
      </w:r>
      <w:r w:rsidR="00AE6DA7" w:rsidRPr="00F0033C">
        <w:rPr>
          <w:rFonts w:ascii="Times New Roman" w:hAnsi="Times New Roman" w:cs="Times New Roman"/>
          <w:sz w:val="24"/>
          <w:szCs w:val="24"/>
        </w:rPr>
        <w:t xml:space="preserve">similarly without the </w:t>
      </w:r>
      <w:r w:rsidR="00F0033C" w:rsidRPr="00F0033C">
        <w:rPr>
          <w:rFonts w:ascii="Times New Roman" w:hAnsi="Times New Roman" w:cs="Times New Roman"/>
          <w:sz w:val="24"/>
          <w:szCs w:val="24"/>
        </w:rPr>
        <w:t xml:space="preserve">supported </w:t>
      </w:r>
      <w:r w:rsidR="00AE6DA7" w:rsidRPr="00F0033C">
        <w:rPr>
          <w:rFonts w:ascii="Times New Roman" w:hAnsi="Times New Roman" w:cs="Times New Roman"/>
          <w:sz w:val="24"/>
          <w:szCs w:val="24"/>
        </w:rPr>
        <w:t>enzyme suggest</w:t>
      </w:r>
      <w:r w:rsidR="006C39E3">
        <w:rPr>
          <w:rFonts w:ascii="Times New Roman" w:hAnsi="Times New Roman" w:cs="Times New Roman"/>
          <w:sz w:val="24"/>
          <w:szCs w:val="24"/>
        </w:rPr>
        <w:t>ing</w:t>
      </w:r>
      <w:r w:rsidR="00AE6DA7" w:rsidRPr="00F0033C">
        <w:rPr>
          <w:rFonts w:ascii="Times New Roman" w:hAnsi="Times New Roman" w:cs="Times New Roman"/>
          <w:sz w:val="24"/>
          <w:szCs w:val="24"/>
        </w:rPr>
        <w:t xml:space="preserve"> that the ionic liquid-like phase on the resin is not just a passive support but actively participates in the catalysis.</w:t>
      </w:r>
    </w:p>
    <w:p w14:paraId="2E003462" w14:textId="61587E41" w:rsidR="00DB796A" w:rsidRDefault="00DB796A" w:rsidP="00B914A7">
      <w:pPr>
        <w:spacing w:line="480" w:lineRule="auto"/>
        <w:jc w:val="both"/>
        <w:rPr>
          <w:rFonts w:ascii="Times New Roman" w:hAnsi="Times New Roman" w:cs="Times New Roman"/>
          <w:sz w:val="24"/>
          <w:szCs w:val="24"/>
        </w:rPr>
      </w:pPr>
      <w:r>
        <w:rPr>
          <w:rFonts w:ascii="Times New Roman" w:hAnsi="Times New Roman" w:cs="Times New Roman"/>
          <w:sz w:val="24"/>
          <w:szCs w:val="24"/>
        </w:rPr>
        <w:t>T</w:t>
      </w:r>
      <w:r w:rsidRPr="00DB796A">
        <w:rPr>
          <w:rFonts w:ascii="Times New Roman" w:hAnsi="Times New Roman" w:cs="Times New Roman"/>
          <w:sz w:val="24"/>
          <w:szCs w:val="24"/>
        </w:rPr>
        <w:t>he catalytic performance of butyl imidazolium chloride SILLP was found to be superior to that of supported alkyl ammonium salts</w:t>
      </w:r>
      <w:r>
        <w:rPr>
          <w:rFonts w:ascii="Times New Roman" w:hAnsi="Times New Roman" w:cs="Times New Roman"/>
          <w:sz w:val="24"/>
          <w:szCs w:val="24"/>
        </w:rPr>
        <w:t xml:space="preserve"> and </w:t>
      </w:r>
      <w:r w:rsidRPr="00D92E33">
        <w:rPr>
          <w:rFonts w:ascii="Times New Roman" w:hAnsi="Times New Roman" w:cs="Times New Roman"/>
          <w:sz w:val="24"/>
          <w:szCs w:val="24"/>
        </w:rPr>
        <w:t xml:space="preserve">catalysts incorporating different Brønsted and Lewis acid sites within the supported ionic liquids </w:t>
      </w:r>
      <w:r w:rsidRPr="00DB796A">
        <w:rPr>
          <w:rFonts w:ascii="Times New Roman" w:hAnsi="Times New Roman" w:cs="Times New Roman"/>
          <w:sz w:val="24"/>
          <w:szCs w:val="24"/>
        </w:rPr>
        <w:t>in the production of DGF, showing higher conversion rates and yields.</w:t>
      </w:r>
      <w:r>
        <w:rPr>
          <w:rFonts w:ascii="Times New Roman" w:hAnsi="Times New Roman" w:cs="Times New Roman"/>
          <w:sz w:val="24"/>
          <w:szCs w:val="24"/>
        </w:rPr>
        <w:t xml:space="preserve"> </w:t>
      </w:r>
      <w:r w:rsidRPr="00DB796A">
        <w:rPr>
          <w:rFonts w:ascii="Times New Roman" w:hAnsi="Times New Roman" w:cs="Times New Roman"/>
          <w:sz w:val="24"/>
          <w:szCs w:val="24"/>
        </w:rPr>
        <w:t>The stability of butyl imidazolium chloride SILLP was also promising, maintaining consistent catalytic efficiency over 12 consecutive cycles. Efforts to optimize reaction conditions led to the identification of ACN as the solvent with the highest yield, achieving 79% of DGF.</w:t>
      </w:r>
    </w:p>
    <w:p w14:paraId="5E3FB1BB" w14:textId="048F58C4" w:rsidR="00DB796A" w:rsidRDefault="00805328" w:rsidP="00DB796A">
      <w:pPr>
        <w:spacing w:line="480" w:lineRule="auto"/>
        <w:jc w:val="both"/>
        <w:rPr>
          <w:rFonts w:ascii="Times New Roman" w:hAnsi="Times New Roman" w:cs="Times New Roman"/>
          <w:sz w:val="24"/>
          <w:szCs w:val="24"/>
        </w:rPr>
      </w:pPr>
      <w:r>
        <w:rPr>
          <w:rFonts w:ascii="Times New Roman" w:hAnsi="Times New Roman" w:cs="Times New Roman"/>
          <w:sz w:val="24"/>
          <w:szCs w:val="24"/>
        </w:rPr>
        <w:t>In conclusion, we have developed two viables high yielding synthetic approaches to DGF employing either a homogenous (Et</w:t>
      </w:r>
      <w:r w:rsidRPr="00805328">
        <w:rPr>
          <w:rFonts w:ascii="Times New Roman" w:hAnsi="Times New Roman" w:cs="Times New Roman"/>
          <w:sz w:val="24"/>
          <w:szCs w:val="24"/>
          <w:vertAlign w:val="subscript"/>
        </w:rPr>
        <w:t>3</w:t>
      </w:r>
      <w:r>
        <w:rPr>
          <w:rFonts w:ascii="Times New Roman" w:hAnsi="Times New Roman" w:cs="Times New Roman"/>
          <w:sz w:val="24"/>
          <w:szCs w:val="24"/>
        </w:rPr>
        <w:t xml:space="preserve">N) or heterogeneous (SILLP-1) catalyst. </w:t>
      </w:r>
      <w:r w:rsidR="00DB796A" w:rsidRPr="00DB796A">
        <w:rPr>
          <w:rFonts w:ascii="Times New Roman" w:hAnsi="Times New Roman" w:cs="Times New Roman"/>
          <w:sz w:val="24"/>
          <w:szCs w:val="24"/>
        </w:rPr>
        <w:t>This case study underscores the need for further advancements in the development of renewable epoxy monomers through greener catalytic methods, whether homogeneous, heterogeneous, or</w:t>
      </w:r>
      <w:r w:rsidR="00DB796A">
        <w:rPr>
          <w:rFonts w:ascii="Times New Roman" w:hAnsi="Times New Roman" w:cs="Times New Roman"/>
          <w:sz w:val="24"/>
          <w:szCs w:val="24"/>
        </w:rPr>
        <w:t xml:space="preserve"> using</w:t>
      </w:r>
      <w:r w:rsidR="00DB796A" w:rsidRPr="00DB796A">
        <w:rPr>
          <w:rFonts w:ascii="Times New Roman" w:hAnsi="Times New Roman" w:cs="Times New Roman"/>
          <w:sz w:val="24"/>
          <w:szCs w:val="24"/>
        </w:rPr>
        <w:t xml:space="preserve"> biocatalytic</w:t>
      </w:r>
      <w:r w:rsidR="006C39E3">
        <w:rPr>
          <w:rFonts w:ascii="Times New Roman" w:hAnsi="Times New Roman" w:cs="Times New Roman"/>
          <w:sz w:val="24"/>
          <w:szCs w:val="24"/>
        </w:rPr>
        <w:t xml:space="preserve"> methods</w:t>
      </w:r>
      <w:r w:rsidR="00DB796A" w:rsidRPr="00DB796A">
        <w:rPr>
          <w:rFonts w:ascii="Times New Roman" w:hAnsi="Times New Roman" w:cs="Times New Roman"/>
          <w:sz w:val="24"/>
          <w:szCs w:val="24"/>
        </w:rPr>
        <w:t>.</w:t>
      </w:r>
    </w:p>
    <w:p w14:paraId="7F8BC3F1" w14:textId="3A9CD16F" w:rsidR="00FD2C82" w:rsidRDefault="00FD2C82">
      <w:pPr>
        <w:spacing w:after="160" w:line="259" w:lineRule="auto"/>
        <w:rPr>
          <w:rFonts w:ascii="Times New Roman" w:hAnsi="Times New Roman" w:cs="Times New Roman"/>
          <w:sz w:val="24"/>
          <w:szCs w:val="24"/>
        </w:rPr>
      </w:pPr>
      <w:r>
        <w:rPr>
          <w:rFonts w:ascii="Times New Roman" w:hAnsi="Times New Roman" w:cs="Times New Roman"/>
          <w:sz w:val="24"/>
          <w:szCs w:val="24"/>
        </w:rPr>
        <w:br w:type="page"/>
      </w:r>
    </w:p>
    <w:bookmarkEnd w:id="17"/>
    <w:p w14:paraId="3DA4FA94" w14:textId="4EB9C6FE" w:rsidR="002116B5" w:rsidRDefault="002116B5" w:rsidP="00DB796A">
      <w:pPr>
        <w:spacing w:line="480" w:lineRule="auto"/>
        <w:jc w:val="both"/>
        <w:rPr>
          <w:rFonts w:ascii="Times New Roman" w:hAnsi="Times New Roman" w:cs="Times New Roman"/>
          <w:b/>
          <w:bCs/>
          <w:sz w:val="24"/>
          <w:szCs w:val="24"/>
          <w:highlight w:val="yellow"/>
        </w:rPr>
      </w:pPr>
      <w:r w:rsidRPr="00F847DA">
        <w:rPr>
          <w:rFonts w:ascii="Times New Roman" w:hAnsi="Times New Roman" w:cs="Times New Roman"/>
          <w:b/>
          <w:bCs/>
          <w:sz w:val="24"/>
          <w:szCs w:val="24"/>
        </w:rPr>
        <w:t>Author contributions</w:t>
      </w:r>
    </w:p>
    <w:p w14:paraId="49525FFB" w14:textId="65C84324" w:rsidR="00762DAC" w:rsidRDefault="00762DAC" w:rsidP="00DB796A">
      <w:pPr>
        <w:spacing w:line="480" w:lineRule="auto"/>
        <w:jc w:val="both"/>
        <w:rPr>
          <w:rFonts w:ascii="Times New Roman" w:hAnsi="Times New Roman" w:cs="Times New Roman"/>
          <w:sz w:val="24"/>
          <w:szCs w:val="24"/>
        </w:rPr>
      </w:pPr>
      <w:r w:rsidRPr="00762DAC">
        <w:rPr>
          <w:rFonts w:ascii="Times New Roman" w:hAnsi="Times New Roman" w:cs="Times New Roman"/>
          <w:sz w:val="24"/>
          <w:szCs w:val="24"/>
        </w:rPr>
        <w:t xml:space="preserve">Conceptualization, supervision and Writing – review &amp; editing: E. García-Verdugo, F. Aricò; </w:t>
      </w:r>
      <w:r w:rsidR="00F847DA" w:rsidRPr="00F847DA">
        <w:rPr>
          <w:rFonts w:ascii="Times New Roman" w:hAnsi="Times New Roman" w:cs="Times New Roman"/>
          <w:sz w:val="24"/>
          <w:szCs w:val="24"/>
        </w:rPr>
        <w:t>Funding acquisition: E. García-Verdugo, F. Aricò, P. Lozano, N. Martín</w:t>
      </w:r>
      <w:r w:rsidR="00F847DA">
        <w:rPr>
          <w:rFonts w:ascii="Times New Roman" w:hAnsi="Times New Roman" w:cs="Times New Roman"/>
          <w:sz w:val="24"/>
          <w:szCs w:val="24"/>
        </w:rPr>
        <w:t>.</w:t>
      </w:r>
      <w:r w:rsidR="00F847DA" w:rsidRPr="00F847DA">
        <w:rPr>
          <w:rFonts w:ascii="Times New Roman" w:hAnsi="Times New Roman" w:cs="Times New Roman"/>
          <w:sz w:val="24"/>
          <w:szCs w:val="24"/>
        </w:rPr>
        <w:t xml:space="preserve"> </w:t>
      </w:r>
      <w:r>
        <w:rPr>
          <w:rFonts w:ascii="Times New Roman" w:hAnsi="Times New Roman" w:cs="Times New Roman"/>
          <w:sz w:val="24"/>
          <w:szCs w:val="24"/>
        </w:rPr>
        <w:t>S</w:t>
      </w:r>
      <w:r w:rsidRPr="00762DAC">
        <w:rPr>
          <w:rFonts w:ascii="Times New Roman" w:hAnsi="Times New Roman" w:cs="Times New Roman"/>
          <w:sz w:val="24"/>
          <w:szCs w:val="24"/>
        </w:rPr>
        <w:t>upervision and Writing – review &amp; editing</w:t>
      </w:r>
      <w:r>
        <w:rPr>
          <w:rFonts w:ascii="Times New Roman" w:hAnsi="Times New Roman" w:cs="Times New Roman"/>
          <w:sz w:val="24"/>
          <w:szCs w:val="24"/>
        </w:rPr>
        <w:t xml:space="preserve">: </w:t>
      </w:r>
      <w:r w:rsidRPr="00762DAC">
        <w:rPr>
          <w:rFonts w:ascii="Times New Roman" w:hAnsi="Times New Roman" w:cs="Times New Roman"/>
          <w:sz w:val="24"/>
          <w:szCs w:val="24"/>
          <w:lang w:val="en-GB"/>
        </w:rPr>
        <w:t>S</w:t>
      </w:r>
      <w:r>
        <w:rPr>
          <w:rFonts w:ascii="Times New Roman" w:hAnsi="Times New Roman" w:cs="Times New Roman"/>
          <w:sz w:val="24"/>
          <w:szCs w:val="24"/>
          <w:lang w:val="en-GB"/>
        </w:rPr>
        <w:t>.</w:t>
      </w:r>
      <w:r w:rsidRPr="00762DAC">
        <w:rPr>
          <w:rFonts w:ascii="Times New Roman" w:hAnsi="Times New Roman" w:cs="Times New Roman"/>
          <w:sz w:val="24"/>
          <w:szCs w:val="24"/>
          <w:lang w:val="en-GB"/>
        </w:rPr>
        <w:t xml:space="preserve"> Fadlallah, F</w:t>
      </w:r>
      <w:r>
        <w:rPr>
          <w:rFonts w:ascii="Times New Roman" w:hAnsi="Times New Roman" w:cs="Times New Roman"/>
          <w:sz w:val="24"/>
          <w:szCs w:val="24"/>
          <w:lang w:val="en-GB"/>
        </w:rPr>
        <w:t>.</w:t>
      </w:r>
      <w:r w:rsidRPr="00762DAC">
        <w:rPr>
          <w:rFonts w:ascii="Times New Roman" w:hAnsi="Times New Roman" w:cs="Times New Roman"/>
          <w:sz w:val="24"/>
          <w:szCs w:val="24"/>
          <w:lang w:val="en-GB"/>
        </w:rPr>
        <w:t xml:space="preserve"> Allais</w:t>
      </w:r>
      <w:r>
        <w:rPr>
          <w:rFonts w:ascii="Times New Roman" w:hAnsi="Times New Roman" w:cs="Times New Roman"/>
          <w:sz w:val="24"/>
          <w:szCs w:val="24"/>
          <w:lang w:val="en-GB"/>
        </w:rPr>
        <w:t>;</w:t>
      </w:r>
      <w:r w:rsidRPr="00762DAC">
        <w:rPr>
          <w:rFonts w:ascii="Times New Roman" w:hAnsi="Times New Roman" w:cs="Times New Roman"/>
          <w:sz w:val="24"/>
          <w:szCs w:val="24"/>
          <w:lang w:val="en-GB"/>
        </w:rPr>
        <w:t xml:space="preserve"> </w:t>
      </w:r>
      <w:r w:rsidRPr="00762DAC">
        <w:rPr>
          <w:rFonts w:ascii="Times New Roman" w:hAnsi="Times New Roman" w:cs="Times New Roman"/>
          <w:sz w:val="24"/>
          <w:szCs w:val="24"/>
        </w:rPr>
        <w:t>Data curation</w:t>
      </w:r>
      <w:r w:rsidR="00072A9B" w:rsidRPr="00072A9B">
        <w:rPr>
          <w:rFonts w:ascii="Times New Roman" w:hAnsi="Times New Roman" w:cs="Times New Roman"/>
          <w:sz w:val="24"/>
          <w:szCs w:val="24"/>
        </w:rPr>
        <w:t xml:space="preserve"> </w:t>
      </w:r>
      <w:r w:rsidR="00072A9B">
        <w:rPr>
          <w:rFonts w:ascii="Times New Roman" w:hAnsi="Times New Roman" w:cs="Times New Roman"/>
          <w:sz w:val="24"/>
          <w:szCs w:val="24"/>
        </w:rPr>
        <w:t>Investigation, Methodology</w:t>
      </w:r>
      <w:r w:rsidRPr="00762DAC">
        <w:rPr>
          <w:rFonts w:ascii="Times New Roman" w:hAnsi="Times New Roman" w:cs="Times New Roman"/>
          <w:sz w:val="24"/>
          <w:szCs w:val="24"/>
        </w:rPr>
        <w:t xml:space="preserve"> and Writing – original draft: B</w:t>
      </w:r>
      <w:r>
        <w:rPr>
          <w:rFonts w:ascii="Times New Roman" w:hAnsi="Times New Roman" w:cs="Times New Roman"/>
          <w:sz w:val="24"/>
          <w:szCs w:val="24"/>
        </w:rPr>
        <w:t>.</w:t>
      </w:r>
      <w:r w:rsidRPr="00762DAC">
        <w:rPr>
          <w:rFonts w:ascii="Times New Roman" w:hAnsi="Times New Roman" w:cs="Times New Roman"/>
          <w:sz w:val="24"/>
          <w:szCs w:val="24"/>
        </w:rPr>
        <w:t xml:space="preserve"> Chícharo; Data curation</w:t>
      </w:r>
      <w:r w:rsidR="00072A9B">
        <w:rPr>
          <w:rFonts w:ascii="Times New Roman" w:hAnsi="Times New Roman" w:cs="Times New Roman"/>
          <w:sz w:val="24"/>
          <w:szCs w:val="24"/>
        </w:rPr>
        <w:t xml:space="preserve">, Investigation </w:t>
      </w:r>
      <w:r w:rsidRPr="00762DAC">
        <w:rPr>
          <w:rFonts w:ascii="Times New Roman" w:hAnsi="Times New Roman" w:cs="Times New Roman"/>
          <w:sz w:val="24"/>
          <w:szCs w:val="24"/>
        </w:rPr>
        <w:t>and Writing – original draft (on specific parts</w:t>
      </w:r>
      <w:r>
        <w:rPr>
          <w:rFonts w:ascii="Times New Roman" w:hAnsi="Times New Roman" w:cs="Times New Roman"/>
          <w:sz w:val="24"/>
          <w:szCs w:val="24"/>
        </w:rPr>
        <w:t>)</w:t>
      </w:r>
      <w:r w:rsidRPr="00762DAC">
        <w:rPr>
          <w:rFonts w:ascii="Times New Roman" w:hAnsi="Times New Roman" w:cs="Times New Roman"/>
          <w:sz w:val="24"/>
          <w:szCs w:val="24"/>
        </w:rPr>
        <w:t xml:space="preserve">: </w:t>
      </w:r>
      <w:r w:rsidRPr="00762DAC">
        <w:rPr>
          <w:rFonts w:ascii="Times New Roman" w:hAnsi="Times New Roman" w:cs="Times New Roman"/>
          <w:sz w:val="24"/>
          <w:szCs w:val="24"/>
          <w:lang w:val="en-GB"/>
        </w:rPr>
        <w:t>M</w:t>
      </w:r>
      <w:r>
        <w:rPr>
          <w:rFonts w:ascii="Times New Roman" w:hAnsi="Times New Roman" w:cs="Times New Roman"/>
          <w:sz w:val="24"/>
          <w:szCs w:val="24"/>
          <w:lang w:val="en-GB"/>
        </w:rPr>
        <w:t>.</w:t>
      </w:r>
      <w:r w:rsidRPr="00762DAC">
        <w:rPr>
          <w:rFonts w:ascii="Times New Roman" w:hAnsi="Times New Roman" w:cs="Times New Roman"/>
          <w:sz w:val="24"/>
          <w:szCs w:val="24"/>
          <w:lang w:val="en-GB"/>
        </w:rPr>
        <w:t xml:space="preserve"> Cuesta, G</w:t>
      </w:r>
      <w:r>
        <w:rPr>
          <w:rFonts w:ascii="Times New Roman" w:hAnsi="Times New Roman" w:cs="Times New Roman"/>
          <w:sz w:val="24"/>
          <w:szCs w:val="24"/>
          <w:lang w:val="en-GB"/>
        </w:rPr>
        <w:t>.</w:t>
      </w:r>
      <w:r w:rsidRPr="00762DAC">
        <w:rPr>
          <w:rFonts w:ascii="Times New Roman" w:hAnsi="Times New Roman" w:cs="Times New Roman"/>
          <w:sz w:val="24"/>
          <w:szCs w:val="24"/>
          <w:lang w:val="en-GB"/>
        </w:rPr>
        <w:t xml:space="preserve"> Trapasso, R</w:t>
      </w:r>
      <w:r>
        <w:rPr>
          <w:rFonts w:ascii="Times New Roman" w:hAnsi="Times New Roman" w:cs="Times New Roman"/>
          <w:sz w:val="24"/>
          <w:szCs w:val="24"/>
          <w:lang w:val="en-GB"/>
        </w:rPr>
        <w:t>.</w:t>
      </w:r>
      <w:r w:rsidRPr="00762DAC">
        <w:rPr>
          <w:rFonts w:ascii="Times New Roman" w:hAnsi="Times New Roman" w:cs="Times New Roman"/>
          <w:sz w:val="24"/>
          <w:szCs w:val="24"/>
          <w:lang w:val="en-GB"/>
        </w:rPr>
        <w:t xml:space="preserve"> Porcar, N</w:t>
      </w:r>
      <w:r>
        <w:rPr>
          <w:rFonts w:ascii="Times New Roman" w:hAnsi="Times New Roman" w:cs="Times New Roman"/>
          <w:sz w:val="24"/>
          <w:szCs w:val="24"/>
          <w:lang w:val="en-GB"/>
        </w:rPr>
        <w:t>.</w:t>
      </w:r>
      <w:r w:rsidRPr="00762DAC">
        <w:rPr>
          <w:rFonts w:ascii="Times New Roman" w:hAnsi="Times New Roman" w:cs="Times New Roman"/>
          <w:sz w:val="24"/>
          <w:szCs w:val="24"/>
          <w:lang w:val="en-GB"/>
        </w:rPr>
        <w:t xml:space="preserve"> Martín, R</w:t>
      </w:r>
      <w:r>
        <w:rPr>
          <w:rFonts w:ascii="Times New Roman" w:hAnsi="Times New Roman" w:cs="Times New Roman"/>
          <w:sz w:val="24"/>
          <w:szCs w:val="24"/>
          <w:lang w:val="en-GB"/>
        </w:rPr>
        <w:t>.</w:t>
      </w:r>
      <w:r w:rsidRPr="00762DAC">
        <w:rPr>
          <w:rFonts w:ascii="Times New Roman" w:hAnsi="Times New Roman" w:cs="Times New Roman"/>
          <w:sz w:val="24"/>
          <w:szCs w:val="24"/>
          <w:lang w:val="en-GB"/>
        </w:rPr>
        <w:t xml:space="preserve"> Villa, P</w:t>
      </w:r>
      <w:r>
        <w:rPr>
          <w:rFonts w:ascii="Times New Roman" w:hAnsi="Times New Roman" w:cs="Times New Roman"/>
          <w:sz w:val="24"/>
          <w:szCs w:val="24"/>
          <w:lang w:val="en-GB"/>
        </w:rPr>
        <w:t>.</w:t>
      </w:r>
      <w:r w:rsidRPr="00762DAC">
        <w:rPr>
          <w:rFonts w:ascii="Times New Roman" w:hAnsi="Times New Roman" w:cs="Times New Roman"/>
          <w:sz w:val="24"/>
          <w:szCs w:val="24"/>
          <w:lang w:val="en-GB"/>
        </w:rPr>
        <w:t xml:space="preserve"> Lozano</w:t>
      </w:r>
      <w:r>
        <w:rPr>
          <w:rFonts w:ascii="Times New Roman" w:hAnsi="Times New Roman" w:cs="Times New Roman"/>
          <w:sz w:val="24"/>
          <w:szCs w:val="24"/>
          <w:lang w:val="en-GB"/>
        </w:rPr>
        <w:t>.</w:t>
      </w:r>
      <w:r w:rsidRPr="00762DAC">
        <w:rPr>
          <w:rFonts w:ascii="Times New Roman" w:hAnsi="Times New Roman" w:cs="Times New Roman"/>
          <w:sz w:val="24"/>
          <w:szCs w:val="24"/>
          <w:lang w:val="en-GB"/>
        </w:rPr>
        <w:t xml:space="preserve"> </w:t>
      </w:r>
    </w:p>
    <w:p w14:paraId="3D003A94" w14:textId="5ECD5C99" w:rsidR="002116B5" w:rsidRPr="005730DB" w:rsidRDefault="002116B5" w:rsidP="00DB796A">
      <w:pPr>
        <w:spacing w:line="480" w:lineRule="auto"/>
        <w:jc w:val="both"/>
        <w:rPr>
          <w:rFonts w:ascii="Times New Roman" w:hAnsi="Times New Roman" w:cs="Times New Roman"/>
          <w:b/>
          <w:bCs/>
          <w:sz w:val="24"/>
          <w:szCs w:val="24"/>
        </w:rPr>
      </w:pPr>
      <w:r w:rsidRPr="005730DB">
        <w:rPr>
          <w:rFonts w:ascii="Times New Roman" w:hAnsi="Times New Roman" w:cs="Times New Roman"/>
          <w:b/>
          <w:bCs/>
          <w:sz w:val="24"/>
          <w:szCs w:val="24"/>
        </w:rPr>
        <w:t>Declaration of competing interests</w:t>
      </w:r>
    </w:p>
    <w:p w14:paraId="4FDA62A0" w14:textId="7D419208" w:rsidR="005730DB" w:rsidRPr="005730DB" w:rsidRDefault="005730DB" w:rsidP="00DB796A">
      <w:pPr>
        <w:spacing w:line="480" w:lineRule="auto"/>
        <w:jc w:val="both"/>
        <w:rPr>
          <w:rFonts w:ascii="Times New Roman" w:hAnsi="Times New Roman" w:cs="Times New Roman"/>
          <w:sz w:val="24"/>
          <w:szCs w:val="24"/>
        </w:rPr>
      </w:pPr>
      <w:r w:rsidRPr="005730DB">
        <w:rPr>
          <w:rFonts w:ascii="Times New Roman" w:hAnsi="Times New Roman" w:cs="Times New Roman"/>
          <w:sz w:val="24"/>
          <w:szCs w:val="24"/>
        </w:rPr>
        <w:t>No competing interests</w:t>
      </w:r>
    </w:p>
    <w:p w14:paraId="1E5A16A3" w14:textId="174E6F0D" w:rsidR="002116B5" w:rsidRDefault="002116B5" w:rsidP="00DB796A">
      <w:pPr>
        <w:spacing w:line="480" w:lineRule="auto"/>
        <w:jc w:val="both"/>
        <w:rPr>
          <w:rFonts w:ascii="Times New Roman" w:hAnsi="Times New Roman" w:cs="Times New Roman"/>
          <w:b/>
          <w:bCs/>
          <w:sz w:val="24"/>
          <w:szCs w:val="24"/>
        </w:rPr>
      </w:pPr>
      <w:r w:rsidRPr="002116B5">
        <w:rPr>
          <w:rFonts w:ascii="Times New Roman" w:hAnsi="Times New Roman" w:cs="Times New Roman"/>
          <w:b/>
          <w:bCs/>
          <w:sz w:val="24"/>
          <w:szCs w:val="24"/>
        </w:rPr>
        <w:t>Acknowledgements</w:t>
      </w:r>
    </w:p>
    <w:p w14:paraId="7CB101A9" w14:textId="48BF174A" w:rsidR="002116B5" w:rsidRPr="00AB2613" w:rsidRDefault="002116B5" w:rsidP="00625487">
      <w:pPr>
        <w:spacing w:line="480" w:lineRule="auto"/>
        <w:jc w:val="both"/>
        <w:rPr>
          <w:rFonts w:ascii="Times New Roman" w:hAnsi="Times New Roman" w:cs="Times New Roman"/>
          <w:sz w:val="24"/>
          <w:szCs w:val="24"/>
        </w:rPr>
      </w:pPr>
      <w:r w:rsidRPr="00AB2613">
        <w:rPr>
          <w:rFonts w:ascii="Times New Roman" w:hAnsi="Times New Roman" w:cs="Times New Roman"/>
          <w:sz w:val="24"/>
          <w:szCs w:val="24"/>
        </w:rPr>
        <w:t>This work was supported by the DoE 2023–2027 (MUR, AIS. DIP.ECCELLENZA2023_27.FF project).</w:t>
      </w:r>
      <w:r w:rsidR="00D55C2D" w:rsidRPr="00AB2613">
        <w:rPr>
          <w:rFonts w:ascii="Times New Roman" w:hAnsi="Times New Roman" w:cs="Times New Roman"/>
          <w:sz w:val="24"/>
          <w:szCs w:val="24"/>
        </w:rPr>
        <w:t xml:space="preserve"> N. M. acknowledge the “Ramon y Cajal” contract with code RYC2021-033167-I funded MCIN/AEI/10.13039/501100011033 and by “ESF investing in your future”, “European Union NextGenerationEU/PRTR”. This work has been partially supported by MICINN-FEDER-AEI 10.13039/501100011033 (PID2021-124695OB-C2</w:t>
      </w:r>
      <w:r w:rsidR="007F0D70" w:rsidRPr="00AB2613">
        <w:rPr>
          <w:rFonts w:ascii="Times New Roman" w:hAnsi="Times New Roman" w:cs="Times New Roman"/>
          <w:sz w:val="24"/>
          <w:szCs w:val="24"/>
        </w:rPr>
        <w:t>1</w:t>
      </w:r>
      <w:r w:rsidR="00D55C2D" w:rsidRPr="00AB2613">
        <w:rPr>
          <w:rFonts w:ascii="Times New Roman" w:hAnsi="Times New Roman" w:cs="Times New Roman"/>
          <w:sz w:val="24"/>
          <w:szCs w:val="24"/>
        </w:rPr>
        <w:t>,</w:t>
      </w:r>
      <w:r w:rsidR="00E55F4A" w:rsidRPr="00AB2613">
        <w:rPr>
          <w:rFonts w:ascii="Times New Roman" w:hAnsi="Times New Roman" w:cs="Times New Roman"/>
          <w:sz w:val="24"/>
          <w:szCs w:val="24"/>
        </w:rPr>
        <w:t xml:space="preserve"> PID2021-124695OB-C22,</w:t>
      </w:r>
      <w:r w:rsidR="00D55C2D" w:rsidRPr="00AB2613">
        <w:rPr>
          <w:rFonts w:ascii="Times New Roman" w:hAnsi="Times New Roman" w:cs="Times New Roman"/>
          <w:sz w:val="24"/>
          <w:szCs w:val="24"/>
        </w:rPr>
        <w:t xml:space="preserve"> PID2022-142897OA-I00)</w:t>
      </w:r>
      <w:r w:rsidR="005845D0" w:rsidRPr="00AB2613">
        <w:rPr>
          <w:rFonts w:ascii="Times New Roman" w:hAnsi="Times New Roman" w:cs="Times New Roman"/>
          <w:sz w:val="24"/>
          <w:szCs w:val="24"/>
        </w:rPr>
        <w:t xml:space="preserve">, MCIN/AEI/10.13039/501100011033, and </w:t>
      </w:r>
      <w:r w:rsidR="00625487" w:rsidRPr="00AB2613">
        <w:rPr>
          <w:rFonts w:ascii="Times New Roman" w:hAnsi="Times New Roman" w:cs="Times New Roman"/>
          <w:sz w:val="24"/>
          <w:szCs w:val="24"/>
        </w:rPr>
        <w:t xml:space="preserve">by </w:t>
      </w:r>
      <w:r w:rsidR="00D85169" w:rsidRPr="00AB2613">
        <w:rPr>
          <w:rFonts w:ascii="Times New Roman" w:hAnsi="Times New Roman" w:cs="Times New Roman"/>
          <w:sz w:val="24"/>
          <w:szCs w:val="24"/>
        </w:rPr>
        <w:t xml:space="preserve">project PROMETEO 2024 of ‘‘Conselleria de Educación, Universidades y Empleo’’ </w:t>
      </w:r>
      <w:r w:rsidR="00625487" w:rsidRPr="00AB2613">
        <w:rPr>
          <w:rFonts w:ascii="Times New Roman" w:hAnsi="Times New Roman" w:cs="Times New Roman"/>
          <w:sz w:val="24"/>
          <w:szCs w:val="24"/>
        </w:rPr>
        <w:t>(</w:t>
      </w:r>
      <w:r w:rsidR="00D85169" w:rsidRPr="00AB2613">
        <w:rPr>
          <w:rFonts w:ascii="Times New Roman" w:hAnsi="Times New Roman" w:cs="Times New Roman"/>
          <w:sz w:val="24"/>
          <w:szCs w:val="24"/>
        </w:rPr>
        <w:t xml:space="preserve">GVA - </w:t>
      </w:r>
      <w:r w:rsidR="00625487" w:rsidRPr="00AB2613">
        <w:rPr>
          <w:rFonts w:ascii="Times New Roman" w:hAnsi="Times New Roman" w:cs="Times New Roman"/>
          <w:sz w:val="24"/>
          <w:szCs w:val="24"/>
        </w:rPr>
        <w:t>PROMETEO</w:t>
      </w:r>
      <w:r w:rsidR="00D85169" w:rsidRPr="00AB2613">
        <w:rPr>
          <w:rFonts w:ascii="Times New Roman" w:hAnsi="Times New Roman" w:cs="Times New Roman"/>
          <w:sz w:val="24"/>
          <w:szCs w:val="24"/>
        </w:rPr>
        <w:t xml:space="preserve"> </w:t>
      </w:r>
      <w:r w:rsidR="00625487" w:rsidRPr="00AB2613">
        <w:rPr>
          <w:rFonts w:ascii="Times New Roman" w:hAnsi="Times New Roman" w:cs="Times New Roman"/>
          <w:sz w:val="24"/>
          <w:szCs w:val="24"/>
        </w:rPr>
        <w:t>- CIPROM/2023/57) and European Social Fund.</w:t>
      </w:r>
      <w:r w:rsidR="001A5396">
        <w:rPr>
          <w:rFonts w:ascii="Times New Roman" w:hAnsi="Times New Roman" w:cs="Times New Roman"/>
          <w:sz w:val="24"/>
          <w:szCs w:val="24"/>
        </w:rPr>
        <w:t xml:space="preserve"> B.C., S.F. and F.A. are grateful to Grand Reims, Département de la Marne et Grand Est for their financial support.</w:t>
      </w:r>
    </w:p>
    <w:p w14:paraId="78AA7AAD" w14:textId="33DE190F" w:rsidR="002116B5" w:rsidRDefault="002116B5" w:rsidP="00DB796A">
      <w:pPr>
        <w:spacing w:line="480" w:lineRule="auto"/>
        <w:jc w:val="both"/>
        <w:rPr>
          <w:rFonts w:ascii="Times New Roman" w:hAnsi="Times New Roman" w:cs="Times New Roman"/>
          <w:b/>
          <w:bCs/>
          <w:sz w:val="24"/>
          <w:szCs w:val="24"/>
        </w:rPr>
      </w:pPr>
      <w:r w:rsidRPr="002116B5">
        <w:rPr>
          <w:rFonts w:ascii="Times New Roman" w:hAnsi="Times New Roman" w:cs="Times New Roman"/>
          <w:b/>
          <w:bCs/>
          <w:sz w:val="24"/>
          <w:szCs w:val="24"/>
        </w:rPr>
        <w:t>Appendix A. Supplementary data</w:t>
      </w:r>
    </w:p>
    <w:p w14:paraId="37E21F67" w14:textId="4588DEC0" w:rsidR="008C2CD9" w:rsidRDefault="002116B5" w:rsidP="00B914A7">
      <w:pPr>
        <w:spacing w:line="480" w:lineRule="auto"/>
        <w:jc w:val="both"/>
        <w:rPr>
          <w:rFonts w:ascii="Times New Roman" w:hAnsi="Times New Roman" w:cs="Times New Roman"/>
          <w:sz w:val="24"/>
          <w:szCs w:val="24"/>
        </w:rPr>
      </w:pPr>
      <w:r w:rsidRPr="002116B5">
        <w:rPr>
          <w:rFonts w:ascii="Times New Roman" w:hAnsi="Times New Roman" w:cs="Times New Roman"/>
          <w:sz w:val="24"/>
          <w:szCs w:val="24"/>
        </w:rPr>
        <w:t>Supplementary data to this article can be found online</w:t>
      </w:r>
      <w:r w:rsidR="008C2CD9">
        <w:rPr>
          <w:rFonts w:ascii="Times New Roman" w:hAnsi="Times New Roman" w:cs="Times New Roman"/>
          <w:sz w:val="24"/>
          <w:szCs w:val="24"/>
        </w:rPr>
        <w:t>.</w:t>
      </w:r>
    </w:p>
    <w:p w14:paraId="363FB829" w14:textId="77777777" w:rsidR="008C2CD9" w:rsidRDefault="008C2CD9" w:rsidP="00B914A7">
      <w:pPr>
        <w:spacing w:line="480" w:lineRule="auto"/>
        <w:jc w:val="both"/>
        <w:rPr>
          <w:rFonts w:ascii="Times New Roman" w:hAnsi="Times New Roman" w:cs="Times New Roman"/>
          <w:b/>
          <w:bCs/>
          <w:sz w:val="24"/>
          <w:szCs w:val="24"/>
        </w:rPr>
      </w:pPr>
    </w:p>
    <w:p w14:paraId="6FDD1B8D" w14:textId="236369E4" w:rsidR="00E63CEB" w:rsidRDefault="009724B8" w:rsidP="00B914A7">
      <w:pPr>
        <w:spacing w:line="480" w:lineRule="auto"/>
        <w:jc w:val="both"/>
        <w:rPr>
          <w:rFonts w:ascii="Times New Roman" w:hAnsi="Times New Roman" w:cs="Times New Roman"/>
          <w:b/>
          <w:bCs/>
          <w:sz w:val="24"/>
          <w:szCs w:val="24"/>
        </w:rPr>
      </w:pPr>
      <w:r w:rsidRPr="00A505AF">
        <w:rPr>
          <w:rFonts w:ascii="Times New Roman" w:hAnsi="Times New Roman" w:cs="Times New Roman"/>
          <w:b/>
          <w:bCs/>
          <w:sz w:val="24"/>
          <w:szCs w:val="24"/>
        </w:rPr>
        <w:t>Bibliography</w:t>
      </w:r>
    </w:p>
    <w:p w14:paraId="6F42ECAA" w14:textId="5229201E" w:rsidR="00BF3014" w:rsidRPr="00814C63" w:rsidRDefault="00F95723" w:rsidP="00817596">
      <w:pPr>
        <w:pStyle w:val="Bibliografia"/>
        <w:spacing w:line="480" w:lineRule="auto"/>
        <w:jc w:val="both"/>
        <w:rPr>
          <w:rFonts w:ascii="Times New Roman" w:hAnsi="Times New Roman" w:cs="Times New Roman"/>
          <w:sz w:val="24"/>
        </w:rPr>
      </w:pPr>
      <w:r w:rsidRPr="00817596">
        <w:rPr>
          <w:rFonts w:ascii="Times New Roman" w:hAnsi="Times New Roman" w:cs="Times New Roman"/>
          <w:sz w:val="24"/>
          <w:szCs w:val="24"/>
        </w:rPr>
        <w:fldChar w:fldCharType="begin"/>
      </w:r>
      <w:r w:rsidR="00A71D55" w:rsidRPr="00817596">
        <w:rPr>
          <w:rFonts w:ascii="Times New Roman" w:hAnsi="Times New Roman" w:cs="Times New Roman"/>
          <w:sz w:val="24"/>
          <w:szCs w:val="24"/>
        </w:rPr>
        <w:instrText xml:space="preserve"> ADDIN ZOTERO_BIBL {"uncited":[],"omitted":[],"custom":[]} CSL_BIBLIOGRAPHY </w:instrText>
      </w:r>
      <w:r w:rsidRPr="00817596">
        <w:rPr>
          <w:rFonts w:ascii="Times New Roman" w:hAnsi="Times New Roman" w:cs="Times New Roman"/>
          <w:sz w:val="24"/>
          <w:szCs w:val="24"/>
        </w:rPr>
        <w:fldChar w:fldCharType="separate"/>
      </w:r>
      <w:r w:rsidR="00BF3014" w:rsidRPr="00817596">
        <w:rPr>
          <w:rFonts w:ascii="Times New Roman" w:hAnsi="Times New Roman" w:cs="Times New Roman"/>
          <w:sz w:val="24"/>
        </w:rPr>
        <w:t xml:space="preserve">Annatelli, M., Sánchez-Velandia, J.E., Mazzi, G., Pandeirada, S.V., Giannakoudakis, D., Rautiainen, S., Esposito, A., Thiyagarajan, S., Richel, A., Triantafyllidis, K.S., Robert, T., Guigo, N., Sousa, A.F., García-Verdugo, E., Aricò, F., 2024. Beyond 2,5-furandicarboxylic acid: </w:t>
      </w:r>
      <w:r w:rsidR="00BF3014" w:rsidRPr="00817596">
        <w:rPr>
          <w:rFonts w:ascii="Times New Roman" w:hAnsi="Times New Roman" w:cs="Times New Roman"/>
          <w:i/>
          <w:iCs/>
          <w:sz w:val="24"/>
        </w:rPr>
        <w:t>status quo</w:t>
      </w:r>
      <w:r w:rsidR="00BF3014" w:rsidRPr="00817596">
        <w:rPr>
          <w:rFonts w:ascii="Times New Roman" w:hAnsi="Times New Roman" w:cs="Times New Roman"/>
          <w:sz w:val="24"/>
        </w:rPr>
        <w:t xml:space="preserve"> , environmental assessment, and blind spots of furanic monomers for bio-based polymers. </w:t>
      </w:r>
      <w:r w:rsidR="00BF3014" w:rsidRPr="00814C63">
        <w:rPr>
          <w:rFonts w:ascii="Times New Roman" w:hAnsi="Times New Roman" w:cs="Times New Roman"/>
          <w:sz w:val="24"/>
        </w:rPr>
        <w:t>Green Chem. 26, 8894–8941.</w:t>
      </w:r>
    </w:p>
    <w:p w14:paraId="757E24A6" w14:textId="76BE8B4D" w:rsidR="00BF3014" w:rsidRPr="00817596" w:rsidRDefault="00BF3014" w:rsidP="00817596">
      <w:pPr>
        <w:pStyle w:val="Bibliografia"/>
        <w:spacing w:line="480" w:lineRule="auto"/>
        <w:jc w:val="both"/>
        <w:rPr>
          <w:rFonts w:ascii="Times New Roman" w:hAnsi="Times New Roman" w:cs="Times New Roman"/>
          <w:sz w:val="24"/>
          <w:lang w:val="de-DE"/>
        </w:rPr>
      </w:pPr>
      <w:r w:rsidRPr="00814C63">
        <w:rPr>
          <w:rFonts w:ascii="Times New Roman" w:hAnsi="Times New Roman" w:cs="Times New Roman"/>
          <w:sz w:val="24"/>
        </w:rPr>
        <w:t xml:space="preserve">Bielski, R., Grynkiewicz, G., 2021. </w:t>
      </w:r>
      <w:r w:rsidRPr="00817596">
        <w:rPr>
          <w:rFonts w:ascii="Times New Roman" w:hAnsi="Times New Roman" w:cs="Times New Roman"/>
          <w:sz w:val="24"/>
        </w:rPr>
        <w:t xml:space="preserve">Furan platform chemicals beyond fuels and plastics. </w:t>
      </w:r>
      <w:r w:rsidRPr="00817596">
        <w:rPr>
          <w:rFonts w:ascii="Times New Roman" w:hAnsi="Times New Roman" w:cs="Times New Roman"/>
          <w:sz w:val="24"/>
          <w:lang w:val="de-DE"/>
        </w:rPr>
        <w:t>Green Chem. 23, 7458–7487.</w:t>
      </w:r>
    </w:p>
    <w:p w14:paraId="0350EDEB" w14:textId="734A98E0" w:rsidR="00BF3014" w:rsidRPr="00B820C7" w:rsidRDefault="00BF3014" w:rsidP="00817596">
      <w:pPr>
        <w:pStyle w:val="Bibliografia"/>
        <w:spacing w:line="480" w:lineRule="auto"/>
        <w:jc w:val="both"/>
        <w:rPr>
          <w:rFonts w:ascii="Times New Roman" w:hAnsi="Times New Roman" w:cs="Times New Roman"/>
          <w:sz w:val="24"/>
        </w:rPr>
      </w:pPr>
      <w:r w:rsidRPr="00817596">
        <w:rPr>
          <w:rFonts w:ascii="Times New Roman" w:hAnsi="Times New Roman" w:cs="Times New Roman"/>
          <w:sz w:val="24"/>
          <w:lang w:val="de-DE"/>
        </w:rPr>
        <w:t xml:space="preserve">Biermann, U., Friedt, W., Lang, S., Lühs, W., Machmüller, G., Metzger, J.O., Rüsch Gen. Klaas, M., Schäfer, H.J., Schneider, M.P., 2000. </w:t>
      </w:r>
      <w:r w:rsidRPr="00817596">
        <w:rPr>
          <w:rFonts w:ascii="Times New Roman" w:hAnsi="Times New Roman" w:cs="Times New Roman"/>
          <w:sz w:val="24"/>
        </w:rPr>
        <w:t xml:space="preserve">New Syntheses with Oils and Fats as Renewable </w:t>
      </w:r>
      <w:r w:rsidRPr="00B820C7">
        <w:rPr>
          <w:rFonts w:ascii="Times New Roman" w:hAnsi="Times New Roman" w:cs="Times New Roman"/>
          <w:sz w:val="24"/>
        </w:rPr>
        <w:t>Raw Materials for the Chemical Industry. Angew. Chem. Int. Ed. 39, 2206–2224.</w:t>
      </w:r>
    </w:p>
    <w:p w14:paraId="63DE8A33" w14:textId="300528E4" w:rsidR="008B1DED" w:rsidRPr="008B1DED" w:rsidRDefault="008B1DED" w:rsidP="008B1DED">
      <w:pPr>
        <w:pStyle w:val="Bibliografia"/>
        <w:spacing w:line="480" w:lineRule="auto"/>
        <w:jc w:val="both"/>
        <w:rPr>
          <w:rFonts w:ascii="Times New Roman" w:hAnsi="Times New Roman" w:cs="Times New Roman"/>
          <w:sz w:val="24"/>
        </w:rPr>
      </w:pPr>
      <w:r w:rsidRPr="00B820C7">
        <w:rPr>
          <w:rFonts w:ascii="Times New Roman" w:hAnsi="Times New Roman" w:cs="Times New Roman"/>
          <w:sz w:val="24"/>
          <w:lang w:val="de-DE"/>
        </w:rPr>
        <w:t xml:space="preserve">Burguete, M. I., García-Verdugo, E., Luis, S. V., Restrepo, J. A., 2011. </w:t>
      </w:r>
      <w:r w:rsidRPr="00B820C7">
        <w:rPr>
          <w:rFonts w:ascii="Times New Roman" w:hAnsi="Times New Roman" w:cs="Times New Roman"/>
          <w:sz w:val="24"/>
        </w:rPr>
        <w:t>Preparation of polymer-supported gold nanoparticles based on resins containing ionic liquid-like fragments: easy control of size and stability. Phys. Chem. Chem. Phys.13, 14831.</w:t>
      </w:r>
    </w:p>
    <w:p w14:paraId="52C3FC5A" w14:textId="68E5268E" w:rsidR="00BF3014" w:rsidRPr="00817596" w:rsidRDefault="00BF3014" w:rsidP="00817596">
      <w:pPr>
        <w:pStyle w:val="Bibliografia"/>
        <w:spacing w:line="480" w:lineRule="auto"/>
        <w:jc w:val="both"/>
        <w:rPr>
          <w:rFonts w:ascii="Times New Roman" w:hAnsi="Times New Roman" w:cs="Times New Roman"/>
          <w:sz w:val="24"/>
        </w:rPr>
      </w:pPr>
      <w:r w:rsidRPr="00814C63">
        <w:rPr>
          <w:rFonts w:ascii="Times New Roman" w:hAnsi="Times New Roman" w:cs="Times New Roman"/>
          <w:sz w:val="24"/>
        </w:rPr>
        <w:t xml:space="preserve">Cho, J.K., Lee, J.-S., Jeong, J., Kim, Bora, Kim, Baekjin, Kim, S., Shin, S., Kim, H.-J., Lee, S.-H., 2013. </w:t>
      </w:r>
      <w:r w:rsidRPr="00817596">
        <w:rPr>
          <w:rFonts w:ascii="Times New Roman" w:hAnsi="Times New Roman" w:cs="Times New Roman"/>
          <w:sz w:val="24"/>
        </w:rPr>
        <w:t xml:space="preserve">Synthesis of carbohydrate biomass-based furanic compounds bearing epoxide end group(s) and evaluation of their feasibility as adhesives. J. Adhes. Sci. Technol. 27, 2127–2138. </w:t>
      </w:r>
    </w:p>
    <w:p w14:paraId="43B4FA70" w14:textId="69F865E1" w:rsidR="00BF3014" w:rsidRPr="002E69EC" w:rsidRDefault="00BF3014" w:rsidP="00817596">
      <w:pPr>
        <w:pStyle w:val="Bibliografia"/>
        <w:spacing w:line="480" w:lineRule="auto"/>
        <w:jc w:val="both"/>
        <w:rPr>
          <w:rFonts w:ascii="Times New Roman" w:hAnsi="Times New Roman" w:cs="Times New Roman"/>
          <w:sz w:val="24"/>
        </w:rPr>
      </w:pPr>
      <w:r w:rsidRPr="00817596">
        <w:rPr>
          <w:rFonts w:ascii="Times New Roman" w:hAnsi="Times New Roman" w:cs="Times New Roman"/>
          <w:sz w:val="24"/>
        </w:rPr>
        <w:t xml:space="preserve">Dai, J., Peng, Y., Teng, N., Liu, Y., Liu, C., Shen, X., Mahmud, S., Zhu, J., Liu, X., 2018. High-Performing and Fire-Resistant Biobased Epoxy Resin from Renewable Sources. </w:t>
      </w:r>
      <w:r w:rsidRPr="002E69EC">
        <w:rPr>
          <w:rFonts w:ascii="Times New Roman" w:hAnsi="Times New Roman" w:cs="Times New Roman"/>
          <w:sz w:val="24"/>
        </w:rPr>
        <w:t xml:space="preserve">ACS Sustain. Chem. Eng. 6, 7589–7599. </w:t>
      </w:r>
    </w:p>
    <w:p w14:paraId="10F88131" w14:textId="343AD154" w:rsidR="00BF3014" w:rsidRPr="00817596" w:rsidRDefault="00BF3014" w:rsidP="00817596">
      <w:pPr>
        <w:pStyle w:val="Bibliografia"/>
        <w:spacing w:line="480" w:lineRule="auto"/>
        <w:jc w:val="both"/>
        <w:rPr>
          <w:rFonts w:ascii="Times New Roman" w:hAnsi="Times New Roman" w:cs="Times New Roman"/>
          <w:sz w:val="24"/>
          <w:lang w:val="pt-PT"/>
        </w:rPr>
      </w:pPr>
      <w:r w:rsidRPr="002E69EC">
        <w:rPr>
          <w:rFonts w:ascii="Times New Roman" w:hAnsi="Times New Roman" w:cs="Times New Roman"/>
          <w:sz w:val="24"/>
        </w:rPr>
        <w:t xml:space="preserve">Deng, J., Liu, X., Li, C., Jiang, Y., Zhu, J., 2015. </w:t>
      </w:r>
      <w:r w:rsidRPr="00817596">
        <w:rPr>
          <w:rFonts w:ascii="Times New Roman" w:hAnsi="Times New Roman" w:cs="Times New Roman"/>
          <w:sz w:val="24"/>
        </w:rPr>
        <w:t xml:space="preserve">Synthesis and properties of a bio-based epoxy resin from 2,5-furandicarboxylic acid (FDCA). </w:t>
      </w:r>
      <w:r w:rsidRPr="00817596">
        <w:rPr>
          <w:rFonts w:ascii="Times New Roman" w:hAnsi="Times New Roman" w:cs="Times New Roman"/>
          <w:sz w:val="24"/>
          <w:lang w:val="pt-PT"/>
        </w:rPr>
        <w:t xml:space="preserve">RSC Adv. 5, 15930–15939. </w:t>
      </w:r>
    </w:p>
    <w:p w14:paraId="2880FADC" w14:textId="2A5677FF" w:rsidR="00BF3014" w:rsidRPr="00817596" w:rsidRDefault="00BF3014" w:rsidP="00817596">
      <w:pPr>
        <w:pStyle w:val="Bibliografia"/>
        <w:spacing w:line="480" w:lineRule="auto"/>
        <w:jc w:val="both"/>
        <w:rPr>
          <w:rFonts w:ascii="Times New Roman" w:hAnsi="Times New Roman" w:cs="Times New Roman"/>
          <w:sz w:val="24"/>
          <w:lang w:val="it-IT"/>
        </w:rPr>
      </w:pPr>
      <w:r w:rsidRPr="00817596">
        <w:rPr>
          <w:rFonts w:ascii="Times New Roman" w:hAnsi="Times New Roman" w:cs="Times New Roman"/>
          <w:sz w:val="24"/>
          <w:lang w:val="pt-PT"/>
        </w:rPr>
        <w:t xml:space="preserve">Giulivo, M., Lopez De Alda, M., Capri, E., Barceló, D., 2016. </w:t>
      </w:r>
      <w:r w:rsidRPr="00817596">
        <w:rPr>
          <w:rFonts w:ascii="Times New Roman" w:hAnsi="Times New Roman" w:cs="Times New Roman"/>
          <w:sz w:val="24"/>
        </w:rPr>
        <w:t xml:space="preserve">Human exposure to endocrine disrupting compounds: Their role in reproductive systems, metabolic syndrome and breast cancer. </w:t>
      </w:r>
      <w:r w:rsidRPr="00817596">
        <w:rPr>
          <w:rFonts w:ascii="Times New Roman" w:hAnsi="Times New Roman" w:cs="Times New Roman"/>
          <w:sz w:val="24"/>
          <w:lang w:val="it-IT"/>
        </w:rPr>
        <w:t xml:space="preserve">A review. Environ. Res. 151, 251–264. </w:t>
      </w:r>
    </w:p>
    <w:p w14:paraId="77249D64" w14:textId="7A709169" w:rsidR="00BF3014" w:rsidRPr="004D2916" w:rsidRDefault="00BF3014" w:rsidP="00817596">
      <w:pPr>
        <w:pStyle w:val="Bibliografia"/>
        <w:spacing w:line="480" w:lineRule="auto"/>
        <w:jc w:val="both"/>
        <w:rPr>
          <w:rFonts w:ascii="Times New Roman" w:hAnsi="Times New Roman" w:cs="Times New Roman"/>
          <w:sz w:val="24"/>
          <w:lang w:val="it-IT"/>
        </w:rPr>
      </w:pPr>
      <w:r w:rsidRPr="00817596">
        <w:rPr>
          <w:rFonts w:ascii="Times New Roman" w:hAnsi="Times New Roman" w:cs="Times New Roman"/>
          <w:sz w:val="24"/>
          <w:lang w:val="it-IT"/>
        </w:rPr>
        <w:t xml:space="preserve">Guadagno, L., Raimondo, M., Vittoria, V., Vertuccio, L., Naddeo, C., Russo, S., De Vivo, B., Lamberti, P., Spinelli, G., Tucci, V., 2014. </w:t>
      </w:r>
      <w:r w:rsidRPr="00817596">
        <w:rPr>
          <w:rFonts w:ascii="Times New Roman" w:hAnsi="Times New Roman" w:cs="Times New Roman"/>
          <w:sz w:val="24"/>
        </w:rPr>
        <w:t xml:space="preserve">Development of epoxy mixtures for application in aeronautics and aerospace. </w:t>
      </w:r>
      <w:r w:rsidRPr="004D2916">
        <w:rPr>
          <w:rFonts w:ascii="Times New Roman" w:hAnsi="Times New Roman" w:cs="Times New Roman"/>
          <w:sz w:val="24"/>
          <w:lang w:val="it-IT"/>
        </w:rPr>
        <w:t xml:space="preserve">RSC Adv 4, 15474–15488. </w:t>
      </w:r>
    </w:p>
    <w:p w14:paraId="52B6EC81" w14:textId="3AE9A4A7" w:rsidR="00BF3014" w:rsidRPr="00817596" w:rsidRDefault="00BF3014" w:rsidP="00817596">
      <w:pPr>
        <w:pStyle w:val="Bibliografia"/>
        <w:spacing w:line="480" w:lineRule="auto"/>
        <w:jc w:val="both"/>
        <w:rPr>
          <w:rFonts w:ascii="Times New Roman" w:hAnsi="Times New Roman" w:cs="Times New Roman"/>
          <w:sz w:val="24"/>
        </w:rPr>
      </w:pPr>
      <w:r w:rsidRPr="004D2916">
        <w:rPr>
          <w:rFonts w:ascii="Times New Roman" w:hAnsi="Times New Roman" w:cs="Times New Roman"/>
          <w:sz w:val="24"/>
          <w:lang w:val="it-IT"/>
        </w:rPr>
        <w:t xml:space="preserve">Hatano, M., Tabata, Y., Yoshida, Y., Toh, K., Yamashita, K., Ogura, Y., Ishihara, K., 2018. </w:t>
      </w:r>
      <w:r w:rsidRPr="00817596">
        <w:rPr>
          <w:rFonts w:ascii="Times New Roman" w:hAnsi="Times New Roman" w:cs="Times New Roman"/>
          <w:sz w:val="24"/>
        </w:rPr>
        <w:t xml:space="preserve">Metal-free transesterification catalyzed by tetramethylammonium methyl carbonate. Green Chem. 20, 1193–1198. </w:t>
      </w:r>
    </w:p>
    <w:p w14:paraId="4E9BEF59" w14:textId="6F1BD342" w:rsidR="00BF3014" w:rsidRPr="00817596" w:rsidRDefault="00BF3014" w:rsidP="00817596">
      <w:pPr>
        <w:pStyle w:val="Bibliografia"/>
        <w:spacing w:line="480" w:lineRule="auto"/>
        <w:jc w:val="both"/>
        <w:rPr>
          <w:rFonts w:ascii="Times New Roman" w:hAnsi="Times New Roman" w:cs="Times New Roman"/>
          <w:sz w:val="24"/>
        </w:rPr>
      </w:pPr>
      <w:r w:rsidRPr="00817596">
        <w:rPr>
          <w:rFonts w:ascii="Times New Roman" w:hAnsi="Times New Roman" w:cs="Times New Roman"/>
          <w:sz w:val="24"/>
        </w:rPr>
        <w:t xml:space="preserve">Ho, T.-H., Wang, C.-S., 1996. Modification of epoxy resins with polysiloxane thermoplastic polyurethane for electronic encapsulation: 1. Polymer 37, 2733–2742. </w:t>
      </w:r>
    </w:p>
    <w:p w14:paraId="4F3A050B" w14:textId="6B669E43" w:rsidR="00BF3014" w:rsidRPr="00817596" w:rsidRDefault="00BF3014" w:rsidP="00817596">
      <w:pPr>
        <w:pStyle w:val="Bibliografia"/>
        <w:spacing w:line="480" w:lineRule="auto"/>
        <w:jc w:val="both"/>
        <w:rPr>
          <w:rFonts w:ascii="Times New Roman" w:hAnsi="Times New Roman" w:cs="Times New Roman"/>
          <w:sz w:val="24"/>
          <w:lang w:val="it-IT"/>
        </w:rPr>
      </w:pPr>
      <w:r w:rsidRPr="00817596">
        <w:rPr>
          <w:rFonts w:ascii="Times New Roman" w:hAnsi="Times New Roman" w:cs="Times New Roman"/>
          <w:sz w:val="24"/>
        </w:rPr>
        <w:t xml:space="preserve">Hsieh, A.Y., Haines, R.S., Harper, J.B., 2023. The effects of ionic liquids on the ethanolysis of a chloroacenaphthene. Evaluation of the effectiveness of nucleofugality data to predict reaction outcome. </w:t>
      </w:r>
      <w:r w:rsidRPr="00817596">
        <w:rPr>
          <w:rFonts w:ascii="Times New Roman" w:hAnsi="Times New Roman" w:cs="Times New Roman"/>
          <w:sz w:val="24"/>
          <w:lang w:val="it-IT"/>
        </w:rPr>
        <w:t xml:space="preserve">RSC Adv. 13, 21036–21043. </w:t>
      </w:r>
    </w:p>
    <w:p w14:paraId="7FE05D6B" w14:textId="4C60D597" w:rsidR="00BF3014" w:rsidRPr="00817596" w:rsidRDefault="00BF3014" w:rsidP="00817596">
      <w:pPr>
        <w:pStyle w:val="Bibliografia"/>
        <w:spacing w:line="480" w:lineRule="auto"/>
        <w:jc w:val="both"/>
        <w:rPr>
          <w:rFonts w:ascii="Times New Roman" w:hAnsi="Times New Roman" w:cs="Times New Roman"/>
          <w:sz w:val="24"/>
        </w:rPr>
      </w:pPr>
      <w:r w:rsidRPr="00817596">
        <w:rPr>
          <w:rFonts w:ascii="Times New Roman" w:hAnsi="Times New Roman" w:cs="Times New Roman"/>
          <w:sz w:val="24"/>
          <w:lang w:val="it-IT"/>
        </w:rPr>
        <w:t xml:space="preserve">Jin, F.-L., Li, X., Park, S.-J., 2015. </w:t>
      </w:r>
      <w:r w:rsidRPr="00817596">
        <w:rPr>
          <w:rFonts w:ascii="Times New Roman" w:hAnsi="Times New Roman" w:cs="Times New Roman"/>
          <w:sz w:val="24"/>
        </w:rPr>
        <w:t xml:space="preserve">Synthesis and application of epoxy resins: A review. J. Ind. Eng. Chem. 29, 1–11. </w:t>
      </w:r>
    </w:p>
    <w:p w14:paraId="5D6CDDB0" w14:textId="3751C765" w:rsidR="00BF3014" w:rsidRDefault="00BF3014" w:rsidP="00817596">
      <w:pPr>
        <w:pStyle w:val="Bibliografia"/>
        <w:spacing w:line="480" w:lineRule="auto"/>
        <w:jc w:val="both"/>
        <w:rPr>
          <w:rFonts w:ascii="Times New Roman" w:hAnsi="Times New Roman" w:cs="Times New Roman"/>
          <w:sz w:val="24"/>
        </w:rPr>
      </w:pPr>
      <w:r w:rsidRPr="00817596">
        <w:rPr>
          <w:rFonts w:ascii="Times New Roman" w:hAnsi="Times New Roman" w:cs="Times New Roman"/>
          <w:sz w:val="24"/>
        </w:rPr>
        <w:t xml:space="preserve">Liu, Y., Zhao, J., Peng, Y., Luo, J., Cao, L., Liu, X., 2020. Comparative Study on the Properties of Epoxy Derived from Aromatic and Heteroaromatic Compounds: The Role of Hydrogen Bonding. </w:t>
      </w:r>
      <w:r w:rsidRPr="002E69EC">
        <w:rPr>
          <w:rFonts w:ascii="Times New Roman" w:hAnsi="Times New Roman" w:cs="Times New Roman"/>
          <w:sz w:val="24"/>
        </w:rPr>
        <w:t xml:space="preserve">Ind. Eng. Chem. Res. 59, 1914–1924. </w:t>
      </w:r>
    </w:p>
    <w:p w14:paraId="5511783F" w14:textId="41FA5F62" w:rsidR="00DA3F33" w:rsidRPr="004D2916" w:rsidRDefault="00DA3F33" w:rsidP="00DA3F33">
      <w:pPr>
        <w:pStyle w:val="Bibliografia"/>
        <w:spacing w:line="480" w:lineRule="auto"/>
        <w:jc w:val="both"/>
        <w:rPr>
          <w:rFonts w:ascii="Times New Roman" w:hAnsi="Times New Roman" w:cs="Times New Roman"/>
          <w:sz w:val="24"/>
          <w:lang w:val="it-IT"/>
        </w:rPr>
      </w:pPr>
      <w:r w:rsidRPr="00B820C7">
        <w:rPr>
          <w:rFonts w:ascii="Times New Roman" w:hAnsi="Times New Roman" w:cs="Times New Roman"/>
          <w:sz w:val="24"/>
        </w:rPr>
        <w:t>Lozano, P, García-Verdugo, E., Bernal, J. M., Izquierdo, D. F., Burguete, M. I., Sánchez-Gómez, G., Luis, S. V., 2012. Immobilised Lipase on Structured Supports Containing Covalently Attached Ionic Liquids for the Continuous Synthesis of Biodiesel in scCO</w:t>
      </w:r>
      <w:r w:rsidRPr="00B820C7">
        <w:rPr>
          <w:rFonts w:ascii="Times New Roman" w:hAnsi="Times New Roman" w:cs="Times New Roman"/>
          <w:sz w:val="24"/>
          <w:vertAlign w:val="subscript"/>
        </w:rPr>
        <w:t>2</w:t>
      </w:r>
      <w:r w:rsidRPr="00B820C7">
        <w:rPr>
          <w:rFonts w:ascii="Times New Roman" w:hAnsi="Times New Roman" w:cs="Times New Roman"/>
          <w:sz w:val="24"/>
        </w:rPr>
        <w:t xml:space="preserve">. </w:t>
      </w:r>
      <w:r w:rsidRPr="00B820C7">
        <w:rPr>
          <w:rFonts w:ascii="Times New Roman" w:hAnsi="Times New Roman" w:cs="Times New Roman"/>
          <w:sz w:val="24"/>
          <w:lang w:val="it-IT"/>
        </w:rPr>
        <w:t>ChemSusChem 2012, 5, 790.</w:t>
      </w:r>
    </w:p>
    <w:p w14:paraId="348180AE" w14:textId="33A25C09" w:rsidR="00BF3014" w:rsidRPr="00817596" w:rsidRDefault="00BF3014" w:rsidP="00817596">
      <w:pPr>
        <w:pStyle w:val="Bibliografia"/>
        <w:spacing w:line="480" w:lineRule="auto"/>
        <w:jc w:val="both"/>
        <w:rPr>
          <w:rFonts w:ascii="Times New Roman" w:hAnsi="Times New Roman" w:cs="Times New Roman"/>
          <w:sz w:val="24"/>
        </w:rPr>
      </w:pPr>
      <w:r w:rsidRPr="004D2916">
        <w:rPr>
          <w:rFonts w:ascii="Times New Roman" w:hAnsi="Times New Roman" w:cs="Times New Roman"/>
          <w:sz w:val="24"/>
          <w:lang w:val="it-IT"/>
        </w:rPr>
        <w:t xml:space="preserve">Lozano, P., Bernal, J.M., Nieto, S., Gomez, C., Garcia-Verdugo, E., Luis, S.V., 2015. </w:t>
      </w:r>
      <w:r w:rsidRPr="00817596">
        <w:rPr>
          <w:rFonts w:ascii="Times New Roman" w:hAnsi="Times New Roman" w:cs="Times New Roman"/>
          <w:sz w:val="24"/>
        </w:rPr>
        <w:t xml:space="preserve">Active biopolymers in green non-conventional media: a sustainable tool for developing clean chemical processes. Chem. Commun. 51, 17361–17374. </w:t>
      </w:r>
    </w:p>
    <w:p w14:paraId="67326195" w14:textId="1F835221" w:rsidR="00BF3014" w:rsidRPr="00814C63" w:rsidRDefault="00BF3014" w:rsidP="00817596">
      <w:pPr>
        <w:pStyle w:val="Bibliografia"/>
        <w:spacing w:line="480" w:lineRule="auto"/>
        <w:jc w:val="both"/>
        <w:rPr>
          <w:rFonts w:ascii="Times New Roman" w:hAnsi="Times New Roman" w:cs="Times New Roman"/>
          <w:sz w:val="24"/>
        </w:rPr>
      </w:pPr>
      <w:r w:rsidRPr="00817596">
        <w:rPr>
          <w:rFonts w:ascii="Times New Roman" w:hAnsi="Times New Roman" w:cs="Times New Roman"/>
          <w:sz w:val="24"/>
        </w:rPr>
        <w:t>Lozano, P., García‐Verdugo, E., Bernal, J.M., Izquierdo, D.F., Burguete, M.I., Sánchez‐Gómez, G., Luis, S.V., 2012. Immobilised Lipase on Structured Supports Containing Covalently Attached Ionic Liquids for the Continuous Synthesis of Biodiesel in scCO</w:t>
      </w:r>
      <w:r w:rsidRPr="00817596">
        <w:rPr>
          <w:rFonts w:ascii="Times New Roman" w:hAnsi="Times New Roman" w:cs="Times New Roman"/>
          <w:sz w:val="24"/>
          <w:vertAlign w:val="subscript"/>
        </w:rPr>
        <w:t>2</w:t>
      </w:r>
      <w:r w:rsidRPr="00817596">
        <w:rPr>
          <w:rFonts w:ascii="Times New Roman" w:hAnsi="Times New Roman" w:cs="Times New Roman"/>
          <w:sz w:val="24"/>
        </w:rPr>
        <w:t xml:space="preserve">. </w:t>
      </w:r>
      <w:r w:rsidRPr="00814C63">
        <w:rPr>
          <w:rFonts w:ascii="Times New Roman" w:hAnsi="Times New Roman" w:cs="Times New Roman"/>
          <w:sz w:val="24"/>
        </w:rPr>
        <w:t>ChemSusChem 5, 790–798.</w:t>
      </w:r>
    </w:p>
    <w:p w14:paraId="12D6912F" w14:textId="1EAE1D07" w:rsidR="00BF3014" w:rsidRPr="00817596" w:rsidRDefault="00BF3014" w:rsidP="00817596">
      <w:pPr>
        <w:pStyle w:val="Bibliografia"/>
        <w:spacing w:line="480" w:lineRule="auto"/>
        <w:jc w:val="both"/>
        <w:rPr>
          <w:rFonts w:ascii="Times New Roman" w:hAnsi="Times New Roman" w:cs="Times New Roman"/>
          <w:sz w:val="24"/>
        </w:rPr>
      </w:pPr>
      <w:r w:rsidRPr="00814C63">
        <w:rPr>
          <w:rFonts w:ascii="Times New Roman" w:hAnsi="Times New Roman" w:cs="Times New Roman"/>
          <w:sz w:val="24"/>
        </w:rPr>
        <w:t xml:space="preserve">Marotta, A., Ambrogi, V., Cerruti, P., Mija, A., 2018. </w:t>
      </w:r>
      <w:r w:rsidRPr="00817596">
        <w:rPr>
          <w:rFonts w:ascii="Times New Roman" w:hAnsi="Times New Roman" w:cs="Times New Roman"/>
          <w:sz w:val="24"/>
        </w:rPr>
        <w:t xml:space="preserve">Green approaches in the synthesis of furan-based diepoxy monomers. RSC Adv. 8, 16330–16335. </w:t>
      </w:r>
    </w:p>
    <w:p w14:paraId="4C8C7BCF" w14:textId="66A1343D" w:rsidR="00BF3014" w:rsidRPr="002E69EC" w:rsidRDefault="00BF3014" w:rsidP="00817596">
      <w:pPr>
        <w:pStyle w:val="Bibliografia"/>
        <w:spacing w:line="480" w:lineRule="auto"/>
        <w:jc w:val="both"/>
        <w:rPr>
          <w:rFonts w:ascii="Times New Roman" w:hAnsi="Times New Roman" w:cs="Times New Roman"/>
          <w:sz w:val="24"/>
        </w:rPr>
      </w:pPr>
      <w:r w:rsidRPr="00814C63">
        <w:rPr>
          <w:rFonts w:ascii="Times New Roman" w:hAnsi="Times New Roman" w:cs="Times New Roman"/>
          <w:sz w:val="24"/>
        </w:rPr>
        <w:t xml:space="preserve">Meier, M.A.R., Metzger, J.O., Schubert, U.S., 2007. </w:t>
      </w:r>
      <w:r w:rsidRPr="00817596">
        <w:rPr>
          <w:rFonts w:ascii="Times New Roman" w:hAnsi="Times New Roman" w:cs="Times New Roman"/>
          <w:sz w:val="24"/>
        </w:rPr>
        <w:t xml:space="preserve">Plant oil renewable resources as green alternatives in polymer science. </w:t>
      </w:r>
      <w:r w:rsidRPr="002E69EC">
        <w:rPr>
          <w:rFonts w:ascii="Times New Roman" w:hAnsi="Times New Roman" w:cs="Times New Roman"/>
          <w:sz w:val="24"/>
        </w:rPr>
        <w:t xml:space="preserve">Chem. Soc. Rev. 36, 1788. </w:t>
      </w:r>
    </w:p>
    <w:p w14:paraId="447695D5" w14:textId="732AA910" w:rsidR="00BF3014" w:rsidRPr="00814C63" w:rsidRDefault="00BF3014" w:rsidP="00817596">
      <w:pPr>
        <w:pStyle w:val="Bibliografia"/>
        <w:spacing w:line="480" w:lineRule="auto"/>
        <w:jc w:val="both"/>
        <w:rPr>
          <w:rFonts w:ascii="Times New Roman" w:hAnsi="Times New Roman" w:cs="Times New Roman"/>
          <w:sz w:val="24"/>
          <w:lang w:val="de-DE"/>
        </w:rPr>
      </w:pPr>
      <w:r w:rsidRPr="002E69EC">
        <w:rPr>
          <w:rFonts w:ascii="Times New Roman" w:hAnsi="Times New Roman" w:cs="Times New Roman"/>
          <w:sz w:val="24"/>
        </w:rPr>
        <w:t xml:space="preserve">Meng, J., Zeng, Y., Chen, P., Zhang, J., Yao, C., Fang, Z., Guo, K., 2019a. </w:t>
      </w:r>
      <w:r w:rsidRPr="00817596">
        <w:rPr>
          <w:rFonts w:ascii="Times New Roman" w:hAnsi="Times New Roman" w:cs="Times New Roman"/>
          <w:sz w:val="24"/>
        </w:rPr>
        <w:t xml:space="preserve">New ultrastiff bio-furan epoxy networks with high Tg: Facile synthesis to excellent properties. </w:t>
      </w:r>
      <w:r w:rsidRPr="00814C63">
        <w:rPr>
          <w:rFonts w:ascii="Times New Roman" w:hAnsi="Times New Roman" w:cs="Times New Roman"/>
          <w:sz w:val="24"/>
          <w:lang w:val="de-DE"/>
        </w:rPr>
        <w:t>Eur. Polym. J. 121, 109292.</w:t>
      </w:r>
    </w:p>
    <w:p w14:paraId="145ED9DC" w14:textId="572FB111" w:rsidR="00BF3014" w:rsidRPr="00814C63" w:rsidRDefault="00BF3014" w:rsidP="00817596">
      <w:pPr>
        <w:pStyle w:val="Bibliografia"/>
        <w:spacing w:line="480" w:lineRule="auto"/>
        <w:jc w:val="both"/>
        <w:rPr>
          <w:rFonts w:ascii="Times New Roman" w:hAnsi="Times New Roman" w:cs="Times New Roman"/>
          <w:sz w:val="24"/>
        </w:rPr>
      </w:pPr>
      <w:r w:rsidRPr="00905DAF">
        <w:rPr>
          <w:rFonts w:ascii="Times New Roman" w:hAnsi="Times New Roman" w:cs="Times New Roman"/>
          <w:sz w:val="24"/>
          <w:lang w:val="de-DE"/>
        </w:rPr>
        <w:t xml:space="preserve">Meng, J., Zeng, Y., Zhu, G., Zhang, J., Chen, P., Yao, C., Fang, Z., Guo, K., 2019b. </w:t>
      </w:r>
      <w:r w:rsidRPr="00817596">
        <w:rPr>
          <w:rFonts w:ascii="Times New Roman" w:hAnsi="Times New Roman" w:cs="Times New Roman"/>
          <w:sz w:val="24"/>
        </w:rPr>
        <w:t xml:space="preserve">Sustainable Bio-based Furan Epoxy Resin with Flame Retardancy. Polym. </w:t>
      </w:r>
      <w:r w:rsidRPr="00814C63">
        <w:rPr>
          <w:rFonts w:ascii="Times New Roman" w:hAnsi="Times New Roman" w:cs="Times New Roman"/>
          <w:sz w:val="24"/>
        </w:rPr>
        <w:t xml:space="preserve">Chem. 7, 36–43. </w:t>
      </w:r>
    </w:p>
    <w:p w14:paraId="15D8795B" w14:textId="2B67646C" w:rsidR="00BF3014" w:rsidRPr="00817596" w:rsidRDefault="00BF3014" w:rsidP="00817596">
      <w:pPr>
        <w:pStyle w:val="Bibliografia"/>
        <w:spacing w:line="480" w:lineRule="auto"/>
        <w:jc w:val="both"/>
        <w:rPr>
          <w:rFonts w:ascii="Times New Roman" w:hAnsi="Times New Roman" w:cs="Times New Roman"/>
          <w:sz w:val="24"/>
        </w:rPr>
      </w:pPr>
      <w:r w:rsidRPr="00814C63">
        <w:rPr>
          <w:rFonts w:ascii="Times New Roman" w:hAnsi="Times New Roman" w:cs="Times New Roman"/>
          <w:sz w:val="24"/>
        </w:rPr>
        <w:t xml:space="preserve">Migowski, P., Lozano, P., Dupont, J., 2023. </w:t>
      </w:r>
      <w:r w:rsidRPr="00817596">
        <w:rPr>
          <w:rFonts w:ascii="Times New Roman" w:hAnsi="Times New Roman" w:cs="Times New Roman"/>
          <w:sz w:val="24"/>
        </w:rPr>
        <w:t>Imidazolium based ionic liquid-phase green catalytic reactions. Green Chem. 25, 1237–1260.</w:t>
      </w:r>
    </w:p>
    <w:p w14:paraId="2CB466E2" w14:textId="51F1E3FF" w:rsidR="00BF3014" w:rsidRPr="00817596" w:rsidRDefault="00BF3014" w:rsidP="00817596">
      <w:pPr>
        <w:pStyle w:val="Bibliografia"/>
        <w:spacing w:line="480" w:lineRule="auto"/>
        <w:jc w:val="both"/>
        <w:rPr>
          <w:rFonts w:ascii="Times New Roman" w:hAnsi="Times New Roman" w:cs="Times New Roman"/>
          <w:sz w:val="24"/>
        </w:rPr>
      </w:pPr>
      <w:r w:rsidRPr="00817596">
        <w:rPr>
          <w:rFonts w:ascii="Times New Roman" w:hAnsi="Times New Roman" w:cs="Times New Roman"/>
          <w:sz w:val="24"/>
        </w:rPr>
        <w:t>Nameer, S., Larsen, D.B., Duus, J.Ø., Daugaard, A.E., Johansson, M., 2018. Biobased Cationically Polymerizable Epoxy Thermosets from Furan and Fatty Acid Derivatives. ACS Sustain. Chem. Eng. 6, 9442–9450.</w:t>
      </w:r>
    </w:p>
    <w:p w14:paraId="1FDBC93D" w14:textId="0FED441B" w:rsidR="00BF3014" w:rsidRPr="00817596" w:rsidRDefault="00BF3014" w:rsidP="00817596">
      <w:pPr>
        <w:pStyle w:val="Bibliografia"/>
        <w:spacing w:line="480" w:lineRule="auto"/>
        <w:jc w:val="both"/>
        <w:rPr>
          <w:rFonts w:ascii="Times New Roman" w:hAnsi="Times New Roman" w:cs="Times New Roman"/>
          <w:sz w:val="24"/>
          <w:lang w:val="fr-FR"/>
        </w:rPr>
      </w:pPr>
      <w:r w:rsidRPr="00817596">
        <w:rPr>
          <w:rFonts w:ascii="Times New Roman" w:hAnsi="Times New Roman" w:cs="Times New Roman"/>
          <w:sz w:val="24"/>
        </w:rPr>
        <w:t xml:space="preserve">Negrell, C., Cornille, A., De Andrade Nascimento, P., Robin, J., Caillol, S., 2017. New bio‐based epoxy materials and foams from microalgal oil. </w:t>
      </w:r>
      <w:r w:rsidRPr="00817596">
        <w:rPr>
          <w:rFonts w:ascii="Times New Roman" w:hAnsi="Times New Roman" w:cs="Times New Roman"/>
          <w:sz w:val="24"/>
          <w:lang w:val="fr-FR"/>
        </w:rPr>
        <w:t xml:space="preserve">Eur. J. Lipid Sci. Technol. 119, 1600214. </w:t>
      </w:r>
    </w:p>
    <w:p w14:paraId="46F2A17D" w14:textId="77777777" w:rsidR="003B63B0" w:rsidRDefault="00BF3014" w:rsidP="003B63B0">
      <w:pPr>
        <w:pStyle w:val="Bibliografia"/>
        <w:spacing w:line="480" w:lineRule="auto"/>
        <w:jc w:val="both"/>
        <w:rPr>
          <w:rFonts w:ascii="Times New Roman" w:hAnsi="Times New Roman" w:cs="Times New Roman"/>
          <w:sz w:val="24"/>
        </w:rPr>
      </w:pPr>
      <w:r w:rsidRPr="00817596">
        <w:rPr>
          <w:rFonts w:ascii="Times New Roman" w:hAnsi="Times New Roman" w:cs="Times New Roman"/>
          <w:sz w:val="24"/>
          <w:lang w:val="fr-FR"/>
        </w:rPr>
        <w:t xml:space="preserve">Ng, F., Couture, G., Philippe, C., Boutevin, B., Caillol, S., 2017. </w:t>
      </w:r>
      <w:r w:rsidRPr="00817596">
        <w:rPr>
          <w:rFonts w:ascii="Times New Roman" w:hAnsi="Times New Roman" w:cs="Times New Roman"/>
          <w:sz w:val="24"/>
        </w:rPr>
        <w:t>Bio-Based Aromatic Epoxy Monomers for Thermoset Materials. Molecules 22, 149.</w:t>
      </w:r>
    </w:p>
    <w:p w14:paraId="443AD1C5" w14:textId="77777777" w:rsidR="003B63B0" w:rsidRDefault="003B63B0" w:rsidP="00817596">
      <w:pPr>
        <w:pStyle w:val="Bibliografia"/>
        <w:spacing w:line="480" w:lineRule="auto"/>
        <w:jc w:val="both"/>
        <w:rPr>
          <w:rFonts w:ascii="Times New Roman" w:hAnsi="Times New Roman" w:cs="Times New Roman"/>
          <w:sz w:val="24"/>
          <w:szCs w:val="24"/>
        </w:rPr>
      </w:pPr>
      <w:r w:rsidRPr="00B820C7">
        <w:rPr>
          <w:rFonts w:ascii="Times New Roman" w:hAnsi="Times New Roman" w:cs="Times New Roman"/>
          <w:sz w:val="24"/>
          <w:lang w:val="pt-PT"/>
        </w:rPr>
        <w:t xml:space="preserve">Peris, E, Porcar, R, Burguete, M. I., García-Verdugo, E., Luis, S. V., 2019. </w:t>
      </w:r>
      <w:r w:rsidRPr="00B820C7">
        <w:rPr>
          <w:rFonts w:ascii="Times New Roman" w:hAnsi="Times New Roman" w:cs="Times New Roman"/>
          <w:sz w:val="24"/>
        </w:rPr>
        <w:t xml:space="preserve">Supported Ionic Liquid-Like Phases (SILLPs) as Immobilised Catalysts for the Multistep and Multicatalytic Continuous Flow Synthesis of Chiral Cyanohydrins. ChemCatChem </w:t>
      </w:r>
      <w:r w:rsidRPr="00B820C7">
        <w:rPr>
          <w:rFonts w:ascii="Times New Roman" w:hAnsi="Times New Roman" w:cs="Times New Roman"/>
          <w:sz w:val="24"/>
          <w:szCs w:val="24"/>
        </w:rPr>
        <w:t>11, 1955.</w:t>
      </w:r>
    </w:p>
    <w:p w14:paraId="726F1748" w14:textId="19649F2A" w:rsidR="00BF3014" w:rsidRPr="004D2916" w:rsidRDefault="00BF3014" w:rsidP="00817596">
      <w:pPr>
        <w:pStyle w:val="Bibliografia"/>
        <w:spacing w:line="480" w:lineRule="auto"/>
        <w:jc w:val="both"/>
        <w:rPr>
          <w:rFonts w:ascii="Times New Roman" w:hAnsi="Times New Roman" w:cs="Times New Roman"/>
          <w:sz w:val="24"/>
          <w:lang w:val="it-IT"/>
        </w:rPr>
      </w:pPr>
      <w:r w:rsidRPr="00817596">
        <w:rPr>
          <w:rFonts w:ascii="Times New Roman" w:hAnsi="Times New Roman" w:cs="Times New Roman"/>
          <w:sz w:val="24"/>
        </w:rPr>
        <w:t xml:space="preserve">Rahman, Md.M., Akhtarul Islam, M., 2022. Application of epoxy resins in building materials: progress and prospects. </w:t>
      </w:r>
      <w:r w:rsidRPr="004D2916">
        <w:rPr>
          <w:rFonts w:ascii="Times New Roman" w:hAnsi="Times New Roman" w:cs="Times New Roman"/>
          <w:sz w:val="24"/>
          <w:lang w:val="it-IT"/>
        </w:rPr>
        <w:t>Polym. Bull. 79, 1949–1975.</w:t>
      </w:r>
    </w:p>
    <w:p w14:paraId="2ADD2A3B" w14:textId="67D6994E" w:rsidR="00BF3014" w:rsidRPr="00817596" w:rsidRDefault="00BF3014" w:rsidP="00817596">
      <w:pPr>
        <w:pStyle w:val="Bibliografia"/>
        <w:spacing w:line="480" w:lineRule="auto"/>
        <w:jc w:val="both"/>
        <w:rPr>
          <w:rFonts w:ascii="Times New Roman" w:hAnsi="Times New Roman" w:cs="Times New Roman"/>
          <w:sz w:val="24"/>
        </w:rPr>
      </w:pPr>
      <w:r w:rsidRPr="004D2916">
        <w:rPr>
          <w:rFonts w:ascii="Times New Roman" w:hAnsi="Times New Roman" w:cs="Times New Roman"/>
          <w:sz w:val="24"/>
          <w:lang w:val="it-IT"/>
        </w:rPr>
        <w:t xml:space="preserve">Rong, L., Su, J., Li, Z., Liu, X., Zhang, D., Zhu, J., Li, X., Zhao, Y., Mi, C., Kong, X., Wang, G., 2024. </w:t>
      </w:r>
      <w:r w:rsidRPr="00817596">
        <w:rPr>
          <w:rFonts w:ascii="Times New Roman" w:hAnsi="Times New Roman" w:cs="Times New Roman"/>
          <w:sz w:val="24"/>
        </w:rPr>
        <w:t xml:space="preserve">Silicon Hybridization for the Preparation of Room-Temperature Curing and High-Temperature-Resistant Epoxy Resin. Polymers 16, 634. </w:t>
      </w:r>
    </w:p>
    <w:p w14:paraId="01A9E3B1" w14:textId="413658AE" w:rsidR="00BF3014" w:rsidRPr="00817596" w:rsidRDefault="00BF3014" w:rsidP="00817596">
      <w:pPr>
        <w:pStyle w:val="Bibliografia"/>
        <w:spacing w:line="480" w:lineRule="auto"/>
        <w:jc w:val="both"/>
        <w:rPr>
          <w:rFonts w:ascii="Times New Roman" w:hAnsi="Times New Roman" w:cs="Times New Roman"/>
          <w:sz w:val="24"/>
        </w:rPr>
      </w:pPr>
      <w:r w:rsidRPr="00814C63">
        <w:rPr>
          <w:rFonts w:ascii="Times New Roman" w:hAnsi="Times New Roman" w:cs="Times New Roman"/>
          <w:sz w:val="24"/>
        </w:rPr>
        <w:t xml:space="preserve">Sandler, S.R., Berg, F.R., 1966. </w:t>
      </w:r>
      <w:r w:rsidRPr="00817596">
        <w:rPr>
          <w:rFonts w:ascii="Times New Roman" w:hAnsi="Times New Roman" w:cs="Times New Roman"/>
          <w:sz w:val="24"/>
        </w:rPr>
        <w:t xml:space="preserve">Room temperature polymerization of glycidol. J. Polym. Sci. 4, 1253–1259. </w:t>
      </w:r>
    </w:p>
    <w:p w14:paraId="6D90B100" w14:textId="3CF7388B" w:rsidR="00BF3014" w:rsidRPr="00817596" w:rsidRDefault="00BF3014" w:rsidP="00817596">
      <w:pPr>
        <w:pStyle w:val="Bibliografia"/>
        <w:spacing w:line="480" w:lineRule="auto"/>
        <w:jc w:val="both"/>
        <w:rPr>
          <w:rFonts w:ascii="Times New Roman" w:hAnsi="Times New Roman" w:cs="Times New Roman"/>
          <w:sz w:val="24"/>
        </w:rPr>
      </w:pPr>
      <w:r w:rsidRPr="00817596">
        <w:rPr>
          <w:rFonts w:ascii="Times New Roman" w:hAnsi="Times New Roman" w:cs="Times New Roman"/>
          <w:sz w:val="24"/>
        </w:rPr>
        <w:t>Schindl, A., Hawker, R.R., Schaffarczyk McHale, K.S., Liu, K.T.-C., Morris, D.C., Hsieh, A.Y., Gilbert, A., Prescott, S.W., Haines, R.S., Croft, A.K., Harper, J.B., Jäger, C.M., 2020. Controlling the outcome of S</w:t>
      </w:r>
      <w:r w:rsidRPr="00817596">
        <w:rPr>
          <w:rFonts w:ascii="Times New Roman" w:hAnsi="Times New Roman" w:cs="Times New Roman"/>
          <w:sz w:val="24"/>
          <w:vertAlign w:val="subscript"/>
        </w:rPr>
        <w:t>N</w:t>
      </w:r>
      <w:r w:rsidRPr="00817596">
        <w:rPr>
          <w:rFonts w:ascii="Times New Roman" w:hAnsi="Times New Roman" w:cs="Times New Roman"/>
          <w:sz w:val="24"/>
        </w:rPr>
        <w:t xml:space="preserve"> 2 reactions in ionic liquids: from rational data set design to predictive linear regression models. Phys. Chem. Chem. Phys. 22, 23009–23018. </w:t>
      </w:r>
    </w:p>
    <w:p w14:paraId="62E33394" w14:textId="5C2D8AC4" w:rsidR="00BF3014" w:rsidRPr="00817596" w:rsidRDefault="00BF3014" w:rsidP="00817596">
      <w:pPr>
        <w:pStyle w:val="Bibliografia"/>
        <w:spacing w:line="480" w:lineRule="auto"/>
        <w:jc w:val="both"/>
        <w:rPr>
          <w:rFonts w:ascii="Times New Roman" w:hAnsi="Times New Roman" w:cs="Times New Roman"/>
          <w:sz w:val="24"/>
        </w:rPr>
      </w:pPr>
      <w:r w:rsidRPr="00817596">
        <w:rPr>
          <w:rFonts w:ascii="Times New Roman" w:hAnsi="Times New Roman" w:cs="Times New Roman"/>
          <w:sz w:val="24"/>
        </w:rPr>
        <w:t>Sherrington, D.C., 1998. Preparation, structure and morphology of polymer supports. Chem. Commun. 2275–2286.</w:t>
      </w:r>
    </w:p>
    <w:p w14:paraId="413E8D68" w14:textId="0BF2A27F" w:rsidR="00BF3014" w:rsidRPr="00817596" w:rsidRDefault="00BF3014" w:rsidP="00817596">
      <w:pPr>
        <w:pStyle w:val="Bibliografia"/>
        <w:spacing w:line="480" w:lineRule="auto"/>
        <w:jc w:val="both"/>
        <w:rPr>
          <w:rFonts w:ascii="Times New Roman" w:hAnsi="Times New Roman" w:cs="Times New Roman"/>
          <w:sz w:val="24"/>
          <w:lang w:val="pl-PL"/>
        </w:rPr>
      </w:pPr>
      <w:r w:rsidRPr="00817596">
        <w:rPr>
          <w:rFonts w:ascii="Times New Roman" w:hAnsi="Times New Roman" w:cs="Times New Roman"/>
          <w:sz w:val="24"/>
        </w:rPr>
        <w:t xml:space="preserve">Sprenger, S., 2013. Epoxy Resin Composites with Surface‐modified Silicon Dioxide Nanoparticles: A Review. </w:t>
      </w:r>
      <w:r w:rsidRPr="004D2916">
        <w:rPr>
          <w:rFonts w:ascii="Times New Roman" w:hAnsi="Times New Roman" w:cs="Times New Roman"/>
          <w:sz w:val="24"/>
          <w:lang w:val="it-IT"/>
        </w:rPr>
        <w:t xml:space="preserve">J. of Appl. </w:t>
      </w:r>
      <w:r w:rsidRPr="00817596">
        <w:rPr>
          <w:rFonts w:ascii="Times New Roman" w:hAnsi="Times New Roman" w:cs="Times New Roman"/>
          <w:sz w:val="24"/>
          <w:lang w:val="pl-PL"/>
        </w:rPr>
        <w:t xml:space="preserve">Polym. Sci. 130, 1421–1428. </w:t>
      </w:r>
    </w:p>
    <w:p w14:paraId="17C3A40D" w14:textId="7DB6A7BE" w:rsidR="00BF3014" w:rsidRPr="00627270" w:rsidRDefault="00BF3014" w:rsidP="00817596">
      <w:pPr>
        <w:pStyle w:val="Bibliografia"/>
        <w:spacing w:line="480" w:lineRule="auto"/>
        <w:jc w:val="both"/>
        <w:rPr>
          <w:rFonts w:ascii="Times New Roman" w:hAnsi="Times New Roman" w:cs="Times New Roman"/>
          <w:sz w:val="24"/>
          <w:lang w:val="it-IT"/>
        </w:rPr>
      </w:pPr>
      <w:r w:rsidRPr="00817596">
        <w:rPr>
          <w:rFonts w:ascii="Times New Roman" w:hAnsi="Times New Roman" w:cs="Times New Roman"/>
          <w:sz w:val="24"/>
          <w:lang w:val="pl-PL"/>
        </w:rPr>
        <w:t xml:space="preserve">Tanaka, S., Nakajima, Y., Ogawa, A., Kuragano, T., Kon, Y., Tamura, M., Sato, K., Copéret, C., 2022. </w:t>
      </w:r>
      <w:r w:rsidRPr="00817596">
        <w:rPr>
          <w:rFonts w:ascii="Times New Roman" w:hAnsi="Times New Roman" w:cs="Times New Roman"/>
          <w:sz w:val="24"/>
        </w:rPr>
        <w:t xml:space="preserve">DNP NMR spectroscopy enabled direct characterization of polystyrene-supported catalyst species for synthesis of glycidyl esters by transesterification. </w:t>
      </w:r>
      <w:r w:rsidRPr="00627270">
        <w:rPr>
          <w:rFonts w:ascii="Times New Roman" w:hAnsi="Times New Roman" w:cs="Times New Roman"/>
          <w:sz w:val="24"/>
          <w:lang w:val="it-IT"/>
        </w:rPr>
        <w:t>Chem. Sci. 13, 4490–4497.</w:t>
      </w:r>
    </w:p>
    <w:p w14:paraId="47795553" w14:textId="7E3D0FFA" w:rsidR="00BF3014" w:rsidRPr="00627270" w:rsidRDefault="00BF3014" w:rsidP="00817596">
      <w:pPr>
        <w:pStyle w:val="Bibliografia"/>
        <w:spacing w:line="480" w:lineRule="auto"/>
        <w:jc w:val="both"/>
        <w:rPr>
          <w:rFonts w:ascii="Times New Roman" w:hAnsi="Times New Roman" w:cs="Times New Roman"/>
          <w:sz w:val="24"/>
          <w:lang w:val="en-GB"/>
        </w:rPr>
      </w:pPr>
      <w:r w:rsidRPr="00627270">
        <w:rPr>
          <w:rFonts w:ascii="Times New Roman" w:hAnsi="Times New Roman" w:cs="Times New Roman"/>
          <w:sz w:val="24"/>
          <w:lang w:val="it-IT"/>
        </w:rPr>
        <w:t xml:space="preserve">Tanaka, S., Nakashima, T., Satou, N., Oono, H., Kon, Y., Tamura, M., Sato, K., 2019. </w:t>
      </w:r>
      <w:r w:rsidRPr="00817596">
        <w:rPr>
          <w:rFonts w:ascii="Times New Roman" w:hAnsi="Times New Roman" w:cs="Times New Roman"/>
          <w:sz w:val="24"/>
        </w:rPr>
        <w:t xml:space="preserve">Epoxide as precatalyst for metal-free catalytic transesterification. </w:t>
      </w:r>
      <w:r w:rsidRPr="00627270">
        <w:rPr>
          <w:rFonts w:ascii="Times New Roman" w:hAnsi="Times New Roman" w:cs="Times New Roman"/>
          <w:sz w:val="24"/>
          <w:lang w:val="en-GB"/>
        </w:rPr>
        <w:t>Tetrahedron Lett. 60, 2009–2013.</w:t>
      </w:r>
    </w:p>
    <w:p w14:paraId="14CB1963" w14:textId="257D8344" w:rsidR="00BF3014" w:rsidRPr="00817596" w:rsidRDefault="00BF3014" w:rsidP="00817596">
      <w:pPr>
        <w:pStyle w:val="Bibliografia"/>
        <w:spacing w:line="480" w:lineRule="auto"/>
        <w:jc w:val="both"/>
        <w:rPr>
          <w:rFonts w:ascii="Times New Roman" w:hAnsi="Times New Roman" w:cs="Times New Roman"/>
          <w:sz w:val="24"/>
          <w:lang w:val="it-IT"/>
        </w:rPr>
      </w:pPr>
      <w:r w:rsidRPr="00817596">
        <w:rPr>
          <w:rFonts w:ascii="Times New Roman" w:hAnsi="Times New Roman" w:cs="Times New Roman"/>
          <w:sz w:val="24"/>
          <w:lang w:val="it-IT"/>
        </w:rPr>
        <w:t xml:space="preserve">Trapasso, G., Annatelli, M., Dalla Torre, D., Aricò, F., 2022. </w:t>
      </w:r>
      <w:r w:rsidRPr="004D2916">
        <w:rPr>
          <w:rFonts w:ascii="Times New Roman" w:hAnsi="Times New Roman" w:cs="Times New Roman"/>
          <w:sz w:val="24"/>
          <w:lang w:val="en-GB"/>
        </w:rPr>
        <w:t xml:space="preserve">Synthesis of 2,5-furandicarboxylic acid dimethyl ester from galactaric acid </w:t>
      </w:r>
      <w:r w:rsidRPr="004D2916">
        <w:rPr>
          <w:rFonts w:ascii="Times New Roman" w:hAnsi="Times New Roman" w:cs="Times New Roman"/>
          <w:i/>
          <w:iCs/>
          <w:sz w:val="24"/>
          <w:lang w:val="en-GB"/>
        </w:rPr>
        <w:t>via</w:t>
      </w:r>
      <w:r w:rsidRPr="004D2916">
        <w:rPr>
          <w:rFonts w:ascii="Times New Roman" w:hAnsi="Times New Roman" w:cs="Times New Roman"/>
          <w:sz w:val="24"/>
          <w:lang w:val="en-GB"/>
        </w:rPr>
        <w:t xml:space="preserve"> dimethyl carbonate chemistry. </w:t>
      </w:r>
      <w:r w:rsidRPr="00817596">
        <w:rPr>
          <w:rFonts w:ascii="Times New Roman" w:hAnsi="Times New Roman" w:cs="Times New Roman"/>
          <w:sz w:val="24"/>
          <w:lang w:val="it-IT"/>
        </w:rPr>
        <w:t>Green Chem. 24, 2766–2771.</w:t>
      </w:r>
    </w:p>
    <w:p w14:paraId="4E99A256" w14:textId="67F315F4" w:rsidR="00BF3014" w:rsidRPr="00814C63" w:rsidRDefault="00BF3014" w:rsidP="00817596">
      <w:pPr>
        <w:pStyle w:val="Bibliografia"/>
        <w:spacing w:line="480" w:lineRule="auto"/>
        <w:jc w:val="both"/>
        <w:rPr>
          <w:rFonts w:ascii="Times New Roman" w:hAnsi="Times New Roman" w:cs="Times New Roman"/>
          <w:sz w:val="24"/>
        </w:rPr>
      </w:pPr>
      <w:r w:rsidRPr="00817596">
        <w:rPr>
          <w:rFonts w:ascii="Times New Roman" w:hAnsi="Times New Roman" w:cs="Times New Roman"/>
          <w:sz w:val="24"/>
          <w:lang w:val="it-IT"/>
        </w:rPr>
        <w:t xml:space="preserve">Trapasso, G., Chícharo, B., Gherardi, T., Redolfi-Bristol, D., Aricò, F., 2023. </w:t>
      </w:r>
      <w:r w:rsidRPr="00817596">
        <w:rPr>
          <w:rFonts w:ascii="Times New Roman" w:hAnsi="Times New Roman" w:cs="Times New Roman"/>
          <w:sz w:val="24"/>
        </w:rPr>
        <w:t xml:space="preserve">Iron(III) Sulfate-Mediated Synthesis of 2,5-Furandicarboxylic Acid Dimethyl Ester from Galactaric Acid. </w:t>
      </w:r>
      <w:r w:rsidRPr="00814C63">
        <w:rPr>
          <w:rFonts w:ascii="Times New Roman" w:hAnsi="Times New Roman" w:cs="Times New Roman"/>
          <w:sz w:val="24"/>
        </w:rPr>
        <w:t>Catalysts 13, 1114.</w:t>
      </w:r>
    </w:p>
    <w:p w14:paraId="76F59FFF" w14:textId="39D51FE6" w:rsidR="00BF3014" w:rsidRPr="00817596" w:rsidRDefault="00BF3014" w:rsidP="00817596">
      <w:pPr>
        <w:pStyle w:val="Bibliografia"/>
        <w:spacing w:line="480" w:lineRule="auto"/>
        <w:jc w:val="both"/>
        <w:rPr>
          <w:rFonts w:ascii="Times New Roman" w:hAnsi="Times New Roman" w:cs="Times New Roman"/>
          <w:sz w:val="24"/>
        </w:rPr>
      </w:pPr>
      <w:r w:rsidRPr="00814C63">
        <w:rPr>
          <w:rFonts w:ascii="Times New Roman" w:hAnsi="Times New Roman" w:cs="Times New Roman"/>
          <w:sz w:val="24"/>
        </w:rPr>
        <w:t xml:space="preserve">Trzebicka, B., Watach, W., Kurcok, P., Kowalczuk, M., 2024. </w:t>
      </w:r>
      <w:r w:rsidRPr="00817596">
        <w:rPr>
          <w:rFonts w:ascii="Times New Roman" w:hAnsi="Times New Roman" w:cs="Times New Roman"/>
          <w:sz w:val="24"/>
        </w:rPr>
        <w:t>Ring-opening (co)polymerization strategies of selected oxacyclic monomers to control and provide tailored polymers with desired properties. Polym Adv Technol. 35.</w:t>
      </w:r>
    </w:p>
    <w:p w14:paraId="4807E2E9" w14:textId="119E28BA" w:rsidR="00BF3014" w:rsidRPr="004D2916" w:rsidRDefault="00BF3014" w:rsidP="00817596">
      <w:pPr>
        <w:pStyle w:val="Bibliografia"/>
        <w:spacing w:line="480" w:lineRule="auto"/>
        <w:jc w:val="both"/>
        <w:rPr>
          <w:rFonts w:ascii="Times New Roman" w:hAnsi="Times New Roman" w:cs="Times New Roman"/>
          <w:sz w:val="24"/>
          <w:lang w:val="it-IT"/>
        </w:rPr>
      </w:pPr>
      <w:r w:rsidRPr="00817596">
        <w:rPr>
          <w:rFonts w:ascii="Times New Roman" w:hAnsi="Times New Roman" w:cs="Times New Roman"/>
          <w:sz w:val="24"/>
        </w:rPr>
        <w:t xml:space="preserve">Verma, C., Olasunkanmi, L.O., Akpan, E.D., Quraishi, M.A., Dagdag, O., El Gouri, M., Sherif, E.-S.M., Ebenso, E.E., 2020. Epoxy resins as anticorrosive polymeric materials: A review. React. Funct. </w:t>
      </w:r>
      <w:r w:rsidRPr="004D2916">
        <w:rPr>
          <w:rFonts w:ascii="Times New Roman" w:hAnsi="Times New Roman" w:cs="Times New Roman"/>
          <w:sz w:val="24"/>
          <w:lang w:val="it-IT"/>
        </w:rPr>
        <w:t>Polym. 156, 104741.</w:t>
      </w:r>
    </w:p>
    <w:p w14:paraId="7198E66C" w14:textId="05B57DCB" w:rsidR="00BF3014" w:rsidRPr="004D2916" w:rsidRDefault="00BF3014" w:rsidP="00817596">
      <w:pPr>
        <w:pStyle w:val="Bibliografia"/>
        <w:spacing w:line="480" w:lineRule="auto"/>
        <w:jc w:val="both"/>
        <w:rPr>
          <w:rFonts w:ascii="Times New Roman" w:hAnsi="Times New Roman" w:cs="Times New Roman"/>
          <w:sz w:val="24"/>
          <w:lang w:val="it-IT"/>
        </w:rPr>
      </w:pPr>
      <w:r w:rsidRPr="004D2916">
        <w:rPr>
          <w:rFonts w:ascii="Times New Roman" w:hAnsi="Times New Roman" w:cs="Times New Roman"/>
          <w:sz w:val="24"/>
          <w:lang w:val="it-IT"/>
        </w:rPr>
        <w:t xml:space="preserve">Villa, R., Alvarez, E., Porcar, R., Garcia-Verdugo, E., Luis, S.V., Lozano, P., 2019. </w:t>
      </w:r>
      <w:r w:rsidRPr="00817596">
        <w:rPr>
          <w:rFonts w:ascii="Times New Roman" w:hAnsi="Times New Roman" w:cs="Times New Roman"/>
          <w:sz w:val="24"/>
        </w:rPr>
        <w:t xml:space="preserve">Ionic liquids as an enabling tool to integrate reaction and separation processes. </w:t>
      </w:r>
      <w:r w:rsidRPr="004D2916">
        <w:rPr>
          <w:rFonts w:ascii="Times New Roman" w:hAnsi="Times New Roman" w:cs="Times New Roman"/>
          <w:sz w:val="24"/>
          <w:lang w:val="it-IT"/>
        </w:rPr>
        <w:t>Green Chem. 21, 6527–6544.</w:t>
      </w:r>
    </w:p>
    <w:p w14:paraId="11CCBF03" w14:textId="580388AC" w:rsidR="00BF3014" w:rsidRPr="00817596" w:rsidRDefault="00BF3014" w:rsidP="00817596">
      <w:pPr>
        <w:pStyle w:val="Bibliografia"/>
        <w:spacing w:line="480" w:lineRule="auto"/>
        <w:jc w:val="both"/>
        <w:rPr>
          <w:rFonts w:ascii="Times New Roman" w:hAnsi="Times New Roman" w:cs="Times New Roman"/>
          <w:sz w:val="24"/>
        </w:rPr>
      </w:pPr>
      <w:r w:rsidRPr="004D2916">
        <w:rPr>
          <w:rFonts w:ascii="Times New Roman" w:hAnsi="Times New Roman" w:cs="Times New Roman"/>
          <w:sz w:val="24"/>
          <w:lang w:val="it-IT"/>
        </w:rPr>
        <w:t xml:space="preserve">Villa, R., Porcar, R., Nieto, S., Donaire, A., Garcia-Verdugo, E., Luis, S.V., Lozano, P., 2021. </w:t>
      </w:r>
      <w:r w:rsidRPr="00817596">
        <w:rPr>
          <w:rFonts w:ascii="Times New Roman" w:hAnsi="Times New Roman" w:cs="Times New Roman"/>
          <w:sz w:val="24"/>
        </w:rPr>
        <w:t xml:space="preserve">Sustainable chemo-enzymatic synthesis of glycerol carbonate (meth)acrylate from glycidol and carbon dioxide enabled by ionic liquid technologies. Green Chem. 23, 4191–4200. </w:t>
      </w:r>
    </w:p>
    <w:p w14:paraId="76C8A0A4" w14:textId="2C9E733F" w:rsidR="00BF3014" w:rsidRPr="00817596" w:rsidRDefault="00BF3014" w:rsidP="00817596">
      <w:pPr>
        <w:pStyle w:val="Bibliografia"/>
        <w:spacing w:line="480" w:lineRule="auto"/>
        <w:jc w:val="both"/>
        <w:rPr>
          <w:rFonts w:ascii="Times New Roman" w:hAnsi="Times New Roman" w:cs="Times New Roman"/>
          <w:sz w:val="24"/>
        </w:rPr>
      </w:pPr>
      <w:r w:rsidRPr="00817596">
        <w:rPr>
          <w:rFonts w:ascii="Times New Roman" w:hAnsi="Times New Roman" w:cs="Times New Roman"/>
          <w:sz w:val="24"/>
        </w:rPr>
        <w:t>Voirin, C., Caillol, S., Sadavarte, N.V., Tawade, B.V., Boutevin, B., Wadgaonkar, P.P., 2014. Functionalization of cardanol: towards biobased polymers and additives. Polym Chem 5, 3142–3162.</w:t>
      </w:r>
    </w:p>
    <w:p w14:paraId="09C7A985" w14:textId="5860E259" w:rsidR="00BF3014" w:rsidRPr="00817596" w:rsidRDefault="00BF3014" w:rsidP="00817596">
      <w:pPr>
        <w:pStyle w:val="Bibliografia"/>
        <w:spacing w:line="480" w:lineRule="auto"/>
        <w:jc w:val="both"/>
        <w:rPr>
          <w:rFonts w:ascii="Times New Roman" w:hAnsi="Times New Roman" w:cs="Times New Roman"/>
          <w:sz w:val="24"/>
        </w:rPr>
      </w:pPr>
      <w:r w:rsidRPr="00817596">
        <w:rPr>
          <w:rFonts w:ascii="Times New Roman" w:hAnsi="Times New Roman" w:cs="Times New Roman"/>
          <w:sz w:val="24"/>
          <w:lang w:val="de-DE"/>
        </w:rPr>
        <w:t xml:space="preserve">Weber, C.C., Masters, A.F., Maschmeyer, T., 2013. </w:t>
      </w:r>
      <w:r w:rsidRPr="00817596">
        <w:rPr>
          <w:rFonts w:ascii="Times New Roman" w:hAnsi="Times New Roman" w:cs="Times New Roman"/>
          <w:sz w:val="24"/>
        </w:rPr>
        <w:t xml:space="preserve">Structural features of ionic liquids: consequences for material preparation and organic reactivity. Green Chem. 15, 2655. </w:t>
      </w:r>
    </w:p>
    <w:p w14:paraId="4BBF0332" w14:textId="5A0DB6BE" w:rsidR="00BF3014" w:rsidRPr="00817596" w:rsidRDefault="00BF3014" w:rsidP="00817596">
      <w:pPr>
        <w:pStyle w:val="Bibliografia"/>
        <w:spacing w:line="480" w:lineRule="auto"/>
        <w:jc w:val="both"/>
        <w:rPr>
          <w:rFonts w:ascii="Times New Roman" w:hAnsi="Times New Roman" w:cs="Times New Roman"/>
          <w:sz w:val="24"/>
        </w:rPr>
      </w:pPr>
      <w:r w:rsidRPr="00817596">
        <w:rPr>
          <w:rFonts w:ascii="Times New Roman" w:hAnsi="Times New Roman" w:cs="Times New Roman"/>
          <w:sz w:val="24"/>
        </w:rPr>
        <w:t xml:space="preserve">Yang, H., Shafaghat, H., Öman, T., Johansson, A.-C., 2025. Sustainable production of bio-based epoxy resins using the phenolics produced via atmospheric ex-situ catalytic hydropyrolysis of biomass. J. Ind. Eng. Chem. S1226086X25000012. </w:t>
      </w:r>
    </w:p>
    <w:p w14:paraId="79EA719F" w14:textId="53A8F86C" w:rsidR="00BF3014" w:rsidRPr="00817596" w:rsidRDefault="00BF3014" w:rsidP="00817596">
      <w:pPr>
        <w:pStyle w:val="Bibliografia"/>
        <w:spacing w:line="480" w:lineRule="auto"/>
        <w:jc w:val="both"/>
        <w:rPr>
          <w:rFonts w:ascii="Times New Roman" w:hAnsi="Times New Roman" w:cs="Times New Roman"/>
          <w:sz w:val="24"/>
        </w:rPr>
      </w:pPr>
      <w:r w:rsidRPr="00817596">
        <w:rPr>
          <w:rFonts w:ascii="Times New Roman" w:hAnsi="Times New Roman" w:cs="Times New Roman"/>
          <w:sz w:val="24"/>
        </w:rPr>
        <w:t xml:space="preserve">Zhang, C., Xue, J., Yang, X., Ke, Y., Ou, R., Wang, Y., Madbouly, S.A., Wang, Q., 2022. From plant phenols to novel bio-based polymers. Prog. Polym. Sci. 125, 101473. </w:t>
      </w:r>
    </w:p>
    <w:p w14:paraId="3215E683" w14:textId="71E79F3F" w:rsidR="00BF3014" w:rsidRPr="00814C63" w:rsidRDefault="00BF3014" w:rsidP="00817596">
      <w:pPr>
        <w:pStyle w:val="Bibliografia"/>
        <w:spacing w:line="480" w:lineRule="auto"/>
        <w:jc w:val="both"/>
        <w:rPr>
          <w:rFonts w:ascii="Times New Roman" w:hAnsi="Times New Roman" w:cs="Times New Roman"/>
          <w:sz w:val="24"/>
        </w:rPr>
      </w:pPr>
      <w:r w:rsidRPr="00817596">
        <w:rPr>
          <w:rFonts w:ascii="Times New Roman" w:hAnsi="Times New Roman" w:cs="Times New Roman"/>
          <w:sz w:val="24"/>
        </w:rPr>
        <w:t xml:space="preserve">Zhang, D., Dumont, M., 2017. Advances in polymer precursors and bio‐based polymers synthesized from 5‐hydroxymethylfurfural. </w:t>
      </w:r>
      <w:r w:rsidRPr="00814C63">
        <w:rPr>
          <w:rFonts w:ascii="Times New Roman" w:hAnsi="Times New Roman" w:cs="Times New Roman"/>
          <w:sz w:val="24"/>
        </w:rPr>
        <w:t>J. Polym. Sci. Part Polym. Chem. 55, 1478–1492.</w:t>
      </w:r>
    </w:p>
    <w:p w14:paraId="0D38EBE9" w14:textId="7048F405" w:rsidR="00BF3014" w:rsidRPr="00817596" w:rsidRDefault="00BF3014" w:rsidP="00817596">
      <w:pPr>
        <w:pStyle w:val="Bibliografia"/>
        <w:spacing w:line="480" w:lineRule="auto"/>
        <w:jc w:val="both"/>
        <w:rPr>
          <w:rFonts w:ascii="Times New Roman" w:hAnsi="Times New Roman" w:cs="Times New Roman"/>
          <w:sz w:val="24"/>
        </w:rPr>
      </w:pPr>
      <w:r w:rsidRPr="00817596">
        <w:rPr>
          <w:rFonts w:ascii="Times New Roman" w:hAnsi="Times New Roman" w:cs="Times New Roman"/>
          <w:sz w:val="24"/>
        </w:rPr>
        <w:t>Zhu, Y., Romain, C., Williams, C.K., 2016. Sustainable polymers from renewable resources. Nature 540, 354–362.</w:t>
      </w:r>
    </w:p>
    <w:p w14:paraId="5B0E1CF0" w14:textId="01DEEADD" w:rsidR="008C0DFF" w:rsidRPr="00817596" w:rsidRDefault="00F95723" w:rsidP="00817596">
      <w:pPr>
        <w:spacing w:line="480" w:lineRule="auto"/>
        <w:jc w:val="both"/>
        <w:rPr>
          <w:rFonts w:ascii="Times New Roman" w:hAnsi="Times New Roman" w:cs="Times New Roman"/>
          <w:szCs w:val="24"/>
          <w:lang w:val="pt-PT"/>
        </w:rPr>
      </w:pPr>
      <w:r w:rsidRPr="00817596">
        <w:rPr>
          <w:rFonts w:ascii="Times New Roman" w:hAnsi="Times New Roman" w:cs="Times New Roman"/>
          <w:sz w:val="24"/>
          <w:szCs w:val="24"/>
        </w:rPr>
        <w:fldChar w:fldCharType="end"/>
      </w:r>
    </w:p>
    <w:p w14:paraId="2CBCD303" w14:textId="74C5A684" w:rsidR="00E63CEB" w:rsidRPr="00A505AF" w:rsidRDefault="00E63CEB" w:rsidP="00195E79">
      <w:pPr>
        <w:spacing w:line="480" w:lineRule="auto"/>
        <w:jc w:val="both"/>
        <w:rPr>
          <w:rFonts w:ascii="Times New Roman" w:hAnsi="Times New Roman" w:cs="Times New Roman"/>
          <w:b/>
          <w:bCs/>
          <w:sz w:val="24"/>
          <w:szCs w:val="24"/>
          <w:lang w:val="pt-PT"/>
        </w:rPr>
      </w:pPr>
    </w:p>
    <w:sectPr w:rsidR="00E63CEB" w:rsidRPr="00A505AF" w:rsidSect="009A4F3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757A8A5" w14:textId="77777777" w:rsidR="009E16E7" w:rsidRPr="009A4F30" w:rsidRDefault="009E16E7" w:rsidP="005158F6">
      <w:pPr>
        <w:spacing w:after="0" w:line="240" w:lineRule="auto"/>
      </w:pPr>
      <w:r w:rsidRPr="009A4F30">
        <w:separator/>
      </w:r>
    </w:p>
  </w:endnote>
  <w:endnote w:type="continuationSeparator" w:id="0">
    <w:p w14:paraId="0B30FF5A" w14:textId="77777777" w:rsidR="009E16E7" w:rsidRPr="009A4F30" w:rsidRDefault="009E16E7" w:rsidP="005158F6">
      <w:pPr>
        <w:spacing w:after="0" w:line="240" w:lineRule="auto"/>
      </w:pPr>
      <w:r w:rsidRPr="009A4F30">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Times">
    <w:altName w:val="Sylfae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4389489" w14:textId="77777777" w:rsidR="009E16E7" w:rsidRPr="009A4F30" w:rsidRDefault="009E16E7" w:rsidP="005158F6">
      <w:pPr>
        <w:spacing w:after="0" w:line="240" w:lineRule="auto"/>
      </w:pPr>
      <w:r w:rsidRPr="009A4F30">
        <w:separator/>
      </w:r>
    </w:p>
  </w:footnote>
  <w:footnote w:type="continuationSeparator" w:id="0">
    <w:p w14:paraId="2B85ECEA" w14:textId="77777777" w:rsidR="009E16E7" w:rsidRPr="009A4F30" w:rsidRDefault="009E16E7" w:rsidP="005158F6">
      <w:pPr>
        <w:spacing w:after="0" w:line="240" w:lineRule="auto"/>
      </w:pPr>
      <w:r w:rsidRPr="009A4F30">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C1439E6"/>
    <w:multiLevelType w:val="hybridMultilevel"/>
    <w:tmpl w:val="BFC2F2DE"/>
    <w:lvl w:ilvl="0" w:tplc="0410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320E6E51"/>
    <w:multiLevelType w:val="hybridMultilevel"/>
    <w:tmpl w:val="98C669A2"/>
    <w:lvl w:ilvl="0" w:tplc="0809000F">
      <w:start w:val="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3CD746C1"/>
    <w:multiLevelType w:val="multilevel"/>
    <w:tmpl w:val="6A20C7E6"/>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40B05ECE"/>
    <w:multiLevelType w:val="hybridMultilevel"/>
    <w:tmpl w:val="A3F217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70106FCA"/>
    <w:multiLevelType w:val="hybridMultilevel"/>
    <w:tmpl w:val="D83645FA"/>
    <w:lvl w:ilvl="0" w:tplc="2FEE42E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7F356719"/>
    <w:multiLevelType w:val="hybridMultilevel"/>
    <w:tmpl w:val="00843C5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1912537445">
    <w:abstractNumId w:val="2"/>
  </w:num>
  <w:num w:numId="2" w16cid:durableId="110445286">
    <w:abstractNumId w:val="3"/>
  </w:num>
  <w:num w:numId="3" w16cid:durableId="1086801385">
    <w:abstractNumId w:val="1"/>
  </w:num>
  <w:num w:numId="4" w16cid:durableId="10842033">
    <w:abstractNumId w:val="0"/>
  </w:num>
  <w:num w:numId="5" w16cid:durableId="1853764788">
    <w:abstractNumId w:val="4"/>
  </w:num>
  <w:num w:numId="6" w16cid:durableId="128322208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defaultTabStop w:val="720"/>
  <w:hyphenationZone w:val="283"/>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07405"/>
    <w:rsid w:val="00004A77"/>
    <w:rsid w:val="000222B2"/>
    <w:rsid w:val="00025831"/>
    <w:rsid w:val="000305AC"/>
    <w:rsid w:val="00032746"/>
    <w:rsid w:val="00034041"/>
    <w:rsid w:val="0003555D"/>
    <w:rsid w:val="00036C16"/>
    <w:rsid w:val="0004046A"/>
    <w:rsid w:val="00042090"/>
    <w:rsid w:val="00045B5D"/>
    <w:rsid w:val="00045BC8"/>
    <w:rsid w:val="000503D5"/>
    <w:rsid w:val="00054CD7"/>
    <w:rsid w:val="000568C8"/>
    <w:rsid w:val="00063549"/>
    <w:rsid w:val="0006658A"/>
    <w:rsid w:val="000669EB"/>
    <w:rsid w:val="00066E43"/>
    <w:rsid w:val="00072A9B"/>
    <w:rsid w:val="00073B25"/>
    <w:rsid w:val="00083CB4"/>
    <w:rsid w:val="0008626D"/>
    <w:rsid w:val="00091515"/>
    <w:rsid w:val="00094D6C"/>
    <w:rsid w:val="000A2318"/>
    <w:rsid w:val="000B2FFB"/>
    <w:rsid w:val="000B446D"/>
    <w:rsid w:val="000B4952"/>
    <w:rsid w:val="000B6E5A"/>
    <w:rsid w:val="000C27E8"/>
    <w:rsid w:val="000C306A"/>
    <w:rsid w:val="000C3320"/>
    <w:rsid w:val="000C4650"/>
    <w:rsid w:val="000C4915"/>
    <w:rsid w:val="000C63C0"/>
    <w:rsid w:val="000D0F34"/>
    <w:rsid w:val="000D406A"/>
    <w:rsid w:val="000D64E9"/>
    <w:rsid w:val="000E2584"/>
    <w:rsid w:val="000E4477"/>
    <w:rsid w:val="000E5458"/>
    <w:rsid w:val="000E7348"/>
    <w:rsid w:val="000F2061"/>
    <w:rsid w:val="000F4708"/>
    <w:rsid w:val="000F4FE0"/>
    <w:rsid w:val="001104D3"/>
    <w:rsid w:val="00113A3F"/>
    <w:rsid w:val="00115D5D"/>
    <w:rsid w:val="00120567"/>
    <w:rsid w:val="001313C1"/>
    <w:rsid w:val="001317C7"/>
    <w:rsid w:val="001322BF"/>
    <w:rsid w:val="00134CE4"/>
    <w:rsid w:val="001365DC"/>
    <w:rsid w:val="0013791A"/>
    <w:rsid w:val="00145E69"/>
    <w:rsid w:val="0014637B"/>
    <w:rsid w:val="00146E06"/>
    <w:rsid w:val="00150197"/>
    <w:rsid w:val="00150C3A"/>
    <w:rsid w:val="00151686"/>
    <w:rsid w:val="00151E2F"/>
    <w:rsid w:val="00160BFB"/>
    <w:rsid w:val="0016691D"/>
    <w:rsid w:val="00166FE0"/>
    <w:rsid w:val="00167739"/>
    <w:rsid w:val="00171FC1"/>
    <w:rsid w:val="0017231B"/>
    <w:rsid w:val="00174E34"/>
    <w:rsid w:val="001770AF"/>
    <w:rsid w:val="00181979"/>
    <w:rsid w:val="001834FA"/>
    <w:rsid w:val="00190C53"/>
    <w:rsid w:val="00190D7C"/>
    <w:rsid w:val="00192D5F"/>
    <w:rsid w:val="00195E79"/>
    <w:rsid w:val="001978C2"/>
    <w:rsid w:val="001978EA"/>
    <w:rsid w:val="001A1429"/>
    <w:rsid w:val="001A181C"/>
    <w:rsid w:val="001A1A7F"/>
    <w:rsid w:val="001A1CC5"/>
    <w:rsid w:val="001A5396"/>
    <w:rsid w:val="001A5806"/>
    <w:rsid w:val="001A61C9"/>
    <w:rsid w:val="001A6549"/>
    <w:rsid w:val="001B1058"/>
    <w:rsid w:val="001C077F"/>
    <w:rsid w:val="001C2245"/>
    <w:rsid w:val="001C4642"/>
    <w:rsid w:val="001D2D83"/>
    <w:rsid w:val="001D3CE2"/>
    <w:rsid w:val="001E07D5"/>
    <w:rsid w:val="001E15FB"/>
    <w:rsid w:val="001E2B40"/>
    <w:rsid w:val="001E2DF3"/>
    <w:rsid w:val="001E371C"/>
    <w:rsid w:val="001E5645"/>
    <w:rsid w:val="001E61A7"/>
    <w:rsid w:val="001E790D"/>
    <w:rsid w:val="001F36E6"/>
    <w:rsid w:val="00203E39"/>
    <w:rsid w:val="00204F09"/>
    <w:rsid w:val="00211364"/>
    <w:rsid w:val="002116B5"/>
    <w:rsid w:val="00214DFF"/>
    <w:rsid w:val="0021613F"/>
    <w:rsid w:val="00217812"/>
    <w:rsid w:val="00220587"/>
    <w:rsid w:val="002216B7"/>
    <w:rsid w:val="0022292E"/>
    <w:rsid w:val="00222DAD"/>
    <w:rsid w:val="00224211"/>
    <w:rsid w:val="00231C14"/>
    <w:rsid w:val="00233960"/>
    <w:rsid w:val="00241038"/>
    <w:rsid w:val="00241044"/>
    <w:rsid w:val="00241475"/>
    <w:rsid w:val="0024391E"/>
    <w:rsid w:val="0024431E"/>
    <w:rsid w:val="00246403"/>
    <w:rsid w:val="0024787B"/>
    <w:rsid w:val="002513E8"/>
    <w:rsid w:val="00252E7B"/>
    <w:rsid w:val="002534F9"/>
    <w:rsid w:val="002560B2"/>
    <w:rsid w:val="00262A41"/>
    <w:rsid w:val="0026366D"/>
    <w:rsid w:val="00266871"/>
    <w:rsid w:val="00266B38"/>
    <w:rsid w:val="00276059"/>
    <w:rsid w:val="00276568"/>
    <w:rsid w:val="002814EB"/>
    <w:rsid w:val="00282C98"/>
    <w:rsid w:val="00284241"/>
    <w:rsid w:val="002907C0"/>
    <w:rsid w:val="00290ABF"/>
    <w:rsid w:val="002938BD"/>
    <w:rsid w:val="00293F78"/>
    <w:rsid w:val="00296E23"/>
    <w:rsid w:val="00297864"/>
    <w:rsid w:val="002A2E4D"/>
    <w:rsid w:val="002A7913"/>
    <w:rsid w:val="002B2786"/>
    <w:rsid w:val="002B28BA"/>
    <w:rsid w:val="002B2C26"/>
    <w:rsid w:val="002C15A1"/>
    <w:rsid w:val="002C22BB"/>
    <w:rsid w:val="002C5814"/>
    <w:rsid w:val="002C5AC5"/>
    <w:rsid w:val="002C7351"/>
    <w:rsid w:val="002C74B6"/>
    <w:rsid w:val="002D10FC"/>
    <w:rsid w:val="002D1ED7"/>
    <w:rsid w:val="002D213E"/>
    <w:rsid w:val="002D2B69"/>
    <w:rsid w:val="002E2109"/>
    <w:rsid w:val="002E3DEE"/>
    <w:rsid w:val="002E3DF1"/>
    <w:rsid w:val="002E3E0D"/>
    <w:rsid w:val="002E60F3"/>
    <w:rsid w:val="002E69C3"/>
    <w:rsid w:val="002E69EC"/>
    <w:rsid w:val="002F269A"/>
    <w:rsid w:val="002F53C4"/>
    <w:rsid w:val="002F5C68"/>
    <w:rsid w:val="00303270"/>
    <w:rsid w:val="00304C4F"/>
    <w:rsid w:val="00313D98"/>
    <w:rsid w:val="003172C1"/>
    <w:rsid w:val="003209DC"/>
    <w:rsid w:val="00320B66"/>
    <w:rsid w:val="003228A4"/>
    <w:rsid w:val="00322C9B"/>
    <w:rsid w:val="00325AC0"/>
    <w:rsid w:val="00326782"/>
    <w:rsid w:val="003300FA"/>
    <w:rsid w:val="003402AB"/>
    <w:rsid w:val="00340A19"/>
    <w:rsid w:val="003432BE"/>
    <w:rsid w:val="00345037"/>
    <w:rsid w:val="00346422"/>
    <w:rsid w:val="003468FD"/>
    <w:rsid w:val="00346CAF"/>
    <w:rsid w:val="0034705D"/>
    <w:rsid w:val="00347555"/>
    <w:rsid w:val="00351E5A"/>
    <w:rsid w:val="00353595"/>
    <w:rsid w:val="00353B19"/>
    <w:rsid w:val="00355689"/>
    <w:rsid w:val="00357AC6"/>
    <w:rsid w:val="0036014A"/>
    <w:rsid w:val="00362188"/>
    <w:rsid w:val="00365632"/>
    <w:rsid w:val="00370B37"/>
    <w:rsid w:val="00373FCF"/>
    <w:rsid w:val="00381086"/>
    <w:rsid w:val="003861BF"/>
    <w:rsid w:val="00391F06"/>
    <w:rsid w:val="00391F38"/>
    <w:rsid w:val="00396859"/>
    <w:rsid w:val="003A26FB"/>
    <w:rsid w:val="003A31B5"/>
    <w:rsid w:val="003A3328"/>
    <w:rsid w:val="003A54BF"/>
    <w:rsid w:val="003A5CAD"/>
    <w:rsid w:val="003A739D"/>
    <w:rsid w:val="003B0817"/>
    <w:rsid w:val="003B0F2E"/>
    <w:rsid w:val="003B215D"/>
    <w:rsid w:val="003B446E"/>
    <w:rsid w:val="003B53E9"/>
    <w:rsid w:val="003B5720"/>
    <w:rsid w:val="003B5FFF"/>
    <w:rsid w:val="003B63B0"/>
    <w:rsid w:val="003C0BFB"/>
    <w:rsid w:val="003C28C7"/>
    <w:rsid w:val="003C5BD7"/>
    <w:rsid w:val="003C676A"/>
    <w:rsid w:val="003C6F06"/>
    <w:rsid w:val="003C7A19"/>
    <w:rsid w:val="003D1181"/>
    <w:rsid w:val="003D13E1"/>
    <w:rsid w:val="003D278A"/>
    <w:rsid w:val="003D4AC6"/>
    <w:rsid w:val="003D74D6"/>
    <w:rsid w:val="003E1286"/>
    <w:rsid w:val="003F025A"/>
    <w:rsid w:val="003F3C5E"/>
    <w:rsid w:val="003F4037"/>
    <w:rsid w:val="003F5AA2"/>
    <w:rsid w:val="003F6D14"/>
    <w:rsid w:val="00401044"/>
    <w:rsid w:val="0040199A"/>
    <w:rsid w:val="00401A3E"/>
    <w:rsid w:val="00402B0C"/>
    <w:rsid w:val="00406519"/>
    <w:rsid w:val="00410142"/>
    <w:rsid w:val="004114D0"/>
    <w:rsid w:val="00412207"/>
    <w:rsid w:val="00413A89"/>
    <w:rsid w:val="00413DDA"/>
    <w:rsid w:val="00413EEA"/>
    <w:rsid w:val="00415083"/>
    <w:rsid w:val="00415D04"/>
    <w:rsid w:val="00420B1B"/>
    <w:rsid w:val="00420BF8"/>
    <w:rsid w:val="00427D5F"/>
    <w:rsid w:val="004435BA"/>
    <w:rsid w:val="004439CE"/>
    <w:rsid w:val="00444882"/>
    <w:rsid w:val="004451BD"/>
    <w:rsid w:val="00446284"/>
    <w:rsid w:val="00451512"/>
    <w:rsid w:val="00452EB3"/>
    <w:rsid w:val="0045418D"/>
    <w:rsid w:val="00455DBA"/>
    <w:rsid w:val="004568DF"/>
    <w:rsid w:val="00461903"/>
    <w:rsid w:val="00461BC2"/>
    <w:rsid w:val="00464420"/>
    <w:rsid w:val="0046767D"/>
    <w:rsid w:val="004704D0"/>
    <w:rsid w:val="0047217E"/>
    <w:rsid w:val="004736E8"/>
    <w:rsid w:val="00476DAB"/>
    <w:rsid w:val="00482164"/>
    <w:rsid w:val="00482BCB"/>
    <w:rsid w:val="00483EE3"/>
    <w:rsid w:val="00486569"/>
    <w:rsid w:val="00487E4E"/>
    <w:rsid w:val="0049014B"/>
    <w:rsid w:val="0049149C"/>
    <w:rsid w:val="004937A9"/>
    <w:rsid w:val="00494F29"/>
    <w:rsid w:val="00495EAF"/>
    <w:rsid w:val="004A2905"/>
    <w:rsid w:val="004A474B"/>
    <w:rsid w:val="004B1531"/>
    <w:rsid w:val="004B58D2"/>
    <w:rsid w:val="004B5FB5"/>
    <w:rsid w:val="004B735C"/>
    <w:rsid w:val="004C12E0"/>
    <w:rsid w:val="004C3761"/>
    <w:rsid w:val="004C3A0F"/>
    <w:rsid w:val="004C6B5A"/>
    <w:rsid w:val="004C7419"/>
    <w:rsid w:val="004D14F6"/>
    <w:rsid w:val="004D1921"/>
    <w:rsid w:val="004D2768"/>
    <w:rsid w:val="004D2916"/>
    <w:rsid w:val="004D2D96"/>
    <w:rsid w:val="004D6198"/>
    <w:rsid w:val="004E4D0B"/>
    <w:rsid w:val="004F05FB"/>
    <w:rsid w:val="004F30CF"/>
    <w:rsid w:val="004F5456"/>
    <w:rsid w:val="004F63CA"/>
    <w:rsid w:val="004F65B7"/>
    <w:rsid w:val="00502721"/>
    <w:rsid w:val="00502E77"/>
    <w:rsid w:val="0051411D"/>
    <w:rsid w:val="005158F6"/>
    <w:rsid w:val="0052100D"/>
    <w:rsid w:val="005233C0"/>
    <w:rsid w:val="00526FCA"/>
    <w:rsid w:val="005278C8"/>
    <w:rsid w:val="00532E12"/>
    <w:rsid w:val="00534672"/>
    <w:rsid w:val="00536338"/>
    <w:rsid w:val="005405E6"/>
    <w:rsid w:val="00551007"/>
    <w:rsid w:val="00551670"/>
    <w:rsid w:val="00560DBB"/>
    <w:rsid w:val="00562C46"/>
    <w:rsid w:val="005631F5"/>
    <w:rsid w:val="00563965"/>
    <w:rsid w:val="005658D4"/>
    <w:rsid w:val="00566C44"/>
    <w:rsid w:val="005730DB"/>
    <w:rsid w:val="0058241C"/>
    <w:rsid w:val="005845D0"/>
    <w:rsid w:val="00584AA9"/>
    <w:rsid w:val="0059300D"/>
    <w:rsid w:val="00595EB9"/>
    <w:rsid w:val="00596177"/>
    <w:rsid w:val="00597CE3"/>
    <w:rsid w:val="005A01F4"/>
    <w:rsid w:val="005A2036"/>
    <w:rsid w:val="005A3C14"/>
    <w:rsid w:val="005A4950"/>
    <w:rsid w:val="005A7786"/>
    <w:rsid w:val="005B2D99"/>
    <w:rsid w:val="005B3D8F"/>
    <w:rsid w:val="005B4C04"/>
    <w:rsid w:val="005B701C"/>
    <w:rsid w:val="005C2322"/>
    <w:rsid w:val="005C5FCF"/>
    <w:rsid w:val="005D01F1"/>
    <w:rsid w:val="005D18F6"/>
    <w:rsid w:val="005D6B02"/>
    <w:rsid w:val="005D6CDB"/>
    <w:rsid w:val="005E01A6"/>
    <w:rsid w:val="005F0BCE"/>
    <w:rsid w:val="005F1162"/>
    <w:rsid w:val="005F3CFB"/>
    <w:rsid w:val="005F3FC1"/>
    <w:rsid w:val="005F45AB"/>
    <w:rsid w:val="005F56DD"/>
    <w:rsid w:val="005F5763"/>
    <w:rsid w:val="005F6CB3"/>
    <w:rsid w:val="00600308"/>
    <w:rsid w:val="006021D9"/>
    <w:rsid w:val="00602967"/>
    <w:rsid w:val="00605080"/>
    <w:rsid w:val="006051C0"/>
    <w:rsid w:val="00605E7B"/>
    <w:rsid w:val="006128DA"/>
    <w:rsid w:val="0061368E"/>
    <w:rsid w:val="0061484D"/>
    <w:rsid w:val="00623916"/>
    <w:rsid w:val="00624641"/>
    <w:rsid w:val="00625487"/>
    <w:rsid w:val="00627002"/>
    <w:rsid w:val="00627270"/>
    <w:rsid w:val="00627307"/>
    <w:rsid w:val="00635C20"/>
    <w:rsid w:val="00650067"/>
    <w:rsid w:val="0065418D"/>
    <w:rsid w:val="00656D83"/>
    <w:rsid w:val="00657C71"/>
    <w:rsid w:val="00661462"/>
    <w:rsid w:val="00662538"/>
    <w:rsid w:val="00662CD3"/>
    <w:rsid w:val="00663CD9"/>
    <w:rsid w:val="00665288"/>
    <w:rsid w:val="0066709F"/>
    <w:rsid w:val="00670E40"/>
    <w:rsid w:val="00675EE3"/>
    <w:rsid w:val="00676B9E"/>
    <w:rsid w:val="00676BF0"/>
    <w:rsid w:val="00680EAA"/>
    <w:rsid w:val="006827FD"/>
    <w:rsid w:val="00682D8B"/>
    <w:rsid w:val="00682E05"/>
    <w:rsid w:val="0069191A"/>
    <w:rsid w:val="00691AD1"/>
    <w:rsid w:val="006A15A0"/>
    <w:rsid w:val="006A1615"/>
    <w:rsid w:val="006B6362"/>
    <w:rsid w:val="006B759D"/>
    <w:rsid w:val="006C0359"/>
    <w:rsid w:val="006C0B3F"/>
    <w:rsid w:val="006C2036"/>
    <w:rsid w:val="006C3361"/>
    <w:rsid w:val="006C39E3"/>
    <w:rsid w:val="006C5E46"/>
    <w:rsid w:val="006E06B5"/>
    <w:rsid w:val="006E0EA0"/>
    <w:rsid w:val="006E3F68"/>
    <w:rsid w:val="006E70A3"/>
    <w:rsid w:val="006E7E91"/>
    <w:rsid w:val="006F1F77"/>
    <w:rsid w:val="00705C61"/>
    <w:rsid w:val="007061C2"/>
    <w:rsid w:val="00713B9A"/>
    <w:rsid w:val="0071778E"/>
    <w:rsid w:val="007214E8"/>
    <w:rsid w:val="00723AE9"/>
    <w:rsid w:val="00725B9C"/>
    <w:rsid w:val="00726947"/>
    <w:rsid w:val="00730B60"/>
    <w:rsid w:val="00733E7D"/>
    <w:rsid w:val="00735317"/>
    <w:rsid w:val="00735D9B"/>
    <w:rsid w:val="007364B4"/>
    <w:rsid w:val="0074016A"/>
    <w:rsid w:val="00740D79"/>
    <w:rsid w:val="007410F1"/>
    <w:rsid w:val="007453C5"/>
    <w:rsid w:val="00750206"/>
    <w:rsid w:val="00750618"/>
    <w:rsid w:val="00753FBC"/>
    <w:rsid w:val="00754C2F"/>
    <w:rsid w:val="00755E65"/>
    <w:rsid w:val="00761582"/>
    <w:rsid w:val="00762DAC"/>
    <w:rsid w:val="0076379E"/>
    <w:rsid w:val="0077156F"/>
    <w:rsid w:val="00771751"/>
    <w:rsid w:val="007731E8"/>
    <w:rsid w:val="00775105"/>
    <w:rsid w:val="00777B2B"/>
    <w:rsid w:val="007847B6"/>
    <w:rsid w:val="00785350"/>
    <w:rsid w:val="0078648D"/>
    <w:rsid w:val="00786EAF"/>
    <w:rsid w:val="00787289"/>
    <w:rsid w:val="0079061F"/>
    <w:rsid w:val="00796CA9"/>
    <w:rsid w:val="007A1336"/>
    <w:rsid w:val="007A25A8"/>
    <w:rsid w:val="007A2F8E"/>
    <w:rsid w:val="007A49E7"/>
    <w:rsid w:val="007A4FFA"/>
    <w:rsid w:val="007A5229"/>
    <w:rsid w:val="007A739D"/>
    <w:rsid w:val="007A7CAA"/>
    <w:rsid w:val="007B4CC3"/>
    <w:rsid w:val="007B698D"/>
    <w:rsid w:val="007B6E98"/>
    <w:rsid w:val="007C3C29"/>
    <w:rsid w:val="007C5BBC"/>
    <w:rsid w:val="007C5FEE"/>
    <w:rsid w:val="007D2437"/>
    <w:rsid w:val="007D4B7B"/>
    <w:rsid w:val="007D5263"/>
    <w:rsid w:val="007D67C2"/>
    <w:rsid w:val="007E0AB1"/>
    <w:rsid w:val="007E38EA"/>
    <w:rsid w:val="007E573E"/>
    <w:rsid w:val="007E6FEC"/>
    <w:rsid w:val="007E73A8"/>
    <w:rsid w:val="007E7990"/>
    <w:rsid w:val="007E7FCC"/>
    <w:rsid w:val="007F04B8"/>
    <w:rsid w:val="007F0D70"/>
    <w:rsid w:val="00800084"/>
    <w:rsid w:val="00803F6F"/>
    <w:rsid w:val="00805328"/>
    <w:rsid w:val="00805BCE"/>
    <w:rsid w:val="00814C63"/>
    <w:rsid w:val="00817596"/>
    <w:rsid w:val="00823AD7"/>
    <w:rsid w:val="00823CB5"/>
    <w:rsid w:val="008257EE"/>
    <w:rsid w:val="00826170"/>
    <w:rsid w:val="00830848"/>
    <w:rsid w:val="00830EBE"/>
    <w:rsid w:val="0083172E"/>
    <w:rsid w:val="0083704D"/>
    <w:rsid w:val="0084057D"/>
    <w:rsid w:val="0084192E"/>
    <w:rsid w:val="008471FC"/>
    <w:rsid w:val="00847B63"/>
    <w:rsid w:val="00850D48"/>
    <w:rsid w:val="00852036"/>
    <w:rsid w:val="00871AEF"/>
    <w:rsid w:val="00874266"/>
    <w:rsid w:val="0087736E"/>
    <w:rsid w:val="008817DA"/>
    <w:rsid w:val="008826E3"/>
    <w:rsid w:val="00885DE9"/>
    <w:rsid w:val="00887CC3"/>
    <w:rsid w:val="00891910"/>
    <w:rsid w:val="00891C2C"/>
    <w:rsid w:val="00891ED9"/>
    <w:rsid w:val="00894164"/>
    <w:rsid w:val="0089545F"/>
    <w:rsid w:val="008A0836"/>
    <w:rsid w:val="008B0489"/>
    <w:rsid w:val="008B0600"/>
    <w:rsid w:val="008B1DED"/>
    <w:rsid w:val="008B2026"/>
    <w:rsid w:val="008B6D7C"/>
    <w:rsid w:val="008C0DFF"/>
    <w:rsid w:val="008C2CD9"/>
    <w:rsid w:val="008C2EFF"/>
    <w:rsid w:val="008C33AF"/>
    <w:rsid w:val="008D70F7"/>
    <w:rsid w:val="008E20E9"/>
    <w:rsid w:val="008E27BD"/>
    <w:rsid w:val="008E6F71"/>
    <w:rsid w:val="008F02EC"/>
    <w:rsid w:val="008F350E"/>
    <w:rsid w:val="008F6129"/>
    <w:rsid w:val="00901418"/>
    <w:rsid w:val="00902414"/>
    <w:rsid w:val="00905DAF"/>
    <w:rsid w:val="00906295"/>
    <w:rsid w:val="00917E5A"/>
    <w:rsid w:val="009239ED"/>
    <w:rsid w:val="00927AA2"/>
    <w:rsid w:val="0093322B"/>
    <w:rsid w:val="00935CCA"/>
    <w:rsid w:val="009410EF"/>
    <w:rsid w:val="009427F6"/>
    <w:rsid w:val="00942E6B"/>
    <w:rsid w:val="009471C5"/>
    <w:rsid w:val="009508AF"/>
    <w:rsid w:val="00955096"/>
    <w:rsid w:val="009678E4"/>
    <w:rsid w:val="009724B8"/>
    <w:rsid w:val="00973272"/>
    <w:rsid w:val="00976100"/>
    <w:rsid w:val="009821F2"/>
    <w:rsid w:val="009843EF"/>
    <w:rsid w:val="009865FE"/>
    <w:rsid w:val="00990141"/>
    <w:rsid w:val="0099525C"/>
    <w:rsid w:val="009972E8"/>
    <w:rsid w:val="0099734F"/>
    <w:rsid w:val="009A00F5"/>
    <w:rsid w:val="009A0801"/>
    <w:rsid w:val="009A0C29"/>
    <w:rsid w:val="009A30B4"/>
    <w:rsid w:val="009A4F30"/>
    <w:rsid w:val="009A568D"/>
    <w:rsid w:val="009A69D0"/>
    <w:rsid w:val="009B191C"/>
    <w:rsid w:val="009B1DB1"/>
    <w:rsid w:val="009B2268"/>
    <w:rsid w:val="009B596A"/>
    <w:rsid w:val="009B65DA"/>
    <w:rsid w:val="009C0848"/>
    <w:rsid w:val="009D1159"/>
    <w:rsid w:val="009D43D1"/>
    <w:rsid w:val="009D58DE"/>
    <w:rsid w:val="009D6A68"/>
    <w:rsid w:val="009E1050"/>
    <w:rsid w:val="009E16E7"/>
    <w:rsid w:val="009E67CD"/>
    <w:rsid w:val="009E6A66"/>
    <w:rsid w:val="00A0284A"/>
    <w:rsid w:val="00A070AE"/>
    <w:rsid w:val="00A10089"/>
    <w:rsid w:val="00A122C9"/>
    <w:rsid w:val="00A14299"/>
    <w:rsid w:val="00A2105C"/>
    <w:rsid w:val="00A2280F"/>
    <w:rsid w:val="00A23658"/>
    <w:rsid w:val="00A27B8F"/>
    <w:rsid w:val="00A371B5"/>
    <w:rsid w:val="00A416F2"/>
    <w:rsid w:val="00A505AF"/>
    <w:rsid w:val="00A50CDB"/>
    <w:rsid w:val="00A536E8"/>
    <w:rsid w:val="00A53FBB"/>
    <w:rsid w:val="00A540B6"/>
    <w:rsid w:val="00A54908"/>
    <w:rsid w:val="00A56F5D"/>
    <w:rsid w:val="00A60AD7"/>
    <w:rsid w:val="00A62575"/>
    <w:rsid w:val="00A6570F"/>
    <w:rsid w:val="00A674F6"/>
    <w:rsid w:val="00A71D55"/>
    <w:rsid w:val="00A748A2"/>
    <w:rsid w:val="00A74AD9"/>
    <w:rsid w:val="00A779F8"/>
    <w:rsid w:val="00A77CF8"/>
    <w:rsid w:val="00A85DB4"/>
    <w:rsid w:val="00A93C04"/>
    <w:rsid w:val="00A94F1A"/>
    <w:rsid w:val="00A9624F"/>
    <w:rsid w:val="00AA5954"/>
    <w:rsid w:val="00AB034A"/>
    <w:rsid w:val="00AB0372"/>
    <w:rsid w:val="00AB2613"/>
    <w:rsid w:val="00AB279D"/>
    <w:rsid w:val="00AB501F"/>
    <w:rsid w:val="00AB5FD1"/>
    <w:rsid w:val="00AB72E6"/>
    <w:rsid w:val="00AB7BA0"/>
    <w:rsid w:val="00AC05EE"/>
    <w:rsid w:val="00AC14CE"/>
    <w:rsid w:val="00AC260B"/>
    <w:rsid w:val="00AC6AB9"/>
    <w:rsid w:val="00AC70E5"/>
    <w:rsid w:val="00AD0AF0"/>
    <w:rsid w:val="00AD2A70"/>
    <w:rsid w:val="00AD4750"/>
    <w:rsid w:val="00AD7DFC"/>
    <w:rsid w:val="00AE2325"/>
    <w:rsid w:val="00AE485A"/>
    <w:rsid w:val="00AE4E57"/>
    <w:rsid w:val="00AE6524"/>
    <w:rsid w:val="00AE68DE"/>
    <w:rsid w:val="00AE6DA7"/>
    <w:rsid w:val="00AF326A"/>
    <w:rsid w:val="00B011E1"/>
    <w:rsid w:val="00B01595"/>
    <w:rsid w:val="00B034C0"/>
    <w:rsid w:val="00B05391"/>
    <w:rsid w:val="00B06A07"/>
    <w:rsid w:val="00B07090"/>
    <w:rsid w:val="00B14CC2"/>
    <w:rsid w:val="00B14F01"/>
    <w:rsid w:val="00B16334"/>
    <w:rsid w:val="00B2008D"/>
    <w:rsid w:val="00B26185"/>
    <w:rsid w:val="00B26D3E"/>
    <w:rsid w:val="00B334F4"/>
    <w:rsid w:val="00B336B7"/>
    <w:rsid w:val="00B33B53"/>
    <w:rsid w:val="00B33BB5"/>
    <w:rsid w:val="00B3511B"/>
    <w:rsid w:val="00B35135"/>
    <w:rsid w:val="00B35A0F"/>
    <w:rsid w:val="00B412A6"/>
    <w:rsid w:val="00B42163"/>
    <w:rsid w:val="00B42A05"/>
    <w:rsid w:val="00B444DF"/>
    <w:rsid w:val="00B457D2"/>
    <w:rsid w:val="00B50868"/>
    <w:rsid w:val="00B51599"/>
    <w:rsid w:val="00B5173B"/>
    <w:rsid w:val="00B555E5"/>
    <w:rsid w:val="00B575C9"/>
    <w:rsid w:val="00B57B93"/>
    <w:rsid w:val="00B63C84"/>
    <w:rsid w:val="00B656A6"/>
    <w:rsid w:val="00B70C4C"/>
    <w:rsid w:val="00B712A1"/>
    <w:rsid w:val="00B726B1"/>
    <w:rsid w:val="00B734FD"/>
    <w:rsid w:val="00B80677"/>
    <w:rsid w:val="00B80890"/>
    <w:rsid w:val="00B80CA1"/>
    <w:rsid w:val="00B816AC"/>
    <w:rsid w:val="00B820C7"/>
    <w:rsid w:val="00B862DE"/>
    <w:rsid w:val="00B8658F"/>
    <w:rsid w:val="00B914A7"/>
    <w:rsid w:val="00B91BE9"/>
    <w:rsid w:val="00B9321C"/>
    <w:rsid w:val="00B93AE0"/>
    <w:rsid w:val="00B94C78"/>
    <w:rsid w:val="00BA0F07"/>
    <w:rsid w:val="00BA6031"/>
    <w:rsid w:val="00BB0E85"/>
    <w:rsid w:val="00BB2E8D"/>
    <w:rsid w:val="00BB778E"/>
    <w:rsid w:val="00BC2DD8"/>
    <w:rsid w:val="00BC663F"/>
    <w:rsid w:val="00BC7753"/>
    <w:rsid w:val="00BE12C4"/>
    <w:rsid w:val="00BE5606"/>
    <w:rsid w:val="00BE6961"/>
    <w:rsid w:val="00BF2D0D"/>
    <w:rsid w:val="00BF3014"/>
    <w:rsid w:val="00BF44A6"/>
    <w:rsid w:val="00BF61E4"/>
    <w:rsid w:val="00C01AE1"/>
    <w:rsid w:val="00C0325D"/>
    <w:rsid w:val="00C04CC2"/>
    <w:rsid w:val="00C0562D"/>
    <w:rsid w:val="00C105FE"/>
    <w:rsid w:val="00C11E0D"/>
    <w:rsid w:val="00C146D6"/>
    <w:rsid w:val="00C16193"/>
    <w:rsid w:val="00C23144"/>
    <w:rsid w:val="00C255F0"/>
    <w:rsid w:val="00C26264"/>
    <w:rsid w:val="00C26979"/>
    <w:rsid w:val="00C27386"/>
    <w:rsid w:val="00C4098A"/>
    <w:rsid w:val="00C41E0A"/>
    <w:rsid w:val="00C44140"/>
    <w:rsid w:val="00C445BA"/>
    <w:rsid w:val="00C461D4"/>
    <w:rsid w:val="00C47BC7"/>
    <w:rsid w:val="00C543B4"/>
    <w:rsid w:val="00C60051"/>
    <w:rsid w:val="00C61058"/>
    <w:rsid w:val="00C61D5B"/>
    <w:rsid w:val="00C63C0A"/>
    <w:rsid w:val="00C64A02"/>
    <w:rsid w:val="00C704D9"/>
    <w:rsid w:val="00C70852"/>
    <w:rsid w:val="00C72B86"/>
    <w:rsid w:val="00C733EA"/>
    <w:rsid w:val="00C73573"/>
    <w:rsid w:val="00C77BDD"/>
    <w:rsid w:val="00C77D68"/>
    <w:rsid w:val="00C81D1B"/>
    <w:rsid w:val="00C823E4"/>
    <w:rsid w:val="00C828C7"/>
    <w:rsid w:val="00C86E0C"/>
    <w:rsid w:val="00C91460"/>
    <w:rsid w:val="00C925A5"/>
    <w:rsid w:val="00C956B1"/>
    <w:rsid w:val="00C97DEC"/>
    <w:rsid w:val="00CA3782"/>
    <w:rsid w:val="00CA580F"/>
    <w:rsid w:val="00CA7045"/>
    <w:rsid w:val="00CB55AC"/>
    <w:rsid w:val="00CC049B"/>
    <w:rsid w:val="00CC32C6"/>
    <w:rsid w:val="00CC441E"/>
    <w:rsid w:val="00CC527D"/>
    <w:rsid w:val="00CC7937"/>
    <w:rsid w:val="00CD00FD"/>
    <w:rsid w:val="00CD04B1"/>
    <w:rsid w:val="00CD189B"/>
    <w:rsid w:val="00CE5D90"/>
    <w:rsid w:val="00CE683B"/>
    <w:rsid w:val="00CE701C"/>
    <w:rsid w:val="00CF0AED"/>
    <w:rsid w:val="00CF27D5"/>
    <w:rsid w:val="00CF6522"/>
    <w:rsid w:val="00D04750"/>
    <w:rsid w:val="00D07405"/>
    <w:rsid w:val="00D07C81"/>
    <w:rsid w:val="00D10F3B"/>
    <w:rsid w:val="00D11224"/>
    <w:rsid w:val="00D11D18"/>
    <w:rsid w:val="00D176D5"/>
    <w:rsid w:val="00D21993"/>
    <w:rsid w:val="00D25F47"/>
    <w:rsid w:val="00D265AD"/>
    <w:rsid w:val="00D26EF9"/>
    <w:rsid w:val="00D33868"/>
    <w:rsid w:val="00D34E95"/>
    <w:rsid w:val="00D37A9C"/>
    <w:rsid w:val="00D4245C"/>
    <w:rsid w:val="00D43F9A"/>
    <w:rsid w:val="00D46F4C"/>
    <w:rsid w:val="00D5004B"/>
    <w:rsid w:val="00D51FBE"/>
    <w:rsid w:val="00D55C2D"/>
    <w:rsid w:val="00D571F5"/>
    <w:rsid w:val="00D575CC"/>
    <w:rsid w:val="00D62078"/>
    <w:rsid w:val="00D62C35"/>
    <w:rsid w:val="00D64512"/>
    <w:rsid w:val="00D6458F"/>
    <w:rsid w:val="00D72164"/>
    <w:rsid w:val="00D72B1F"/>
    <w:rsid w:val="00D806AB"/>
    <w:rsid w:val="00D806FA"/>
    <w:rsid w:val="00D8072A"/>
    <w:rsid w:val="00D821B5"/>
    <w:rsid w:val="00D82BC7"/>
    <w:rsid w:val="00D85169"/>
    <w:rsid w:val="00D85AC0"/>
    <w:rsid w:val="00D87ECE"/>
    <w:rsid w:val="00D9197E"/>
    <w:rsid w:val="00D92E33"/>
    <w:rsid w:val="00D94D67"/>
    <w:rsid w:val="00D978CB"/>
    <w:rsid w:val="00DA1075"/>
    <w:rsid w:val="00DA3F33"/>
    <w:rsid w:val="00DA3F3A"/>
    <w:rsid w:val="00DA3F72"/>
    <w:rsid w:val="00DA6B19"/>
    <w:rsid w:val="00DB796A"/>
    <w:rsid w:val="00DC25E8"/>
    <w:rsid w:val="00DD0468"/>
    <w:rsid w:val="00DD1AE6"/>
    <w:rsid w:val="00DD58CD"/>
    <w:rsid w:val="00DE3443"/>
    <w:rsid w:val="00DE420E"/>
    <w:rsid w:val="00DE668B"/>
    <w:rsid w:val="00DE7942"/>
    <w:rsid w:val="00DF0886"/>
    <w:rsid w:val="00DF0958"/>
    <w:rsid w:val="00DF444C"/>
    <w:rsid w:val="00DF5824"/>
    <w:rsid w:val="00DF5C80"/>
    <w:rsid w:val="00DF7653"/>
    <w:rsid w:val="00E02F01"/>
    <w:rsid w:val="00E04E38"/>
    <w:rsid w:val="00E24D87"/>
    <w:rsid w:val="00E2722A"/>
    <w:rsid w:val="00E379DC"/>
    <w:rsid w:val="00E41397"/>
    <w:rsid w:val="00E44371"/>
    <w:rsid w:val="00E44DEF"/>
    <w:rsid w:val="00E456ED"/>
    <w:rsid w:val="00E51037"/>
    <w:rsid w:val="00E53141"/>
    <w:rsid w:val="00E53435"/>
    <w:rsid w:val="00E54843"/>
    <w:rsid w:val="00E55F4A"/>
    <w:rsid w:val="00E56B15"/>
    <w:rsid w:val="00E613C3"/>
    <w:rsid w:val="00E61952"/>
    <w:rsid w:val="00E63CEB"/>
    <w:rsid w:val="00E64B0D"/>
    <w:rsid w:val="00E64F21"/>
    <w:rsid w:val="00E70497"/>
    <w:rsid w:val="00E71F51"/>
    <w:rsid w:val="00E73798"/>
    <w:rsid w:val="00E73B86"/>
    <w:rsid w:val="00E76929"/>
    <w:rsid w:val="00E821EB"/>
    <w:rsid w:val="00E865F3"/>
    <w:rsid w:val="00E926C0"/>
    <w:rsid w:val="00E940F3"/>
    <w:rsid w:val="00E94B53"/>
    <w:rsid w:val="00E9503E"/>
    <w:rsid w:val="00EA0A99"/>
    <w:rsid w:val="00EA75E2"/>
    <w:rsid w:val="00EA7D3E"/>
    <w:rsid w:val="00EB038D"/>
    <w:rsid w:val="00EB0453"/>
    <w:rsid w:val="00EB70EE"/>
    <w:rsid w:val="00EC0C66"/>
    <w:rsid w:val="00EC1903"/>
    <w:rsid w:val="00EC1F9E"/>
    <w:rsid w:val="00EC5066"/>
    <w:rsid w:val="00ED5AC0"/>
    <w:rsid w:val="00ED6408"/>
    <w:rsid w:val="00ED68C4"/>
    <w:rsid w:val="00EE1599"/>
    <w:rsid w:val="00EE6F0A"/>
    <w:rsid w:val="00EF0147"/>
    <w:rsid w:val="00EF09DA"/>
    <w:rsid w:val="00EF1825"/>
    <w:rsid w:val="00EF63B0"/>
    <w:rsid w:val="00EF6C0A"/>
    <w:rsid w:val="00F0033C"/>
    <w:rsid w:val="00F03C6B"/>
    <w:rsid w:val="00F06830"/>
    <w:rsid w:val="00F110A9"/>
    <w:rsid w:val="00F11AFE"/>
    <w:rsid w:val="00F12E9F"/>
    <w:rsid w:val="00F12FFE"/>
    <w:rsid w:val="00F20DE6"/>
    <w:rsid w:val="00F25D52"/>
    <w:rsid w:val="00F26D57"/>
    <w:rsid w:val="00F32DC3"/>
    <w:rsid w:val="00F331AD"/>
    <w:rsid w:val="00F3558C"/>
    <w:rsid w:val="00F37FEF"/>
    <w:rsid w:val="00F411D7"/>
    <w:rsid w:val="00F4393A"/>
    <w:rsid w:val="00F45965"/>
    <w:rsid w:val="00F45FD8"/>
    <w:rsid w:val="00F509CD"/>
    <w:rsid w:val="00F50B14"/>
    <w:rsid w:val="00F50FA8"/>
    <w:rsid w:val="00F51761"/>
    <w:rsid w:val="00F51AC8"/>
    <w:rsid w:val="00F523CF"/>
    <w:rsid w:val="00F5259F"/>
    <w:rsid w:val="00F5535C"/>
    <w:rsid w:val="00F56BA5"/>
    <w:rsid w:val="00F63666"/>
    <w:rsid w:val="00F6393F"/>
    <w:rsid w:val="00F6603C"/>
    <w:rsid w:val="00F70415"/>
    <w:rsid w:val="00F755E1"/>
    <w:rsid w:val="00F75DB4"/>
    <w:rsid w:val="00F77619"/>
    <w:rsid w:val="00F77B83"/>
    <w:rsid w:val="00F847DA"/>
    <w:rsid w:val="00F86BFD"/>
    <w:rsid w:val="00F94EAD"/>
    <w:rsid w:val="00F95723"/>
    <w:rsid w:val="00FA2957"/>
    <w:rsid w:val="00FA2AC3"/>
    <w:rsid w:val="00FA2E43"/>
    <w:rsid w:val="00FB1B39"/>
    <w:rsid w:val="00FC0236"/>
    <w:rsid w:val="00FC2788"/>
    <w:rsid w:val="00FC4F8F"/>
    <w:rsid w:val="00FC54DF"/>
    <w:rsid w:val="00FD12D7"/>
    <w:rsid w:val="00FD2C82"/>
    <w:rsid w:val="00FD38CE"/>
    <w:rsid w:val="00FD512C"/>
    <w:rsid w:val="00FD7E85"/>
    <w:rsid w:val="00FE00FA"/>
    <w:rsid w:val="00FE0D33"/>
    <w:rsid w:val="00FE3EB8"/>
    <w:rsid w:val="00FF3CF4"/>
    <w:rsid w:val="00FF7FF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BC1236F"/>
  <w15:docId w15:val="{66926CE6-7085-475A-91D9-C1F2D765EF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8F350E"/>
    <w:pPr>
      <w:spacing w:after="200" w:line="276" w:lineRule="auto"/>
    </w:pPr>
    <w:rPr>
      <w:kern w:val="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Rimandocommento">
    <w:name w:val="annotation reference"/>
    <w:basedOn w:val="Carpredefinitoparagrafo"/>
    <w:uiPriority w:val="99"/>
    <w:semiHidden/>
    <w:unhideWhenUsed/>
    <w:rsid w:val="00D07405"/>
    <w:rPr>
      <w:sz w:val="16"/>
      <w:szCs w:val="16"/>
    </w:rPr>
  </w:style>
  <w:style w:type="paragraph" w:styleId="Testocommento">
    <w:name w:val="annotation text"/>
    <w:basedOn w:val="Normale"/>
    <w:link w:val="TestocommentoCarattere"/>
    <w:uiPriority w:val="99"/>
    <w:unhideWhenUsed/>
    <w:rsid w:val="00D07405"/>
    <w:pPr>
      <w:spacing w:line="240" w:lineRule="auto"/>
    </w:pPr>
    <w:rPr>
      <w:sz w:val="20"/>
      <w:szCs w:val="20"/>
    </w:rPr>
  </w:style>
  <w:style w:type="character" w:customStyle="1" w:styleId="TestocommentoCarattere">
    <w:name w:val="Testo commento Carattere"/>
    <w:basedOn w:val="Carpredefinitoparagrafo"/>
    <w:link w:val="Testocommento"/>
    <w:uiPriority w:val="99"/>
    <w:rsid w:val="00D07405"/>
    <w:rPr>
      <w:kern w:val="0"/>
      <w:sz w:val="20"/>
      <w:szCs w:val="20"/>
    </w:rPr>
  </w:style>
  <w:style w:type="character" w:styleId="Collegamentoipertestuale">
    <w:name w:val="Hyperlink"/>
    <w:basedOn w:val="Carpredefinitoparagrafo"/>
    <w:uiPriority w:val="99"/>
    <w:unhideWhenUsed/>
    <w:rsid w:val="00D07405"/>
    <w:rPr>
      <w:color w:val="467886" w:themeColor="hyperlink"/>
      <w:u w:val="single"/>
    </w:rPr>
  </w:style>
  <w:style w:type="paragraph" w:styleId="Paragrafoelenco">
    <w:name w:val="List Paragraph"/>
    <w:basedOn w:val="Normale"/>
    <w:uiPriority w:val="34"/>
    <w:qFormat/>
    <w:rsid w:val="00D07405"/>
    <w:pPr>
      <w:ind w:left="720"/>
      <w:contextualSpacing/>
    </w:pPr>
  </w:style>
  <w:style w:type="paragraph" w:styleId="Intestazione">
    <w:name w:val="header"/>
    <w:basedOn w:val="Normale"/>
    <w:link w:val="IntestazioneCarattere"/>
    <w:uiPriority w:val="99"/>
    <w:unhideWhenUsed/>
    <w:rsid w:val="005158F6"/>
    <w:pPr>
      <w:tabs>
        <w:tab w:val="center" w:pos="4680"/>
        <w:tab w:val="right" w:pos="9360"/>
      </w:tabs>
      <w:spacing w:after="0" w:line="240" w:lineRule="auto"/>
    </w:pPr>
  </w:style>
  <w:style w:type="character" w:customStyle="1" w:styleId="IntestazioneCarattere">
    <w:name w:val="Intestazione Carattere"/>
    <w:basedOn w:val="Carpredefinitoparagrafo"/>
    <w:link w:val="Intestazione"/>
    <w:uiPriority w:val="99"/>
    <w:rsid w:val="005158F6"/>
    <w:rPr>
      <w:kern w:val="0"/>
    </w:rPr>
  </w:style>
  <w:style w:type="paragraph" w:styleId="Pidipagina">
    <w:name w:val="footer"/>
    <w:basedOn w:val="Normale"/>
    <w:link w:val="PidipaginaCarattere"/>
    <w:uiPriority w:val="99"/>
    <w:unhideWhenUsed/>
    <w:rsid w:val="005158F6"/>
    <w:pPr>
      <w:tabs>
        <w:tab w:val="center" w:pos="4680"/>
        <w:tab w:val="right" w:pos="9360"/>
      </w:tabs>
      <w:spacing w:after="0" w:line="240" w:lineRule="auto"/>
    </w:pPr>
  </w:style>
  <w:style w:type="character" w:customStyle="1" w:styleId="PidipaginaCarattere">
    <w:name w:val="Piè di pagina Carattere"/>
    <w:basedOn w:val="Carpredefinitoparagrafo"/>
    <w:link w:val="Pidipagina"/>
    <w:uiPriority w:val="99"/>
    <w:rsid w:val="005158F6"/>
    <w:rPr>
      <w:kern w:val="0"/>
    </w:rPr>
  </w:style>
  <w:style w:type="table" w:customStyle="1" w:styleId="GridTable1Light-Accent31">
    <w:name w:val="Grid Table 1 Light - Accent 31"/>
    <w:basedOn w:val="Tabellanormale"/>
    <w:next w:val="Tabellagriglia1chiara-colore3"/>
    <w:uiPriority w:val="46"/>
    <w:rsid w:val="00C97DEC"/>
    <w:pPr>
      <w:spacing w:after="0" w:line="240" w:lineRule="auto"/>
    </w:pPr>
    <w:tblPr>
      <w:tblStyleRowBandSize w:val="1"/>
      <w:tblStyleColBandSize w:val="1"/>
      <w:tblBorders>
        <w:top w:val="single" w:sz="4" w:space="0" w:color="DBDBDB"/>
        <w:left w:val="single" w:sz="4" w:space="0" w:color="DBDBDB"/>
        <w:bottom w:val="single" w:sz="4" w:space="0" w:color="DBDBDB"/>
        <w:right w:val="single" w:sz="4" w:space="0" w:color="DBDBDB"/>
        <w:insideH w:val="single" w:sz="4" w:space="0" w:color="DBDBDB"/>
        <w:insideV w:val="single" w:sz="4" w:space="0" w:color="DBDBDB"/>
      </w:tblBorders>
    </w:tblPr>
    <w:tblStylePr w:type="firstRow">
      <w:rPr>
        <w:b/>
        <w:bCs/>
      </w:rPr>
      <w:tblPr/>
      <w:tcPr>
        <w:tcBorders>
          <w:bottom w:val="single" w:sz="12" w:space="0" w:color="C9C9C9"/>
        </w:tcBorders>
      </w:tcPr>
    </w:tblStylePr>
    <w:tblStylePr w:type="lastRow">
      <w:rPr>
        <w:b/>
        <w:bCs/>
      </w:rPr>
      <w:tblPr/>
      <w:tcPr>
        <w:tcBorders>
          <w:top w:val="double" w:sz="2" w:space="0" w:color="C9C9C9"/>
        </w:tcBorders>
      </w:tcPr>
    </w:tblStylePr>
    <w:tblStylePr w:type="firstCol">
      <w:rPr>
        <w:b/>
        <w:bCs/>
      </w:rPr>
    </w:tblStylePr>
    <w:tblStylePr w:type="lastCol">
      <w:rPr>
        <w:b/>
        <w:bCs/>
      </w:rPr>
    </w:tblStylePr>
  </w:style>
  <w:style w:type="table" w:styleId="Tabellagriglia1chiara-colore3">
    <w:name w:val="Grid Table 1 Light Accent 3"/>
    <w:basedOn w:val="Tabellanormale"/>
    <w:uiPriority w:val="46"/>
    <w:rsid w:val="00C97DEC"/>
    <w:pPr>
      <w:spacing w:after="0" w:line="240" w:lineRule="auto"/>
    </w:pPr>
    <w:tblPr>
      <w:tblStyleRowBandSize w:val="1"/>
      <w:tblStyleColBandSize w:val="1"/>
      <w:tblBorders>
        <w:top w:val="single" w:sz="4" w:space="0" w:color="84E290" w:themeColor="accent3" w:themeTint="66"/>
        <w:left w:val="single" w:sz="4" w:space="0" w:color="84E290" w:themeColor="accent3" w:themeTint="66"/>
        <w:bottom w:val="single" w:sz="4" w:space="0" w:color="84E290" w:themeColor="accent3" w:themeTint="66"/>
        <w:right w:val="single" w:sz="4" w:space="0" w:color="84E290" w:themeColor="accent3" w:themeTint="66"/>
        <w:insideH w:val="single" w:sz="4" w:space="0" w:color="84E290" w:themeColor="accent3" w:themeTint="66"/>
        <w:insideV w:val="single" w:sz="4" w:space="0" w:color="84E290" w:themeColor="accent3" w:themeTint="66"/>
      </w:tblBorders>
    </w:tblPr>
    <w:tblStylePr w:type="firstRow">
      <w:rPr>
        <w:b/>
        <w:bCs/>
      </w:rPr>
      <w:tblPr/>
      <w:tcPr>
        <w:tcBorders>
          <w:bottom w:val="single" w:sz="12" w:space="0" w:color="47D459" w:themeColor="accent3" w:themeTint="99"/>
        </w:tcBorders>
      </w:tcPr>
    </w:tblStylePr>
    <w:tblStylePr w:type="lastRow">
      <w:rPr>
        <w:b/>
        <w:bCs/>
      </w:rPr>
      <w:tblPr/>
      <w:tcPr>
        <w:tcBorders>
          <w:top w:val="double" w:sz="2" w:space="0" w:color="47D459" w:themeColor="accent3" w:themeTint="99"/>
        </w:tcBorders>
      </w:tcPr>
    </w:tblStylePr>
    <w:tblStylePr w:type="firstCol">
      <w:rPr>
        <w:b/>
        <w:bCs/>
      </w:rPr>
    </w:tblStylePr>
    <w:tblStylePr w:type="lastCol">
      <w:rPr>
        <w:b/>
        <w:bCs/>
      </w:rPr>
    </w:tblStylePr>
  </w:style>
  <w:style w:type="table" w:styleId="Grigliatabellachiara">
    <w:name w:val="Grid Table Light"/>
    <w:basedOn w:val="Tabellanormale"/>
    <w:uiPriority w:val="40"/>
    <w:rsid w:val="006E70A3"/>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ellasemplice-2">
    <w:name w:val="Plain Table 2"/>
    <w:basedOn w:val="Tabellanormale"/>
    <w:uiPriority w:val="42"/>
    <w:rsid w:val="006E70A3"/>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Bibliografia">
    <w:name w:val="Bibliography"/>
    <w:basedOn w:val="Normale"/>
    <w:next w:val="Normale"/>
    <w:uiPriority w:val="37"/>
    <w:unhideWhenUsed/>
    <w:rsid w:val="00446284"/>
    <w:pPr>
      <w:spacing w:after="0" w:line="240" w:lineRule="auto"/>
      <w:ind w:left="720" w:hanging="720"/>
    </w:pPr>
  </w:style>
  <w:style w:type="paragraph" w:customStyle="1" w:styleId="RSCB02ArticleText">
    <w:name w:val="RSC B02 Article Text"/>
    <w:basedOn w:val="Normale"/>
    <w:link w:val="RSCB02ArticleTextChar"/>
    <w:qFormat/>
    <w:rsid w:val="002C22BB"/>
    <w:pPr>
      <w:spacing w:after="0" w:line="240" w:lineRule="exact"/>
      <w:jc w:val="both"/>
    </w:pPr>
    <w:rPr>
      <w:rFonts w:cs="Times New Roman"/>
      <w:w w:val="108"/>
      <w:sz w:val="18"/>
      <w:szCs w:val="18"/>
      <w:lang w:val="en-GB"/>
      <w14:ligatures w14:val="none"/>
    </w:rPr>
  </w:style>
  <w:style w:type="character" w:customStyle="1" w:styleId="RSCB02ArticleTextChar">
    <w:name w:val="RSC B02 Article Text Char"/>
    <w:basedOn w:val="Carpredefinitoparagrafo"/>
    <w:link w:val="RSCB02ArticleText"/>
    <w:rsid w:val="002C22BB"/>
    <w:rPr>
      <w:rFonts w:cs="Times New Roman"/>
      <w:w w:val="108"/>
      <w:kern w:val="0"/>
      <w:sz w:val="18"/>
      <w:szCs w:val="18"/>
      <w:lang w:val="en-GB"/>
      <w14:ligatures w14:val="none"/>
    </w:rPr>
  </w:style>
  <w:style w:type="character" w:styleId="Enfasicorsivo">
    <w:name w:val="Emphasis"/>
    <w:basedOn w:val="Carpredefinitoparagrafo"/>
    <w:uiPriority w:val="20"/>
    <w:qFormat/>
    <w:rsid w:val="0026366D"/>
    <w:rPr>
      <w:i/>
      <w:iCs/>
    </w:rPr>
  </w:style>
  <w:style w:type="paragraph" w:styleId="Didascalia">
    <w:name w:val="caption"/>
    <w:basedOn w:val="Normale"/>
    <w:next w:val="Normale"/>
    <w:uiPriority w:val="35"/>
    <w:unhideWhenUsed/>
    <w:qFormat/>
    <w:rsid w:val="00A94F1A"/>
    <w:pPr>
      <w:spacing w:line="240" w:lineRule="auto"/>
    </w:pPr>
    <w:rPr>
      <w:i/>
      <w:iCs/>
      <w:color w:val="0E2841" w:themeColor="text2"/>
      <w:sz w:val="18"/>
      <w:szCs w:val="18"/>
    </w:rPr>
  </w:style>
  <w:style w:type="paragraph" w:customStyle="1" w:styleId="whitespace-pre-wrap">
    <w:name w:val="whitespace-pre-wrap"/>
    <w:basedOn w:val="Normale"/>
    <w:rsid w:val="00E64F21"/>
    <w:pPr>
      <w:spacing w:before="100" w:beforeAutospacing="1" w:after="100" w:afterAutospacing="1" w:line="240" w:lineRule="auto"/>
    </w:pPr>
    <w:rPr>
      <w:rFonts w:ascii="Times New Roman" w:eastAsia="Times New Roman" w:hAnsi="Times New Roman" w:cs="Times New Roman"/>
      <w:sz w:val="24"/>
      <w:szCs w:val="24"/>
    </w:rPr>
  </w:style>
  <w:style w:type="table" w:styleId="Grigliatabella">
    <w:name w:val="Table Grid"/>
    <w:basedOn w:val="Tabellanormale"/>
    <w:uiPriority w:val="39"/>
    <w:rsid w:val="0003555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e">
    <w:name w:val="Revision"/>
    <w:hidden/>
    <w:uiPriority w:val="99"/>
    <w:semiHidden/>
    <w:rsid w:val="000B4952"/>
    <w:pPr>
      <w:spacing w:after="0" w:line="240" w:lineRule="auto"/>
    </w:pPr>
    <w:rPr>
      <w:kern w:val="0"/>
    </w:rPr>
  </w:style>
  <w:style w:type="paragraph" w:styleId="Soggettocommento">
    <w:name w:val="annotation subject"/>
    <w:basedOn w:val="Testocommento"/>
    <w:next w:val="Testocommento"/>
    <w:link w:val="SoggettocommentoCarattere"/>
    <w:uiPriority w:val="99"/>
    <w:semiHidden/>
    <w:unhideWhenUsed/>
    <w:rsid w:val="00D37A9C"/>
    <w:rPr>
      <w:b/>
      <w:bCs/>
    </w:rPr>
  </w:style>
  <w:style w:type="character" w:customStyle="1" w:styleId="SoggettocommentoCarattere">
    <w:name w:val="Soggetto commento Carattere"/>
    <w:basedOn w:val="TestocommentoCarattere"/>
    <w:link w:val="Soggettocommento"/>
    <w:uiPriority w:val="99"/>
    <w:semiHidden/>
    <w:rsid w:val="00D37A9C"/>
    <w:rPr>
      <w:b/>
      <w:bCs/>
      <w:kern w:val="0"/>
      <w:sz w:val="20"/>
      <w:szCs w:val="20"/>
    </w:rPr>
  </w:style>
  <w:style w:type="paragraph" w:styleId="NormaleWeb">
    <w:name w:val="Normal (Web)"/>
    <w:basedOn w:val="Normale"/>
    <w:uiPriority w:val="99"/>
    <w:semiHidden/>
    <w:unhideWhenUsed/>
    <w:rsid w:val="001E2B40"/>
    <w:pPr>
      <w:spacing w:before="100" w:beforeAutospacing="1" w:after="100" w:afterAutospacing="1" w:line="240" w:lineRule="auto"/>
    </w:pPr>
    <w:rPr>
      <w:rFonts w:ascii="Times New Roman" w:eastAsia="Times New Roman" w:hAnsi="Times New Roman" w:cs="Times New Roman"/>
      <w:sz w:val="24"/>
      <w:szCs w:val="24"/>
      <w14:ligatures w14:val="none"/>
    </w:rPr>
  </w:style>
  <w:style w:type="character" w:styleId="Menzionenonrisolta">
    <w:name w:val="Unresolved Mention"/>
    <w:basedOn w:val="Carpredefinitoparagrafo"/>
    <w:uiPriority w:val="99"/>
    <w:semiHidden/>
    <w:unhideWhenUsed/>
    <w:rsid w:val="00D10F3B"/>
    <w:rPr>
      <w:color w:val="605E5C"/>
      <w:shd w:val="clear" w:color="auto" w:fill="E1DFDD"/>
    </w:rPr>
  </w:style>
  <w:style w:type="paragraph" w:customStyle="1" w:styleId="TFReferencesSection">
    <w:name w:val="TF_References_Section"/>
    <w:basedOn w:val="Normale"/>
    <w:rsid w:val="00D43F9A"/>
    <w:pPr>
      <w:spacing w:line="480" w:lineRule="auto"/>
      <w:ind w:firstLine="187"/>
      <w:jc w:val="both"/>
    </w:pPr>
    <w:rPr>
      <w:rFonts w:ascii="Times" w:eastAsia="Times New Roman" w:hAnsi="Times" w:cs="Times New Roman"/>
      <w:sz w:val="24"/>
      <w:szCs w:val="20"/>
      <w14:ligatures w14:val="none"/>
    </w:rPr>
  </w:style>
  <w:style w:type="character" w:styleId="Collegamentovisitato">
    <w:name w:val="FollowedHyperlink"/>
    <w:basedOn w:val="Carpredefinitoparagrafo"/>
    <w:uiPriority w:val="99"/>
    <w:semiHidden/>
    <w:unhideWhenUsed/>
    <w:rsid w:val="008C0DFF"/>
    <w:rPr>
      <w:color w:val="96607D" w:themeColor="followedHyperlink"/>
      <w:u w:val="single"/>
    </w:rPr>
  </w:style>
  <w:style w:type="paragraph" w:styleId="Testonotaapidipagina">
    <w:name w:val="footnote text"/>
    <w:basedOn w:val="Normale"/>
    <w:link w:val="TestonotaapidipaginaCarattere"/>
    <w:uiPriority w:val="99"/>
    <w:semiHidden/>
    <w:unhideWhenUsed/>
    <w:rsid w:val="00EA7D3E"/>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EA7D3E"/>
    <w:rPr>
      <w:kern w:val="0"/>
      <w:sz w:val="20"/>
      <w:szCs w:val="20"/>
    </w:rPr>
  </w:style>
  <w:style w:type="character" w:styleId="Rimandonotaapidipagina">
    <w:name w:val="footnote reference"/>
    <w:basedOn w:val="Carpredefinitoparagrafo"/>
    <w:uiPriority w:val="99"/>
    <w:semiHidden/>
    <w:unhideWhenUsed/>
    <w:rsid w:val="00EA7D3E"/>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653741">
      <w:bodyDiv w:val="1"/>
      <w:marLeft w:val="0"/>
      <w:marRight w:val="0"/>
      <w:marTop w:val="0"/>
      <w:marBottom w:val="0"/>
      <w:divBdr>
        <w:top w:val="none" w:sz="0" w:space="0" w:color="auto"/>
        <w:left w:val="none" w:sz="0" w:space="0" w:color="auto"/>
        <w:bottom w:val="none" w:sz="0" w:space="0" w:color="auto"/>
        <w:right w:val="none" w:sz="0" w:space="0" w:color="auto"/>
      </w:divBdr>
      <w:divsChild>
        <w:div w:id="1448548093">
          <w:marLeft w:val="0"/>
          <w:marRight w:val="0"/>
          <w:marTop w:val="0"/>
          <w:marBottom w:val="0"/>
          <w:divBdr>
            <w:top w:val="none" w:sz="0" w:space="0" w:color="auto"/>
            <w:left w:val="none" w:sz="0" w:space="0" w:color="auto"/>
            <w:bottom w:val="none" w:sz="0" w:space="0" w:color="auto"/>
            <w:right w:val="none" w:sz="0" w:space="0" w:color="auto"/>
          </w:divBdr>
          <w:divsChild>
            <w:div w:id="1073309639">
              <w:marLeft w:val="0"/>
              <w:marRight w:val="0"/>
              <w:marTop w:val="0"/>
              <w:marBottom w:val="0"/>
              <w:divBdr>
                <w:top w:val="none" w:sz="0" w:space="0" w:color="auto"/>
                <w:left w:val="none" w:sz="0" w:space="0" w:color="auto"/>
                <w:bottom w:val="none" w:sz="0" w:space="0" w:color="auto"/>
                <w:right w:val="none" w:sz="0" w:space="0" w:color="auto"/>
              </w:divBdr>
              <w:divsChild>
                <w:div w:id="347752014">
                  <w:marLeft w:val="0"/>
                  <w:marRight w:val="0"/>
                  <w:marTop w:val="0"/>
                  <w:marBottom w:val="0"/>
                  <w:divBdr>
                    <w:top w:val="none" w:sz="0" w:space="0" w:color="auto"/>
                    <w:left w:val="none" w:sz="0" w:space="0" w:color="auto"/>
                    <w:bottom w:val="none" w:sz="0" w:space="0" w:color="auto"/>
                    <w:right w:val="none" w:sz="0" w:space="0" w:color="auto"/>
                  </w:divBdr>
                  <w:divsChild>
                    <w:div w:id="802626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8284843">
      <w:bodyDiv w:val="1"/>
      <w:marLeft w:val="0"/>
      <w:marRight w:val="0"/>
      <w:marTop w:val="0"/>
      <w:marBottom w:val="0"/>
      <w:divBdr>
        <w:top w:val="none" w:sz="0" w:space="0" w:color="auto"/>
        <w:left w:val="none" w:sz="0" w:space="0" w:color="auto"/>
        <w:bottom w:val="none" w:sz="0" w:space="0" w:color="auto"/>
        <w:right w:val="none" w:sz="0" w:space="0" w:color="auto"/>
      </w:divBdr>
    </w:div>
    <w:div w:id="77796954">
      <w:bodyDiv w:val="1"/>
      <w:marLeft w:val="0"/>
      <w:marRight w:val="0"/>
      <w:marTop w:val="0"/>
      <w:marBottom w:val="0"/>
      <w:divBdr>
        <w:top w:val="none" w:sz="0" w:space="0" w:color="auto"/>
        <w:left w:val="none" w:sz="0" w:space="0" w:color="auto"/>
        <w:bottom w:val="none" w:sz="0" w:space="0" w:color="auto"/>
        <w:right w:val="none" w:sz="0" w:space="0" w:color="auto"/>
      </w:divBdr>
      <w:divsChild>
        <w:div w:id="1777166473">
          <w:marLeft w:val="0"/>
          <w:marRight w:val="0"/>
          <w:marTop w:val="0"/>
          <w:marBottom w:val="0"/>
          <w:divBdr>
            <w:top w:val="none" w:sz="0" w:space="0" w:color="auto"/>
            <w:left w:val="none" w:sz="0" w:space="0" w:color="auto"/>
            <w:bottom w:val="none" w:sz="0" w:space="0" w:color="auto"/>
            <w:right w:val="none" w:sz="0" w:space="0" w:color="auto"/>
          </w:divBdr>
          <w:divsChild>
            <w:div w:id="1157381814">
              <w:marLeft w:val="0"/>
              <w:marRight w:val="0"/>
              <w:marTop w:val="0"/>
              <w:marBottom w:val="0"/>
              <w:divBdr>
                <w:top w:val="none" w:sz="0" w:space="0" w:color="auto"/>
                <w:left w:val="none" w:sz="0" w:space="0" w:color="auto"/>
                <w:bottom w:val="none" w:sz="0" w:space="0" w:color="auto"/>
                <w:right w:val="none" w:sz="0" w:space="0" w:color="auto"/>
              </w:divBdr>
              <w:divsChild>
                <w:div w:id="2145149744">
                  <w:marLeft w:val="0"/>
                  <w:marRight w:val="0"/>
                  <w:marTop w:val="0"/>
                  <w:marBottom w:val="0"/>
                  <w:divBdr>
                    <w:top w:val="none" w:sz="0" w:space="0" w:color="auto"/>
                    <w:left w:val="none" w:sz="0" w:space="0" w:color="auto"/>
                    <w:bottom w:val="none" w:sz="0" w:space="0" w:color="auto"/>
                    <w:right w:val="none" w:sz="0" w:space="0" w:color="auto"/>
                  </w:divBdr>
                  <w:divsChild>
                    <w:div w:id="1081649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401615">
      <w:bodyDiv w:val="1"/>
      <w:marLeft w:val="0"/>
      <w:marRight w:val="0"/>
      <w:marTop w:val="0"/>
      <w:marBottom w:val="0"/>
      <w:divBdr>
        <w:top w:val="none" w:sz="0" w:space="0" w:color="auto"/>
        <w:left w:val="none" w:sz="0" w:space="0" w:color="auto"/>
        <w:bottom w:val="none" w:sz="0" w:space="0" w:color="auto"/>
        <w:right w:val="none" w:sz="0" w:space="0" w:color="auto"/>
      </w:divBdr>
    </w:div>
    <w:div w:id="120653022">
      <w:bodyDiv w:val="1"/>
      <w:marLeft w:val="0"/>
      <w:marRight w:val="0"/>
      <w:marTop w:val="0"/>
      <w:marBottom w:val="0"/>
      <w:divBdr>
        <w:top w:val="none" w:sz="0" w:space="0" w:color="auto"/>
        <w:left w:val="none" w:sz="0" w:space="0" w:color="auto"/>
        <w:bottom w:val="none" w:sz="0" w:space="0" w:color="auto"/>
        <w:right w:val="none" w:sz="0" w:space="0" w:color="auto"/>
      </w:divBdr>
    </w:div>
    <w:div w:id="160433608">
      <w:bodyDiv w:val="1"/>
      <w:marLeft w:val="0"/>
      <w:marRight w:val="0"/>
      <w:marTop w:val="0"/>
      <w:marBottom w:val="0"/>
      <w:divBdr>
        <w:top w:val="none" w:sz="0" w:space="0" w:color="auto"/>
        <w:left w:val="none" w:sz="0" w:space="0" w:color="auto"/>
        <w:bottom w:val="none" w:sz="0" w:space="0" w:color="auto"/>
        <w:right w:val="none" w:sz="0" w:space="0" w:color="auto"/>
      </w:divBdr>
      <w:divsChild>
        <w:div w:id="1241865022">
          <w:marLeft w:val="0"/>
          <w:marRight w:val="0"/>
          <w:marTop w:val="0"/>
          <w:marBottom w:val="0"/>
          <w:divBdr>
            <w:top w:val="none" w:sz="0" w:space="0" w:color="auto"/>
            <w:left w:val="none" w:sz="0" w:space="0" w:color="auto"/>
            <w:bottom w:val="none" w:sz="0" w:space="0" w:color="auto"/>
            <w:right w:val="none" w:sz="0" w:space="0" w:color="auto"/>
          </w:divBdr>
        </w:div>
      </w:divsChild>
    </w:div>
    <w:div w:id="242758721">
      <w:bodyDiv w:val="1"/>
      <w:marLeft w:val="0"/>
      <w:marRight w:val="0"/>
      <w:marTop w:val="0"/>
      <w:marBottom w:val="0"/>
      <w:divBdr>
        <w:top w:val="none" w:sz="0" w:space="0" w:color="auto"/>
        <w:left w:val="none" w:sz="0" w:space="0" w:color="auto"/>
        <w:bottom w:val="none" w:sz="0" w:space="0" w:color="auto"/>
        <w:right w:val="none" w:sz="0" w:space="0" w:color="auto"/>
      </w:divBdr>
    </w:div>
    <w:div w:id="255289453">
      <w:bodyDiv w:val="1"/>
      <w:marLeft w:val="0"/>
      <w:marRight w:val="0"/>
      <w:marTop w:val="0"/>
      <w:marBottom w:val="0"/>
      <w:divBdr>
        <w:top w:val="none" w:sz="0" w:space="0" w:color="auto"/>
        <w:left w:val="none" w:sz="0" w:space="0" w:color="auto"/>
        <w:bottom w:val="none" w:sz="0" w:space="0" w:color="auto"/>
        <w:right w:val="none" w:sz="0" w:space="0" w:color="auto"/>
      </w:divBdr>
    </w:div>
    <w:div w:id="277951845">
      <w:bodyDiv w:val="1"/>
      <w:marLeft w:val="0"/>
      <w:marRight w:val="0"/>
      <w:marTop w:val="0"/>
      <w:marBottom w:val="0"/>
      <w:divBdr>
        <w:top w:val="none" w:sz="0" w:space="0" w:color="auto"/>
        <w:left w:val="none" w:sz="0" w:space="0" w:color="auto"/>
        <w:bottom w:val="none" w:sz="0" w:space="0" w:color="auto"/>
        <w:right w:val="none" w:sz="0" w:space="0" w:color="auto"/>
      </w:divBdr>
      <w:divsChild>
        <w:div w:id="560874131">
          <w:marLeft w:val="0"/>
          <w:marRight w:val="0"/>
          <w:marTop w:val="0"/>
          <w:marBottom w:val="0"/>
          <w:divBdr>
            <w:top w:val="none" w:sz="0" w:space="0" w:color="auto"/>
            <w:left w:val="none" w:sz="0" w:space="0" w:color="auto"/>
            <w:bottom w:val="none" w:sz="0" w:space="0" w:color="auto"/>
            <w:right w:val="none" w:sz="0" w:space="0" w:color="auto"/>
          </w:divBdr>
          <w:divsChild>
            <w:div w:id="1373117483">
              <w:marLeft w:val="0"/>
              <w:marRight w:val="0"/>
              <w:marTop w:val="0"/>
              <w:marBottom w:val="0"/>
              <w:divBdr>
                <w:top w:val="none" w:sz="0" w:space="0" w:color="auto"/>
                <w:left w:val="none" w:sz="0" w:space="0" w:color="auto"/>
                <w:bottom w:val="none" w:sz="0" w:space="0" w:color="auto"/>
                <w:right w:val="none" w:sz="0" w:space="0" w:color="auto"/>
              </w:divBdr>
              <w:divsChild>
                <w:div w:id="1486553967">
                  <w:marLeft w:val="0"/>
                  <w:marRight w:val="0"/>
                  <w:marTop w:val="0"/>
                  <w:marBottom w:val="0"/>
                  <w:divBdr>
                    <w:top w:val="none" w:sz="0" w:space="0" w:color="auto"/>
                    <w:left w:val="none" w:sz="0" w:space="0" w:color="auto"/>
                    <w:bottom w:val="none" w:sz="0" w:space="0" w:color="auto"/>
                    <w:right w:val="none" w:sz="0" w:space="0" w:color="auto"/>
                  </w:divBdr>
                  <w:divsChild>
                    <w:div w:id="2122145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80035848">
      <w:bodyDiv w:val="1"/>
      <w:marLeft w:val="0"/>
      <w:marRight w:val="0"/>
      <w:marTop w:val="0"/>
      <w:marBottom w:val="0"/>
      <w:divBdr>
        <w:top w:val="none" w:sz="0" w:space="0" w:color="auto"/>
        <w:left w:val="none" w:sz="0" w:space="0" w:color="auto"/>
        <w:bottom w:val="none" w:sz="0" w:space="0" w:color="auto"/>
        <w:right w:val="none" w:sz="0" w:space="0" w:color="auto"/>
      </w:divBdr>
    </w:div>
    <w:div w:id="319163269">
      <w:bodyDiv w:val="1"/>
      <w:marLeft w:val="0"/>
      <w:marRight w:val="0"/>
      <w:marTop w:val="0"/>
      <w:marBottom w:val="0"/>
      <w:divBdr>
        <w:top w:val="none" w:sz="0" w:space="0" w:color="auto"/>
        <w:left w:val="none" w:sz="0" w:space="0" w:color="auto"/>
        <w:bottom w:val="none" w:sz="0" w:space="0" w:color="auto"/>
        <w:right w:val="none" w:sz="0" w:space="0" w:color="auto"/>
      </w:divBdr>
    </w:div>
    <w:div w:id="351810929">
      <w:bodyDiv w:val="1"/>
      <w:marLeft w:val="0"/>
      <w:marRight w:val="0"/>
      <w:marTop w:val="0"/>
      <w:marBottom w:val="0"/>
      <w:divBdr>
        <w:top w:val="none" w:sz="0" w:space="0" w:color="auto"/>
        <w:left w:val="none" w:sz="0" w:space="0" w:color="auto"/>
        <w:bottom w:val="none" w:sz="0" w:space="0" w:color="auto"/>
        <w:right w:val="none" w:sz="0" w:space="0" w:color="auto"/>
      </w:divBdr>
    </w:div>
    <w:div w:id="399670823">
      <w:bodyDiv w:val="1"/>
      <w:marLeft w:val="0"/>
      <w:marRight w:val="0"/>
      <w:marTop w:val="0"/>
      <w:marBottom w:val="0"/>
      <w:divBdr>
        <w:top w:val="none" w:sz="0" w:space="0" w:color="auto"/>
        <w:left w:val="none" w:sz="0" w:space="0" w:color="auto"/>
        <w:bottom w:val="none" w:sz="0" w:space="0" w:color="auto"/>
        <w:right w:val="none" w:sz="0" w:space="0" w:color="auto"/>
      </w:divBdr>
      <w:divsChild>
        <w:div w:id="375200377">
          <w:marLeft w:val="0"/>
          <w:marRight w:val="0"/>
          <w:marTop w:val="0"/>
          <w:marBottom w:val="0"/>
          <w:divBdr>
            <w:top w:val="none" w:sz="0" w:space="0" w:color="auto"/>
            <w:left w:val="none" w:sz="0" w:space="0" w:color="auto"/>
            <w:bottom w:val="none" w:sz="0" w:space="0" w:color="auto"/>
            <w:right w:val="none" w:sz="0" w:space="0" w:color="auto"/>
          </w:divBdr>
        </w:div>
      </w:divsChild>
    </w:div>
    <w:div w:id="411776033">
      <w:bodyDiv w:val="1"/>
      <w:marLeft w:val="0"/>
      <w:marRight w:val="0"/>
      <w:marTop w:val="0"/>
      <w:marBottom w:val="0"/>
      <w:divBdr>
        <w:top w:val="none" w:sz="0" w:space="0" w:color="auto"/>
        <w:left w:val="none" w:sz="0" w:space="0" w:color="auto"/>
        <w:bottom w:val="none" w:sz="0" w:space="0" w:color="auto"/>
        <w:right w:val="none" w:sz="0" w:space="0" w:color="auto"/>
      </w:divBdr>
    </w:div>
    <w:div w:id="418062608">
      <w:bodyDiv w:val="1"/>
      <w:marLeft w:val="0"/>
      <w:marRight w:val="0"/>
      <w:marTop w:val="0"/>
      <w:marBottom w:val="0"/>
      <w:divBdr>
        <w:top w:val="none" w:sz="0" w:space="0" w:color="auto"/>
        <w:left w:val="none" w:sz="0" w:space="0" w:color="auto"/>
        <w:bottom w:val="none" w:sz="0" w:space="0" w:color="auto"/>
        <w:right w:val="none" w:sz="0" w:space="0" w:color="auto"/>
      </w:divBdr>
      <w:divsChild>
        <w:div w:id="144009534">
          <w:marLeft w:val="0"/>
          <w:marRight w:val="0"/>
          <w:marTop w:val="0"/>
          <w:marBottom w:val="0"/>
          <w:divBdr>
            <w:top w:val="none" w:sz="0" w:space="0" w:color="auto"/>
            <w:left w:val="none" w:sz="0" w:space="0" w:color="auto"/>
            <w:bottom w:val="none" w:sz="0" w:space="0" w:color="auto"/>
            <w:right w:val="none" w:sz="0" w:space="0" w:color="auto"/>
          </w:divBdr>
        </w:div>
      </w:divsChild>
    </w:div>
    <w:div w:id="451291579">
      <w:bodyDiv w:val="1"/>
      <w:marLeft w:val="0"/>
      <w:marRight w:val="0"/>
      <w:marTop w:val="0"/>
      <w:marBottom w:val="0"/>
      <w:divBdr>
        <w:top w:val="none" w:sz="0" w:space="0" w:color="auto"/>
        <w:left w:val="none" w:sz="0" w:space="0" w:color="auto"/>
        <w:bottom w:val="none" w:sz="0" w:space="0" w:color="auto"/>
        <w:right w:val="none" w:sz="0" w:space="0" w:color="auto"/>
      </w:divBdr>
      <w:divsChild>
        <w:div w:id="1857116487">
          <w:marLeft w:val="0"/>
          <w:marRight w:val="0"/>
          <w:marTop w:val="0"/>
          <w:marBottom w:val="0"/>
          <w:divBdr>
            <w:top w:val="none" w:sz="0" w:space="0" w:color="auto"/>
            <w:left w:val="none" w:sz="0" w:space="0" w:color="auto"/>
            <w:bottom w:val="none" w:sz="0" w:space="0" w:color="auto"/>
            <w:right w:val="none" w:sz="0" w:space="0" w:color="auto"/>
          </w:divBdr>
        </w:div>
      </w:divsChild>
    </w:div>
    <w:div w:id="478037686">
      <w:bodyDiv w:val="1"/>
      <w:marLeft w:val="0"/>
      <w:marRight w:val="0"/>
      <w:marTop w:val="0"/>
      <w:marBottom w:val="0"/>
      <w:divBdr>
        <w:top w:val="none" w:sz="0" w:space="0" w:color="auto"/>
        <w:left w:val="none" w:sz="0" w:space="0" w:color="auto"/>
        <w:bottom w:val="none" w:sz="0" w:space="0" w:color="auto"/>
        <w:right w:val="none" w:sz="0" w:space="0" w:color="auto"/>
      </w:divBdr>
    </w:div>
    <w:div w:id="497615312">
      <w:bodyDiv w:val="1"/>
      <w:marLeft w:val="0"/>
      <w:marRight w:val="0"/>
      <w:marTop w:val="0"/>
      <w:marBottom w:val="0"/>
      <w:divBdr>
        <w:top w:val="none" w:sz="0" w:space="0" w:color="auto"/>
        <w:left w:val="none" w:sz="0" w:space="0" w:color="auto"/>
        <w:bottom w:val="none" w:sz="0" w:space="0" w:color="auto"/>
        <w:right w:val="none" w:sz="0" w:space="0" w:color="auto"/>
      </w:divBdr>
    </w:div>
    <w:div w:id="661786005">
      <w:bodyDiv w:val="1"/>
      <w:marLeft w:val="0"/>
      <w:marRight w:val="0"/>
      <w:marTop w:val="0"/>
      <w:marBottom w:val="0"/>
      <w:divBdr>
        <w:top w:val="none" w:sz="0" w:space="0" w:color="auto"/>
        <w:left w:val="none" w:sz="0" w:space="0" w:color="auto"/>
        <w:bottom w:val="none" w:sz="0" w:space="0" w:color="auto"/>
        <w:right w:val="none" w:sz="0" w:space="0" w:color="auto"/>
      </w:divBdr>
      <w:divsChild>
        <w:div w:id="537159081">
          <w:marLeft w:val="0"/>
          <w:marRight w:val="0"/>
          <w:marTop w:val="0"/>
          <w:marBottom w:val="0"/>
          <w:divBdr>
            <w:top w:val="none" w:sz="0" w:space="0" w:color="auto"/>
            <w:left w:val="none" w:sz="0" w:space="0" w:color="auto"/>
            <w:bottom w:val="none" w:sz="0" w:space="0" w:color="auto"/>
            <w:right w:val="none" w:sz="0" w:space="0" w:color="auto"/>
          </w:divBdr>
          <w:divsChild>
            <w:div w:id="984630257">
              <w:marLeft w:val="0"/>
              <w:marRight w:val="0"/>
              <w:marTop w:val="0"/>
              <w:marBottom w:val="0"/>
              <w:divBdr>
                <w:top w:val="none" w:sz="0" w:space="0" w:color="auto"/>
                <w:left w:val="none" w:sz="0" w:space="0" w:color="auto"/>
                <w:bottom w:val="none" w:sz="0" w:space="0" w:color="auto"/>
                <w:right w:val="none" w:sz="0" w:space="0" w:color="auto"/>
              </w:divBdr>
              <w:divsChild>
                <w:div w:id="959647079">
                  <w:marLeft w:val="0"/>
                  <w:marRight w:val="0"/>
                  <w:marTop w:val="0"/>
                  <w:marBottom w:val="0"/>
                  <w:divBdr>
                    <w:top w:val="none" w:sz="0" w:space="0" w:color="auto"/>
                    <w:left w:val="none" w:sz="0" w:space="0" w:color="auto"/>
                    <w:bottom w:val="none" w:sz="0" w:space="0" w:color="auto"/>
                    <w:right w:val="none" w:sz="0" w:space="0" w:color="auto"/>
                  </w:divBdr>
                  <w:divsChild>
                    <w:div w:id="1168787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6948866">
      <w:bodyDiv w:val="1"/>
      <w:marLeft w:val="0"/>
      <w:marRight w:val="0"/>
      <w:marTop w:val="0"/>
      <w:marBottom w:val="0"/>
      <w:divBdr>
        <w:top w:val="none" w:sz="0" w:space="0" w:color="auto"/>
        <w:left w:val="none" w:sz="0" w:space="0" w:color="auto"/>
        <w:bottom w:val="none" w:sz="0" w:space="0" w:color="auto"/>
        <w:right w:val="none" w:sz="0" w:space="0" w:color="auto"/>
      </w:divBdr>
    </w:div>
    <w:div w:id="704014936">
      <w:bodyDiv w:val="1"/>
      <w:marLeft w:val="0"/>
      <w:marRight w:val="0"/>
      <w:marTop w:val="0"/>
      <w:marBottom w:val="0"/>
      <w:divBdr>
        <w:top w:val="none" w:sz="0" w:space="0" w:color="auto"/>
        <w:left w:val="none" w:sz="0" w:space="0" w:color="auto"/>
        <w:bottom w:val="none" w:sz="0" w:space="0" w:color="auto"/>
        <w:right w:val="none" w:sz="0" w:space="0" w:color="auto"/>
      </w:divBdr>
      <w:divsChild>
        <w:div w:id="1796290154">
          <w:marLeft w:val="0"/>
          <w:marRight w:val="0"/>
          <w:marTop w:val="0"/>
          <w:marBottom w:val="0"/>
          <w:divBdr>
            <w:top w:val="none" w:sz="0" w:space="0" w:color="auto"/>
            <w:left w:val="none" w:sz="0" w:space="0" w:color="auto"/>
            <w:bottom w:val="none" w:sz="0" w:space="0" w:color="auto"/>
            <w:right w:val="none" w:sz="0" w:space="0" w:color="auto"/>
          </w:divBdr>
        </w:div>
      </w:divsChild>
    </w:div>
    <w:div w:id="774833206">
      <w:bodyDiv w:val="1"/>
      <w:marLeft w:val="0"/>
      <w:marRight w:val="0"/>
      <w:marTop w:val="0"/>
      <w:marBottom w:val="0"/>
      <w:divBdr>
        <w:top w:val="none" w:sz="0" w:space="0" w:color="auto"/>
        <w:left w:val="none" w:sz="0" w:space="0" w:color="auto"/>
        <w:bottom w:val="none" w:sz="0" w:space="0" w:color="auto"/>
        <w:right w:val="none" w:sz="0" w:space="0" w:color="auto"/>
      </w:divBdr>
    </w:div>
    <w:div w:id="844632365">
      <w:bodyDiv w:val="1"/>
      <w:marLeft w:val="0"/>
      <w:marRight w:val="0"/>
      <w:marTop w:val="0"/>
      <w:marBottom w:val="0"/>
      <w:divBdr>
        <w:top w:val="none" w:sz="0" w:space="0" w:color="auto"/>
        <w:left w:val="none" w:sz="0" w:space="0" w:color="auto"/>
        <w:bottom w:val="none" w:sz="0" w:space="0" w:color="auto"/>
        <w:right w:val="none" w:sz="0" w:space="0" w:color="auto"/>
      </w:divBdr>
    </w:div>
    <w:div w:id="848639853">
      <w:bodyDiv w:val="1"/>
      <w:marLeft w:val="0"/>
      <w:marRight w:val="0"/>
      <w:marTop w:val="0"/>
      <w:marBottom w:val="0"/>
      <w:divBdr>
        <w:top w:val="none" w:sz="0" w:space="0" w:color="auto"/>
        <w:left w:val="none" w:sz="0" w:space="0" w:color="auto"/>
        <w:bottom w:val="none" w:sz="0" w:space="0" w:color="auto"/>
        <w:right w:val="none" w:sz="0" w:space="0" w:color="auto"/>
      </w:divBdr>
    </w:div>
    <w:div w:id="979463589">
      <w:bodyDiv w:val="1"/>
      <w:marLeft w:val="0"/>
      <w:marRight w:val="0"/>
      <w:marTop w:val="0"/>
      <w:marBottom w:val="0"/>
      <w:divBdr>
        <w:top w:val="none" w:sz="0" w:space="0" w:color="auto"/>
        <w:left w:val="none" w:sz="0" w:space="0" w:color="auto"/>
        <w:bottom w:val="none" w:sz="0" w:space="0" w:color="auto"/>
        <w:right w:val="none" w:sz="0" w:space="0" w:color="auto"/>
      </w:divBdr>
    </w:div>
    <w:div w:id="1005940523">
      <w:bodyDiv w:val="1"/>
      <w:marLeft w:val="0"/>
      <w:marRight w:val="0"/>
      <w:marTop w:val="0"/>
      <w:marBottom w:val="0"/>
      <w:divBdr>
        <w:top w:val="none" w:sz="0" w:space="0" w:color="auto"/>
        <w:left w:val="none" w:sz="0" w:space="0" w:color="auto"/>
        <w:bottom w:val="none" w:sz="0" w:space="0" w:color="auto"/>
        <w:right w:val="none" w:sz="0" w:space="0" w:color="auto"/>
      </w:divBdr>
    </w:div>
    <w:div w:id="1056122480">
      <w:bodyDiv w:val="1"/>
      <w:marLeft w:val="0"/>
      <w:marRight w:val="0"/>
      <w:marTop w:val="0"/>
      <w:marBottom w:val="0"/>
      <w:divBdr>
        <w:top w:val="none" w:sz="0" w:space="0" w:color="auto"/>
        <w:left w:val="none" w:sz="0" w:space="0" w:color="auto"/>
        <w:bottom w:val="none" w:sz="0" w:space="0" w:color="auto"/>
        <w:right w:val="none" w:sz="0" w:space="0" w:color="auto"/>
      </w:divBdr>
    </w:div>
    <w:div w:id="1063407148">
      <w:bodyDiv w:val="1"/>
      <w:marLeft w:val="0"/>
      <w:marRight w:val="0"/>
      <w:marTop w:val="0"/>
      <w:marBottom w:val="0"/>
      <w:divBdr>
        <w:top w:val="none" w:sz="0" w:space="0" w:color="auto"/>
        <w:left w:val="none" w:sz="0" w:space="0" w:color="auto"/>
        <w:bottom w:val="none" w:sz="0" w:space="0" w:color="auto"/>
        <w:right w:val="none" w:sz="0" w:space="0" w:color="auto"/>
      </w:divBdr>
    </w:div>
    <w:div w:id="1120756735">
      <w:bodyDiv w:val="1"/>
      <w:marLeft w:val="0"/>
      <w:marRight w:val="0"/>
      <w:marTop w:val="0"/>
      <w:marBottom w:val="0"/>
      <w:divBdr>
        <w:top w:val="none" w:sz="0" w:space="0" w:color="auto"/>
        <w:left w:val="none" w:sz="0" w:space="0" w:color="auto"/>
        <w:bottom w:val="none" w:sz="0" w:space="0" w:color="auto"/>
        <w:right w:val="none" w:sz="0" w:space="0" w:color="auto"/>
      </w:divBdr>
    </w:div>
    <w:div w:id="1164707774">
      <w:bodyDiv w:val="1"/>
      <w:marLeft w:val="0"/>
      <w:marRight w:val="0"/>
      <w:marTop w:val="0"/>
      <w:marBottom w:val="0"/>
      <w:divBdr>
        <w:top w:val="none" w:sz="0" w:space="0" w:color="auto"/>
        <w:left w:val="none" w:sz="0" w:space="0" w:color="auto"/>
        <w:bottom w:val="none" w:sz="0" w:space="0" w:color="auto"/>
        <w:right w:val="none" w:sz="0" w:space="0" w:color="auto"/>
      </w:divBdr>
    </w:div>
    <w:div w:id="1178233943">
      <w:bodyDiv w:val="1"/>
      <w:marLeft w:val="0"/>
      <w:marRight w:val="0"/>
      <w:marTop w:val="0"/>
      <w:marBottom w:val="0"/>
      <w:divBdr>
        <w:top w:val="none" w:sz="0" w:space="0" w:color="auto"/>
        <w:left w:val="none" w:sz="0" w:space="0" w:color="auto"/>
        <w:bottom w:val="none" w:sz="0" w:space="0" w:color="auto"/>
        <w:right w:val="none" w:sz="0" w:space="0" w:color="auto"/>
      </w:divBdr>
      <w:divsChild>
        <w:div w:id="2078940177">
          <w:marLeft w:val="0"/>
          <w:marRight w:val="0"/>
          <w:marTop w:val="0"/>
          <w:marBottom w:val="0"/>
          <w:divBdr>
            <w:top w:val="none" w:sz="0" w:space="0" w:color="auto"/>
            <w:left w:val="none" w:sz="0" w:space="0" w:color="auto"/>
            <w:bottom w:val="none" w:sz="0" w:space="0" w:color="auto"/>
            <w:right w:val="none" w:sz="0" w:space="0" w:color="auto"/>
          </w:divBdr>
        </w:div>
      </w:divsChild>
    </w:div>
    <w:div w:id="1191458734">
      <w:bodyDiv w:val="1"/>
      <w:marLeft w:val="0"/>
      <w:marRight w:val="0"/>
      <w:marTop w:val="0"/>
      <w:marBottom w:val="0"/>
      <w:divBdr>
        <w:top w:val="none" w:sz="0" w:space="0" w:color="auto"/>
        <w:left w:val="none" w:sz="0" w:space="0" w:color="auto"/>
        <w:bottom w:val="none" w:sz="0" w:space="0" w:color="auto"/>
        <w:right w:val="none" w:sz="0" w:space="0" w:color="auto"/>
      </w:divBdr>
    </w:div>
    <w:div w:id="1274484301">
      <w:bodyDiv w:val="1"/>
      <w:marLeft w:val="0"/>
      <w:marRight w:val="0"/>
      <w:marTop w:val="0"/>
      <w:marBottom w:val="0"/>
      <w:divBdr>
        <w:top w:val="none" w:sz="0" w:space="0" w:color="auto"/>
        <w:left w:val="none" w:sz="0" w:space="0" w:color="auto"/>
        <w:bottom w:val="none" w:sz="0" w:space="0" w:color="auto"/>
        <w:right w:val="none" w:sz="0" w:space="0" w:color="auto"/>
      </w:divBdr>
    </w:div>
    <w:div w:id="1293514745">
      <w:bodyDiv w:val="1"/>
      <w:marLeft w:val="0"/>
      <w:marRight w:val="0"/>
      <w:marTop w:val="0"/>
      <w:marBottom w:val="0"/>
      <w:divBdr>
        <w:top w:val="none" w:sz="0" w:space="0" w:color="auto"/>
        <w:left w:val="none" w:sz="0" w:space="0" w:color="auto"/>
        <w:bottom w:val="none" w:sz="0" w:space="0" w:color="auto"/>
        <w:right w:val="none" w:sz="0" w:space="0" w:color="auto"/>
      </w:divBdr>
    </w:div>
    <w:div w:id="1313171927">
      <w:bodyDiv w:val="1"/>
      <w:marLeft w:val="0"/>
      <w:marRight w:val="0"/>
      <w:marTop w:val="0"/>
      <w:marBottom w:val="0"/>
      <w:divBdr>
        <w:top w:val="none" w:sz="0" w:space="0" w:color="auto"/>
        <w:left w:val="none" w:sz="0" w:space="0" w:color="auto"/>
        <w:bottom w:val="none" w:sz="0" w:space="0" w:color="auto"/>
        <w:right w:val="none" w:sz="0" w:space="0" w:color="auto"/>
      </w:divBdr>
    </w:div>
    <w:div w:id="1326473916">
      <w:bodyDiv w:val="1"/>
      <w:marLeft w:val="0"/>
      <w:marRight w:val="0"/>
      <w:marTop w:val="0"/>
      <w:marBottom w:val="0"/>
      <w:divBdr>
        <w:top w:val="none" w:sz="0" w:space="0" w:color="auto"/>
        <w:left w:val="none" w:sz="0" w:space="0" w:color="auto"/>
        <w:bottom w:val="none" w:sz="0" w:space="0" w:color="auto"/>
        <w:right w:val="none" w:sz="0" w:space="0" w:color="auto"/>
      </w:divBdr>
    </w:div>
    <w:div w:id="1466578737">
      <w:bodyDiv w:val="1"/>
      <w:marLeft w:val="0"/>
      <w:marRight w:val="0"/>
      <w:marTop w:val="0"/>
      <w:marBottom w:val="0"/>
      <w:divBdr>
        <w:top w:val="none" w:sz="0" w:space="0" w:color="auto"/>
        <w:left w:val="none" w:sz="0" w:space="0" w:color="auto"/>
        <w:bottom w:val="none" w:sz="0" w:space="0" w:color="auto"/>
        <w:right w:val="none" w:sz="0" w:space="0" w:color="auto"/>
      </w:divBdr>
    </w:div>
    <w:div w:id="1480540523">
      <w:bodyDiv w:val="1"/>
      <w:marLeft w:val="0"/>
      <w:marRight w:val="0"/>
      <w:marTop w:val="0"/>
      <w:marBottom w:val="0"/>
      <w:divBdr>
        <w:top w:val="none" w:sz="0" w:space="0" w:color="auto"/>
        <w:left w:val="none" w:sz="0" w:space="0" w:color="auto"/>
        <w:bottom w:val="none" w:sz="0" w:space="0" w:color="auto"/>
        <w:right w:val="none" w:sz="0" w:space="0" w:color="auto"/>
      </w:divBdr>
    </w:div>
    <w:div w:id="1544440922">
      <w:bodyDiv w:val="1"/>
      <w:marLeft w:val="0"/>
      <w:marRight w:val="0"/>
      <w:marTop w:val="0"/>
      <w:marBottom w:val="0"/>
      <w:divBdr>
        <w:top w:val="none" w:sz="0" w:space="0" w:color="auto"/>
        <w:left w:val="none" w:sz="0" w:space="0" w:color="auto"/>
        <w:bottom w:val="none" w:sz="0" w:space="0" w:color="auto"/>
        <w:right w:val="none" w:sz="0" w:space="0" w:color="auto"/>
      </w:divBdr>
    </w:div>
    <w:div w:id="1550338777">
      <w:bodyDiv w:val="1"/>
      <w:marLeft w:val="0"/>
      <w:marRight w:val="0"/>
      <w:marTop w:val="0"/>
      <w:marBottom w:val="0"/>
      <w:divBdr>
        <w:top w:val="none" w:sz="0" w:space="0" w:color="auto"/>
        <w:left w:val="none" w:sz="0" w:space="0" w:color="auto"/>
        <w:bottom w:val="none" w:sz="0" w:space="0" w:color="auto"/>
        <w:right w:val="none" w:sz="0" w:space="0" w:color="auto"/>
      </w:divBdr>
    </w:div>
    <w:div w:id="1569723962">
      <w:bodyDiv w:val="1"/>
      <w:marLeft w:val="0"/>
      <w:marRight w:val="0"/>
      <w:marTop w:val="0"/>
      <w:marBottom w:val="0"/>
      <w:divBdr>
        <w:top w:val="none" w:sz="0" w:space="0" w:color="auto"/>
        <w:left w:val="none" w:sz="0" w:space="0" w:color="auto"/>
        <w:bottom w:val="none" w:sz="0" w:space="0" w:color="auto"/>
        <w:right w:val="none" w:sz="0" w:space="0" w:color="auto"/>
      </w:divBdr>
    </w:div>
    <w:div w:id="1586500498">
      <w:bodyDiv w:val="1"/>
      <w:marLeft w:val="0"/>
      <w:marRight w:val="0"/>
      <w:marTop w:val="0"/>
      <w:marBottom w:val="0"/>
      <w:divBdr>
        <w:top w:val="none" w:sz="0" w:space="0" w:color="auto"/>
        <w:left w:val="none" w:sz="0" w:space="0" w:color="auto"/>
        <w:bottom w:val="none" w:sz="0" w:space="0" w:color="auto"/>
        <w:right w:val="none" w:sz="0" w:space="0" w:color="auto"/>
      </w:divBdr>
    </w:div>
    <w:div w:id="1631785412">
      <w:bodyDiv w:val="1"/>
      <w:marLeft w:val="0"/>
      <w:marRight w:val="0"/>
      <w:marTop w:val="0"/>
      <w:marBottom w:val="0"/>
      <w:divBdr>
        <w:top w:val="none" w:sz="0" w:space="0" w:color="auto"/>
        <w:left w:val="none" w:sz="0" w:space="0" w:color="auto"/>
        <w:bottom w:val="none" w:sz="0" w:space="0" w:color="auto"/>
        <w:right w:val="none" w:sz="0" w:space="0" w:color="auto"/>
      </w:divBdr>
    </w:div>
    <w:div w:id="1727026712">
      <w:bodyDiv w:val="1"/>
      <w:marLeft w:val="0"/>
      <w:marRight w:val="0"/>
      <w:marTop w:val="0"/>
      <w:marBottom w:val="0"/>
      <w:divBdr>
        <w:top w:val="none" w:sz="0" w:space="0" w:color="auto"/>
        <w:left w:val="none" w:sz="0" w:space="0" w:color="auto"/>
        <w:bottom w:val="none" w:sz="0" w:space="0" w:color="auto"/>
        <w:right w:val="none" w:sz="0" w:space="0" w:color="auto"/>
      </w:divBdr>
    </w:div>
    <w:div w:id="1771778155">
      <w:bodyDiv w:val="1"/>
      <w:marLeft w:val="0"/>
      <w:marRight w:val="0"/>
      <w:marTop w:val="0"/>
      <w:marBottom w:val="0"/>
      <w:divBdr>
        <w:top w:val="none" w:sz="0" w:space="0" w:color="auto"/>
        <w:left w:val="none" w:sz="0" w:space="0" w:color="auto"/>
        <w:bottom w:val="none" w:sz="0" w:space="0" w:color="auto"/>
        <w:right w:val="none" w:sz="0" w:space="0" w:color="auto"/>
      </w:divBdr>
    </w:div>
    <w:div w:id="1816068637">
      <w:bodyDiv w:val="1"/>
      <w:marLeft w:val="0"/>
      <w:marRight w:val="0"/>
      <w:marTop w:val="0"/>
      <w:marBottom w:val="0"/>
      <w:divBdr>
        <w:top w:val="none" w:sz="0" w:space="0" w:color="auto"/>
        <w:left w:val="none" w:sz="0" w:space="0" w:color="auto"/>
        <w:bottom w:val="none" w:sz="0" w:space="0" w:color="auto"/>
        <w:right w:val="none" w:sz="0" w:space="0" w:color="auto"/>
      </w:divBdr>
    </w:div>
    <w:div w:id="1832286709">
      <w:bodyDiv w:val="1"/>
      <w:marLeft w:val="0"/>
      <w:marRight w:val="0"/>
      <w:marTop w:val="0"/>
      <w:marBottom w:val="0"/>
      <w:divBdr>
        <w:top w:val="none" w:sz="0" w:space="0" w:color="auto"/>
        <w:left w:val="none" w:sz="0" w:space="0" w:color="auto"/>
        <w:bottom w:val="none" w:sz="0" w:space="0" w:color="auto"/>
        <w:right w:val="none" w:sz="0" w:space="0" w:color="auto"/>
      </w:divBdr>
    </w:div>
    <w:div w:id="1840583608">
      <w:bodyDiv w:val="1"/>
      <w:marLeft w:val="0"/>
      <w:marRight w:val="0"/>
      <w:marTop w:val="0"/>
      <w:marBottom w:val="0"/>
      <w:divBdr>
        <w:top w:val="none" w:sz="0" w:space="0" w:color="auto"/>
        <w:left w:val="none" w:sz="0" w:space="0" w:color="auto"/>
        <w:bottom w:val="none" w:sz="0" w:space="0" w:color="auto"/>
        <w:right w:val="none" w:sz="0" w:space="0" w:color="auto"/>
      </w:divBdr>
    </w:div>
    <w:div w:id="2020353983">
      <w:bodyDiv w:val="1"/>
      <w:marLeft w:val="0"/>
      <w:marRight w:val="0"/>
      <w:marTop w:val="0"/>
      <w:marBottom w:val="0"/>
      <w:divBdr>
        <w:top w:val="none" w:sz="0" w:space="0" w:color="auto"/>
        <w:left w:val="none" w:sz="0" w:space="0" w:color="auto"/>
        <w:bottom w:val="none" w:sz="0" w:space="0" w:color="auto"/>
        <w:right w:val="none" w:sz="0" w:space="0" w:color="auto"/>
      </w:divBdr>
    </w:div>
    <w:div w:id="2034570842">
      <w:bodyDiv w:val="1"/>
      <w:marLeft w:val="0"/>
      <w:marRight w:val="0"/>
      <w:marTop w:val="0"/>
      <w:marBottom w:val="0"/>
      <w:divBdr>
        <w:top w:val="none" w:sz="0" w:space="0" w:color="auto"/>
        <w:left w:val="none" w:sz="0" w:space="0" w:color="auto"/>
        <w:bottom w:val="none" w:sz="0" w:space="0" w:color="auto"/>
        <w:right w:val="none" w:sz="0" w:space="0" w:color="auto"/>
      </w:divBdr>
    </w:div>
    <w:div w:id="2110419895">
      <w:bodyDiv w:val="1"/>
      <w:marLeft w:val="0"/>
      <w:marRight w:val="0"/>
      <w:marTop w:val="0"/>
      <w:marBottom w:val="0"/>
      <w:divBdr>
        <w:top w:val="none" w:sz="0" w:space="0" w:color="auto"/>
        <w:left w:val="none" w:sz="0" w:space="0" w:color="auto"/>
        <w:bottom w:val="none" w:sz="0" w:space="0" w:color="auto"/>
        <w:right w:val="none" w:sz="0" w:space="0" w:color="auto"/>
      </w:divBdr>
    </w:div>
    <w:div w:id="2114284385">
      <w:bodyDiv w:val="1"/>
      <w:marLeft w:val="0"/>
      <w:marRight w:val="0"/>
      <w:marTop w:val="0"/>
      <w:marBottom w:val="0"/>
      <w:divBdr>
        <w:top w:val="none" w:sz="0" w:space="0" w:color="auto"/>
        <w:left w:val="none" w:sz="0" w:space="0" w:color="auto"/>
        <w:bottom w:val="none" w:sz="0" w:space="0" w:color="auto"/>
        <w:right w:val="none" w:sz="0" w:space="0" w:color="auto"/>
      </w:divBdr>
    </w:div>
    <w:div w:id="2117017634">
      <w:bodyDiv w:val="1"/>
      <w:marLeft w:val="0"/>
      <w:marRight w:val="0"/>
      <w:marTop w:val="0"/>
      <w:marBottom w:val="0"/>
      <w:divBdr>
        <w:top w:val="none" w:sz="0" w:space="0" w:color="auto"/>
        <w:left w:val="none" w:sz="0" w:space="0" w:color="auto"/>
        <w:bottom w:val="none" w:sz="0" w:space="0" w:color="auto"/>
        <w:right w:val="none" w:sz="0" w:space="0" w:color="auto"/>
      </w:divBdr>
    </w:div>
    <w:div w:id="2124182903">
      <w:bodyDiv w:val="1"/>
      <w:marLeft w:val="0"/>
      <w:marRight w:val="0"/>
      <w:marTop w:val="0"/>
      <w:marBottom w:val="0"/>
      <w:divBdr>
        <w:top w:val="none" w:sz="0" w:space="0" w:color="auto"/>
        <w:left w:val="none" w:sz="0" w:space="0" w:color="auto"/>
        <w:bottom w:val="none" w:sz="0" w:space="0" w:color="auto"/>
        <w:right w:val="none" w:sz="0" w:space="0" w:color="auto"/>
      </w:divBdr>
    </w:div>
    <w:div w:id="2137093897">
      <w:bodyDiv w:val="1"/>
      <w:marLeft w:val="0"/>
      <w:marRight w:val="0"/>
      <w:marTop w:val="0"/>
      <w:marBottom w:val="0"/>
      <w:divBdr>
        <w:top w:val="none" w:sz="0" w:space="0" w:color="auto"/>
        <w:left w:val="none" w:sz="0" w:space="0" w:color="auto"/>
        <w:bottom w:val="none" w:sz="0" w:space="0" w:color="auto"/>
        <w:right w:val="none" w:sz="0" w:space="0" w:color="auto"/>
      </w:divBdr>
      <w:divsChild>
        <w:div w:id="1871800244">
          <w:marLeft w:val="0"/>
          <w:marRight w:val="0"/>
          <w:marTop w:val="0"/>
          <w:marBottom w:val="0"/>
          <w:divBdr>
            <w:top w:val="none" w:sz="0" w:space="0" w:color="auto"/>
            <w:left w:val="none" w:sz="0" w:space="0" w:color="auto"/>
            <w:bottom w:val="none" w:sz="0" w:space="0" w:color="auto"/>
            <w:right w:val="none" w:sz="0" w:space="0" w:color="auto"/>
          </w:divBdr>
        </w:div>
      </w:divsChild>
    </w:div>
    <w:div w:id="2140104219">
      <w:bodyDiv w:val="1"/>
      <w:marLeft w:val="0"/>
      <w:marRight w:val="0"/>
      <w:marTop w:val="0"/>
      <w:marBottom w:val="0"/>
      <w:divBdr>
        <w:top w:val="none" w:sz="0" w:space="0" w:color="auto"/>
        <w:left w:val="none" w:sz="0" w:space="0" w:color="auto"/>
        <w:bottom w:val="none" w:sz="0" w:space="0" w:color="auto"/>
        <w:right w:val="none" w:sz="0" w:space="0" w:color="auto"/>
      </w:divBdr>
      <w:divsChild>
        <w:div w:id="1001011394">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oleObject" Target="embeddings/oleObject3.bin"/><Relationship Id="rId18" Type="http://schemas.openxmlformats.org/officeDocument/2006/relationships/chart" Target="charts/chart1.xml"/><Relationship Id="rId3" Type="http://schemas.openxmlformats.org/officeDocument/2006/relationships/styles" Target="styles.xml"/><Relationship Id="rId21" Type="http://schemas.openxmlformats.org/officeDocument/2006/relationships/image" Target="media/image7.png"/><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oleObject" Target="embeddings/oleObject5.bin"/><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oleObject" Target="embeddings/oleObject6.bin"/><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2.bin"/><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oleObject" Target="embeddings/oleObject4.bin"/><Relationship Id="rId23" Type="http://schemas.openxmlformats.org/officeDocument/2006/relationships/fontTable" Target="fontTable.xml"/><Relationship Id="rId10" Type="http://schemas.openxmlformats.org/officeDocument/2006/relationships/image" Target="media/image2.emf"/><Relationship Id="rId19" Type="http://schemas.openxmlformats.org/officeDocument/2006/relationships/image" Target="media/image6.emf"/><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image" Target="media/image4.emf"/><Relationship Id="rId22" Type="http://schemas.openxmlformats.org/officeDocument/2006/relationships/image" Target="media/image8.png"/></Relationships>
</file>

<file path=word/charts/_rels/chart1.xml.rels><?xml version="1.0" encoding="UTF-8" standalone="yes"?>
<Relationships xmlns="http://schemas.openxmlformats.org/package/2006/relationships"><Relationship Id="rId3" Type="http://schemas.openxmlformats.org/officeDocument/2006/relationships/oleObject" Target="file:///C:\Users\Beatriz%20Ch&#237;charo\Downloads\poly%20ideas(1).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1" i="0" u="none" strike="noStrike" kern="1200" baseline="0">
                <a:solidFill>
                  <a:schemeClr val="tx1">
                    <a:lumMod val="65000"/>
                    <a:lumOff val="35000"/>
                  </a:schemeClr>
                </a:solidFill>
                <a:latin typeface="Calibri" panose="020F0502020204030204" pitchFamily="34" charset="0"/>
                <a:ea typeface="Calibri" panose="020F0502020204030204" pitchFamily="34" charset="0"/>
                <a:cs typeface="Calibri" panose="020F0502020204030204" pitchFamily="34" charset="0"/>
              </a:defRPr>
            </a:pPr>
            <a:r>
              <a:rPr lang="en-US" sz="1100">
                <a:solidFill>
                  <a:sysClr val="windowText" lastClr="000000"/>
                </a:solidFill>
                <a:latin typeface="Calibri" panose="020F0502020204030204" pitchFamily="34" charset="0"/>
                <a:ea typeface="Calibri" panose="020F0502020204030204" pitchFamily="34" charset="0"/>
                <a:cs typeface="Calibri" panose="020F0502020204030204" pitchFamily="34" charset="0"/>
              </a:rPr>
              <a:t>Solvent testing</a:t>
            </a:r>
          </a:p>
        </c:rich>
      </c:tx>
      <c:overlay val="0"/>
      <c:spPr>
        <a:noFill/>
        <a:ln>
          <a:noFill/>
        </a:ln>
        <a:effectLst/>
      </c:spPr>
      <c:txPr>
        <a:bodyPr rot="0" spcFirstLastPara="1" vertOverflow="ellipsis" vert="horz" wrap="square" anchor="ctr" anchorCtr="1"/>
        <a:lstStyle/>
        <a:p>
          <a:pPr>
            <a:defRPr sz="1100" b="1" i="0" u="none" strike="noStrike" kern="1200" baseline="0">
              <a:solidFill>
                <a:schemeClr val="tx1">
                  <a:lumMod val="65000"/>
                  <a:lumOff val="35000"/>
                </a:schemeClr>
              </a:solidFill>
              <a:latin typeface="Calibri" panose="020F0502020204030204" pitchFamily="34" charset="0"/>
              <a:ea typeface="Calibri" panose="020F0502020204030204" pitchFamily="34" charset="0"/>
              <a:cs typeface="Calibri" panose="020F0502020204030204" pitchFamily="34" charset="0"/>
            </a:defRPr>
          </a:pPr>
          <a:endParaRPr lang="fr-FR"/>
        </a:p>
      </c:txPr>
    </c:title>
    <c:autoTitleDeleted val="0"/>
    <c:plotArea>
      <c:layout/>
      <c:barChart>
        <c:barDir val="col"/>
        <c:grouping val="clustered"/>
        <c:varyColors val="0"/>
        <c:ser>
          <c:idx val="0"/>
          <c:order val="0"/>
          <c:tx>
            <c:strRef>
              <c:f>Sheet1!$D$3</c:f>
              <c:strCache>
                <c:ptCount val="1"/>
                <c:pt idx="0">
                  <c:v>Conversion (%)</c:v>
                </c:pt>
              </c:strCache>
            </c:strRef>
          </c:tx>
          <c:spPr>
            <a:solidFill>
              <a:schemeClr val="accent6">
                <a:lumMod val="60000"/>
                <a:lumOff val="40000"/>
              </a:schemeClr>
            </a:solidFill>
            <a:ln>
              <a:solidFill>
                <a:schemeClr val="tx1"/>
              </a:solidFill>
            </a:ln>
            <a:effectLst>
              <a:outerShdw blurRad="57150" dist="19050" dir="5400000" algn="ctr" rotWithShape="0">
                <a:srgbClr val="000000">
                  <a:alpha val="63000"/>
                </a:srgbClr>
              </a:outerShdw>
            </a:effectLst>
          </c:spPr>
          <c:invertIfNegative val="0"/>
          <c:cat>
            <c:strRef>
              <c:f>Sheet1!$C$5:$C$7</c:f>
              <c:strCache>
                <c:ptCount val="3"/>
                <c:pt idx="0">
                  <c:v>Me-THF</c:v>
                </c:pt>
                <c:pt idx="1">
                  <c:v>Acetonitrile</c:v>
                </c:pt>
                <c:pt idx="2">
                  <c:v>CPME</c:v>
                </c:pt>
              </c:strCache>
            </c:strRef>
          </c:cat>
          <c:val>
            <c:numRef>
              <c:f>Sheet1!$D$5:$D$7</c:f>
              <c:numCache>
                <c:formatCode>General</c:formatCode>
                <c:ptCount val="3"/>
                <c:pt idx="0">
                  <c:v>100</c:v>
                </c:pt>
                <c:pt idx="1">
                  <c:v>83</c:v>
                </c:pt>
                <c:pt idx="2">
                  <c:v>86</c:v>
                </c:pt>
              </c:numCache>
            </c:numRef>
          </c:val>
          <c:extLst>
            <c:ext xmlns:c16="http://schemas.microsoft.com/office/drawing/2014/chart" uri="{C3380CC4-5D6E-409C-BE32-E72D297353CC}">
              <c16:uniqueId val="{00000000-D22D-4CA8-B8CD-DF71BB9CAB5D}"/>
            </c:ext>
          </c:extLst>
        </c:ser>
        <c:ser>
          <c:idx val="1"/>
          <c:order val="1"/>
          <c:tx>
            <c:strRef>
              <c:f>Sheet1!$E$3</c:f>
              <c:strCache>
                <c:ptCount val="1"/>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Sheet1!$C$5:$C$7</c:f>
              <c:strCache>
                <c:ptCount val="3"/>
                <c:pt idx="0">
                  <c:v>Me-THF</c:v>
                </c:pt>
                <c:pt idx="1">
                  <c:v>Acetonitrile</c:v>
                </c:pt>
                <c:pt idx="2">
                  <c:v>CPME</c:v>
                </c:pt>
              </c:strCache>
            </c:strRef>
          </c:cat>
          <c:val>
            <c:numRef>
              <c:f>Sheet1!$E$5:$E$7</c:f>
              <c:numCache>
                <c:formatCode>General</c:formatCode>
                <c:ptCount val="3"/>
              </c:numCache>
            </c:numRef>
          </c:val>
          <c:extLst>
            <c:ext xmlns:c16="http://schemas.microsoft.com/office/drawing/2014/chart" uri="{C3380CC4-5D6E-409C-BE32-E72D297353CC}">
              <c16:uniqueId val="{00000001-D22D-4CA8-B8CD-DF71BB9CAB5D}"/>
            </c:ext>
          </c:extLst>
        </c:ser>
        <c:ser>
          <c:idx val="2"/>
          <c:order val="2"/>
          <c:tx>
            <c:strRef>
              <c:f>Sheet1!$F$3</c:f>
              <c:strCache>
                <c:ptCount val="1"/>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Sheet1!$C$5:$C$7</c:f>
              <c:strCache>
                <c:ptCount val="3"/>
                <c:pt idx="0">
                  <c:v>Me-THF</c:v>
                </c:pt>
                <c:pt idx="1">
                  <c:v>Acetonitrile</c:v>
                </c:pt>
                <c:pt idx="2">
                  <c:v>CPME</c:v>
                </c:pt>
              </c:strCache>
            </c:strRef>
          </c:cat>
          <c:val>
            <c:numRef>
              <c:f>Sheet1!$F$5:$F$7</c:f>
              <c:numCache>
                <c:formatCode>General</c:formatCode>
                <c:ptCount val="3"/>
              </c:numCache>
            </c:numRef>
          </c:val>
          <c:extLst>
            <c:ext xmlns:c16="http://schemas.microsoft.com/office/drawing/2014/chart" uri="{C3380CC4-5D6E-409C-BE32-E72D297353CC}">
              <c16:uniqueId val="{00000002-D22D-4CA8-B8CD-DF71BB9CAB5D}"/>
            </c:ext>
          </c:extLst>
        </c:ser>
        <c:dLbls>
          <c:showLegendKey val="0"/>
          <c:showVal val="0"/>
          <c:showCatName val="0"/>
          <c:showSerName val="0"/>
          <c:showPercent val="0"/>
          <c:showBubbleSize val="0"/>
        </c:dLbls>
        <c:gapWidth val="219"/>
        <c:axId val="1869500415"/>
        <c:axId val="858087167"/>
      </c:barChart>
      <c:barChart>
        <c:barDir val="col"/>
        <c:grouping val="stacked"/>
        <c:varyColors val="0"/>
        <c:ser>
          <c:idx val="3"/>
          <c:order val="3"/>
          <c:tx>
            <c:v>MGF (%)</c:v>
          </c:tx>
          <c:spPr>
            <a:solidFill>
              <a:schemeClr val="accent4">
                <a:lumMod val="60000"/>
                <a:lumOff val="40000"/>
              </a:schemeClr>
            </a:solidFill>
            <a:ln>
              <a:solidFill>
                <a:schemeClr val="tx1"/>
              </a:solidFill>
            </a:ln>
            <a:effectLst>
              <a:outerShdw blurRad="57150" dist="19050" dir="5400000" algn="ctr" rotWithShape="0">
                <a:srgbClr val="000000">
                  <a:alpha val="63000"/>
                </a:srgbClr>
              </a:outerShdw>
            </a:effectLst>
          </c:spPr>
          <c:invertIfNegative val="0"/>
          <c:cat>
            <c:strRef>
              <c:f>Sheet1!$C$5:$C$7</c:f>
              <c:strCache>
                <c:ptCount val="3"/>
                <c:pt idx="0">
                  <c:v>Me-THF</c:v>
                </c:pt>
                <c:pt idx="1">
                  <c:v>Acetonitrile</c:v>
                </c:pt>
                <c:pt idx="2">
                  <c:v>CPME</c:v>
                </c:pt>
              </c:strCache>
            </c:strRef>
          </c:cat>
          <c:val>
            <c:numRef>
              <c:f>Sheet1!$G$5:$G$7</c:f>
              <c:numCache>
                <c:formatCode>General</c:formatCode>
                <c:ptCount val="3"/>
                <c:pt idx="0">
                  <c:v>0</c:v>
                </c:pt>
                <c:pt idx="1">
                  <c:v>62</c:v>
                </c:pt>
                <c:pt idx="2">
                  <c:v>55</c:v>
                </c:pt>
              </c:numCache>
            </c:numRef>
          </c:val>
          <c:extLst>
            <c:ext xmlns:c16="http://schemas.microsoft.com/office/drawing/2014/chart" uri="{C3380CC4-5D6E-409C-BE32-E72D297353CC}">
              <c16:uniqueId val="{00000003-D22D-4CA8-B8CD-DF71BB9CAB5D}"/>
            </c:ext>
          </c:extLst>
        </c:ser>
        <c:ser>
          <c:idx val="4"/>
          <c:order val="4"/>
          <c:tx>
            <c:v>DGF (%)</c:v>
          </c:tx>
          <c:spPr>
            <a:solidFill>
              <a:schemeClr val="accent2">
                <a:lumMod val="60000"/>
                <a:lumOff val="40000"/>
              </a:schemeClr>
            </a:solidFill>
            <a:ln>
              <a:solidFill>
                <a:schemeClr val="tx1"/>
              </a:solidFill>
            </a:ln>
            <a:effectLst>
              <a:outerShdw blurRad="57150" dist="19050" dir="5400000" algn="ctr" rotWithShape="0">
                <a:srgbClr val="000000">
                  <a:alpha val="63000"/>
                </a:srgbClr>
              </a:outerShdw>
            </a:effectLst>
          </c:spPr>
          <c:invertIfNegative val="0"/>
          <c:cat>
            <c:strRef>
              <c:f>Sheet1!$C$5:$C$7</c:f>
              <c:strCache>
                <c:ptCount val="3"/>
                <c:pt idx="0">
                  <c:v>Me-THF</c:v>
                </c:pt>
                <c:pt idx="1">
                  <c:v>Acetonitrile</c:v>
                </c:pt>
                <c:pt idx="2">
                  <c:v>CPME</c:v>
                </c:pt>
              </c:strCache>
            </c:strRef>
          </c:cat>
          <c:val>
            <c:numRef>
              <c:f>Sheet1!$H$5:$H$7</c:f>
              <c:numCache>
                <c:formatCode>General</c:formatCode>
                <c:ptCount val="3"/>
                <c:pt idx="0">
                  <c:v>100</c:v>
                </c:pt>
                <c:pt idx="1">
                  <c:v>38</c:v>
                </c:pt>
                <c:pt idx="2">
                  <c:v>45</c:v>
                </c:pt>
              </c:numCache>
            </c:numRef>
          </c:val>
          <c:extLst>
            <c:ext xmlns:c16="http://schemas.microsoft.com/office/drawing/2014/chart" uri="{C3380CC4-5D6E-409C-BE32-E72D297353CC}">
              <c16:uniqueId val="{00000004-D22D-4CA8-B8CD-DF71BB9CAB5D}"/>
            </c:ext>
          </c:extLst>
        </c:ser>
        <c:dLbls>
          <c:showLegendKey val="0"/>
          <c:showVal val="0"/>
          <c:showCatName val="0"/>
          <c:showSerName val="0"/>
          <c:showPercent val="0"/>
          <c:showBubbleSize val="0"/>
        </c:dLbls>
        <c:gapWidth val="500"/>
        <c:overlap val="100"/>
        <c:axId val="1881684032"/>
        <c:axId val="1882496096"/>
      </c:barChart>
      <c:catAx>
        <c:axId val="1869500415"/>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ysClr val="windowText" lastClr="000000"/>
                </a:solidFill>
                <a:latin typeface="Calibri" panose="020F0502020204030204" pitchFamily="34" charset="0"/>
                <a:ea typeface="Calibri" panose="020F0502020204030204" pitchFamily="34" charset="0"/>
                <a:cs typeface="Calibri" panose="020F0502020204030204" pitchFamily="34" charset="0"/>
              </a:defRPr>
            </a:pPr>
            <a:endParaRPr lang="fr-FR"/>
          </a:p>
        </c:txPr>
        <c:crossAx val="858087167"/>
        <c:crosses val="autoZero"/>
        <c:auto val="1"/>
        <c:lblAlgn val="ctr"/>
        <c:lblOffset val="100"/>
        <c:noMultiLvlLbl val="0"/>
      </c:catAx>
      <c:valAx>
        <c:axId val="858087167"/>
        <c:scaling>
          <c:orientation val="minMax"/>
          <c:max val="10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Calibri" panose="020F0502020204030204" pitchFamily="34" charset="0"/>
                <a:ea typeface="Calibri" panose="020F0502020204030204" pitchFamily="34" charset="0"/>
                <a:cs typeface="Calibri" panose="020F0502020204030204" pitchFamily="34" charset="0"/>
              </a:defRPr>
            </a:pPr>
            <a:endParaRPr lang="fr-FR"/>
          </a:p>
        </c:txPr>
        <c:crossAx val="1869500415"/>
        <c:crosses val="autoZero"/>
        <c:crossBetween val="between"/>
      </c:valAx>
      <c:valAx>
        <c:axId val="1882496096"/>
        <c:scaling>
          <c:orientation val="minMax"/>
        </c:scaling>
        <c:delete val="1"/>
        <c:axPos val="r"/>
        <c:numFmt formatCode="General" sourceLinked="1"/>
        <c:majorTickMark val="none"/>
        <c:minorTickMark val="none"/>
        <c:tickLblPos val="nextTo"/>
        <c:crossAx val="1881684032"/>
        <c:crosses val="max"/>
        <c:crossBetween val="between"/>
      </c:valAx>
      <c:catAx>
        <c:axId val="1881684032"/>
        <c:scaling>
          <c:orientation val="minMax"/>
        </c:scaling>
        <c:delete val="1"/>
        <c:axPos val="b"/>
        <c:numFmt formatCode="General" sourceLinked="1"/>
        <c:majorTickMark val="none"/>
        <c:minorTickMark val="none"/>
        <c:tickLblPos val="nextTo"/>
        <c:crossAx val="1882496096"/>
        <c:crosses val="autoZero"/>
        <c:auto val="1"/>
        <c:lblAlgn val="ctr"/>
        <c:lblOffset val="100"/>
        <c:noMultiLvlLbl val="0"/>
      </c:catAx>
      <c:spPr>
        <a:noFill/>
        <a:ln>
          <a:noFill/>
        </a:ln>
        <a:effectLst/>
      </c:spPr>
    </c:plotArea>
    <c:legend>
      <c:legendPos val="b"/>
      <c:legendEntry>
        <c:idx val="0"/>
        <c:txPr>
          <a:bodyPr rot="0" spcFirstLastPara="1" vertOverflow="ellipsis" vert="horz" wrap="square" anchor="ctr" anchorCtr="1"/>
          <a:lstStyle/>
          <a:p>
            <a:pPr>
              <a:defRPr sz="900" b="1" i="0" u="none" strike="noStrike" kern="1200" baseline="0">
                <a:solidFill>
                  <a:sysClr val="windowText" lastClr="000000"/>
                </a:solidFill>
                <a:latin typeface="Calibri" panose="020F0502020204030204" pitchFamily="34" charset="0"/>
                <a:ea typeface="Calibri" panose="020F0502020204030204" pitchFamily="34" charset="0"/>
                <a:cs typeface="Calibri" panose="020F0502020204030204" pitchFamily="34" charset="0"/>
              </a:defRPr>
            </a:pPr>
            <a:endParaRPr lang="fr-FR"/>
          </a:p>
        </c:txPr>
      </c:legendEntry>
      <c:legendEntry>
        <c:idx val="1"/>
        <c:delete val="1"/>
      </c:legendEntry>
      <c:legendEntry>
        <c:idx val="2"/>
        <c:delete val="1"/>
      </c:legendEntry>
      <c:legendEntry>
        <c:idx val="3"/>
        <c:txPr>
          <a:bodyPr rot="0" spcFirstLastPara="1" vertOverflow="ellipsis" vert="horz" wrap="square" anchor="ctr" anchorCtr="1"/>
          <a:lstStyle/>
          <a:p>
            <a:pPr>
              <a:defRPr sz="900" b="1" i="0" u="none" strike="noStrike" kern="1200" baseline="0">
                <a:solidFill>
                  <a:sysClr val="windowText" lastClr="000000"/>
                </a:solidFill>
                <a:latin typeface="Calibri" panose="020F0502020204030204" pitchFamily="34" charset="0"/>
                <a:ea typeface="Calibri" panose="020F0502020204030204" pitchFamily="34" charset="0"/>
                <a:cs typeface="Calibri" panose="020F0502020204030204" pitchFamily="34" charset="0"/>
              </a:defRPr>
            </a:pPr>
            <a:endParaRPr lang="fr-FR"/>
          </a:p>
        </c:txPr>
      </c:legendEntry>
      <c:legendEntry>
        <c:idx val="4"/>
        <c:txPr>
          <a:bodyPr rot="0" spcFirstLastPara="1" vertOverflow="ellipsis" vert="horz" wrap="square" anchor="ctr" anchorCtr="1"/>
          <a:lstStyle/>
          <a:p>
            <a:pPr>
              <a:defRPr sz="900" b="1" i="0" u="none" strike="noStrike" kern="1200" baseline="0">
                <a:solidFill>
                  <a:sysClr val="windowText" lastClr="000000"/>
                </a:solidFill>
                <a:latin typeface="Calibri" panose="020F0502020204030204" pitchFamily="34" charset="0"/>
                <a:ea typeface="Calibri" panose="020F0502020204030204" pitchFamily="34" charset="0"/>
                <a:cs typeface="Calibri" panose="020F0502020204030204" pitchFamily="34" charset="0"/>
              </a:defRPr>
            </a:pPr>
            <a:endParaRPr lang="fr-FR"/>
          </a:p>
        </c:txPr>
      </c:legendEntry>
      <c:overlay val="0"/>
      <c:spPr>
        <a:noFill/>
        <a:ln>
          <a:noFill/>
        </a:ln>
        <a:effectLst/>
      </c:spPr>
      <c:txPr>
        <a:bodyPr rot="0" spcFirstLastPara="1" vertOverflow="ellipsis" vert="horz" wrap="square" anchor="ctr" anchorCtr="1"/>
        <a:lstStyle/>
        <a:p>
          <a:pPr>
            <a:defRPr sz="900" b="1" i="0" u="none" strike="noStrike" kern="1200" baseline="0">
              <a:solidFill>
                <a:schemeClr val="tx1">
                  <a:lumMod val="65000"/>
                  <a:lumOff val="35000"/>
                </a:schemeClr>
              </a:solidFill>
              <a:latin typeface="Calibri" panose="020F0502020204030204" pitchFamily="34" charset="0"/>
              <a:ea typeface="Calibri" panose="020F0502020204030204" pitchFamily="34" charset="0"/>
              <a:cs typeface="Calibri" panose="020F0502020204030204" pitchFamily="34" charset="0"/>
            </a:defRPr>
          </a:pPr>
          <a:endParaRPr lang="fr-F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fr-FR"/>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52">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ADC3779-D2DC-4CC5-813A-4D46058EFC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204</TotalTime>
  <Pages>33</Pages>
  <Words>26913</Words>
  <Characters>153405</Characters>
  <Application>Microsoft Office Word</Application>
  <DocSecurity>0</DocSecurity>
  <Lines>1278</Lines>
  <Paragraphs>359</Paragraphs>
  <ScaleCrop>false</ScaleCrop>
  <HeadingPairs>
    <vt:vector size="8" baseType="variant">
      <vt:variant>
        <vt:lpstr>Titolo</vt:lpstr>
      </vt:variant>
      <vt:variant>
        <vt:i4>1</vt:i4>
      </vt:variant>
      <vt:variant>
        <vt:lpstr>Titre</vt:lpstr>
      </vt:variant>
      <vt:variant>
        <vt:i4>1</vt:i4>
      </vt:variant>
      <vt:variant>
        <vt:lpstr>Título</vt:lpstr>
      </vt:variant>
      <vt:variant>
        <vt:i4>1</vt:i4>
      </vt:variant>
      <vt:variant>
        <vt:lpstr>Title</vt:lpstr>
      </vt:variant>
      <vt:variant>
        <vt:i4>1</vt:i4>
      </vt:variant>
    </vt:vector>
  </HeadingPairs>
  <TitlesOfParts>
    <vt:vector size="4" baseType="lpstr">
      <vt:lpstr/>
      <vt:lpstr/>
      <vt:lpstr/>
      <vt:lpstr/>
    </vt:vector>
  </TitlesOfParts>
  <Company/>
  <LinksUpToDate>false</LinksUpToDate>
  <CharactersWithSpaces>179959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NUNES ZAMBUJAL CHICHARO BEATRIZ</dc:creator>
  <cp:keywords/>
  <dc:description/>
  <cp:lastModifiedBy>ARICO' Fabio</cp:lastModifiedBy>
  <cp:revision>18</cp:revision>
  <cp:lastPrinted>2025-02-20T10:35:00Z</cp:lastPrinted>
  <dcterms:created xsi:type="dcterms:W3CDTF">2025-02-24T12:15:00Z</dcterms:created>
  <dcterms:modified xsi:type="dcterms:W3CDTF">2025-02-25T08:31:00Z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zotero-version="6.0.36"&gt;&lt;session id="0bVfKccE"/&gt;&lt;style id="http://www.zotero.org/styles/sustainable-chemistry-and-pharmacy" hasBibliography="1" bibliographyStyleHasBeenSet="1"/&gt;&lt;prefs&gt;&lt;pref name="fieldType" value="Field"/&gt;&lt;pref name</vt:lpwstr>
  </property>
  <property fmtid="{D5CDD505-2E9C-101B-9397-08002B2CF9AE}" pid="3" name="ZOTERO_PREF_2">
    <vt:lpwstr>="automaticJournalAbbreviations" value="true"/&gt;&lt;/prefs&gt;&lt;/data&gt;</vt:lpwstr>
  </property>
  <property fmtid="{D5CDD505-2E9C-101B-9397-08002B2CF9AE}" pid="4" name="GrammarlyDocumentId">
    <vt:lpwstr>07ed7b708c30aac63be08f29ec875a0b253de7f35035dae0508cd0d5d5480075</vt:lpwstr>
  </property>
</Properties>
</file>