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DABCF4" w14:textId="1EEB3739" w:rsidR="00C2167E" w:rsidRPr="00C2167E" w:rsidRDefault="00C2167E" w:rsidP="00F2675F">
      <w:pPr>
        <w:widowControl w:val="0"/>
        <w:spacing w:after="0" w:line="360" w:lineRule="auto"/>
        <w:ind w:right="110"/>
        <w:jc w:val="both"/>
        <w:rPr>
          <w:rFonts w:ascii="Times New Roman" w:hAnsi="Times New Roman" w:cs="Times New Roman"/>
          <w:sz w:val="40"/>
          <w:szCs w:val="40"/>
          <w:lang w:val="en-US"/>
        </w:rPr>
      </w:pPr>
      <w:bookmarkStart w:id="0" w:name="_Hlk103079789"/>
      <w:r>
        <w:rPr>
          <w:rFonts w:ascii="Times New Roman" w:hAnsi="Times New Roman" w:cs="Times New Roman"/>
          <w:sz w:val="40"/>
          <w:szCs w:val="40"/>
          <w:lang w:val="en-US"/>
        </w:rPr>
        <w:t xml:space="preserve">Occurrence of the UV-filter </w:t>
      </w:r>
      <w:r w:rsidRPr="00C2167E">
        <w:rPr>
          <w:rFonts w:ascii="Times New Roman" w:hAnsi="Times New Roman" w:cs="Times New Roman"/>
          <w:sz w:val="40"/>
          <w:szCs w:val="40"/>
          <w:lang w:val="en-US"/>
        </w:rPr>
        <w:t>2-Ethylhexyl 4-methoxycinnimate (EHMC)</w:t>
      </w:r>
      <w:r>
        <w:rPr>
          <w:rFonts w:ascii="Times New Roman" w:hAnsi="Times New Roman" w:cs="Times New Roman"/>
          <w:sz w:val="40"/>
          <w:szCs w:val="40"/>
          <w:lang w:val="en-US"/>
        </w:rPr>
        <w:t xml:space="preserve"> in Antarctic snow: first results.</w:t>
      </w:r>
    </w:p>
    <w:p w14:paraId="14156FB4" w14:textId="77777777" w:rsidR="00192DA8" w:rsidRPr="00C2167E" w:rsidRDefault="00192DA8" w:rsidP="00F2675F">
      <w:pPr>
        <w:spacing w:after="0" w:line="360" w:lineRule="auto"/>
        <w:ind w:right="110"/>
        <w:jc w:val="both"/>
        <w:rPr>
          <w:rFonts w:ascii="Times New Roman" w:hAnsi="Times New Roman" w:cs="Times New Roman"/>
          <w:sz w:val="24"/>
          <w:szCs w:val="24"/>
          <w:u w:val="single" w:color="000000"/>
          <w:lang w:val="en-US"/>
        </w:rPr>
      </w:pPr>
    </w:p>
    <w:p w14:paraId="6751F707" w14:textId="18D70CF3" w:rsidR="00F2675F" w:rsidRPr="00C37E8A" w:rsidRDefault="00B51170" w:rsidP="00F2675F">
      <w:pPr>
        <w:spacing w:after="0" w:line="360" w:lineRule="auto"/>
        <w:ind w:right="110"/>
        <w:jc w:val="both"/>
        <w:rPr>
          <w:rFonts w:ascii="Times New Roman" w:hAnsi="Times New Roman" w:cs="Times New Roman"/>
          <w:sz w:val="24"/>
          <w:szCs w:val="24"/>
          <w:lang w:val="it-IT"/>
        </w:rPr>
      </w:pPr>
      <w:r w:rsidRPr="00192DA8">
        <w:rPr>
          <w:rFonts w:ascii="Times New Roman" w:hAnsi="Times New Roman" w:cs="Times New Roman"/>
          <w:sz w:val="24"/>
          <w:szCs w:val="24"/>
          <w:lang w:val="it-IT"/>
        </w:rPr>
        <w:t>Marianna D’</w:t>
      </w:r>
      <w:proofErr w:type="spellStart"/>
      <w:r w:rsidRPr="00192DA8">
        <w:rPr>
          <w:rFonts w:ascii="Times New Roman" w:hAnsi="Times New Roman" w:cs="Times New Roman"/>
          <w:sz w:val="24"/>
          <w:szCs w:val="24"/>
          <w:lang w:val="it-IT"/>
        </w:rPr>
        <w:t>Amico</w:t>
      </w:r>
      <w:r w:rsidRPr="00C2167E">
        <w:rPr>
          <w:rFonts w:ascii="Times New Roman" w:hAnsi="Times New Roman" w:cs="Times New Roman"/>
          <w:sz w:val="24"/>
          <w:szCs w:val="24"/>
          <w:vertAlign w:val="superscript"/>
          <w:lang w:val="it-IT"/>
        </w:rPr>
        <w:t>a</w:t>
      </w:r>
      <w:proofErr w:type="spellEnd"/>
      <w:r w:rsidR="00F2675F" w:rsidRPr="00192DA8">
        <w:rPr>
          <w:rFonts w:ascii="Times New Roman" w:hAnsi="Times New Roman" w:cs="Times New Roman"/>
          <w:sz w:val="24"/>
          <w:szCs w:val="24"/>
          <w:lang w:val="it-IT"/>
        </w:rPr>
        <w:t>,</w:t>
      </w:r>
      <w:r w:rsidR="00F2675F" w:rsidRPr="00C2167E">
        <w:rPr>
          <w:rFonts w:ascii="Times New Roman" w:hAnsi="Times New Roman" w:cs="Times New Roman"/>
          <w:b/>
          <w:bCs/>
          <w:sz w:val="24"/>
          <w:szCs w:val="24"/>
          <w:lang w:val="it-IT"/>
        </w:rPr>
        <w:t xml:space="preserve"> </w:t>
      </w:r>
      <w:r w:rsidR="00F2675F" w:rsidRPr="00C2167E">
        <w:rPr>
          <w:rFonts w:ascii="Times New Roman" w:hAnsi="Times New Roman" w:cs="Times New Roman"/>
          <w:sz w:val="24"/>
          <w:szCs w:val="24"/>
          <w:lang w:val="it-IT"/>
        </w:rPr>
        <w:t xml:space="preserve">Andrea </w:t>
      </w:r>
      <w:proofErr w:type="spellStart"/>
      <w:proofErr w:type="gramStart"/>
      <w:r w:rsidR="00F2675F" w:rsidRPr="00C2167E">
        <w:rPr>
          <w:rFonts w:ascii="Times New Roman" w:hAnsi="Times New Roman" w:cs="Times New Roman"/>
          <w:sz w:val="24"/>
          <w:szCs w:val="24"/>
          <w:lang w:val="it-IT"/>
        </w:rPr>
        <w:t>Gambaro</w:t>
      </w:r>
      <w:r w:rsidR="00F2675F" w:rsidRPr="00C2167E">
        <w:rPr>
          <w:rFonts w:ascii="Times New Roman" w:hAnsi="Times New Roman" w:cs="Times New Roman"/>
          <w:sz w:val="24"/>
          <w:szCs w:val="24"/>
          <w:vertAlign w:val="superscript"/>
          <w:lang w:val="it-IT"/>
        </w:rPr>
        <w:t>a,b</w:t>
      </w:r>
      <w:proofErr w:type="spellEnd"/>
      <w:proofErr w:type="gramEnd"/>
      <w:r w:rsidR="00F2675F" w:rsidRPr="00C2167E">
        <w:rPr>
          <w:rFonts w:ascii="Times New Roman" w:hAnsi="Times New Roman" w:cs="Times New Roman"/>
          <w:sz w:val="24"/>
          <w:szCs w:val="24"/>
          <w:lang w:val="it-IT"/>
        </w:rPr>
        <w:t>,</w:t>
      </w:r>
      <w:r w:rsidRPr="00B51170">
        <w:rPr>
          <w:rFonts w:ascii="Times New Roman" w:hAnsi="Times New Roman" w:cs="Times New Roman"/>
          <w:sz w:val="24"/>
          <w:szCs w:val="24"/>
          <w:u w:val="single" w:color="000000"/>
          <w:lang w:val="it-IT"/>
        </w:rPr>
        <w:t xml:space="preserve"> </w:t>
      </w:r>
      <w:r w:rsidRPr="00C2167E">
        <w:rPr>
          <w:rFonts w:ascii="Times New Roman" w:hAnsi="Times New Roman" w:cs="Times New Roman"/>
          <w:sz w:val="24"/>
          <w:szCs w:val="24"/>
          <w:lang w:val="it-IT"/>
        </w:rPr>
        <w:t xml:space="preserve">Carlo </w:t>
      </w:r>
      <w:proofErr w:type="spellStart"/>
      <w:r w:rsidRPr="00C2167E">
        <w:rPr>
          <w:rFonts w:ascii="Times New Roman" w:hAnsi="Times New Roman" w:cs="Times New Roman"/>
          <w:sz w:val="24"/>
          <w:szCs w:val="24"/>
          <w:lang w:val="it-IT"/>
        </w:rPr>
        <w:t>Barbante</w:t>
      </w:r>
      <w:r w:rsidRPr="00C2167E">
        <w:rPr>
          <w:rFonts w:ascii="Times New Roman" w:hAnsi="Times New Roman" w:cs="Times New Roman"/>
          <w:sz w:val="24"/>
          <w:szCs w:val="24"/>
          <w:vertAlign w:val="superscript"/>
          <w:lang w:val="it-IT"/>
        </w:rPr>
        <w:t>a,b</w:t>
      </w:r>
      <w:proofErr w:type="spellEnd"/>
      <w:r w:rsidRPr="00C2167E">
        <w:rPr>
          <w:rFonts w:ascii="Times New Roman" w:hAnsi="Times New Roman" w:cs="Times New Roman"/>
          <w:sz w:val="24"/>
          <w:szCs w:val="24"/>
          <w:lang w:val="it-IT"/>
        </w:rPr>
        <w:t>,</w:t>
      </w:r>
      <w:r>
        <w:rPr>
          <w:rFonts w:ascii="Times New Roman" w:hAnsi="Times New Roman" w:cs="Times New Roman"/>
          <w:sz w:val="24"/>
          <w:szCs w:val="24"/>
          <w:lang w:val="it-IT"/>
        </w:rPr>
        <w:t xml:space="preserve"> Elena </w:t>
      </w:r>
      <w:proofErr w:type="spellStart"/>
      <w:r>
        <w:rPr>
          <w:rFonts w:ascii="Times New Roman" w:hAnsi="Times New Roman" w:cs="Times New Roman"/>
          <w:sz w:val="24"/>
          <w:szCs w:val="24"/>
          <w:lang w:val="it-IT"/>
        </w:rPr>
        <w:t>Barbaro</w:t>
      </w:r>
      <w:r w:rsidRPr="00C2167E">
        <w:rPr>
          <w:rFonts w:ascii="Times New Roman" w:hAnsi="Times New Roman" w:cs="Times New Roman"/>
          <w:sz w:val="24"/>
          <w:szCs w:val="24"/>
          <w:vertAlign w:val="superscript"/>
          <w:lang w:val="it-IT"/>
        </w:rPr>
        <w:t>b</w:t>
      </w:r>
      <w:proofErr w:type="spellEnd"/>
      <w:r w:rsidRPr="00C2167E">
        <w:rPr>
          <w:rFonts w:ascii="Times New Roman" w:hAnsi="Times New Roman" w:cs="Times New Roman"/>
          <w:sz w:val="24"/>
          <w:szCs w:val="24"/>
          <w:lang w:val="it-IT"/>
        </w:rPr>
        <w:t>,</w:t>
      </w:r>
      <w:r>
        <w:rPr>
          <w:rFonts w:ascii="Times New Roman" w:hAnsi="Times New Roman" w:cs="Times New Roman"/>
          <w:sz w:val="24"/>
          <w:szCs w:val="24"/>
          <w:lang w:val="it-IT"/>
        </w:rPr>
        <w:t xml:space="preserve">  </w:t>
      </w:r>
      <w:r w:rsidR="002026BB" w:rsidRPr="00C37E8A">
        <w:rPr>
          <w:rFonts w:ascii="Times New Roman" w:hAnsi="Times New Roman" w:cs="Times New Roman"/>
          <w:sz w:val="24"/>
          <w:szCs w:val="24"/>
          <w:lang w:val="it-IT"/>
        </w:rPr>
        <w:t xml:space="preserve">Laura </w:t>
      </w:r>
      <w:proofErr w:type="spellStart"/>
      <w:r w:rsidR="002026BB" w:rsidRPr="00C37E8A">
        <w:rPr>
          <w:rFonts w:ascii="Times New Roman" w:hAnsi="Times New Roman" w:cs="Times New Roman"/>
          <w:sz w:val="24"/>
          <w:szCs w:val="24"/>
          <w:lang w:val="it-IT"/>
        </w:rPr>
        <w:t>Caiazzo</w:t>
      </w:r>
      <w:r w:rsidR="002026BB" w:rsidRPr="00C37E8A">
        <w:rPr>
          <w:rFonts w:ascii="Times New Roman" w:hAnsi="Times New Roman" w:cs="Times New Roman"/>
          <w:sz w:val="24"/>
          <w:szCs w:val="24"/>
          <w:vertAlign w:val="superscript"/>
          <w:lang w:val="it-IT"/>
        </w:rPr>
        <w:t>c</w:t>
      </w:r>
      <w:proofErr w:type="spellEnd"/>
      <w:r w:rsidR="002026BB" w:rsidRPr="00C37E8A">
        <w:rPr>
          <w:rFonts w:ascii="Times New Roman" w:hAnsi="Times New Roman" w:cs="Times New Roman"/>
          <w:sz w:val="24"/>
          <w:szCs w:val="24"/>
          <w:lang w:val="it-IT"/>
        </w:rPr>
        <w:t xml:space="preserve">, </w:t>
      </w:r>
      <w:r w:rsidRPr="00C37E8A">
        <w:rPr>
          <w:rFonts w:ascii="Times New Roman" w:hAnsi="Times New Roman" w:cs="Times New Roman"/>
          <w:sz w:val="24"/>
          <w:szCs w:val="24"/>
          <w:u w:val="single" w:color="000000"/>
          <w:lang w:val="it-IT"/>
        </w:rPr>
        <w:t>Marco</w:t>
      </w:r>
      <w:r w:rsidRPr="00C37E8A">
        <w:rPr>
          <w:rFonts w:ascii="Times New Roman" w:hAnsi="Times New Roman" w:cs="Times New Roman"/>
          <w:spacing w:val="26"/>
          <w:sz w:val="24"/>
          <w:szCs w:val="24"/>
          <w:u w:val="single" w:color="000000"/>
          <w:lang w:val="it-IT"/>
        </w:rPr>
        <w:t xml:space="preserve"> </w:t>
      </w:r>
      <w:proofErr w:type="spellStart"/>
      <w:r w:rsidRPr="00C37E8A">
        <w:rPr>
          <w:rFonts w:ascii="Times New Roman" w:hAnsi="Times New Roman" w:cs="Times New Roman"/>
          <w:sz w:val="24"/>
          <w:szCs w:val="24"/>
          <w:u w:val="single" w:color="000000"/>
          <w:lang w:val="it-IT"/>
        </w:rPr>
        <w:t>Vecchiato</w:t>
      </w:r>
      <w:r w:rsidRPr="00C37E8A">
        <w:rPr>
          <w:rFonts w:ascii="Times New Roman" w:hAnsi="Times New Roman" w:cs="Times New Roman"/>
          <w:sz w:val="24"/>
          <w:szCs w:val="24"/>
          <w:vertAlign w:val="superscript"/>
          <w:lang w:val="it-IT"/>
        </w:rPr>
        <w:t>a,b</w:t>
      </w:r>
      <w:proofErr w:type="spellEnd"/>
      <w:r w:rsidRPr="00C37E8A">
        <w:rPr>
          <w:rFonts w:ascii="Times New Roman" w:hAnsi="Times New Roman" w:cs="Times New Roman"/>
          <w:b/>
          <w:bCs/>
          <w:sz w:val="24"/>
          <w:szCs w:val="24"/>
          <w:lang w:val="it-IT"/>
        </w:rPr>
        <w:t>*</w:t>
      </w:r>
      <w:r w:rsidR="00F2675F" w:rsidRPr="00C37E8A">
        <w:rPr>
          <w:rFonts w:ascii="Times New Roman" w:hAnsi="Times New Roman" w:cs="Times New Roman"/>
          <w:sz w:val="24"/>
          <w:szCs w:val="24"/>
          <w:lang w:val="it-IT"/>
        </w:rPr>
        <w:t>.</w:t>
      </w:r>
    </w:p>
    <w:p w14:paraId="4E7EB443" w14:textId="77777777" w:rsidR="00F2675F" w:rsidRPr="00C37E8A" w:rsidRDefault="00F2675F" w:rsidP="00F2675F">
      <w:pPr>
        <w:spacing w:after="0" w:line="360" w:lineRule="auto"/>
        <w:ind w:right="110"/>
        <w:jc w:val="both"/>
        <w:rPr>
          <w:rFonts w:ascii="Times New Roman" w:hAnsi="Times New Roman" w:cs="Times New Roman"/>
          <w:sz w:val="24"/>
          <w:szCs w:val="24"/>
          <w:lang w:val="it-IT"/>
        </w:rPr>
      </w:pPr>
    </w:p>
    <w:p w14:paraId="6DD65DAE" w14:textId="298907FC" w:rsidR="00F2675F" w:rsidRPr="00C37E8A" w:rsidRDefault="00F2675F" w:rsidP="00F2675F">
      <w:pPr>
        <w:spacing w:after="0" w:line="360" w:lineRule="auto"/>
        <w:jc w:val="both"/>
        <w:rPr>
          <w:rFonts w:ascii="Times New Roman" w:hAnsi="Times New Roman" w:cs="Times New Roman"/>
          <w:sz w:val="24"/>
          <w:szCs w:val="24"/>
          <w:lang w:val="en-US"/>
        </w:rPr>
      </w:pPr>
      <w:r w:rsidRPr="00C37E8A">
        <w:rPr>
          <w:rFonts w:ascii="Times New Roman" w:hAnsi="Times New Roman" w:cs="Times New Roman"/>
          <w:sz w:val="24"/>
          <w:szCs w:val="24"/>
          <w:vertAlign w:val="superscript"/>
          <w:lang w:val="en-US"/>
        </w:rPr>
        <w:t>a</w:t>
      </w:r>
      <w:r w:rsidRPr="00C37E8A">
        <w:rPr>
          <w:rFonts w:ascii="Times New Roman" w:hAnsi="Times New Roman" w:cs="Times New Roman"/>
          <w:sz w:val="24"/>
          <w:szCs w:val="24"/>
          <w:lang w:val="en-US"/>
        </w:rPr>
        <w:t xml:space="preserve"> </w:t>
      </w:r>
      <w:r w:rsidR="00B51170" w:rsidRPr="00C37E8A">
        <w:rPr>
          <w:rFonts w:ascii="Times New Roman" w:hAnsi="Times New Roman" w:cs="Times New Roman"/>
          <w:sz w:val="24"/>
          <w:szCs w:val="24"/>
          <w:lang w:val="en-US"/>
        </w:rPr>
        <w:t>Department of Environmental Sciences, Informatics and Statistics (DAIS), Ca’ Foscari University of Venice, Via Torino 155, 30172 Venezia-Mestre, Venice, Italy</w:t>
      </w:r>
    </w:p>
    <w:p w14:paraId="53D4D944" w14:textId="1C43DAE3" w:rsidR="00F2675F" w:rsidRPr="00C37E8A" w:rsidRDefault="00F2675F" w:rsidP="00F2675F">
      <w:pPr>
        <w:spacing w:after="0" w:line="360" w:lineRule="auto"/>
        <w:jc w:val="both"/>
        <w:rPr>
          <w:rFonts w:ascii="Times New Roman" w:hAnsi="Times New Roman" w:cs="Times New Roman"/>
          <w:sz w:val="24"/>
          <w:szCs w:val="24"/>
          <w:lang w:val="en-US"/>
        </w:rPr>
      </w:pPr>
      <w:r w:rsidRPr="00C37E8A">
        <w:rPr>
          <w:rFonts w:ascii="Times New Roman" w:hAnsi="Times New Roman" w:cs="Times New Roman"/>
          <w:sz w:val="24"/>
          <w:szCs w:val="24"/>
          <w:vertAlign w:val="superscript"/>
          <w:lang w:val="en-US"/>
        </w:rPr>
        <w:t>b</w:t>
      </w:r>
      <w:r w:rsidRPr="00C37E8A">
        <w:rPr>
          <w:rFonts w:ascii="Times New Roman" w:hAnsi="Times New Roman" w:cs="Times New Roman"/>
          <w:sz w:val="24"/>
          <w:szCs w:val="24"/>
          <w:lang w:val="en-US"/>
        </w:rPr>
        <w:t xml:space="preserve"> </w:t>
      </w:r>
      <w:r w:rsidR="00B51170" w:rsidRPr="00C37E8A">
        <w:rPr>
          <w:rFonts w:ascii="Times New Roman" w:hAnsi="Times New Roman" w:cs="Times New Roman"/>
          <w:sz w:val="24"/>
          <w:szCs w:val="24"/>
          <w:lang w:val="en-US"/>
        </w:rPr>
        <w:t>Institute of Polar Sciences - National Research Council (ISP-CNR), Via Torino 155, 30172 Venezia-Mestre, Venice, Italy</w:t>
      </w:r>
    </w:p>
    <w:p w14:paraId="7230E91D" w14:textId="615A8F0D" w:rsidR="002026BB" w:rsidRPr="00C37E8A" w:rsidRDefault="002026BB" w:rsidP="00F2675F">
      <w:pPr>
        <w:spacing w:after="0" w:line="360" w:lineRule="auto"/>
        <w:jc w:val="both"/>
        <w:rPr>
          <w:rFonts w:ascii="Times New Roman" w:hAnsi="Times New Roman" w:cs="Times New Roman"/>
          <w:sz w:val="24"/>
          <w:szCs w:val="24"/>
          <w:lang w:val="en-US"/>
        </w:rPr>
      </w:pPr>
      <w:r w:rsidRPr="00C37E8A">
        <w:rPr>
          <w:rFonts w:ascii="Times New Roman" w:hAnsi="Times New Roman" w:cs="Times New Roman"/>
          <w:sz w:val="24"/>
          <w:szCs w:val="24"/>
          <w:vertAlign w:val="superscript"/>
          <w:lang w:val="en-US"/>
        </w:rPr>
        <w:t>c</w:t>
      </w:r>
      <w:r w:rsidRPr="00C37E8A">
        <w:rPr>
          <w:rFonts w:ascii="Times New Roman" w:hAnsi="Times New Roman" w:cs="Times New Roman"/>
          <w:sz w:val="24"/>
          <w:szCs w:val="24"/>
          <w:lang w:val="en-US"/>
        </w:rPr>
        <w:t xml:space="preserve"> </w:t>
      </w:r>
      <w:r w:rsidR="00C37E8A" w:rsidRPr="00C37E8A">
        <w:rPr>
          <w:rFonts w:ascii="Times New Roman" w:hAnsi="Times New Roman" w:cs="Times New Roman"/>
          <w:sz w:val="24"/>
          <w:szCs w:val="24"/>
          <w:lang w:val="en-US"/>
        </w:rPr>
        <w:t xml:space="preserve">Department of Chemistry “Ugo Schiff”, University of Florence, Via </w:t>
      </w:r>
      <w:proofErr w:type="spellStart"/>
      <w:r w:rsidR="00C37E8A" w:rsidRPr="00C37E8A">
        <w:rPr>
          <w:rFonts w:ascii="Times New Roman" w:hAnsi="Times New Roman" w:cs="Times New Roman"/>
          <w:sz w:val="24"/>
          <w:szCs w:val="24"/>
          <w:lang w:val="en-US"/>
        </w:rPr>
        <w:t>della</w:t>
      </w:r>
      <w:proofErr w:type="spellEnd"/>
      <w:r w:rsidR="00C37E8A" w:rsidRPr="00C37E8A">
        <w:rPr>
          <w:rFonts w:ascii="Times New Roman" w:hAnsi="Times New Roman" w:cs="Times New Roman"/>
          <w:sz w:val="24"/>
          <w:szCs w:val="24"/>
          <w:lang w:val="en-US"/>
        </w:rPr>
        <w:t xml:space="preserve"> </w:t>
      </w:r>
      <w:proofErr w:type="spellStart"/>
      <w:r w:rsidR="00C37E8A" w:rsidRPr="00C37E8A">
        <w:rPr>
          <w:rFonts w:ascii="Times New Roman" w:hAnsi="Times New Roman" w:cs="Times New Roman"/>
          <w:sz w:val="24"/>
          <w:szCs w:val="24"/>
          <w:lang w:val="en-US"/>
        </w:rPr>
        <w:t>Lastruccia</w:t>
      </w:r>
      <w:proofErr w:type="spellEnd"/>
      <w:r w:rsidR="00C37E8A" w:rsidRPr="00C37E8A">
        <w:rPr>
          <w:rFonts w:ascii="Times New Roman" w:hAnsi="Times New Roman" w:cs="Times New Roman"/>
          <w:sz w:val="24"/>
          <w:szCs w:val="24"/>
          <w:lang w:val="en-US"/>
        </w:rPr>
        <w:t xml:space="preserve"> 3, 50019 Sesto </w:t>
      </w:r>
      <w:proofErr w:type="spellStart"/>
      <w:r w:rsidR="00C37E8A" w:rsidRPr="00C37E8A">
        <w:rPr>
          <w:rFonts w:ascii="Times New Roman" w:hAnsi="Times New Roman" w:cs="Times New Roman"/>
          <w:sz w:val="24"/>
          <w:szCs w:val="24"/>
          <w:lang w:val="en-US"/>
        </w:rPr>
        <w:t>Fiorentino</w:t>
      </w:r>
      <w:proofErr w:type="spellEnd"/>
      <w:r w:rsidR="00C37E8A" w:rsidRPr="00C37E8A">
        <w:rPr>
          <w:rFonts w:ascii="Times New Roman" w:hAnsi="Times New Roman" w:cs="Times New Roman"/>
          <w:sz w:val="24"/>
          <w:szCs w:val="24"/>
          <w:lang w:val="en-US"/>
        </w:rPr>
        <w:t>, Italy</w:t>
      </w:r>
    </w:p>
    <w:p w14:paraId="3C3B5E90" w14:textId="77777777" w:rsidR="00F2675F" w:rsidRPr="00C37E8A" w:rsidRDefault="00F2675F" w:rsidP="00F2675F">
      <w:pPr>
        <w:spacing w:before="55" w:after="0" w:line="360" w:lineRule="auto"/>
        <w:ind w:right="47"/>
        <w:jc w:val="both"/>
        <w:rPr>
          <w:rFonts w:ascii="Times New Roman" w:hAnsi="Times New Roman" w:cs="Times New Roman"/>
          <w:sz w:val="24"/>
          <w:szCs w:val="24"/>
          <w:lang w:val="en-US"/>
        </w:rPr>
      </w:pPr>
    </w:p>
    <w:p w14:paraId="4CA79B0B" w14:textId="77777777" w:rsidR="00F2675F" w:rsidRPr="00C37E8A" w:rsidRDefault="00F2675F" w:rsidP="00192DA8">
      <w:pPr>
        <w:spacing w:after="0" w:line="360" w:lineRule="auto"/>
        <w:jc w:val="both"/>
        <w:rPr>
          <w:rFonts w:ascii="Times New Roman" w:hAnsi="Times New Roman" w:cs="Times New Roman"/>
          <w:sz w:val="24"/>
          <w:szCs w:val="24"/>
          <w:lang w:val="en-US"/>
        </w:rPr>
      </w:pPr>
      <w:r w:rsidRPr="00C37E8A">
        <w:rPr>
          <w:rFonts w:ascii="Times New Roman" w:hAnsi="Times New Roman" w:cs="Times New Roman"/>
          <w:sz w:val="24"/>
          <w:szCs w:val="24"/>
          <w:lang w:val="en-US"/>
        </w:rPr>
        <w:t>*</w:t>
      </w:r>
      <w:r w:rsidRPr="00C37E8A">
        <w:rPr>
          <w:rFonts w:ascii="Times New Roman" w:eastAsia="Times New Roman" w:hAnsi="Times New Roman" w:cs="Times New Roman"/>
          <w:sz w:val="24"/>
          <w:szCs w:val="24"/>
          <w:lang w:val="en-US"/>
        </w:rPr>
        <w:t>Corresponding</w:t>
      </w:r>
      <w:r w:rsidRPr="00C37E8A">
        <w:rPr>
          <w:rFonts w:ascii="Times New Roman" w:hAnsi="Times New Roman" w:cs="Times New Roman"/>
          <w:sz w:val="24"/>
          <w:szCs w:val="24"/>
          <w:lang w:val="en-US"/>
        </w:rPr>
        <w:t xml:space="preserve"> author: </w:t>
      </w:r>
      <w:r w:rsidRPr="00C37E8A">
        <w:rPr>
          <w:rFonts w:ascii="Times New Roman" w:hAnsi="Times New Roman" w:cs="Times New Roman"/>
          <w:sz w:val="24"/>
          <w:szCs w:val="24"/>
          <w:u w:val="single"/>
          <w:lang w:val="en-US"/>
        </w:rPr>
        <w:t>Marco Vecchiato</w:t>
      </w:r>
      <w:r w:rsidRPr="00C37E8A">
        <w:rPr>
          <w:rFonts w:ascii="Times New Roman" w:hAnsi="Times New Roman" w:cs="Times New Roman"/>
          <w:sz w:val="24"/>
          <w:szCs w:val="24"/>
          <w:lang w:val="en-US"/>
        </w:rPr>
        <w:t xml:space="preserve">, </w:t>
      </w:r>
    </w:p>
    <w:p w14:paraId="54F3E1F1" w14:textId="77777777" w:rsidR="00F2675F" w:rsidRPr="00C37E8A" w:rsidRDefault="00F2675F" w:rsidP="00F2675F">
      <w:pPr>
        <w:spacing w:before="55" w:after="0" w:line="360" w:lineRule="auto"/>
        <w:ind w:right="47"/>
        <w:jc w:val="both"/>
        <w:rPr>
          <w:rFonts w:ascii="Times New Roman" w:hAnsi="Times New Roman" w:cs="Times New Roman"/>
          <w:sz w:val="24"/>
          <w:szCs w:val="24"/>
          <w:lang w:val="en-US"/>
        </w:rPr>
      </w:pPr>
      <w:r w:rsidRPr="00C37E8A">
        <w:rPr>
          <w:rFonts w:ascii="Times New Roman" w:hAnsi="Times New Roman" w:cs="Times New Roman"/>
          <w:sz w:val="24"/>
          <w:szCs w:val="24"/>
          <w:lang w:val="en-US"/>
        </w:rPr>
        <w:t xml:space="preserve">e-mail: </w:t>
      </w:r>
      <w:hyperlink r:id="rId9" w:history="1">
        <w:r w:rsidRPr="00C37E8A">
          <w:rPr>
            <w:rStyle w:val="Collegamentoipertestuale"/>
            <w:rFonts w:ascii="Times New Roman" w:hAnsi="Times New Roman" w:cs="Times New Roman"/>
            <w:sz w:val="24"/>
            <w:szCs w:val="24"/>
            <w:lang w:val="en-US"/>
          </w:rPr>
          <w:t>vecchiato@unive.it</w:t>
        </w:r>
      </w:hyperlink>
    </w:p>
    <w:bookmarkEnd w:id="0"/>
    <w:p w14:paraId="2B2FB870" w14:textId="43388395" w:rsidR="00F2675F" w:rsidRPr="00C37E8A" w:rsidRDefault="00F2675F" w:rsidP="00F2675F">
      <w:pPr>
        <w:spacing w:before="55" w:after="0" w:line="360" w:lineRule="auto"/>
        <w:ind w:right="47"/>
        <w:jc w:val="both"/>
        <w:rPr>
          <w:rFonts w:ascii="Times New Roman" w:hAnsi="Times New Roman" w:cs="Times New Roman"/>
          <w:sz w:val="24"/>
          <w:szCs w:val="24"/>
          <w:lang w:val="en-US"/>
        </w:rPr>
      </w:pPr>
    </w:p>
    <w:p w14:paraId="43ED597C" w14:textId="2A992BBE" w:rsidR="00F2675F" w:rsidRPr="00B828DE" w:rsidRDefault="00F2675F" w:rsidP="00F2675F">
      <w:pPr>
        <w:spacing w:before="55" w:after="0" w:line="360" w:lineRule="auto"/>
        <w:ind w:right="47"/>
        <w:jc w:val="both"/>
        <w:rPr>
          <w:rFonts w:ascii="Times New Roman" w:hAnsi="Times New Roman" w:cs="Times New Roman"/>
          <w:sz w:val="24"/>
          <w:szCs w:val="24"/>
          <w:lang w:val="en-US"/>
        </w:rPr>
      </w:pPr>
      <w:r w:rsidRPr="00C725D6">
        <w:rPr>
          <w:rFonts w:ascii="Times New Roman" w:hAnsi="Times New Roman" w:cs="Times New Roman"/>
          <w:b/>
          <w:sz w:val="24"/>
          <w:szCs w:val="24"/>
          <w:lang w:val="en-US"/>
        </w:rPr>
        <w:t>Keywords:</w:t>
      </w:r>
      <w:r w:rsidRPr="00B828DE">
        <w:rPr>
          <w:rFonts w:ascii="Times New Roman" w:hAnsi="Times New Roman" w:cs="Times New Roman"/>
          <w:sz w:val="24"/>
          <w:szCs w:val="24"/>
          <w:lang w:val="en-US"/>
        </w:rPr>
        <w:t xml:space="preserve"> </w:t>
      </w:r>
      <w:r w:rsidR="00B51170" w:rsidRPr="00B828DE">
        <w:rPr>
          <w:rFonts w:ascii="Times New Roman" w:hAnsi="Times New Roman" w:cs="Times New Roman"/>
          <w:sz w:val="24"/>
          <w:szCs w:val="24"/>
          <w:lang w:val="en-US"/>
        </w:rPr>
        <w:t>Antarctica</w:t>
      </w:r>
      <w:r w:rsidRPr="00B828DE">
        <w:rPr>
          <w:rFonts w:ascii="Times New Roman" w:hAnsi="Times New Roman" w:cs="Times New Roman"/>
          <w:sz w:val="24"/>
          <w:szCs w:val="24"/>
          <w:lang w:val="en-US"/>
        </w:rPr>
        <w:t xml:space="preserve">; </w:t>
      </w:r>
      <w:r w:rsidR="00B51170" w:rsidRPr="00B828DE">
        <w:rPr>
          <w:rFonts w:ascii="Times New Roman" w:hAnsi="Times New Roman" w:cs="Times New Roman"/>
          <w:sz w:val="24"/>
          <w:szCs w:val="24"/>
          <w:lang w:val="en-US"/>
        </w:rPr>
        <w:t>Snow</w:t>
      </w:r>
      <w:r w:rsidRPr="00B828DE">
        <w:rPr>
          <w:rFonts w:ascii="Times New Roman" w:hAnsi="Times New Roman" w:cs="Times New Roman"/>
          <w:sz w:val="24"/>
          <w:szCs w:val="24"/>
          <w:lang w:val="en-US"/>
        </w:rPr>
        <w:t xml:space="preserve">; </w:t>
      </w:r>
      <w:r w:rsidR="00B51170" w:rsidRPr="00B828DE">
        <w:rPr>
          <w:rFonts w:ascii="Times New Roman" w:hAnsi="Times New Roman" w:cs="Times New Roman"/>
          <w:sz w:val="24"/>
          <w:szCs w:val="24"/>
          <w:lang w:val="en-US"/>
        </w:rPr>
        <w:t>UV-filter</w:t>
      </w:r>
      <w:r w:rsidRPr="00B828DE">
        <w:rPr>
          <w:rFonts w:ascii="Times New Roman" w:hAnsi="Times New Roman" w:cs="Times New Roman"/>
          <w:sz w:val="24"/>
          <w:szCs w:val="24"/>
          <w:lang w:val="en-US"/>
        </w:rPr>
        <w:t xml:space="preserve">; </w:t>
      </w:r>
      <w:r w:rsidR="00B51170" w:rsidRPr="00B828DE">
        <w:rPr>
          <w:rFonts w:ascii="Times New Roman" w:hAnsi="Times New Roman" w:cs="Times New Roman"/>
          <w:sz w:val="24"/>
          <w:szCs w:val="24"/>
          <w:lang w:val="en-US"/>
        </w:rPr>
        <w:t>EHMC</w:t>
      </w:r>
      <w:r w:rsidRPr="00B828DE">
        <w:rPr>
          <w:rFonts w:ascii="Times New Roman" w:hAnsi="Times New Roman" w:cs="Times New Roman"/>
          <w:sz w:val="24"/>
          <w:szCs w:val="24"/>
          <w:lang w:val="en-US"/>
        </w:rPr>
        <w:t>.</w:t>
      </w:r>
    </w:p>
    <w:p w14:paraId="038ECC82" w14:textId="089FC117" w:rsidR="00F2675F" w:rsidRDefault="00F2675F" w:rsidP="00F2675F">
      <w:pPr>
        <w:spacing w:after="0" w:line="360" w:lineRule="auto"/>
        <w:jc w:val="both"/>
        <w:rPr>
          <w:rFonts w:ascii="Times New Roman" w:hAnsi="Times New Roman" w:cs="Times New Roman"/>
          <w:b/>
          <w:sz w:val="24"/>
          <w:szCs w:val="24"/>
          <w:lang w:val="en-US"/>
        </w:rPr>
      </w:pPr>
    </w:p>
    <w:p w14:paraId="73BF3B30" w14:textId="77777777" w:rsidR="00EE4F33" w:rsidRPr="00B828DE" w:rsidRDefault="00EE4F33" w:rsidP="00F2675F">
      <w:pPr>
        <w:spacing w:after="0" w:line="360" w:lineRule="auto"/>
        <w:jc w:val="both"/>
        <w:rPr>
          <w:rFonts w:ascii="Times New Roman" w:hAnsi="Times New Roman" w:cs="Times New Roman"/>
          <w:b/>
          <w:sz w:val="24"/>
          <w:szCs w:val="24"/>
          <w:lang w:val="en-US"/>
        </w:rPr>
      </w:pPr>
    </w:p>
    <w:p w14:paraId="0539DB4D" w14:textId="77777777" w:rsidR="006962A3" w:rsidRDefault="00832152">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ABSTRACT</w:t>
      </w:r>
    </w:p>
    <w:p w14:paraId="7FA6FC5F" w14:textId="59615BCE" w:rsidR="00106966" w:rsidRPr="00AF69CC" w:rsidRDefault="00AF69CC" w:rsidP="00AF69CC">
      <w:pPr>
        <w:spacing w:before="240" w:after="0" w:line="360" w:lineRule="auto"/>
        <w:jc w:val="both"/>
        <w:rPr>
          <w:rFonts w:ascii="Times New Roman" w:eastAsia="Times New Roman" w:hAnsi="Times New Roman" w:cs="Times New Roman"/>
          <w:color w:val="000000"/>
          <w:sz w:val="24"/>
          <w:szCs w:val="24"/>
        </w:rPr>
      </w:pPr>
      <w:r w:rsidRPr="00AF69CC">
        <w:rPr>
          <w:rFonts w:ascii="Times New Roman" w:eastAsia="Times New Roman" w:hAnsi="Times New Roman" w:cs="Times New Roman"/>
          <w:color w:val="000000"/>
          <w:sz w:val="24"/>
          <w:szCs w:val="24"/>
        </w:rPr>
        <w:t>The distribution of Personal Care Products in Antarctica is still far from being well documented. A pilot study was conducted to evaluate the presence of organic UV filters in Antarctica</w:t>
      </w:r>
      <w:r w:rsidR="00EE4F33">
        <w:rPr>
          <w:rFonts w:ascii="Times New Roman" w:eastAsia="Times New Roman" w:hAnsi="Times New Roman" w:cs="Times New Roman"/>
          <w:color w:val="000000"/>
          <w:sz w:val="24"/>
          <w:szCs w:val="24"/>
        </w:rPr>
        <w:t xml:space="preserve"> using GC-MS/MS</w:t>
      </w:r>
      <w:r w:rsidRPr="00AF69CC">
        <w:rPr>
          <w:rFonts w:ascii="Times New Roman" w:eastAsia="Times New Roman" w:hAnsi="Times New Roman" w:cs="Times New Roman"/>
          <w:color w:val="000000"/>
          <w:sz w:val="24"/>
          <w:szCs w:val="24"/>
        </w:rPr>
        <w:t xml:space="preserve">. The 2-Ethylhexyl 4-methoxycinnimate (EHMC), also known as </w:t>
      </w:r>
      <w:proofErr w:type="spellStart"/>
      <w:r w:rsidRPr="00AF69CC">
        <w:rPr>
          <w:rFonts w:ascii="Times New Roman" w:eastAsia="Times New Roman" w:hAnsi="Times New Roman" w:cs="Times New Roman"/>
          <w:color w:val="000000"/>
          <w:sz w:val="24"/>
          <w:szCs w:val="24"/>
        </w:rPr>
        <w:t>octinoxate</w:t>
      </w:r>
      <w:proofErr w:type="spellEnd"/>
      <w:r w:rsidRPr="00AF69CC">
        <w:rPr>
          <w:rFonts w:ascii="Times New Roman" w:eastAsia="Times New Roman" w:hAnsi="Times New Roman" w:cs="Times New Roman"/>
          <w:color w:val="000000"/>
          <w:sz w:val="24"/>
          <w:szCs w:val="24"/>
        </w:rPr>
        <w:t xml:space="preserve">, was detected </w:t>
      </w:r>
      <w:r w:rsidR="00EB55D7">
        <w:rPr>
          <w:rFonts w:ascii="Times New Roman" w:eastAsia="Times New Roman" w:hAnsi="Times New Roman" w:cs="Times New Roman"/>
          <w:color w:val="000000"/>
          <w:sz w:val="24"/>
          <w:szCs w:val="24"/>
        </w:rPr>
        <w:t xml:space="preserve">for the first time </w:t>
      </w:r>
      <w:r w:rsidRPr="00AF69CC">
        <w:rPr>
          <w:rFonts w:ascii="Times New Roman" w:eastAsia="Times New Roman" w:hAnsi="Times New Roman" w:cs="Times New Roman"/>
          <w:color w:val="000000"/>
          <w:sz w:val="24"/>
          <w:szCs w:val="24"/>
        </w:rPr>
        <w:t xml:space="preserve">in </w:t>
      </w:r>
      <w:r w:rsidR="00FB1392">
        <w:rPr>
          <w:rFonts w:ascii="Times New Roman" w:eastAsia="Times New Roman" w:hAnsi="Times New Roman" w:cs="Times New Roman"/>
          <w:color w:val="000000"/>
          <w:sz w:val="24"/>
          <w:szCs w:val="24"/>
        </w:rPr>
        <w:t xml:space="preserve">Antarctic </w:t>
      </w:r>
      <w:r w:rsidRPr="00AF69CC">
        <w:rPr>
          <w:rFonts w:ascii="Times New Roman" w:eastAsia="Times New Roman" w:hAnsi="Times New Roman" w:cs="Times New Roman"/>
          <w:color w:val="000000"/>
          <w:sz w:val="24"/>
          <w:szCs w:val="24"/>
        </w:rPr>
        <w:t xml:space="preserve">surface snow, </w:t>
      </w:r>
      <w:proofErr w:type="gramStart"/>
      <w:r w:rsidR="00FB1392">
        <w:rPr>
          <w:rFonts w:ascii="Times New Roman" w:eastAsia="Times New Roman" w:hAnsi="Times New Roman" w:cs="Times New Roman"/>
          <w:color w:val="000000"/>
          <w:sz w:val="24"/>
          <w:szCs w:val="24"/>
        </w:rPr>
        <w:t>and also</w:t>
      </w:r>
      <w:proofErr w:type="gramEnd"/>
      <w:r w:rsidR="00FB1392">
        <w:rPr>
          <w:rFonts w:ascii="Times New Roman" w:eastAsia="Times New Roman" w:hAnsi="Times New Roman" w:cs="Times New Roman"/>
          <w:color w:val="000000"/>
          <w:sz w:val="24"/>
          <w:szCs w:val="24"/>
        </w:rPr>
        <w:t xml:space="preserve"> in </w:t>
      </w:r>
      <w:r w:rsidR="0038768B">
        <w:rPr>
          <w:rFonts w:ascii="Times New Roman" w:eastAsia="Times New Roman" w:hAnsi="Times New Roman" w:cs="Times New Roman"/>
          <w:color w:val="000000"/>
          <w:sz w:val="24"/>
          <w:szCs w:val="24"/>
        </w:rPr>
        <w:t>snow</w:t>
      </w:r>
      <w:r w:rsidRPr="00AF69CC">
        <w:rPr>
          <w:rFonts w:ascii="Times New Roman" w:eastAsia="Times New Roman" w:hAnsi="Times New Roman" w:cs="Times New Roman"/>
          <w:color w:val="000000"/>
          <w:sz w:val="24"/>
          <w:szCs w:val="24"/>
        </w:rPr>
        <w:t>melt and ponds with concentrations from 0.</w:t>
      </w:r>
      <w:r w:rsidRPr="00FB1392">
        <w:rPr>
          <w:rFonts w:ascii="Times New Roman" w:eastAsia="Times New Roman" w:hAnsi="Times New Roman" w:cs="Times New Roman"/>
          <w:color w:val="000000"/>
          <w:sz w:val="24"/>
          <w:szCs w:val="24"/>
        </w:rPr>
        <w:t>4 ng L</w:t>
      </w:r>
      <w:r w:rsidRPr="00662C06">
        <w:rPr>
          <w:rFonts w:ascii="Times New Roman" w:eastAsia="Times New Roman" w:hAnsi="Times New Roman" w:cs="Times New Roman"/>
          <w:color w:val="000000"/>
          <w:sz w:val="24"/>
          <w:szCs w:val="24"/>
          <w:vertAlign w:val="superscript"/>
        </w:rPr>
        <w:t xml:space="preserve">-1 </w:t>
      </w:r>
      <w:r w:rsidRPr="00FB1392">
        <w:rPr>
          <w:rFonts w:ascii="Times New Roman" w:eastAsia="Times New Roman" w:hAnsi="Times New Roman" w:cs="Times New Roman"/>
          <w:color w:val="000000"/>
          <w:sz w:val="24"/>
          <w:szCs w:val="24"/>
        </w:rPr>
        <w:t>up to 3.1 ng L</w:t>
      </w:r>
      <w:r w:rsidRPr="00662C06">
        <w:rPr>
          <w:rFonts w:ascii="Times New Roman" w:eastAsia="Times New Roman" w:hAnsi="Times New Roman" w:cs="Times New Roman"/>
          <w:color w:val="000000"/>
          <w:sz w:val="24"/>
          <w:szCs w:val="24"/>
          <w:vertAlign w:val="superscript"/>
        </w:rPr>
        <w:t>-1</w:t>
      </w:r>
      <w:r w:rsidRPr="00FB1392">
        <w:rPr>
          <w:rFonts w:ascii="Times New Roman" w:eastAsia="Times New Roman" w:hAnsi="Times New Roman" w:cs="Times New Roman"/>
          <w:color w:val="000000"/>
          <w:sz w:val="24"/>
          <w:szCs w:val="24"/>
        </w:rPr>
        <w:t>. In th</w:t>
      </w:r>
      <w:r w:rsidRPr="00AF69CC">
        <w:rPr>
          <w:rFonts w:ascii="Times New Roman" w:eastAsia="Times New Roman" w:hAnsi="Times New Roman" w:cs="Times New Roman"/>
          <w:color w:val="000000"/>
          <w:sz w:val="24"/>
          <w:szCs w:val="24"/>
        </w:rPr>
        <w:t xml:space="preserve">is pristine environment, human activities in scientific bases and facilities </w:t>
      </w:r>
      <w:r w:rsidR="00630F13">
        <w:rPr>
          <w:rFonts w:ascii="Times New Roman" w:eastAsia="Times New Roman" w:hAnsi="Times New Roman" w:cs="Times New Roman"/>
          <w:color w:val="000000"/>
          <w:sz w:val="24"/>
          <w:szCs w:val="24"/>
        </w:rPr>
        <w:t>are</w:t>
      </w:r>
      <w:r w:rsidRPr="00AF69CC">
        <w:rPr>
          <w:rFonts w:ascii="Times New Roman" w:eastAsia="Times New Roman" w:hAnsi="Times New Roman" w:cs="Times New Roman"/>
          <w:color w:val="000000"/>
          <w:sz w:val="24"/>
          <w:szCs w:val="24"/>
        </w:rPr>
        <w:t xml:space="preserve"> a potential primary local source of EHMC. However, the results presented in this study suggest that long-range sources might also be responsible for the presence of EHMC in Antarctica. Considering the physicochemical properties of EHMC, long-range atmospheric transport is plausibly a relevant process involved in its deposition and accumulation in Antarctic snow. Two modelling studies on contaminants' long-range transport potential are compared to investigate the behaviour of EHMC in polar environments and its transport potential. </w:t>
      </w:r>
    </w:p>
    <w:p w14:paraId="3F530944" w14:textId="77777777" w:rsidR="006962A3" w:rsidRDefault="006962A3">
      <w:pPr>
        <w:spacing w:after="0" w:line="360" w:lineRule="auto"/>
        <w:jc w:val="both"/>
        <w:rPr>
          <w:rFonts w:ascii="Times New Roman" w:eastAsia="Times New Roman" w:hAnsi="Times New Roman" w:cs="Times New Roman"/>
          <w:b/>
          <w:sz w:val="24"/>
          <w:szCs w:val="24"/>
        </w:rPr>
      </w:pPr>
    </w:p>
    <w:p w14:paraId="6F973910" w14:textId="4BBAB202" w:rsidR="006962A3" w:rsidRPr="00892846" w:rsidRDefault="00832152" w:rsidP="00892846">
      <w:pPr>
        <w:pStyle w:val="Paragrafoelenco"/>
        <w:numPr>
          <w:ilvl w:val="0"/>
          <w:numId w:val="1"/>
        </w:numPr>
        <w:spacing w:after="0" w:line="360" w:lineRule="auto"/>
        <w:jc w:val="both"/>
        <w:rPr>
          <w:rFonts w:ascii="Times New Roman" w:eastAsia="Times New Roman" w:hAnsi="Times New Roman" w:cs="Times New Roman"/>
          <w:b/>
          <w:sz w:val="24"/>
          <w:szCs w:val="24"/>
        </w:rPr>
      </w:pPr>
      <w:r w:rsidRPr="00892846">
        <w:rPr>
          <w:rFonts w:ascii="Times New Roman" w:eastAsia="Times New Roman" w:hAnsi="Times New Roman" w:cs="Times New Roman"/>
          <w:b/>
          <w:sz w:val="24"/>
          <w:szCs w:val="24"/>
        </w:rPr>
        <w:lastRenderedPageBreak/>
        <w:t>INTRODUCTION</w:t>
      </w:r>
    </w:p>
    <w:p w14:paraId="36B2FB37" w14:textId="23685DB9" w:rsidR="006562E1" w:rsidRPr="006562E1" w:rsidRDefault="006562E1" w:rsidP="006562E1">
      <w:pPr>
        <w:spacing w:before="240" w:after="0" w:line="360" w:lineRule="auto"/>
        <w:jc w:val="both"/>
        <w:rPr>
          <w:rFonts w:ascii="Times New Roman" w:eastAsia="Times New Roman" w:hAnsi="Times New Roman" w:cs="Times New Roman"/>
          <w:color w:val="000000"/>
          <w:sz w:val="24"/>
          <w:szCs w:val="24"/>
        </w:rPr>
      </w:pPr>
      <w:r w:rsidRPr="006562E1">
        <w:rPr>
          <w:rFonts w:ascii="Times New Roman" w:eastAsia="Times New Roman" w:hAnsi="Times New Roman" w:cs="Times New Roman"/>
          <w:color w:val="000000"/>
          <w:sz w:val="24"/>
          <w:szCs w:val="24"/>
        </w:rPr>
        <w:t>Despite the strict regulations laid by the Protocol of the Antarctic Treaty on the Environmental Protection (The Madrid Protocol), Antarctica is not exempted from anthropogenic influence. During the past decades, the Antarctic environment has been affected by human activities such as land-based operations, sewage disposal, and the increase in tourism</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{"citationItems":[{"id":"ITEM-1","itemData":{"DOI":"10.1016/j.envres.2014.10.019","ISBN":"0013-9351","ISSN":"10960953","PMID":"25460654","abstract":"Pharmaceutical and personal care products (PPCPs) are a major source of micropollutants to the aquatic environment. Despite intense research on the fate and effects of PPCPs in temperate climates, there is a paucity of data on their presence in polar environments. This study reports the presence of selected PPCPs in sewage effluents from two Antarctic research stations, the adjacent coastal seawater, sea ice, and biota. Sewage effluents contained bisphenol-A, ethinylestradiol, estrone, methyl triclosan, octylphenol, triclosan, and three UV-filters. The maximum sewage effluent concentrations of 4-methyl-benzylidene camphor, benzophenone-1, estrone, ethinylestradiol, and octylphenol exceeded concentrations previously reported. Coastal seawaters contained bisphenol-A, octylphenol, triclosan, three paraben preservatives, and four UV-filters. The sea ice contained a similar range and concentration of PPCPs as the seawater. Benzophenone-3 (preferential accumulation in clams), estradiol, ethinylestradiol, methyl paraben (preferential accumulation in fish, with concentrations correlating negatively with fillet size), octylphenol, and propyl paraben were detected in biota samples. PPCPs were detected in seawater and biota at distances up to 25. km from the research stations WWTP discharges. Sewage effluent discharges and disposal of raw human waste through sea ice cracks have been identified as sources of PPCPs to Antarctic coastal environments.","author":[{"dropping-particle":"","family":"Emnet","given":"Philipp","non-dropping-particle":"","parse-names":false,"suffix":""},{"dropping-particle":"","family":"Gaw","given":"Sally","non-dropping-particle":"","parse-names":false,"suffix":""},{"dropping-particle":"","family":"Northcott","given":"Grant","non-dropping-particle":"","parse-names":false,"suffix":""},{"dropping-particle":"","family":"Storey","given":"Bryan","non-dropping-particle":"","parse-names":false,"suffix":""},{"dropping-particle":"","family":"Graham","given":"Lisa","non-dropping-particle":"","parse-names":false,"suffix":""}],"container-title":"Environmental Research","id":"ITEM-1","issued":{"date-parts":[["2015"]]},"page":"331-342","publisher":"Elsevier","title":"Personal care products and steroid hormones in the Antarctic coastal environment associated with two Antarctic research stations, McMurdo Station and Scott Base","type":"article-journal","volume":"136"},"uris":["http://www.mendeley.com/documents/?uuid=72485dc0-e1f8-4ba0-b8d1-6cb680f83af8"]},{"id":"ITEM-2","itemData":{"DOI":"10.1016/j.watres.2016.09.026","ISSN":"18792448","PMID":"27693972","abstract":"We present a comprehensive scientific assessment of the environmental impacts of an Antarctic wastewater ocean outfall, at Davis station in East Antarctica. We assessed the effectiveness of current wastewater treatment and disposal requirements under the Protocol on Environmental Protection to the Antarctic Treaty. Macerated wastewater has been discharged from an outfall at Davis since the failure of the secondary treatment plant in 2005. Water, sediment and wildlife were tested for presence of human enteric bacteria and antibiotic resistance mechanisms. Epibiotic and sediment macrofaunal communities were tested for differences between sites near the outfall and controls. Local fish were examined for evidence of histopathological abnormalities. Sediments, fish and gastropods were tested for uptake of sewage as measured by stable isotopes of N and C. Escherichia coli carrying antibiotic resistance determinants were found in water, sediments and wildlife (the filter feeding bivalve Laternula eliptica). Fish (Trematomus bernacchii) within close proximity to the outfall had significantly more severe and greater occurrences of histopathological abnormalities than at controls, consistent with exposure to sewage. There was significant enrichment of 15 N in T. bernacchii and the predatory gastropod Neobuccinum eatoni around the outfall, providing evidence of uptake of sewage. There were significant differences between epibiotic and sediment macrofaunal communities at control and outfall sites (&lt;1.5 km), when sites were separated into groups of similar habitat types. Benthic community composition was also strongly related to habitat and environmental drivers such as sea ice. The combined evidence indicated that the discharge of wastewater from the Davis outfall is causing environmental impacts. These findings suggest that conditions in Antarctic coastal locations, such as Davis, are unlikely to be conducive to initial dilution and rapid dispersal of wastewater as required under the Protocol on Environmental Protection to the Antarctic Treaty. Current minimum requirements for wastewater treatment and disposal in Antarctica are insufficient to ameliorate these risks and are likely to lead to accumulation of contaminants and introduction of non-native microbes and associated genetic elements. This new understanding suggests that modernised approaches to the treatment and disposal of wastewater are required in Antarctica. The most effective solution is advanced leve…","author":[{"dropping-particle":"","family":"Stark","given":"Jonathan S","non-dropping-particle":"","parse-names":false,"suffix":""},{"dropping-particle":"","family":"Corbett","given":"Patricia A","non-dropping-particle":"","parse-names":false,"suffix":""},{"dropping-particle":"","family":"Dunshea","given":"Glenn","non-dropping-particle":"","parse-names":false,"suffix":""},{"dropping-particle":"","family":"Johnstone","given":"Glenn","non-dropping-particle":"","parse-names":false,"suffix":""},{"dropping-particle":"","family":"King","given":"Catherine","non-dropping-particle":"","parse-names":false,"suffix":""},{"dropping-particle":"","family":"Mondon","given":"Julie A","non-dropping-particle":"","parse-names":false,"suffix":""},{"dropping-particle":"","family":"Power","given":"Michelle L","non-dropping-particle":"","parse-names":false,"suffix":""},{"dropping-particle":"","family":"Samuel","given":"Angelingifta","non-dropping-particle":"","parse-names":false,"suffix":""},{"dropping-particle":"","family":"Snape","given":"Ian","non-dropping-particle":"","parse-names":false,"suffix":""},{"dropping-particle":"","family":"Riddle","given":"Martin","non-dropping-particle":"","parse-names":false,"suffix":""}],"container-title":"Water Research","id":"ITEM-2","issued":{"date-parts":[["2016"]]},"page":"602-614","publisher":"Elsevier Ltd","title":"The environmental impact of sewage and wastewater outfalls in Antarctica: An example from Davis station, East Antarctica","type":"article-journal","volume":"105"},"uris":["http://www.mendeley.com/documents/?uuid=500f47c2-a61c-4bd0-8404-92af9bae4575","http://www.mendeley.com/documents/?uuid=a7da7a36-3b1f-4991-b057-88f0bc3c07bf"]},{"id":"ITEM-3","itemData":{"DOI":"10.1017/S0954102009001722","ISSN":"09541020","abstract":"We review the scientific literature, especially from the past decade, on the impacts of human activities on the Antarctic environment. A range of impacts has been identified at a variety of spatial and temporal scales. Chemical contamination and sewage disposal on the continent have been found to be long-lived. Contemporary sewage management practices at many coastal stations are insufficient to prevent local contamination but no introduction of non-indigenous organisms through this route has yet been demonstrated. Human activities, particularly construction and transport, have led to disturbances of flora and fauna. A small number of non-indigenous plant and animal species has become established, mostly on the northern Antarctic Peninsula and southern archipelagos of the Scotia Arc. There is little indication of recovery of overexploited fish stocks, and ramifications of fishing activity on bycatch species and the ecosystem could also be far-reaching. The Antarctic Treaty System and its instruments, in particular the Convention for the Conservation of Antarctic Marine Living Resources and the Environmental Protocol, provide a framework within which management of human activities take place. In the face of the continuing expansion of human activities in Antarctica, a more effective implementation of a wide range of measures is essential, in order to ensure comprehensive protection of the Antarctic environment, including its intrinsic, wilderness and scientific values which remains a fundamental principle of the Antarctic Treaty System. These measures include effective environmental impact assessments, long-term monitoring, mitigation measures for non-indigenous species, ecosystem-based management of living resources, and increased regulation of National Antarctic Programmes and tourism activities. © 2009 Antarctic Science Ltd.","author":[{"dropping-particle":"","family":"Tin","given":"T","non-dropping-particle":"","parse-names":false,"suffix":""},{"dropping-particle":"","family":"Fleming","given":"Z L","non-dropping-particle":"","parse-names":false,"suffix":""},{"dropping-particle":"","family":"Hughes","given":"K A","non-dropping-particle":"","parse-names":false,"suffix":""},{"dropping-particle":"","family":"Ainley","given":"D G","non-dropping-particle":"","parse-names":false,"suffix":""},{"dropping-particle":"","family":"Convey","given":"P","non-dropping-particle":"","parse-names":false,"suffix":""},{"dropping-particle":"","family":"Moreno","given":"C A","non-dropping-particle":"","parse-names":false,"suffix":""},{"dropping-particle":"","family":"Pfeiffer","given":"S","non-dropping-particle":"","parse-names":false,"suffix":""},{"dropping-particle":"","family":"Scott","given":"J","non-dropping-particle":"","parse-names":false,"suffix":""},{"dropping-particle":"","family":"Snape","given":"I","non-dropping-particle":"","parse-names":false,"suffix":""}],"container-title":"Antarctic Science","id":"ITEM-3","issue":"1","issued":{"date-parts":[["2009"]]},"page":"3-33","title":"Impacts of local human activities on the Antarctic environment","type":"article-journal","volume":"21"},"uris":["http://www.mendeley.com/documents/?uuid=e8c069b4-241b-45df-b749-bf1bc4a8f4ba","http://www.mendeley.com/documents/?uuid=859747d6-7f87-476a-bebb-f10dff3e3ca2"]}],"mendeley":{"formattedCitation":"[1–3]","plainTextFormattedCitation":"[1–3]","previouslyFormattedCitation":"&lt;sup&gt;1–3&lt;/sup&gt;"},"properties":{"noteIndex":0},"schema":"https://github.com/citation-style-language/schema/raw/master/csl-citation.json"}</w:instrText>
      </w:r>
      <w:r>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[1–3]</w:t>
      </w:r>
      <w:r>
        <w:rPr>
          <w:rFonts w:ascii="Times New Roman" w:eastAsia="Times New Roman" w:hAnsi="Times New Roman" w:cs="Times New Roman"/>
          <w:color w:val="000000"/>
          <w:sz w:val="24"/>
          <w:szCs w:val="24"/>
        </w:rPr>
        <w:fldChar w:fldCharType="end"/>
      </w:r>
      <w:r w:rsidRPr="006562E1">
        <w:rPr>
          <w:rFonts w:ascii="Times New Roman" w:eastAsia="Times New Roman" w:hAnsi="Times New Roman" w:cs="Times New Roman"/>
          <w:color w:val="000000"/>
          <w:sz w:val="24"/>
          <w:szCs w:val="24"/>
        </w:rPr>
        <w:t>. The presence of scientific facilities is a potential source of local contamination</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{"citationItems":[{"id":"ITEM-1","itemData":{"DOI":"10.1016/j.scitotenv.2020.142798","ISSN":"18791026","PMID":"33077209","abstract":"Improved waste management at McMurdo Station, Antarctica beginning in the 1980s has been followed by decreases in polycyclic aromatic hydrocarbon (PAH) and metal contamination in the adjacent marine sediments. However, determining the effect of the decreased contamination on marine ecological indicators (macrobenthic fauna) is confounded by concurrent changes in climate cycles and other physical forces. Between 2000 and 2013, there was a decrease in concentrations of some contaminants including mercury, copper, organochlorines, and PAHs in marine sediments adjacent to McMurdo Station. PAH concentrations in Winter Quarters Bay decreased an order of magnitude from 2000/2003 to 2012/2013 and were within an order of magnitude of reference area concentrations by 2013. Macrobenthic communities did not indicate any sign of recovery and have not become more similar to reference communities over this same period of time. Temporal changes in macrobenthic community composition during the study period had higher correlations with climatic and sea ice dynamics than with changes in contaminant concentrations. The Interdecadal Pacific Oscillation climatic index had the highest correlation with macrobenthic community composition. The Antarctic Oscillation climatic index, maximum ice extent and other natural environmental factors also appear to influence macrobenthic community composition. Despite large improvements in environmental management at McMurdo Station, continuing environmental vigilance is necessary before any noticeable improvement in ecological systems is likely to occur. The effects of climate must be considered when determining temporal changes in anthropogenic effects in Antarctica. Maintaining long-term monitoring of both contaminants and ecological indicators is important for determining the localized and global influences of humans on Antarctica, which will have implications for the whole planet.","author":[{"dropping-particle":"","family":"Palmer","given":"Terence A","non-dropping-particle":"","parse-names":false,"suffix":""},{"dropping-particle":"","family":"Klein","given":"Andrew G","non-dropping-particle":"","parse-names":false,"suffix":""},{"dropping-particle":"","family":"Sweet","given":"Stephen T","non-dropping-particle":"","parse-names":false,"suffix":""},{"dropping-particle":"","family":"Montagna","given":"Paul A","non-dropping-particle":"","parse-names":false,"suffix":""},{"dropping-particle":"","family":"Hyde","given":"Larry J","non-dropping-particle":"","parse-names":false,"suffix":""},{"dropping-particle":"","family":"Sericano","given":"Jose","non-dropping-particle":"","parse-names":false,"suffix":""},{"dropping-particle":"","family":"Wade","given":"Terry L","non-dropping-particle":"","parse-names":false,"suffix":""},{"dropping-particle":"","family":"Kennicutt","given":"Mahlon C","non-dropping-particle":"","parse-names":false,"suffix":""},{"dropping-particle":"","family":"Beseres Pollack","given":"Jennifer","non-dropping-particle":"","parse-names":false,"suffix":""}],"container-title":"Science of the Total Environment","id":"ITEM-1","issued":{"date-parts":[["2021"]]},"page":"142798","publisher":"Elsevier B.V.","title":"Long-term changes in contamination and macrobenthic communities adjacent to McMurdo Station, Antarctica","type":"article-journal","volume":"764"},"uris":["http://www.mendeley.com/documents/?uuid=e26a6eed-754c-4afc-ae98-2c2beb4cc48b","http://www.mendeley.com/documents/?uuid=becf2b02-04b0-4206-8dd8-952893a40e09"]},{"id":"ITEM-2","itemData":{"DOI":"10.1016/j.microc.2014.10.010","ISSN":"0026-265X","author":[{"dropping-particle":"","family":"Vecchiato","given":"Marco","non-dropping-particle":"","parse-names":false,"suffix":""},{"dropping-particle":"","family":"Argiriadis","given":"Elena","non-dropping-particle":"","parse-names":false,"suffix":""},{"dropping-particle":"","family":"Zambon","given":"Stefano","non-dropping-particle":"","parse-names":false,"suffix":""},{"dropping-particle":"","family":"Barbante","given":"Carlo","non-dropping-particle":"","parse-names":false,"suffix":""},{"dropping-particle":"","family":"Toscano","given":"Giuseppa","non-dropping-particle":"","parse-names":false,"suffix":""},{"dropping-particle":"","family":"Gambaro","given":"Andrea","non-dropping-particle":"","parse-names":false,"suffix":""},{"dropping-particle":"","family":"Piazza","given":"Rossano","non-dropping-particle":"","parse-names":false,"suffix":""}],"container-title":"Microchemical Journal","id":"ITEM-2","issued":{"date-parts":[["2015"]]},"page":"75-82","publisher":"Elsevier B.V.","title":"Persistent Organic Pollutants ( POPs ) in Antarctica: Occurrence in continental and coastal surface snow","type":"article-journal","volume":"119"},"uris":["http://www.mendeley.com/documents/?uuid=0c4beca0-c8cd-4e7a-a12d-59de7adc09be"]},{"id":"ITEM-3","itemData":{"DOI":"10.1016/j.scitotenv.2020.140200","ISSN":"18791026","PMID":"32599399","abstract":"Concentrations of 9 organophosphate esters (OPEs), 16 perfluoroalkylated substances (PFASs) and 17 polycyclic aromatic hydrocarbons (PAHs) were investigated in surface snow samples collected at Dome C on the Antarctic Plateau in summer 2016. Tris(1-chloro-2-propyl) phosphate (TCPP), tris-(2-chloroethyl) phosphate (TCEP) and tri-n-butylphosphate (TnBP) were the dominant compounds of OPEs, with mean concentrations of 8157 ± 4860, 1128 ± 928 and 1232 ± 1147 pg/L. Perfluorooctanoic acid (PFOA, mean: 358 ± 71 pg/L) was the dominant compound of PFASs, and following by perfluoro-n-hexanoic acid (PFHxA, mean: 222 ± 97 pg/L), perfluoro-n-heptanoic acid (PFHpA, 183 ± 60 pg/L) and perfluoro-n-pentanoic acid (PFPeA, 175 ± 105 pg/L). 2-(Heptafluoropropoxy)propanoic acid (HFPO-DA, mean: 9.2 ± 2.6 pg/L) was determined in the Antarctic for the first time. Significantly positive correlations were observed between HFPO-DA and the short-chain PFASs, implying they have similar emission sources and long-range transport potential. High levels of 2-methylnaphthalene and 1-methylnaphthalene, as well as the ratios of PAH congeners indicated PAHs were attributable mostly to combustion origin. Occurrence and profiles of the indicators of OPEs, PFASs and PAHs, as well as air mass back-trajectory analysis provided direct evidences of human activities on Concordia station and posed obvious impacts on local environments in the Antarctic. Nevertheless, the exchange processes among different environmental matrices may drive the long-range transport and redistribution of the legacy and emerging Organic contaminants from coast to inland in the Antarctic.","author":[{"dropping-particle":"","family":"Xie","given":"Zhiyong","non-dropping-particle":"","parse-names":false,"suffix":""},{"dropping-particle":"","family":"Wang","given":"Zhen","non-dropping-particle":"","parse-names":false,"suffix":""},{"dropping-particle":"","family":"Magand","given":"Olivier","non-dropping-particle":"","parse-names":false,"suffix":""},{"dropping-particle":"","family":"Thollot","given":"Alban","non-dropping-particle":"","parse-names":false,"suffix":""},{"dropping-particle":"","family":"Ebinghaus","given":"Ralf","non-dropping-particle":"","parse-names":false,"suffix":""},{"dropping-particle":"","family":"Mi","given":"Wenying","non-dropping-particle":"","parse-names":false,"suffix":""},{"dropping-particle":"","family":"Dommergue","given":"Aurelien","non-dropping-particle":"","parse-names":false,"suffix":""}],"container-title":"Science of the Total Environment","id":"ITEM-3","issued":{"date-parts":[["2020"]]},"page":"140200","publisher":"The Authors","title":"Occurrence of legacy and emerging organic contaminants in snow at Dome C in the Antarctic","type":"article-journal","volume":"741"},"uris":["http://www.mendeley.com/documents/?uuid=2c4389da-5e23-4fc3-b7ed-4643118712ce"]}],"mendeley":{"formattedCitation":"[4–6]","plainTextFormattedCitation":"[4–6]","previouslyFormattedCitation":"&lt;sup&gt;4–6&lt;/sup&gt;"},"properties":{"noteIndex":0},"schema":"https://github.com/citation-style-language/schema/raw/master/csl-citation.json"}</w:instrText>
      </w:r>
      <w:r>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[4–6]</w:t>
      </w:r>
      <w:r>
        <w:rPr>
          <w:rFonts w:ascii="Times New Roman" w:eastAsia="Times New Roman" w:hAnsi="Times New Roman" w:cs="Times New Roman"/>
          <w:color w:val="000000"/>
          <w:sz w:val="24"/>
          <w:szCs w:val="24"/>
        </w:rPr>
        <w:fldChar w:fldCharType="end"/>
      </w:r>
      <w:r w:rsidRPr="006562E1">
        <w:rPr>
          <w:rFonts w:ascii="Times New Roman" w:eastAsia="Times New Roman" w:hAnsi="Times New Roman" w:cs="Times New Roman"/>
          <w:color w:val="000000"/>
          <w:sz w:val="24"/>
          <w:szCs w:val="24"/>
        </w:rPr>
        <w:t xml:space="preserve">, </w:t>
      </w:r>
      <w:r w:rsidR="003E635E">
        <w:rPr>
          <w:rFonts w:ascii="Times New Roman" w:eastAsia="Times New Roman" w:hAnsi="Times New Roman" w:cs="Times New Roman"/>
          <w:color w:val="000000"/>
          <w:sz w:val="24"/>
          <w:szCs w:val="24"/>
        </w:rPr>
        <w:t>but also</w:t>
      </w:r>
      <w:r w:rsidRPr="006562E1">
        <w:rPr>
          <w:rFonts w:ascii="Times New Roman" w:eastAsia="Times New Roman" w:hAnsi="Times New Roman" w:cs="Times New Roman"/>
          <w:color w:val="000000"/>
          <w:sz w:val="24"/>
          <w:szCs w:val="24"/>
        </w:rPr>
        <w:t xml:space="preserve"> long-range atmospheric transport is considered a large-scale process responsible for the presence of </w:t>
      </w:r>
      <w:r w:rsidR="00627167" w:rsidRPr="006562E1">
        <w:rPr>
          <w:rFonts w:ascii="Times New Roman" w:eastAsia="Times New Roman" w:hAnsi="Times New Roman" w:cs="Times New Roman"/>
          <w:color w:val="000000"/>
          <w:sz w:val="24"/>
          <w:szCs w:val="24"/>
        </w:rPr>
        <w:t xml:space="preserve">both legacy and emerging </w:t>
      </w:r>
      <w:r w:rsidRPr="006562E1">
        <w:rPr>
          <w:rFonts w:ascii="Times New Roman" w:eastAsia="Times New Roman" w:hAnsi="Times New Roman" w:cs="Times New Roman"/>
          <w:color w:val="000000"/>
          <w:sz w:val="24"/>
          <w:szCs w:val="24"/>
        </w:rPr>
        <w:t>contaminants in Antarctica</w:t>
      </w:r>
      <w:r w:rsidR="00627167">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{"citationItems":[{"id":"ITEM-1","itemData":{"DOI":"10.1007/s00216-012-6464-y","ISSN":"1618-2650","PMID":"23073699","abstract":"The development of a unique analytical method for the determination of five classes of persistent organic pollutants (POPs) in atmospheric gas and the particle phase through gas chromatography coupled to high-resolution mass spectrometry is presented. Every step of the pre-analytical and analytical optimization process is described. Great effort was put into simplifying the traditional techniques, with reference to EPA and literature methods. Automated instruments were used for sample extraction and cleanup in order to enhance repeatability and reduce contamination risks. Unlike most common approaches, no separation of the analytes was performed before the GC analysis in order to avoid sample fractionation and to save time and materials. This allowed low instrumental and method detection limits (pg to sub-pg) to be achieved. Accuracy and precision were tested by fortifying the matrix and analysing standard reference materials (NIST SRM 1649b Urban Dust and 2585 Organic Contaminants in House Dust). The method was applied to five samples from Terra Nova Bay, Antarctica. Concentrations of polychlorinated dibenzo-p-dioxins and furans (PCDD/Fs), polychlorinated biphenyls (PCBs), polychlorinated naphthalenes (PCNs), polybrominated diphenyl ethers (PBDEs) and polycyclic aromatic hydrocarbons (PAHs) are presented. Lighter compounds dominate the distribution and are mainly present in the gaseous phase. The observed pattern may be attributable to long-range transport. Results are in general agreement with literature data, where available.","author":[{"dropping-particle":"","family":"Piazza","given":"Rossano","non-dropping-particle":"","parse-names":false,"suffix":""},{"dropping-particle":"","family":"Gambaro","given":"Andrea","non-dropping-particle":"","parse-names":false,"suffix":""},{"dropping-particle":"","family":"Argiriadis","given":"Elena","non-dropping-particle":"","parse-names":false,"suffix":""},{"dropping-particle":"","family":"Vecchiato","given":"Marco","non-dropping-particle":"","parse-names":false,"suffix":""},{"dropping-particle":"","family":"Zambon","given":"Stefano","non-dropping-particle":"","parse-names":false,"suffix":""},{"dropping-particle":"","family":"Cescon","given":"Paolo","non-dropping-particle":"","parse-names":false,"suffix":""},{"dropping-particle":"","family":"Barbante","given":"Carlo","non-dropping-particle":"","parse-names":false,"suffix":""}],"container-title":"Analytical and bioanalytical chemistry","id":"ITEM-1","issue":"2-3","issued":{"date-parts":[["2013","10","17"]]},"page":"917-932","title":"Development of a method for simultaneous analysis of PCDDs, PCDFs, PCBs, PBDEs, PCNs and PAHs in Antarctic air.","type":"article-journal","volume":"405"},"uris":["http://www.mendeley.com/documents/?uuid=eb5e5e94-90f5-4fd1-b53e-0e7d7ca0d7d3"]},{"id":"ITEM-2","itemData":{"DOI":"10.1016/j.scitotenv.2017.03.197","ISSN":"18791026","abstract":"Personal Care Products are emerging pollutants whose distribution in the Antarctic and remote environments is still largely unknown. Among PCPs, long-lasting and stable Fragrance Materials were selected to perform a first pilot study on their occurrence in the coastal surface seawater of Terra Nova Bay in the Ross Sea, Antarctica. Ambrofix, Amyl Salicylate, Benzyl Salicylate, Hexyl Salicylate, Lemonile and Okoumal were detected for the first time in Antarctic natural seawater, and reached total concentrations up to 100 ng L− 1. Treated discharges from the Italian research station Mario Zucchelli (MZS) contain FMs, however concentrations in nearby Tethys Bay increase during the seasonal melt of the sea ice and its snow cover: variability in emissions and distribution, as well as a contribution from atmospheric (long or short-range) transport were hypothesized.","author":[{"dropping-particle":"","family":"Vecchiato","given":"Marco","non-dropping-particle":"","parse-names":false,"suffix":""},{"dropping-particle":"","family":"Gregoris","given":"Elena","non-dropping-particle":"","parse-names":false,"suffix":""},{"dropping-particle":"","family":"Barbaro","given":"Elena","non-dropping-particle":"","parse-names":false,"suffix":""},{"dropping-particle":"","family":"Barbante","given":"Carlo","non-dropping-particle":"","parse-names":false,"suffix":""},{"dropping-particle":"","family":"Piazza","given":"Rossano","non-dropping-particle":"","parse-names":false,"suffix":""},{"dropping-particle":"","family":"Gambaro","given":"Andrea","non-dropping-particle":"","parse-names":false,"suffix":""}],"container-title":"Science of the Total Environment","id":"ITEM-2","issued":{"date-parts":[["2017"]]},"page":"375-379","publisher":"Elsevier B.V.","title":"Fragrances in the seawater of Terra Nova Bay, Antarctica","type":"article-journal","volume":"593-594"},"uris":["http://www.mendeley.com/documents/?uuid=ca45b1d0-bb43-44b1-9bbe-b595f70b3818"]}],"mendeley":{"formattedCitation":"[7,8]","plainTextFormattedCitation":"[7,8]","previouslyFormattedCitation":"&lt;sup&gt;7,8&lt;/sup&gt;"},"properties":{"noteIndex":0},"schema":"https://github.com/citation-style-language/schema/raw/master/csl-citation.json"}</w:instrText>
      </w:r>
      <w:r>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[7,8]</w:t>
      </w:r>
      <w:r>
        <w:rPr>
          <w:rFonts w:ascii="Times New Roman" w:eastAsia="Times New Roman" w:hAnsi="Times New Roman" w:cs="Times New Roman"/>
          <w:color w:val="000000"/>
          <w:sz w:val="24"/>
          <w:szCs w:val="24"/>
        </w:rPr>
        <w:fldChar w:fldCharType="end"/>
      </w:r>
      <w:r w:rsidRPr="006562E1">
        <w:rPr>
          <w:rFonts w:ascii="Times New Roman" w:eastAsia="Times New Roman" w:hAnsi="Times New Roman" w:cs="Times New Roman"/>
          <w:color w:val="000000"/>
          <w:sz w:val="24"/>
          <w:szCs w:val="24"/>
        </w:rPr>
        <w:t>. Recently, different personal care products were recognized as Contaminants of Emerging Concern (CECs)</w:t>
      </w:r>
      <w:r w:rsidR="00C20582">
        <w:rPr>
          <w:rFonts w:ascii="Times New Roman" w:eastAsia="Times New Roman" w:hAnsi="Times New Roman" w:cs="Times New Roman"/>
          <w:color w:val="000000"/>
          <w:sz w:val="24"/>
          <w:szCs w:val="24"/>
        </w:rPr>
        <w:t>, being</w:t>
      </w:r>
      <w:r w:rsidRPr="006562E1">
        <w:rPr>
          <w:rFonts w:ascii="Times New Roman" w:eastAsia="Times New Roman" w:hAnsi="Times New Roman" w:cs="Times New Roman"/>
          <w:color w:val="000000"/>
          <w:sz w:val="24"/>
          <w:szCs w:val="24"/>
        </w:rPr>
        <w:t xml:space="preserve"> be potentially harmful to human health and the environment</w:t>
      </w:r>
      <w:r w:rsidR="00C20582">
        <w:rPr>
          <w:rFonts w:ascii="Times New Roman" w:eastAsia="Times New Roman" w:hAnsi="Times New Roman" w:cs="Times New Roman"/>
          <w:color w:val="000000"/>
          <w:sz w:val="24"/>
          <w:szCs w:val="24"/>
        </w:rPr>
        <w:t>, also</w:t>
      </w:r>
      <w:r w:rsidR="002B36AE">
        <w:rPr>
          <w:rFonts w:ascii="Times New Roman" w:eastAsia="Times New Roman" w:hAnsi="Times New Roman" w:cs="Times New Roman"/>
          <w:color w:val="000000"/>
          <w:sz w:val="24"/>
          <w:szCs w:val="24"/>
        </w:rPr>
        <w:t xml:space="preserve"> </w:t>
      </w:r>
      <w:r w:rsidRPr="006562E1">
        <w:rPr>
          <w:rFonts w:ascii="Times New Roman" w:eastAsia="Times New Roman" w:hAnsi="Times New Roman" w:cs="Times New Roman"/>
          <w:color w:val="000000"/>
          <w:sz w:val="24"/>
          <w:szCs w:val="24"/>
        </w:rPr>
        <w:t>in remote regions</w:t>
      </w:r>
      <w:r w:rsidR="00CF7049">
        <w:rPr>
          <w:rFonts w:ascii="Times New Roman" w:eastAsia="Times New Roman" w:hAnsi="Times New Roman" w:cs="Times New Roman"/>
          <w:color w:val="000000"/>
          <w:sz w:val="24"/>
          <w:szCs w:val="24"/>
        </w:rPr>
        <w:t xml:space="preserve"> </w:t>
      </w:r>
      <w:r w:rsidR="00CF7049">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{"citationItems":[{"id":"ITEM-1","itemData":{"ISBN":"978-82-7971-104-9","abstract":"Little is known about how patterns and mechanisms of seed dispersal\\nvary among different habitats. To address this we studied Rhinanthus\\nminor, a grassland annual herb, in four environments: early or late\\nhay cutting, grazing by sheep, and no management. Comprehensive measures\\nwere made of dispersal, by intensive seed trapping up to 25 m from\\nsource plants and in four directions. We found large differences\\nin dispersal among the environments in terms of curve shape, maximum\\ndistance and directionality. Dispersal was shortest under grazing\\n(maximum distance 0.9 m) and furthest under the early cut (19.1 m).\\nDispersal differences reflect the mechanisms of dispersal in each\\nenvironment. Dispersal was by wind under no management, and by the\\nmowing machinery under an early cut, whereas a late cut produced\\na combination of dispersal by wind and the machinery. Grazing hindered\\ndispersal, through trampling of plants. Additional measures of seed\\nmass supported the hypothesis of a negative seed size vs dispersal\\ndistance relationship and suggested its generality across a range\\nof environments. Understanding the variation in dispersal patterns\\namong environments may allow increased realism of spatial models.","author":[{"dropping-particle":"","family":"AMAP","given":"","non-dropping-particle":"","parse-names":false,"suffix":""}],"id":"ITEM-1","issued":{"date-parts":[["2017"]]},"title":"AMAP Assessment 2016: Chemicals of Emerging Arctic Concern","type":"report"},"uris":["http://www.mendeley.com/documents/?uuid=ac98e857-51cd-441a-991e-1e7b4a9a6418","http://www.mendeley.com/documents/?uuid=c7b15e14-25cc-4281-9ecf-266817d621fa"]}],"mendeley":{"formattedCitation":"[9]","plainTextFormattedCitation":"[9]","previouslyFormattedCitation":"&lt;sup&gt;9&lt;/sup&gt;"},"properties":{"noteIndex":0},"schema":"https://github.com/citation-style-language/schema/raw/master/csl-citation.json"}</w:instrText>
      </w:r>
      <w:r w:rsidR="00CF7049">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[9]</w:t>
      </w:r>
      <w:r w:rsidR="00CF7049">
        <w:rPr>
          <w:rFonts w:ascii="Times New Roman" w:eastAsia="Times New Roman" w:hAnsi="Times New Roman" w:cs="Times New Roman"/>
          <w:color w:val="000000"/>
          <w:sz w:val="24"/>
          <w:szCs w:val="24"/>
        </w:rPr>
        <w:fldChar w:fldCharType="end"/>
      </w:r>
      <w:r w:rsidRPr="006562E1">
        <w:rPr>
          <w:rFonts w:ascii="Times New Roman" w:eastAsia="Times New Roman" w:hAnsi="Times New Roman" w:cs="Times New Roman"/>
          <w:color w:val="000000"/>
          <w:sz w:val="24"/>
          <w:szCs w:val="24"/>
        </w:rPr>
        <w:t xml:space="preserve">. Many of these substances were reported as persistent, bioactive, </w:t>
      </w:r>
      <w:proofErr w:type="spellStart"/>
      <w:r w:rsidRPr="006562E1">
        <w:rPr>
          <w:rFonts w:ascii="Times New Roman" w:eastAsia="Times New Roman" w:hAnsi="Times New Roman" w:cs="Times New Roman"/>
          <w:color w:val="000000"/>
          <w:sz w:val="24"/>
          <w:szCs w:val="24"/>
        </w:rPr>
        <w:t>bioaccumulative</w:t>
      </w:r>
      <w:proofErr w:type="spellEnd"/>
      <w:r w:rsidRPr="006562E1">
        <w:rPr>
          <w:rFonts w:ascii="Times New Roman" w:eastAsia="Times New Roman" w:hAnsi="Times New Roman" w:cs="Times New Roman"/>
          <w:color w:val="000000"/>
          <w:sz w:val="24"/>
          <w:szCs w:val="24"/>
        </w:rPr>
        <w:t>, dangerous for the endocrine system</w:t>
      </w:r>
      <w:r w:rsidR="00B2713B">
        <w:rPr>
          <w:rFonts w:ascii="Times New Roman" w:eastAsia="Times New Roman" w:hAnsi="Times New Roman" w:cs="Times New Roman"/>
          <w:color w:val="000000"/>
          <w:sz w:val="24"/>
          <w:szCs w:val="24"/>
        </w:rPr>
        <w:t xml:space="preserve"> and phototoxic</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{"citationItems":[{"id":"ITEM-1","itemData":{"DOI":"10.1016/j.scitotenv.2017.03.286","ISSN":"18791026","abstract":"Personal care products (PCPs) are a diverse group of common household substances used for health, beauty and cleaning purposes. These include disinfectants, fragrances, insect repellents, preservatives and UV filters, among others. Some of them are considered chemicals of emerging concern due to their presence and negative impact on aquatic ecosystems, specially related to endocrine disruption and reproductive disorders. The entry of those chemicals to water bodies occurs mainly through the sewage effluents from wastewater treatment plants due to their incomplete or inefficient removal. The purpose of this review was to collect and analyze data about the incidence and concentrations of PCPs reported as emerging pollutants in different water matrices, including wastewater influents and effluents. Our database is composed of 141 articles with information about 72 PCPs recorded as emerging pollutants in 30 countries, in concentrations ranging from 0.029 ng/L to 7.811 × 106 ng/L. Fragrances, antiseptics and sunscreens were the most reported groups. As expected, the largest number of PCPs documented as emerging pollutants were found in wastewater treatment plant effluents with a total of 64 compounds, compared to 43 in surface water and 23 in groundwater, which evidence the anthropological contribution of PCPs to water bodies. These molecules were found in all the continents, however, there is a lack of information regarding the presence of emerging pollutants from PCPs in developing countries. Therefore, we suggest further efforts in assessing the occurrence and concentrations of these chemicals in those areas.","author":[{"dropping-particle":"","family":"Montes-Grajales","given":"Diana","non-dropping-particle":"","parse-names":false,"suffix":""},{"dropping-particle":"","family":"Fennix-Agudelo","given":"Mary","non-dropping-particle":"","parse-names":false,"suffix":""},{"dropping-particle":"","family":"Miranda-Castro","given":"Wendy","non-dropping-particle":"","parse-names":false,"suffix":""}],"container-title":"Science of the Total Environment","id":"ITEM-1","issued":{"date-parts":[["2017"]]},"page":"601-614","publisher":"Elsevier B.V.","title":"Occurrence of personal care products as emerging chemicals of concern in water resources: A review","type":"article-journal","volume":"595"},"uris":["http://www.mendeley.com/documents/?uuid=8454757b-0604-4a60-8725-4a98d91b5474"]},{"id":"ITEM-2","itemData":{"author":[{"dropping-particle":"","family":"Vuckovic","given":"Djordje","non-dropping-particle":"","parse-names":false,"suffix":""},{"dropping-particle":"","family":"Tinoco","given":"Amanda I","non-dropping-particle":"","parse-names":false,"suffix":""},{"dropping-particle":"","family":"Ling","given":"Lorraine","non-dropping-particle":"","parse-names":false,"suffix":""},{"dropping-particle":"","family":"Renicke","given":"Christian","non-dropping-particle":"","parse-names":false,"suffix":""},{"dropping-particle":"","family":"Pringle","given":"John R","non-dropping-particle":"","parse-names":false,"suffix":""},{"dropping-particle":"","family":"Mitch","given":"William A","non-dropping-particle":"","parse-names":false,"suffix":""}],"id":"ITEM-2","issue":"May","issued":{"date-parts":[["2022"]]},"page":"644-648","title":"Conversion of oxybenzone sunscreen to phototoxic glucoside conjugates by sea anemones and corals","type":"article-journal","volume":"648"},"uris":["http://www.mendeley.com/documents/?uuid=af2bcc95-ffdb-498e-a577-5840bc4fd5c5"]}],"mendeley":{"formattedCitation":"[10,11]","plainTextFormattedCitation":"[10,11]","previouslyFormattedCitation":"&lt;sup&gt;10,11&lt;/sup&gt;"},"properties":{"noteIndex":0},"schema":"https://github.com/citation-style-language/schema/raw/master/csl-citation.json"}</w:instrText>
      </w:r>
      <w:r>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[10,11]</w:t>
      </w:r>
      <w:r>
        <w:rPr>
          <w:rFonts w:ascii="Times New Roman" w:eastAsia="Times New Roman" w:hAnsi="Times New Roman" w:cs="Times New Roman"/>
          <w:color w:val="000000"/>
          <w:sz w:val="24"/>
          <w:szCs w:val="24"/>
        </w:rPr>
        <w:fldChar w:fldCharType="end"/>
      </w:r>
      <w:r w:rsidRPr="006562E1">
        <w:rPr>
          <w:rFonts w:ascii="Times New Roman" w:eastAsia="Times New Roman" w:hAnsi="Times New Roman" w:cs="Times New Roman"/>
          <w:color w:val="000000"/>
          <w:sz w:val="24"/>
          <w:szCs w:val="24"/>
        </w:rPr>
        <w:t>. Still, these contaminants are not effectively regulated and there is an increasing interest in their detection, distribution, and monitoring worldwide. Further studies on the effects of next-generation contaminants are strongly supported by the Scientific Committee on Antarctic Research (SCAR), suggesting this topic as one of the highest priorities for the next decades</w:t>
      </w:r>
      <w:r w:rsidR="005D17A3">
        <w:rPr>
          <w:rFonts w:ascii="Times New Roman" w:eastAsia="Times New Roman" w:hAnsi="Times New Roman" w:cs="Times New Roman"/>
          <w:color w:val="000000"/>
          <w:sz w:val="24"/>
          <w:szCs w:val="24"/>
        </w:rPr>
        <w:t xml:space="preserve"> </w:t>
      </w:r>
      <w:r w:rsidR="005D17A3">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author":[{"dropping-particle":"","family":"Kennicutt","given":"Mahlon","non-dropping-particle":"","parse-names":false,"suffix":""},{"dropping-particle":"","family":"Chown","given":"Steven","non-dropping-particle":"","parse-names":false,"suffix":""},{"dropping-particle":"","family":"Cassano","given":"John","non-dropping-particle":"","parse-names":false,"suffix":""},{"dropping-particle":"","family":"Liggett","given":"Daniela","non-dropping-particle":"","parse-names":false,"suffix":""},{"dropping-particle":"","family":"Massom","given":"Rob","non-dropping-particle":"","parse-names":false,"suffix":""},{"dropping-particle":"","family":"Peck","given":"Lloyd","non-dropping-particle":"","parse-names":false,"suffix":""},{"dropping-particle":"","family":"Rintoul","given":"Stephen","non-dropping-particle":"","parse-names":false,"suffix":""},{"dropping-particle":"","family":"Storey","given":"John","non-dropping-particle":"","parse-names":false,"suffix":""},{"dropping-particle":"","family":"Vaughan","given":"David","non-dropping-particle":"","parse-names":false,"suffix":""},{"dropping-particle":"","family":"Wilson","given":"Terry","non-dropping-particle":"","parse-names":false,"suffix":""},{"dropping-particle":"","family":"Sutherland","given":"William","non-dropping-particle":"","parse-names":false,"suffix":""},{"dropping-particle":"","family":"Allison","given":"Ian","non-dropping-particle":"","parse-names":false,"suffix":""},{"dropping-particle":"","family":"Ayton","given":"Jeff","non-dropping-particle":"","parse-names":false,"suffix":""},{"dropping-particle":"","family":"Badhe","given":"Renuka","non-dropping-particle":"","parse-names":false,"suffix":""},{"dropping-particle":"","family":"Baeseman","given":"Jenny","non-dropping-particle":"","parse-names":false,"suffix":""},{"dropping-particle":"","family":"Barrett","given":"Peter","non-dropping-particle":"","parse-names":false,"suffix":""},{"dropping-particle":"","family":"Bell","given":"Robin","non-dropping-particle":"","parse-names":false,"suffix":""},{"dropping-particle":"","family":"Bertler","given":"N","non-dropping-particle":"","parse-names":false,"suffix":""},{"dropping-particle":"","family":"Sun","given":"Bo","non-dropping-particle":"","parse-names":false,"suffix":""},{"dropping-particle":"","family":"Yang","given":"Huigen","non-dropping-particle":"","parse-names":false,"suffix":""}],"container-title":"Nature","id":"ITEM-1","issued":{"date-parts":[["2014"]]},"page":"23-25","title":"Six priorities for Antarctic science &amp; Supplementary information","type":"article-journal","volume":"512"},"uris":["http://www.mendeley.com/documents/?uuid=d325b9b0-e3d6-4ea4-b3fb-94a6ba87e4f1","http://www.mendeley.com/documents/?uuid=1d4c6df3-a42f-485a-a3e5-8d201eecee06"]}],"mendeley":{"formattedCitation":"[12]","plainTextFormattedCitation":"[12]","previouslyFormattedCitation":"&lt;sup&gt;12&lt;/sup&gt;"},"properties":{"noteIndex":0},"schema":"https://github.com/citation-style-language/schema/raw/master/csl-citation.json"}</w:instrText>
      </w:r>
      <w:r w:rsidR="005D17A3">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[12]</w:t>
      </w:r>
      <w:r w:rsidR="005D17A3">
        <w:rPr>
          <w:rFonts w:ascii="Times New Roman" w:eastAsia="Times New Roman" w:hAnsi="Times New Roman" w:cs="Times New Roman"/>
          <w:color w:val="000000"/>
          <w:sz w:val="24"/>
          <w:szCs w:val="24"/>
        </w:rPr>
        <w:fldChar w:fldCharType="end"/>
      </w:r>
      <w:r w:rsidRPr="006562E1">
        <w:rPr>
          <w:rFonts w:ascii="Times New Roman" w:eastAsia="Times New Roman" w:hAnsi="Times New Roman" w:cs="Times New Roman"/>
          <w:color w:val="000000"/>
          <w:sz w:val="24"/>
          <w:szCs w:val="24"/>
        </w:rPr>
        <w:t xml:space="preserve">. So far, only a few studies have investigated the presence of organic UV filters in different Antarctic matrices, being related to direct discharges </w:t>
      </w:r>
      <w:r w:rsidR="00C20582">
        <w:rPr>
          <w:rFonts w:ascii="Times New Roman" w:eastAsia="Times New Roman" w:hAnsi="Times New Roman" w:cs="Times New Roman"/>
          <w:color w:val="000000"/>
          <w:sz w:val="24"/>
          <w:szCs w:val="24"/>
        </w:rPr>
        <w:t>and affecting</w:t>
      </w:r>
      <w:r w:rsidRPr="006562E1">
        <w:rPr>
          <w:rFonts w:ascii="Times New Roman" w:eastAsia="Times New Roman" w:hAnsi="Times New Roman" w:cs="Times New Roman"/>
          <w:color w:val="000000"/>
          <w:sz w:val="24"/>
          <w:szCs w:val="24"/>
        </w:rPr>
        <w:t xml:space="preserve"> sewage effluents, seawater, freshwater, suspended particulate matter, sea ice, and biota</w:t>
      </w:r>
      <w:r w:rsidR="0014444F">
        <w:rPr>
          <w:rFonts w:ascii="Times New Roman" w:eastAsia="Times New Roman" w:hAnsi="Times New Roman" w:cs="Times New Roman"/>
          <w:color w:val="000000"/>
          <w:sz w:val="24"/>
          <w:szCs w:val="24"/>
        </w:rPr>
        <w:t xml:space="preserve"> (Table </w:t>
      </w:r>
      <w:r w:rsidR="00663EA2">
        <w:rPr>
          <w:rFonts w:ascii="Times New Roman" w:eastAsia="Times New Roman" w:hAnsi="Times New Roman" w:cs="Times New Roman"/>
          <w:color w:val="000000"/>
          <w:sz w:val="24"/>
          <w:szCs w:val="24"/>
        </w:rPr>
        <w:t>2</w:t>
      </w:r>
      <w:r w:rsidR="0014444F">
        <w:rPr>
          <w:rFonts w:ascii="Times New Roman" w:eastAsia="Times New Roman" w:hAnsi="Times New Roman" w:cs="Times New Roman"/>
          <w:color w:val="000000"/>
          <w:sz w:val="24"/>
          <w:szCs w:val="24"/>
        </w:rPr>
        <w:t>)</w:t>
      </w:r>
      <w:r w:rsidRPr="006562E1">
        <w:rPr>
          <w:rFonts w:ascii="Times New Roman" w:eastAsia="Times New Roman" w:hAnsi="Times New Roman" w:cs="Times New Roman"/>
          <w:color w:val="000000"/>
          <w:sz w:val="24"/>
          <w:szCs w:val="24"/>
        </w:rPr>
        <w:t xml:space="preserve">. Generally, these contaminants, including 2-Ethylhexyl 4-methoxycinnimate (EHMC), 4-methyl-benzylidene camphor (4-MBC), and 2-hydroxy-4- </w:t>
      </w:r>
      <w:proofErr w:type="spellStart"/>
      <w:r w:rsidRPr="006562E1">
        <w:rPr>
          <w:rFonts w:ascii="Times New Roman" w:eastAsia="Times New Roman" w:hAnsi="Times New Roman" w:cs="Times New Roman"/>
          <w:color w:val="000000"/>
          <w:sz w:val="24"/>
          <w:szCs w:val="24"/>
        </w:rPr>
        <w:t>methoxybenzophenone</w:t>
      </w:r>
      <w:proofErr w:type="spellEnd"/>
      <w:r w:rsidRPr="006562E1">
        <w:rPr>
          <w:rFonts w:ascii="Times New Roman" w:eastAsia="Times New Roman" w:hAnsi="Times New Roman" w:cs="Times New Roman"/>
          <w:color w:val="000000"/>
          <w:sz w:val="24"/>
          <w:szCs w:val="24"/>
        </w:rPr>
        <w:t xml:space="preserve"> (BP-3), are found at ng L</w:t>
      </w:r>
      <w:r w:rsidRPr="00A03240">
        <w:rPr>
          <w:rFonts w:ascii="Times New Roman" w:eastAsia="Times New Roman" w:hAnsi="Times New Roman" w:cs="Times New Roman"/>
          <w:color w:val="000000"/>
          <w:sz w:val="24"/>
          <w:szCs w:val="24"/>
          <w:vertAlign w:val="superscript"/>
        </w:rPr>
        <w:t>-1</w:t>
      </w:r>
      <w:r w:rsidRPr="006562E1">
        <w:rPr>
          <w:rFonts w:ascii="Times New Roman" w:eastAsia="Times New Roman" w:hAnsi="Times New Roman" w:cs="Times New Roman"/>
          <w:color w:val="000000"/>
          <w:sz w:val="24"/>
          <w:szCs w:val="24"/>
        </w:rPr>
        <w:t xml:space="preserve"> levels in water and ice, and at ng g-1 in biota and particulate matter</w:t>
      </w:r>
      <w:r w:rsidR="005D17A3">
        <w:rPr>
          <w:rFonts w:ascii="Times New Roman" w:eastAsia="Times New Roman" w:hAnsi="Times New Roman" w:cs="Times New Roman"/>
          <w:color w:val="000000"/>
          <w:sz w:val="24"/>
          <w:szCs w:val="24"/>
        </w:rPr>
        <w:t xml:space="preserve"> </w:t>
      </w:r>
      <w:r w:rsidR="005D17A3">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{"citationItems":[{"id":"ITEM-1","itemData":{"DOI":"10.1007/s13280-020-01404-x","ISSN":"16547209","PMID":"33098531","abstract":"This study aimed to evaluate the presence of ultraviolet filters (UV-Fs), benzotriazoles, pyrethroids and per- and polyfluoroalkyl substances (PFASs) in freshwater and wastewater from the northern Antarctic Peninsula region. All water samples analyzed contained UV-Fs residues and high concentrations were detected in anthropogenic impacted sites (&lt; LOD up to 1300 ng/L). Likewise, benzotriazoles were detected in all water samples (&lt; LOQ–920 ng/L). Regarding suspended particulate matter, almost all UV-Fs and all benzotriazoles were measured at concentrations ranging from &lt; LOQ to 33 µg/g dry weight. Pyrethroids were also detected (&lt; LOQ–250 ng/L) and their presence implies the existence of a gateway to the Antarctica Peninsula from other regions. The data confirmed the presence of PFASs (&lt; LOD–7500 ng/L) in this area, in agreement with previous studies. In light of these results, extended monitoring in Antarctica should be carried out to perform a reliable environmental risk assessment leading to propose recommendations to minimize the anthropic impact.","author":[{"dropping-particle":"","family":"Domínguez-Morueco","given":"Noelia","non-dropping-particle":"","parse-names":false,"suffix":""},{"dropping-particle":"","family":"Moreno-Merino","given":"Luis","non-dropping-particle":"","parse-names":false,"suffix":""},{"dropping-particle":"","family":"Molins-Delgado","given":"Daniel","non-dropping-particle":"","parse-names":false,"suffix":""},{"dropping-particle":"","family":"Díaz-Cruz","given":"M. Silvia","non-dropping-particle":"","parse-names":false,"suffix":""},{"dropping-particle":"","family":"Aznar-Alemany","given":"Òscar","non-dropping-particle":"","parse-names":false,"suffix":""},{"dropping-particle":"","family":"Eljarrat","given":"Ethel","non-dropping-particle":"","parse-names":false,"suffix":""},{"dropping-particle":"","family":"Farré","given":"Marinella","non-dropping-particle":"","parse-names":false,"suffix":""},{"dropping-particle":"","family":"López-Martínez","given":"Jerónimo","non-dropping-particle":"","parse-names":false,"suffix":""},{"dropping-particle":"","family":"López de Alda","given":"Miren","non-dropping-particle":"","parse-names":false,"suffix":""},{"dropping-particle":"","family":"Silva","given":"Adrián","non-dropping-particle":"","parse-names":false,"suffix":""},{"dropping-particle":"","family":"Durán Valsero","given":"Juan José","non-dropping-particle":"","parse-names":false,"suffix":""},{"dropping-particle":"","family":"Valcárcel","given":"Yolanda","non-dropping-particle":"","parse-names":false,"suffix":""}],"container-title":"Ambio","id":"ITEM-1","issue":"3","issued":{"date-parts":[["2021"]]},"page":"544-559","title":"Anthropogenic contaminants in freshwater from the northern Antarctic Peninsula region","type":"article-journal","volume":"50"},"uris":["http://www.mendeley.com/documents/?uuid=9f31b51e-d938-4464-a816-5b260e8fc65c"]},{"id":"ITEM-2","itemData":{"DOI":"10.1016/j.envres.2014.10.019","ISBN":"0013-9351","ISSN":"10960953","PMID":"25460654","abstract":"Pharmaceutical and personal care products (PPCPs) are a major source of micropollutants to the aquatic environment. Despite intense research on the fate and effects of PPCPs in temperate climates, there is a paucity of data on their presence in polar environments. This study reports the presence of selected PPCPs in sewage effluents from two Antarctic research stations, the adjacent coastal seawater, sea ice, and biota. Sewage effluents contained bisphenol-A, ethinylestradiol, estrone, methyl triclosan, octylphenol, triclosan, and three UV-filters. The maximum sewage effluent concentrations of 4-methyl-benzylidene camphor, benzophenone-1, estrone, ethinylestradiol, and octylphenol exceeded concentrations previously reported. Coastal seawaters contained bisphenol-A, octylphenol, triclosan, three paraben preservatives, and four UV-filters. The sea ice contained a similar range and concentration of PPCPs as the seawater. Benzophenone-3 (preferential accumulation in clams), estradiol, ethinylestradiol, methyl paraben (preferential accumulation in fish, with concentrations correlating negatively with fillet size), octylphenol, and propyl paraben were detected in biota samples. PPCPs were detected in seawater and biota at distances up to 25. km from the research stations WWTP discharges. Sewage effluent discharges and disposal of raw human waste through sea ice cracks have been identified as sources of PPCPs to Antarctic coastal environments.","author":[{"dropping-particle":"","family":"Emnet","given":"Philipp","non-dropping-particle":"","parse-names":false,"suffix":""},{"dropping-particle":"","family":"Gaw","given":"Sally","non-dropping-particle":"","parse-names":false,"suffix":""},{"dropping-particle":"","family":"Northcott","given":"Grant","non-dropping-particle":"","parse-names":false,"suffix":""},{"dropping-particle":"","family":"Storey","given":"Bryan","non-dropping-particle":"","parse-names":false,"suffix":""},{"dropping-particle":"","family":"Graham","given":"Lisa","non-dropping-particle":"","parse-names":false,"suffix":""}],"container-title":"Environmental Research","id":"ITEM-2","issued":{"date-parts":[["2015"]]},"page":"331-342","publisher":"Elsevier","title":"Personal care products and steroid hormones in the Antarctic coastal environment associated with two Antarctic research stations, McMurdo Station and Scott Base","type":"article-journal","volume":"136"},"uris":["http://www.mendeley.com/documents/?uuid=72485dc0-e1f8-4ba0-b8d1-6cb680f83af8"]},{"id":"ITEM-3","itemData":{"DOI":"10.1016/j.scitotenv.2017.03.197","ISSN":"18791026","abstract":"Personal Care Products are emerging pollutants whose distribution in the Antarctic and remote environments is still largely unknown. Among PCPs, long-lasting and stable Fragrance Materials were selected to perform a first pilot study on their occurrence in the coastal surface seawater of Terra Nova Bay in the Ross Sea, Antarctica. Ambrofix, Amyl Salicylate, Benzyl Salicylate, Hexyl Salicylate, Lemonile and Okoumal were detected for the first time in Antarctic natural seawater, and reached total concentrations up to 100 ng L− 1. Treated discharges from the Italian research station Mario Zucchelli (MZS) contain FMs, however concentrations in nearby Tethys Bay increase during the seasonal melt of the sea ice and its snow cover: variability in emissions and distribution, as well as a contribution from atmospheric (long or short-range) transport were hypothesized.","author":[{"dropping-particle":"","family":"Vecchiato","given":"Marco","non-dropping-particle":"","parse-names":false,"suffix":""},{"dropping-particle":"","family":"Gregoris","given":"Elena","non-dropping-particle":"","parse-names":false,"suffix":""},{"dropping-particle":"","family":"Barbaro","given":"Elena","non-dropping-particle":"","parse-names":false,"suffix":""},{"dropping-particle":"","family":"Barbante","given":"Carlo","non-dropping-particle":"","parse-names":false,"suffix":""},{"dropping-particle":"","family":"Piazza","given":"Rossano","non-dropping-particle":"","parse-names":false,"suffix":""},{"dropping-particle":"","family":"Gambaro","given":"Andrea","non-dropping-particle":"","parse-names":false,"suffix":""}],"container-title":"Science of the Total Environment","id":"ITEM-3","issued":{"date-parts":[["2017"]]},"page":"375-379","publisher":"Elsevier B.V.","title":"Fragrances in the seawater of Terra Nova Bay, Antarctica","type":"article-journal","volume":"593-594"},"uris":["http://www.mendeley.com/documents/?uuid=ca45b1d0-bb43-44b1-9bbe-b595f70b3818"]}],"mendeley":{"formattedCitation":"[1,8,13]","plainTextFormattedCitation":"[1,8,13]","previouslyFormattedCitation":"&lt;sup&gt;1,8,13&lt;/sup&gt;"},"properties":{"noteIndex":0},"schema":"https://github.com/citation-style-language/schema/raw/master/csl-citation.json"}</w:instrText>
      </w:r>
      <w:r w:rsidR="005D17A3">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[1,8,13]</w:t>
      </w:r>
      <w:r w:rsidR="005D17A3">
        <w:rPr>
          <w:rFonts w:ascii="Times New Roman" w:eastAsia="Times New Roman" w:hAnsi="Times New Roman" w:cs="Times New Roman"/>
          <w:color w:val="000000"/>
          <w:sz w:val="24"/>
          <w:szCs w:val="24"/>
        </w:rPr>
        <w:fldChar w:fldCharType="end"/>
      </w:r>
      <w:r w:rsidR="00775F74">
        <w:rPr>
          <w:rFonts w:ascii="Times New Roman" w:eastAsia="Times New Roman" w:hAnsi="Times New Roman" w:cs="Times New Roman"/>
          <w:color w:val="000000"/>
          <w:sz w:val="24"/>
          <w:szCs w:val="24"/>
        </w:rPr>
        <w:t xml:space="preserve">, but no data </w:t>
      </w:r>
      <w:r w:rsidR="00FB1392">
        <w:rPr>
          <w:rFonts w:ascii="Times New Roman" w:eastAsia="Times New Roman" w:hAnsi="Times New Roman" w:cs="Times New Roman"/>
          <w:color w:val="000000"/>
          <w:sz w:val="24"/>
          <w:szCs w:val="24"/>
        </w:rPr>
        <w:t>we</w:t>
      </w:r>
      <w:r w:rsidR="00775F74">
        <w:rPr>
          <w:rFonts w:ascii="Times New Roman" w:eastAsia="Times New Roman" w:hAnsi="Times New Roman" w:cs="Times New Roman"/>
          <w:color w:val="000000"/>
          <w:sz w:val="24"/>
          <w:szCs w:val="24"/>
        </w:rPr>
        <w:t>re available on their occurrence in snow</w:t>
      </w:r>
      <w:r w:rsidR="00910F9A" w:rsidRPr="00910F9A">
        <w:rPr>
          <w:rFonts w:ascii="Times New Roman" w:eastAsia="Times New Roman" w:hAnsi="Times New Roman" w:cs="Times New Roman"/>
          <w:color w:val="000000"/>
          <w:sz w:val="24"/>
          <w:szCs w:val="24"/>
        </w:rPr>
        <w:t xml:space="preserve"> </w:t>
      </w:r>
      <w:r w:rsidR="00910F9A">
        <w:rPr>
          <w:rFonts w:ascii="Times New Roman" w:eastAsia="Times New Roman" w:hAnsi="Times New Roman" w:cs="Times New Roman"/>
          <w:color w:val="000000"/>
          <w:sz w:val="24"/>
          <w:szCs w:val="24"/>
        </w:rPr>
        <w:t>so far</w:t>
      </w:r>
      <w:r w:rsidR="00775F74">
        <w:rPr>
          <w:rFonts w:ascii="Times New Roman" w:eastAsia="Times New Roman" w:hAnsi="Times New Roman" w:cs="Times New Roman"/>
          <w:color w:val="000000"/>
          <w:sz w:val="24"/>
          <w:szCs w:val="24"/>
        </w:rPr>
        <w:t>.</w:t>
      </w:r>
    </w:p>
    <w:p w14:paraId="6FA13DD5" w14:textId="026FF15C" w:rsidR="00CB55F3" w:rsidRDefault="006562E1" w:rsidP="006562E1">
      <w:pPr>
        <w:spacing w:after="0" w:line="360" w:lineRule="auto"/>
        <w:jc w:val="both"/>
        <w:rPr>
          <w:rFonts w:ascii="Times New Roman" w:eastAsia="Times New Roman" w:hAnsi="Times New Roman" w:cs="Times New Roman"/>
          <w:color w:val="000000"/>
          <w:sz w:val="24"/>
          <w:szCs w:val="24"/>
        </w:rPr>
      </w:pPr>
      <w:r w:rsidRPr="006562E1">
        <w:rPr>
          <w:rFonts w:ascii="Times New Roman" w:eastAsia="Times New Roman" w:hAnsi="Times New Roman" w:cs="Times New Roman"/>
          <w:color w:val="000000"/>
          <w:sz w:val="24"/>
          <w:szCs w:val="24"/>
        </w:rPr>
        <w:t>Th</w:t>
      </w:r>
      <w:r w:rsidR="00C20582">
        <w:rPr>
          <w:rFonts w:ascii="Times New Roman" w:eastAsia="Times New Roman" w:hAnsi="Times New Roman" w:cs="Times New Roman"/>
          <w:color w:val="000000"/>
          <w:sz w:val="24"/>
          <w:szCs w:val="24"/>
        </w:rPr>
        <w:t>is</w:t>
      </w:r>
      <w:r w:rsidRPr="006562E1">
        <w:rPr>
          <w:rFonts w:ascii="Times New Roman" w:eastAsia="Times New Roman" w:hAnsi="Times New Roman" w:cs="Times New Roman"/>
          <w:color w:val="000000"/>
          <w:sz w:val="24"/>
          <w:szCs w:val="24"/>
        </w:rPr>
        <w:t xml:space="preserve"> study focuses on EHMC, also known as </w:t>
      </w:r>
      <w:proofErr w:type="spellStart"/>
      <w:r w:rsidRPr="006562E1">
        <w:rPr>
          <w:rFonts w:ascii="Times New Roman" w:eastAsia="Times New Roman" w:hAnsi="Times New Roman" w:cs="Times New Roman"/>
          <w:color w:val="000000"/>
          <w:sz w:val="24"/>
          <w:szCs w:val="24"/>
        </w:rPr>
        <w:t>octinoxate</w:t>
      </w:r>
      <w:proofErr w:type="spellEnd"/>
      <w:r w:rsidRPr="006562E1">
        <w:rPr>
          <w:rFonts w:ascii="Times New Roman" w:eastAsia="Times New Roman" w:hAnsi="Times New Roman" w:cs="Times New Roman"/>
          <w:color w:val="000000"/>
          <w:sz w:val="24"/>
          <w:szCs w:val="24"/>
        </w:rPr>
        <w:t>, an organic UV-B absorber used in sunscreen lotions</w:t>
      </w:r>
      <w:r w:rsidR="00C20582">
        <w:rPr>
          <w:rFonts w:ascii="Times New Roman" w:eastAsia="Times New Roman" w:hAnsi="Times New Roman" w:cs="Times New Roman"/>
          <w:color w:val="000000"/>
          <w:sz w:val="24"/>
          <w:szCs w:val="24"/>
        </w:rPr>
        <w:t>,</w:t>
      </w:r>
      <w:r w:rsidRPr="006562E1">
        <w:rPr>
          <w:rFonts w:ascii="Times New Roman" w:eastAsia="Times New Roman" w:hAnsi="Times New Roman" w:cs="Times New Roman"/>
          <w:color w:val="000000"/>
          <w:sz w:val="24"/>
          <w:szCs w:val="24"/>
        </w:rPr>
        <w:t xml:space="preserve"> </w:t>
      </w:r>
      <w:r w:rsidR="00C20582">
        <w:rPr>
          <w:rFonts w:ascii="Times New Roman" w:eastAsia="Times New Roman" w:hAnsi="Times New Roman" w:cs="Times New Roman"/>
          <w:color w:val="000000"/>
          <w:sz w:val="24"/>
          <w:szCs w:val="24"/>
        </w:rPr>
        <w:t xml:space="preserve">in </w:t>
      </w:r>
      <w:r w:rsidRPr="006562E1">
        <w:rPr>
          <w:rFonts w:ascii="Times New Roman" w:eastAsia="Times New Roman" w:hAnsi="Times New Roman" w:cs="Times New Roman"/>
          <w:color w:val="000000"/>
          <w:sz w:val="24"/>
          <w:szCs w:val="24"/>
        </w:rPr>
        <w:t>personal care products to protect them from photodegradation</w:t>
      </w:r>
      <w:r w:rsidR="005D17A3">
        <w:rPr>
          <w:rFonts w:ascii="Times New Roman" w:eastAsia="Times New Roman" w:hAnsi="Times New Roman" w:cs="Times New Roman"/>
          <w:color w:val="000000"/>
          <w:sz w:val="24"/>
          <w:szCs w:val="24"/>
        </w:rPr>
        <w:t xml:space="preserve"> </w:t>
      </w:r>
      <w:r w:rsidR="005D17A3">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{"citationItems":[{"id":"ITEM-1","itemData":{"DOI":"10.2788/101376","ISBN":"9789279462009","ISSN":"1831-9424","abstract":"According to Directive 2008/105/EC (the Environmental Quality Standards Directive, EQSD), a new mechanism is needed to provide high-quality monitoring information on the concentrations of polluting substances in the aquatic environment across the EU. The aim of this mechanism is to support the identification of priority substances for regulation under the Water Framework Directive. A restricted number of substances (up to 10) are to be included in a dynamic Watch List, remaining there for limited time. Three compounds, i.e. diclofenac, 17-beta-estradiol (E2), and 17-alpha-ethinylestradiol (EE2) have already been identified for inclusion in the first Watch List, for the specific purpose of better informing the determination of suitable risk reduction measures. Therefore, up to seven additional substances should be identified for inclusion. This report describes the procedure to identify a short-list of substances, based on the suspected risk to or via the aquatic environment, as well as on the unavailability of sufficient monitoring data or data of sufficient quality to identify the risk posed by those substances, and to prioritise them at EU level. From the short-list, seven additional substances are proposed for inclusion in the first Watch List.","author":[{"dropping-particle":"","family":"Negrao de Carvalho","given":"Raquel","non-dropping-particle":"","parse-names":false,"suffix":""},{"dropping-particle":"","family":"Ceriani","given":"Lidia","non-dropping-particle":"","parse-names":false,"suffix":""},{"dropping-particle":"","family":"Ippolito","given":"Alessio","non-dropping-particle":"","parse-names":false,"suffix":""},{"dropping-particle":"","family":"Lettieri","given":"Theresa","non-dropping-particle":"","parse-names":false,"suffix":""}],"container-title":"Publications Office of the European Union","id":"ITEM-1","issued":{"date-parts":[["2015"]]},"number-of-pages":"1-168","title":"JRC Technical report: Development of the first Watch List under the Environmental Quality Standards Directive","type":"book"},"uris":["http://www.mendeley.com/documents/?uuid=96eb869c-4b07-47fc-a90f-145557b94a68"]}],"mendeley":{"formattedCitation":"[14]","plainTextFormattedCitation":"[14]","previouslyFormattedCitation":"&lt;sup&gt;14&lt;/sup&gt;"},"properties":{"noteIndex":0},"schema":"https://github.com/citation-style-language/schema/raw/master/csl-citation.json"}</w:instrText>
      </w:r>
      <w:r w:rsidR="005D17A3">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[14]</w:t>
      </w:r>
      <w:r w:rsidR="005D17A3">
        <w:rPr>
          <w:rFonts w:ascii="Times New Roman" w:eastAsia="Times New Roman" w:hAnsi="Times New Roman" w:cs="Times New Roman"/>
          <w:color w:val="000000"/>
          <w:sz w:val="24"/>
          <w:szCs w:val="24"/>
        </w:rPr>
        <w:fldChar w:fldCharType="end"/>
      </w:r>
      <w:r w:rsidRPr="006562E1">
        <w:rPr>
          <w:rFonts w:ascii="Times New Roman" w:eastAsia="Times New Roman" w:hAnsi="Times New Roman" w:cs="Times New Roman"/>
          <w:color w:val="000000"/>
          <w:sz w:val="24"/>
          <w:szCs w:val="24"/>
        </w:rPr>
        <w:t>, and as a plastic stabilizer in protective coatings</w:t>
      </w:r>
      <w:r w:rsidR="005D17A3">
        <w:rPr>
          <w:rFonts w:ascii="Times New Roman" w:eastAsia="Times New Roman" w:hAnsi="Times New Roman" w:cs="Times New Roman"/>
          <w:color w:val="000000"/>
          <w:sz w:val="24"/>
          <w:szCs w:val="24"/>
        </w:rPr>
        <w:t xml:space="preserve"> </w:t>
      </w:r>
      <w:r w:rsidR="005D17A3">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 xml:space="preserve">ADDIN CSL_CITATION {"citationItems":[{"id":"ITEM-1","itemData":{"DOI":"10.1021/acs.est.0c02665","ISSN":"15205851","PMID":"32924452","abstract":"A retrospective analysis of a comprehensive series of high-volume air samples (n = 70) collected during 2010-2011 in Toronto (Canada) was performed. Seven UV compounds were analyzed by gas chromatography-tandem mass spectrometry (GC-MS/MS) with sum of concentrations (gas + particle phase) ranging from 80 to 2030 pg/m3. Homosalate (HMS) was the most prevalent organic UV-filter in air (47% of the total concentration), followed by 2-ethylhexyl salicylate (EHS, </w:instrText>
      </w:r>
      <w:r w:rsidR="007A5F81">
        <w:rPr>
          <w:rFonts w:ascii="Cambria Math" w:eastAsia="Times New Roman" w:hAnsi="Cambria Math" w:cs="Cambria Math"/>
          <w:color w:val="000000"/>
          <w:sz w:val="24"/>
          <w:szCs w:val="24"/>
        </w:rPr>
        <w:instrText>∼</w:instrText>
      </w:r>
      <w:r w:rsidR="007A5F81">
        <w:rPr>
          <w:rFonts w:ascii="Times New Roman" w:eastAsia="Times New Roman" w:hAnsi="Times New Roman" w:cs="Times New Roman"/>
          <w:color w:val="000000"/>
          <w:sz w:val="24"/>
          <w:szCs w:val="24"/>
        </w:rPr>
        <w:instrText xml:space="preserve">29%), E- and Z-2-ethylhexyl 4-methoxycinnamate (EHMC, </w:instrText>
      </w:r>
      <w:r w:rsidR="007A5F81">
        <w:rPr>
          <w:rFonts w:ascii="Cambria Math" w:eastAsia="Times New Roman" w:hAnsi="Cambria Math" w:cs="Cambria Math"/>
          <w:color w:val="000000"/>
          <w:sz w:val="24"/>
          <w:szCs w:val="24"/>
        </w:rPr>
        <w:instrText>∼</w:instrText>
      </w:r>
      <w:r w:rsidR="007A5F81">
        <w:rPr>
          <w:rFonts w:ascii="Times New Roman" w:eastAsia="Times New Roman" w:hAnsi="Times New Roman" w:cs="Times New Roman"/>
          <w:color w:val="000000"/>
          <w:sz w:val="24"/>
          <w:szCs w:val="24"/>
        </w:rPr>
        <w:instrText>17%). Ambient air (gas + particle phase) concentrations of organic UV-filters showed a strong seasonality, with peak levels during the summer. An analysis of Clausius-Clapeyron slopes indicated that much of the ambient burden of organic UV-filters are explained by volatilization from terrestrial and aquatic surfaces and supplemented with human activities and use of lotions and sunscreens, containing organic UV-filters, in addition to its use in plastics, textiles, paints, and pesticides. The results showed that organic UV-filters exist mainly in the gas phase with some exceptions, for instance, octocrylene (OCR), which was associated with both gas and particle phases, and avobenzone (AVB), which was predominantly in the particle phase. Lastly, this study revealed the need for basic physical chemical property data for organic UV-filters, including information on transformation rates and products, for better evaluating their environmental fate and effects.","author":[{"dropping-particle":"","family":"Pegoraro","given":"César N.","non-dropping-particle":"","parse-names":false,"suffix":""},{"dropping-particle":"","family":"Harner","given":"Tom","non-dropping-particle":"","parse-names":false,"suffix":""},{"dropping-particle":"","family":"Su","given":"Ky","non-dropping-particle":"","parse-names":false,"suffix":""},{"dropping-particle":"","family":"Ahrens","given":"Lutz","non-dropping-particle":"","parse-names":false,"suffix":""}],"container-title":"Environmental science &amp; technology","id":"ITEM-1","issue":"20","issued":{"date-parts":[["2020"]]},"page":"12881-12889","title":"Occurrence and Gas-Particle Partitioning of Organic UV-Filters in Urban Air","type":"article-journal","volume":"54"},"uris":["http://www.mendeley.com/documents/?uuid=deedf208-49ac-4adb-86d6-2d743493b7f3"]},{"id":"ITEM-2","itemData":{"DOI":"10.1016/j.chroma.2008.06.041","ISSN":"00219673","PMID":"18632108","abstract":"A new sensitive method has been successfully developed and validated for the simultaneous determination and quantification of nine estrogenic UV filters (benzophenone-1, benzophenone-2, benzophenone-3, benzophenone-4, 4,4-dihydroxybenzophenone, ethyl-4-aminobenzoate, 2-ethyl-hexyl-4-trimethoxycinnamate, 3-(4-methylbenzylidene)-camphor, 3-benzylidene-camphor) in different environmental matrices. After optimisation of extraction conditions for the best recovery of polar to lipophilic compounds from fish tissue and a subsequent lipid clean-up in HPLC, fish extraction recoveries exceeded 72% for all nine UV filters. Identification and quantification of compounds was performed for lipophilic UV filters with gas chromatography-electroionisation-mass spectrometry and for polar and mid-polar compounds with liquid chromatography coupled to electrospray ionisation mass spectrometry. Instrumental detection limits (IDL) varied between 5 and 260 pg injected and method detection limits (MDL) were in the low ng/g lipids range for all test compounds. The described analytical methods are shown to be useful to screen for estrogenic UV filters in environmental samples such as fish and polar organic chemical integrative samplers. © 2008 Elsevier B.V. All rights reserved.","author":[{"dropping-particle":"","family":"Zenker","given":"Armin","non-dropping-particle":"","parse-names":false,"suffix":""},{"dropping-particle":"","family":"Schmutz","given":"Hansruedi","non-dropping-particle":"","parse-names":false,"suffix":""},{"dropping-particle":"","family":"Fent","given":"Karl","non-dropping-particle":"","parse-names":false,"suffix":""}],"container-title":"Journal of Chromatography A","id":"ITEM-2","issue":"1","issued":{"date-parts":[["2008"]]},"page":"64-74","title":"Simultaneous trace determination of nine organic UV-absorbing compounds (UV filters) in environmental samples","type":"article-journal","volume":"1202"},"uris":["http://www.mendeley.com/documents/?uuid=5ef027f9-6c7e-4d9f-9c36-d8c88217da3f","http://www.mendeley.com/documents/?uuid=eb4ba909-a842-47cd-84c9-aaa83e89d560"]}],"mendeley":{"formattedCitation":"[15,16]","plainTextFormattedCitation":"[15,16]","previouslyFormattedCitation":"&lt;sup&gt;15,16&lt;/sup&gt;"},"properties":{"noteIndex":0},"schema":"https://github.com/citation-style-language/schema/raw/master/csl-citation.json"}</w:instrText>
      </w:r>
      <w:r w:rsidR="005D17A3">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[15,16]</w:t>
      </w:r>
      <w:r w:rsidR="005D17A3">
        <w:rPr>
          <w:rFonts w:ascii="Times New Roman" w:eastAsia="Times New Roman" w:hAnsi="Times New Roman" w:cs="Times New Roman"/>
          <w:color w:val="000000"/>
          <w:sz w:val="24"/>
          <w:szCs w:val="24"/>
        </w:rPr>
        <w:fldChar w:fldCharType="end"/>
      </w:r>
      <w:r w:rsidRPr="006562E1">
        <w:rPr>
          <w:rFonts w:ascii="Times New Roman" w:eastAsia="Times New Roman" w:hAnsi="Times New Roman" w:cs="Times New Roman"/>
          <w:color w:val="000000"/>
          <w:sz w:val="24"/>
          <w:szCs w:val="24"/>
        </w:rPr>
        <w:t>. EHMC is authorized by the European Union for use in all cosmetics products up to 10%, and it is a high production volume substance (supply in EU &gt; 1000 tonnes/year) (echa.europa.eu)</w:t>
      </w:r>
      <w:r w:rsidR="005D17A3">
        <w:rPr>
          <w:rFonts w:ascii="Times New Roman" w:eastAsia="Times New Roman" w:hAnsi="Times New Roman" w:cs="Times New Roman"/>
          <w:color w:val="000000"/>
          <w:sz w:val="24"/>
          <w:szCs w:val="24"/>
        </w:rPr>
        <w:t xml:space="preserve"> </w:t>
      </w:r>
      <w:r w:rsidR="005D17A3">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{"citationItems":[{"id":"ITEM-1","itemData":{"ISBN":"9781844329687","abstract":"UV-filters are used in a wide range of products, such as plastics, rubber and cosmetics, including sunscreens. Their function is to prevent or limit damage following exposure to ultraviolet (UV) light. Recent research suggests that some of these substances might be able to interfere with endocrine systems. Given their ubiquity in society, the Environment Agency commissioned this screening project to identify whether any of these substances might be priorities for a more in-depth environmental hazard or risk assessment.\\n\\nA brief survey of the uses, environmental fate, behaviour and effects of UV-filters has been undertaken, particularly concentrating on those substances that are permitted for use in sunscreens under the Cosmetic Products (Safety) Regulations 2008 and Annex VII of Directive 76/768/EEC. Only very limited information was available and the chemical identity is unclear for some substances. The UV-filters were screened using a combination of potential environmental risk (based on a simple scenario), potential PBT (persistent, bioaccumulative and toxic) and vPvB (very persistent and very bioaccumulative) properties and evidence of endocrine disruption potential. The highest priority substances for further assessment are detailed below.\\n\\nCAS No Name\\n118-56-9 Homosalate*\\n118-60-5 Ethylhexyl salicylate\\n131-57-7 Benzophenone-3\\n5466-77-3 Ethylhexyl methoxycinnamate\\n6197-30-4 Octocrylene\\n15087-24-8 3-Benzylidene camphor*\\n21245-02-3 Ethylhexyl dimethyl PABA*\\n36861-47-9/38102-62-4 4-Methylbenzylidene camphor*\\n70356-09-1 Butylmethoxydibenzoylmethane\\n71617-10-2 Isoamyl 4-p-methoxycinnamate\\n\\n* Concern indicated for all three areas – risk, PBT/vPvB and endocrine disruption.\\n\\nThe overall priority will depend on the tonnage currently being supplied, and this information is not publicly available (there is only a broad indication of supply levels from the early 1990s). However, ethylhexyl methoxycinnamate is believed to be supplied at above 1,000 tonnes/year. A number of similar substances were notified under the Notification of New Substances Regulations (1993) and there may be some potential for grouping or read-across approaches to be developed as part of any further assessment. More information is also needed on the properties of the nano-particulate form of titanium dioxide (CAS No 13463-67-7).\\n\\nFurther investigation of hazard and risk can only be made in co-operation with the suppliers and their downstream users. This issue should be…","author":[{"dropping-particle":"","family":"Brooke","given":"D N","non-dropping-particle":"","parse-names":false,"suffix":""},{"dropping-particle":"","family":"Burns","given":"J S","non-dropping-particle":"","parse-names":false,"suffix":""},{"dropping-particle":"","family":"Crookes","given":"M J","non-dropping-particle":"","parse-names":false,"suffix":""}],"container-title":"Environment Agency","id":"ITEM-1","issued":{"date-parts":[["2008"]]},"number-of-pages":"112","title":"UV-filters in cosmetics – prioritisation for environmental assessment","type":"book"},"uris":["http://www.mendeley.com/documents/?uuid=0e7661f2-6b61-4b62-9e22-b78ecd7d9ad1","http://www.mendeley.com/documents/?uuid=13d79194-4724-4376-8516-8fae302f3678"]}],"mendeley":{"formattedCitation":"[17]","plainTextFormattedCitation":"[17]","previouslyFormattedCitation":"&lt;sup&gt;17&lt;/sup&gt;"},"properties":{"noteIndex":0},"schema":"https://github.com/citation-style-language/schema/raw/master/csl-citation.json"}</w:instrText>
      </w:r>
      <w:r w:rsidR="005D17A3">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[17]</w:t>
      </w:r>
      <w:r w:rsidR="005D17A3">
        <w:rPr>
          <w:rFonts w:ascii="Times New Roman" w:eastAsia="Times New Roman" w:hAnsi="Times New Roman" w:cs="Times New Roman"/>
          <w:color w:val="000000"/>
          <w:sz w:val="24"/>
          <w:szCs w:val="24"/>
        </w:rPr>
        <w:fldChar w:fldCharType="end"/>
      </w:r>
      <w:r w:rsidRPr="006562E1">
        <w:rPr>
          <w:rFonts w:ascii="Times New Roman" w:eastAsia="Times New Roman" w:hAnsi="Times New Roman" w:cs="Times New Roman"/>
          <w:color w:val="000000"/>
          <w:sz w:val="24"/>
          <w:szCs w:val="24"/>
        </w:rPr>
        <w:t xml:space="preserve">. In the USA authorized concentrations are 7.5% </w:t>
      </w:r>
      <w:r w:rsidR="005D17A3">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{"citationItems":[{"id":"ITEM-1","itemData":{"DOI":"10.1007/s11356-018-1796-6","ISSN":"16147499","PMID":"29594898","abstract":"The organic UV filters, commonly used in personal protection products, are of concern because of their potential risk to aquatic ecosystems and living organisms. One of UV filters is ethylhexyl-4-methoxycinnamate (EHMC) acid. Studies have shown that, in the presence of oxidizing and chlorinating factors, EHMC forms a series of products with different properties than the substrate. In this study, the toxicities of EHMC and its transformation/degradation products formed under the influence of NaOCl/UV and H2O2/UV systems in the water medium were tested using Microtox® bioassay and by observation of mortality of juvenile crustaceans Daphnia magna and Artemia Salina. We have observed that oxidation and chlorination products of EHMC show significantly higher toxicity than EHMC alone. The toxicity of chemicals is related to their physicochemical characteristic such as lipophilicity and substituent groups. With the increase in lipophilicity of products, expressed as log KOW, the toxicity (EC50) increases. On the basis of physicochemical properties such as vapour pressure (VP), solubility (S), octanol-water partition coefficient (KOW), bioconcentration factor (BCF) and half-lives, the overall persistence (POV) and long-range transport potential (LRTP) of all the products and EHMC were calculated. It was shown that the most persistent and traveling on the long distances in environment are methoxyphenol chloroderivatives, then methoxybenzene chloroderivatives, EHMC chloroderivatives, methoxybenzaldehyde chloroderivatives and methoxycinnamate acid chloroderivatives. These compounds are also characterised by high toxicity.","author":[{"dropping-particle":"","family":"Gackowska","given":"Alicja","non-dropping-particle":"","parse-names":false,"suffix":""},{"dropping-particle":"","family":"Studziński","given":"Waldemar","non-dropping-particle":"","parse-names":false,"suffix":""},{"dropping-particle":"","family":"Kudlek","given":"Edyta","non-dropping-particle":"","parse-names":false,"suffix":""},{"dropping-particle":"","family":"Dudziak","given":"Mariusz","non-dropping-particle":"","parse-names":false,"suffix":""},{"dropping-particle":"","family":"Gaca","given":"Jerzy","non-dropping-particle":"","parse-names":false,"suffix":""}],"container-title":"Environmental Science and Pollution Research","id":"ITEM-1","issue":"16","issued":{"date-parts":[["2018"]]},"page":"16037-16049","title":"Estimation of physicochemical properties of 2-ethylhexyl-4-methoxycinnamate (EHMC) degradation products and their toxicological evaluation","type":"article-journal","volume":"25"},"uris":["http://www.mendeley.com/documents/?uuid=ada76b1e-bcf7-4a29-89ab-e556077c4097","http://www.mendeley.com/documents/?uuid=224ccd5a-274c-4b1e-a0f5-884e21ae3ff7"]}],"mendeley":{"formattedCitation":"[18]","plainTextFormattedCitation":"[18]","previouslyFormattedCitation":"&lt;sup&gt;18&lt;/sup&gt;"},"properties":{"noteIndex":0},"schema":"https://github.com/citation-style-language/schema/raw/master/csl-citation.json"}</w:instrText>
      </w:r>
      <w:r w:rsidR="005D17A3">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[18]</w:t>
      </w:r>
      <w:r w:rsidR="005D17A3">
        <w:rPr>
          <w:rFonts w:ascii="Times New Roman" w:eastAsia="Times New Roman" w:hAnsi="Times New Roman" w:cs="Times New Roman"/>
          <w:color w:val="000000"/>
          <w:sz w:val="24"/>
          <w:szCs w:val="24"/>
        </w:rPr>
        <w:fldChar w:fldCharType="end"/>
      </w:r>
      <w:r w:rsidRPr="006562E1">
        <w:rPr>
          <w:rFonts w:ascii="Times New Roman" w:eastAsia="Times New Roman" w:hAnsi="Times New Roman" w:cs="Times New Roman"/>
          <w:color w:val="000000"/>
          <w:sz w:val="24"/>
          <w:szCs w:val="24"/>
        </w:rPr>
        <w:t>. EHMC was included in the 1st Watch List of potential water pollutants under the Environmental Quality Standards Directive of the European Union, and it is currently under assessment for environmental risk and endocrine disruption</w:t>
      </w:r>
      <w:r w:rsidR="005D17A3">
        <w:rPr>
          <w:rFonts w:ascii="Times New Roman" w:eastAsia="Times New Roman" w:hAnsi="Times New Roman" w:cs="Times New Roman"/>
          <w:color w:val="000000"/>
          <w:sz w:val="24"/>
          <w:szCs w:val="24"/>
        </w:rPr>
        <w:t xml:space="preserve"> </w:t>
      </w:r>
      <w:r w:rsidR="005D17A3">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{"citationItems":[{"id":"ITEM-1","itemData":{"DOI":"10.2760/194067","ISBN":"9789276194262","abstract":"JRC Technical Report, the European Commission's science and knowledge service. It aims to provide evidence-based scientific support to the European policymaking process. The scientific output expressed does not imply a policy position of the European Commission. The 1st Watch List (WL) was established by the Commission Implementing Decision (EU) 2015/4951 in March 2015. The list was updated in June 2018 by the Commission Implementing Decision (EU) 2018/8402 . During that update, the Commission concluded that the substances diclofenac, oxadiazon, 2,6-di-tert-butyl-4- methylphenol, tri-allate and 2-ethylhexyl-4-methoxycinnamate should be removed from the WL, while the insecticide metaflumizone and the antibiotics amoxicillin and ciprofloxacin should be included (EU 2018/8402 ). The period of continuous monitoring for any WL substance should not exceed four years (Article 8b in Directive 2008/105/EC3 as amended by Directive 2013/39/EU4). Thus, by the end of the 4th reporting year for the WL (2019) the substances in the 1st WL should have been removed and a maximum of 12 substances or groups of substances may be listed in the 3rd WL. However, the three substances included during the first WL update (EU 2018/8402) should be carried over to the 3rd WL to ensure that enough high-quality monitoring data are collected for their risk assessment.","author":[{"dropping-particle":"","family":"Cortes","given":"Livia Gomez","non-dropping-particle":"","parse-names":false,"suffix":""},{"dropping-particle":"","family":"Marinov","given":"Dimitar","non-dropping-particle":"","parse-names":false,"suffix":""},{"dropping-particle":"","family":"Sanseverino","given":"Isabella","non-dropping-particle":"","parse-names":false,"suffix":""},{"dropping-particle":"","family":"Cuenca","given":"Anna Navarro","non-dropping-particle":"","parse-names":false,"suffix":""},{"dropping-particle":"","family":"Niegowska","given":"Magdalena","non-dropping-particle":"","parse-names":false,"suffix":""},{"dropping-particle":"","family":"Rodriguez","given":"Elena Porcel","non-dropping-particle":"","parse-names":false,"suffix":""},{"dropping-particle":"","family":"Lettieri","given":"Teresa","non-dropping-particle":"","parse-names":false,"suffix":""}],"id":"ITEM-1","issued":{"date-parts":[["2020"]]},"number-of-pages":"239","title":"JRC Technical Report: Selection of substances for the 3rd Watch List under WFD","type":"book"},"uris":["http://www.mendeley.com/documents/?uuid=c3847d78-304e-40c1-ac46-0e7e50abb9b9","http://www.mendeley.com/documents/?uuid=165a2d7d-53ac-4260-8627-13915b73072b"]},{"id":"ITEM-2","itemData":{"DOI":"10.2788/101376","ISBN":"9789279462009","ISSN":"1831-9424","abstract":"According to Directive 2008/105/EC (the Environmental Quality Standards Directive, EQSD), a new mechanism is needed to provide high-quality monitoring information on the concentrations of polluting substances in the aquatic environment across the EU. The aim of this mechanism is to support the identification of priority substances for regulation under the Water Framework Directive. A restricted number of substances (up to 10) are to be included in a dynamic Watch List, remaining there for limited time. Three compounds, i.e. diclofenac, 17-beta-estradiol (E2), and 17-alpha-ethinylestradiol (EE2) have already been identified for inclusion in the first Watch List, for the specific purpose of better informing the determination of suitable risk reduction measures. Therefore, up to seven additional substances should be identified for inclusion. This report describes the procedure to identify a short-list of substances, based on the suspected risk to or via the aquatic environment, as well as on the unavailability of sufficient monitoring data or data of sufficient quality to identify the risk posed by those substances, and to prioritise them at EU level. From the short-list, seven additional substances are proposed for inclusion in the first Watch List.","author":[{"dropping-particle":"","family":"Negrao de Carvalho","given":"Raquel","non-dropping-particle":"","parse-names":false,"suffix":""},{"dropping-particle":"","family":"Ceriani","given":"Lidia","non-dropping-particle":"","parse-names":false,"suffix":""},{"dropping-particle":"","family":"Ippolito","given":"Alessio","non-dropping-particle":"","parse-names":false,"suffix":""},{"dropping-particle":"","family":"Lettieri","given":"Theresa","non-dropping-particle":"","parse-names":false,"suffix":""}],"container-title":"Publications Office of the European Union","id":"ITEM-2","issued":{"date-parts":[["2015"]]},"number-of-pages":"1-168","title":"JRC Technical report: Development of the first Watch List under the Environmental Quality Standards Directive","type":"book"},"uris":["http://www.mendeley.com/documents/?uuid=96eb869c-4b07-47fc-a90f-145557b94a68"]}],"mendeley":{"formattedCitation":"[14,19]","plainTextFormattedCitation":"[14,19]","previouslyFormattedCitation":"&lt;sup&gt;14,19&lt;/sup&gt;"},"properties":{"noteIndex":0},"schema":"https://github.com/citation-style-language/schema/raw/master/csl-citation.json"}</w:instrText>
      </w:r>
      <w:r w:rsidR="005D17A3">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[14,19]</w:t>
      </w:r>
      <w:r w:rsidR="005D17A3">
        <w:rPr>
          <w:rFonts w:ascii="Times New Roman" w:eastAsia="Times New Roman" w:hAnsi="Times New Roman" w:cs="Times New Roman"/>
          <w:color w:val="000000"/>
          <w:sz w:val="24"/>
          <w:szCs w:val="24"/>
        </w:rPr>
        <w:fldChar w:fldCharType="end"/>
      </w:r>
      <w:r w:rsidRPr="006562E1">
        <w:rPr>
          <w:rFonts w:ascii="Times New Roman" w:eastAsia="Times New Roman" w:hAnsi="Times New Roman" w:cs="Times New Roman"/>
          <w:color w:val="000000"/>
          <w:sz w:val="24"/>
          <w:szCs w:val="24"/>
        </w:rPr>
        <w:t>. The bioavailability of EHMC was observed by</w:t>
      </w:r>
      <w:r w:rsidR="005D17A3">
        <w:rPr>
          <w:rFonts w:ascii="Times New Roman" w:eastAsia="Times New Roman" w:hAnsi="Times New Roman" w:cs="Times New Roman"/>
          <w:color w:val="000000"/>
          <w:sz w:val="24"/>
          <w:szCs w:val="24"/>
        </w:rPr>
        <w:t xml:space="preserve"> </w:t>
      </w:r>
      <w:r w:rsidR="005D17A3">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{"citationItems":[{"id":"ITEM-1","itemData":{"DOI":"10.1016/j.envpol.2011.12.014","ISSN":"02697491","PMID":"22325435","abstract":"Chemical UV filters are used in sun protection and personal care products in order to protect consumers from skin cancer induced by ultraviolet (UV) radiation. The present study aims to evaluate the effects of three common UV filters butyl-methoxydibenzoylmethane (B-MDM) ethylhexyl-methoxycinnamate (EHMC) and octocrylene (OCR) on aquatic organism, focussing particularly on infaunal and epibentic invertebrates (Chironomus riparius, Lumbriculus variegatus, Melanoides tuberculata and Potamopyrgus antipodarum). Due to their life habits, these organism are especially affected by lipophilic substances. Additionally, two direct sediment contact assays utilising zebra fish (Danio rerio) embryos and bacteria (Arthrobacter globiformis) were conducted. EHMC caused a toxic effect on reproduction in both snails with lowest observed effect concentrations (LOEC) of 0.4 mg/kg (Potamopyrgus antipodarum) and 10 mg/kg (Melanoides tuberculata). At high concentrations sublethal effects could be observed for D. rerio after exposure to EHMC (NOEC 100 mg/kg). B-MDM and OCR showed no effects on any of the tested organism. © 2011 Elsevier Ltd. All rights reserved.","author":[{"dropping-particle":"","family":"Kaiser","given":"D","non-dropping-particle":"","parse-names":false,"suffix":""},{"dropping-particle":"","family":"Sieratowicz","given":"A","non-dropping-particle":"","parse-names":false,"suffix":""},{"dropping-particle":"","family":"Zielke","given":"H","non-dropping-particle":"","parse-names":false,"suffix":""},{"dropping-particle":"","family":"Oetken","given":"M","non-dropping-particle":"","parse-names":false,"suffix":""},{"dropping-particle":"","family":"Hollert","given":"H","non-dropping-particle":"","parse-names":false,"suffix":""},{"dropping-particle":"","family":"Oehlmann","given":"J","non-dropping-particle":"","parse-names":false,"suffix":""}],"container-title":"Environmental Pollution","id":"ITEM-1","issued":{"date-parts":[["2012"]]},"page":"84-90","publisher":"Elsevier Ltd","title":"Ecotoxicological effect characterisation of widely used organic UV filters","type":"article-journal","volume":"163"},"uris":["http://www.mendeley.com/documents/?uuid=32fab578-6185-4054-8ff5-2ee5de6a6f7c","http://www.mendeley.com/documents/?uuid=a1fe85f9-9e44-4327-8235-20773ce12dba"]}],"mendeley":{"formattedCitation":"[20]","manualFormatting":"Kaiser et al. (2012)","plainTextFormattedCitation":"[20]","previouslyFormattedCitation":"&lt;sup&gt;20&lt;/sup&gt;"},"properties":{"noteIndex":0},"schema":"https://github.com/citation-style-language/schema/raw/master/csl-citation.json"}</w:instrText>
      </w:r>
      <w:r w:rsidR="005D17A3">
        <w:rPr>
          <w:rFonts w:ascii="Times New Roman" w:eastAsia="Times New Roman" w:hAnsi="Times New Roman" w:cs="Times New Roman"/>
          <w:color w:val="000000"/>
          <w:sz w:val="24"/>
          <w:szCs w:val="24"/>
        </w:rPr>
        <w:fldChar w:fldCharType="separate"/>
      </w:r>
      <w:r w:rsidR="005D17A3" w:rsidRPr="005D17A3">
        <w:rPr>
          <w:rFonts w:ascii="Times New Roman" w:eastAsia="Times New Roman" w:hAnsi="Times New Roman" w:cs="Times New Roman"/>
          <w:noProof/>
          <w:color w:val="000000"/>
          <w:sz w:val="24"/>
          <w:szCs w:val="24"/>
        </w:rPr>
        <w:t xml:space="preserve">Kaiser et al. </w:t>
      </w:r>
      <w:r w:rsidR="005D17A3">
        <w:rPr>
          <w:rFonts w:ascii="Times New Roman" w:eastAsia="Times New Roman" w:hAnsi="Times New Roman" w:cs="Times New Roman"/>
          <w:noProof/>
          <w:color w:val="000000"/>
          <w:sz w:val="24"/>
          <w:szCs w:val="24"/>
        </w:rPr>
        <w:t>(</w:t>
      </w:r>
      <w:r w:rsidR="005D17A3" w:rsidRPr="005D17A3">
        <w:rPr>
          <w:rFonts w:ascii="Times New Roman" w:eastAsia="Times New Roman" w:hAnsi="Times New Roman" w:cs="Times New Roman"/>
          <w:noProof/>
          <w:color w:val="000000"/>
          <w:sz w:val="24"/>
          <w:szCs w:val="24"/>
        </w:rPr>
        <w:t>2012)</w:t>
      </w:r>
      <w:r w:rsidR="005D17A3">
        <w:rPr>
          <w:rFonts w:ascii="Times New Roman" w:eastAsia="Times New Roman" w:hAnsi="Times New Roman" w:cs="Times New Roman"/>
          <w:color w:val="000000"/>
          <w:sz w:val="24"/>
          <w:szCs w:val="24"/>
        </w:rPr>
        <w:fldChar w:fldCharType="end"/>
      </w:r>
      <w:r w:rsidRPr="006562E1">
        <w:rPr>
          <w:rFonts w:ascii="Times New Roman" w:eastAsia="Times New Roman" w:hAnsi="Times New Roman" w:cs="Times New Roman"/>
          <w:color w:val="000000"/>
          <w:sz w:val="24"/>
          <w:szCs w:val="24"/>
        </w:rPr>
        <w:t xml:space="preserve"> and a recent study showed that it affects the thyroid hormonal </w:t>
      </w:r>
      <w:r w:rsidR="005D17A3" w:rsidRPr="006562E1">
        <w:rPr>
          <w:rFonts w:ascii="Times New Roman" w:eastAsia="Times New Roman" w:hAnsi="Times New Roman" w:cs="Times New Roman"/>
          <w:color w:val="000000"/>
          <w:sz w:val="24"/>
          <w:szCs w:val="24"/>
        </w:rPr>
        <w:t>balance,</w:t>
      </w:r>
      <w:r w:rsidRPr="006562E1">
        <w:rPr>
          <w:rFonts w:ascii="Times New Roman" w:eastAsia="Times New Roman" w:hAnsi="Times New Roman" w:cs="Times New Roman"/>
          <w:color w:val="000000"/>
          <w:sz w:val="24"/>
          <w:szCs w:val="24"/>
        </w:rPr>
        <w:t xml:space="preserve"> and it can influence gene transcription in fishes</w:t>
      </w:r>
      <w:r w:rsidR="005D17A3">
        <w:rPr>
          <w:rFonts w:ascii="Times New Roman" w:eastAsia="Times New Roman" w:hAnsi="Times New Roman" w:cs="Times New Roman"/>
          <w:color w:val="000000"/>
          <w:sz w:val="24"/>
          <w:szCs w:val="24"/>
        </w:rPr>
        <w:t xml:space="preserve"> </w:t>
      </w:r>
      <w:r w:rsidR="005D17A3">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{"citationItems":[{"id":"ITEM-1","itemData":{"DOI":"10.1016/j.chemosphere.2020.128176","ISSN":"18791298","PMID":"33297144","abstract":"One of the most widely used UV filters, 2-ethylhexyl-4-methoxycinnamate (EHMC), has been widely detected in the environment. While its endocrine disruption potential has often been reported, toxicological information on EHMC is limited. This study was conducted to determine the thyroid, neurological and renal toxicity potentials of EHMC in adult male and embryo-larval zebrafish (Danio rerio). Following 21 d of exposure, plasma T3 concentration decreased in a concentration-dependent manner in adult zebrafish. Several genes related to thyroid hormone regulation were also downregulated in the brain, thyroid, and liver of the adult fish. In addition, upregulation of syn2a in the brain and downregulation of podocin and wt1a in the kidney were observed following the exposure in adult fish. In zebrafish larvae, following 120 h exposure to EHMC, whole-body T3 and T4 contents decreased, and thyroid hormone-related genes were downregulated. However, several genes showed different patterns of transcription in the larvae; for example, mbp and etv1 genes were downregulated and podocin was upregulated. Unlike adult fish, the larval fish showed significant genetic changes related to neurotoxicity. The hypothyroidism induced in the larval fish by the exposure might be potentially associated with the neurotoxic potential of EHMC. The implications of the observed hormonal and transcriptional-level changes in zebrafish at different life stages following long-term exposure warrant further investigation.","author":[{"dropping-particle":"","family":"Chu","given":"Seoyoon","non-dropping-particle":"","parse-names":false,"suffix":""},{"dropping-particle":"","family":"Kwon","given":"Ba Reum","non-dropping-particle":"","parse-names":false,"suffix":""},{"dropping-particle":"","family":"Lee","given":"Young Min","non-dropping-particle":"","parse-names":false,"suffix":""},{"dropping-particle":"","family":"Zoh","given":"Kyung Duk","non-dropping-particle":"","parse-names":false,"suffix":""},{"dropping-particle":"","family":"Choi","given":"Kyungho","non-dropping-particle":"","parse-names":false,"suffix":""}],"container-title":"Chemosphere","id":"ITEM-1","issued":{"date-parts":[["2021"]]},"page":"128176","publisher":"Elsevier Ltd","title":"Effects of 2-ethylhexyl-4-methoxycinnamate (EHMC) on thyroid hormones and genes associated with thyroid, neurotoxic, and nephrotoxic responses in adult and larval zebrafish (Danio rerio)","type":"article-journal","volume":"263"},"uris":["http://www.mendeley.com/documents/?uuid=761cda3e-3701-4564-b1eb-f0a8be5826e4","http://www.mendeley.com/documents/?uuid=2fbf36d6-fdd9-4cf8-a02d-ffe5cdfd4293"]}],"mendeley":{"formattedCitation":"[21]","plainTextFormattedCitation":"[21]","previouslyFormattedCitation":"&lt;sup&gt;21&lt;/sup&gt;"},"properties":{"noteIndex":0},"schema":"https://github.com/citation-style-language/schema/raw/master/csl-citation.json"}</w:instrText>
      </w:r>
      <w:r w:rsidR="005D17A3">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[21]</w:t>
      </w:r>
      <w:r w:rsidR="005D17A3">
        <w:rPr>
          <w:rFonts w:ascii="Times New Roman" w:eastAsia="Times New Roman" w:hAnsi="Times New Roman" w:cs="Times New Roman"/>
          <w:color w:val="000000"/>
          <w:sz w:val="24"/>
          <w:szCs w:val="24"/>
        </w:rPr>
        <w:fldChar w:fldCharType="end"/>
      </w:r>
      <w:r w:rsidRPr="006562E1">
        <w:rPr>
          <w:rFonts w:ascii="Times New Roman" w:eastAsia="Times New Roman" w:hAnsi="Times New Roman" w:cs="Times New Roman"/>
          <w:color w:val="000000"/>
          <w:sz w:val="24"/>
          <w:szCs w:val="24"/>
        </w:rPr>
        <w:t xml:space="preserve">. </w:t>
      </w:r>
      <w:r w:rsidR="00663EA2" w:rsidRPr="00663EA2">
        <w:rPr>
          <w:rFonts w:ascii="Times New Roman" w:eastAsia="Times New Roman" w:hAnsi="Times New Roman" w:cs="Times New Roman"/>
          <w:color w:val="000000"/>
          <w:sz w:val="24"/>
          <w:szCs w:val="24"/>
        </w:rPr>
        <w:t>The p</w:t>
      </w:r>
      <w:r w:rsidR="00663EA2" w:rsidRPr="00663EA2">
        <w:rPr>
          <w:rFonts w:ascii="Times New Roman" w:eastAsia="Times New Roman" w:hAnsi="Times New Roman" w:cs="Times New Roman"/>
          <w:sz w:val="24"/>
          <w:szCs w:val="24"/>
        </w:rPr>
        <w:t>hysicochemical properties of EHMC are reported</w:t>
      </w:r>
      <w:r w:rsidR="00663EA2">
        <w:rPr>
          <w:rFonts w:ascii="Times New Roman" w:eastAsia="Times New Roman" w:hAnsi="Times New Roman" w:cs="Times New Roman"/>
          <w:sz w:val="24"/>
          <w:szCs w:val="24"/>
        </w:rPr>
        <w:t xml:space="preserve"> in Table 1.</w:t>
      </w:r>
    </w:p>
    <w:p w14:paraId="0CB880DF" w14:textId="79A5E59D" w:rsidR="000E27EE" w:rsidRDefault="00E32CE2" w:rsidP="006562E1">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w:t>
      </w:r>
      <w:r w:rsidR="006562E1" w:rsidRPr="006562E1">
        <w:rPr>
          <w:rFonts w:ascii="Times New Roman" w:eastAsia="Times New Roman" w:hAnsi="Times New Roman" w:cs="Times New Roman"/>
          <w:color w:val="000000"/>
          <w:sz w:val="24"/>
          <w:szCs w:val="24"/>
        </w:rPr>
        <w:t xml:space="preserve">ersonal care products are </w:t>
      </w:r>
      <w:r w:rsidR="00910F9A">
        <w:rPr>
          <w:rFonts w:ascii="Times New Roman" w:eastAsia="Times New Roman" w:hAnsi="Times New Roman" w:cs="Times New Roman"/>
          <w:color w:val="000000"/>
          <w:sz w:val="24"/>
          <w:szCs w:val="24"/>
        </w:rPr>
        <w:t xml:space="preserve">considered </w:t>
      </w:r>
      <w:r w:rsidR="006562E1" w:rsidRPr="006562E1">
        <w:rPr>
          <w:rFonts w:ascii="Times New Roman" w:eastAsia="Times New Roman" w:hAnsi="Times New Roman" w:cs="Times New Roman"/>
          <w:color w:val="000000"/>
          <w:sz w:val="24"/>
          <w:szCs w:val="24"/>
        </w:rPr>
        <w:t>not highly mobile, and their presence is usually associated with manufacturing sites and urban sources such as wastewater discharges</w:t>
      </w:r>
      <w:r w:rsidR="005D17A3">
        <w:rPr>
          <w:rFonts w:ascii="Times New Roman" w:eastAsia="Times New Roman" w:hAnsi="Times New Roman" w:cs="Times New Roman"/>
          <w:color w:val="000000"/>
          <w:sz w:val="24"/>
          <w:szCs w:val="24"/>
        </w:rPr>
        <w:t xml:space="preserve"> </w:t>
      </w:r>
      <w:r w:rsidR="00E031CA">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{"citationItems":[{"id":"ITEM-1","itemData":{"DOI":"10.1289/ehp.1104477","ISSN":"15529924","PMID":"22647657","abstract":"Background: Over the past 10-15 years, a substantial amount of work has been done by the scientific, regulatory, and business communities to elucidate the effects and risks of pharmaceuticals and personal care products (PPCPs) in the environment. Objective: This review was undertaken to identify key outstanding issues regarding the effects of PPCPs on human and ecological health in order to ensure that future resources will be focused on the most important areas. Data sources: To better understand and manage the risks of PPCPs in the environment, we used the \"key question\" approach to identify the principle issues that need to be addressed. Initially, questions were solicited from academic, government, and business communities around the world. A list of 101 questions was then discussed at an international expert workshop, and a top-20 list was developed. Following the workshop, workshop attendees ranked the 20 questions by importance. Data synthesis: The top 20 priority questions fell into seven categories: a) prioritization of substances for assessment, b) pathways of exposure, c) bioavailability and uptake, d) effects characterization, e) risk and relative risk, f) antibiotic resistance, and g) risk management. Conclusions: A large body of information is now available on PPCPs in the environment. This exercise prioritized the most critical questions to aid in development of future research programs on the topic.","author":[{"dropping-particle":"","family":"Boxall","given":"Alistair B.A.","non-dropping-particle":"","parse-names":false,"suffix":""},{"dropping-particle":"","family":"Rudd","given":"Murray A","non-dropping-particle":"","parse-names":false,"suffix":""},{"dropping-particle":"","family":"Brooks","given":"Bryan W","non-dropping-particle":"","parse-names":false,"suffix":""},{"dropping-particle":"","family":"Caldwell","given":"Daniel J","non-dropping-particle":"","parse-names":false,"suffix":""},{"dropping-particle":"","family":"Choi","given":"Kyungho","non-dropping-particle":"","parse-names":false,"suffix":""},{"dropping-particle":"","family":"Hickmann","given":"Silke","non-dropping-particle":"","parse-names":false,"suffix":""},{"dropping-particle":"","family":"Innes","given":"Elizabeth","non-dropping-particle":"","parse-names":false,"suffix":""},{"dropping-particle":"","family":"Ostapyk","given":"Kim","non-dropping-particle":"","parse-names":false,"suffix":""},{"dropping-particle":"","family":"Staveley","given":"Jane P","non-dropping-particle":"","parse-names":false,"suffix":""},{"dropping-particle":"","family":"Verslycke","given":"Tim","non-dropping-particle":"","parse-names":false,"suffix":""},{"dropping-particle":"","family":"Ankley","given":"Gerald T","non-dropping-particle":"","parse-names":false,"suffix":""},{"dropping-particle":"","family":"Beazley","given":"Karen F","non-dropping-particle":"","parse-names":false,"suffix":""},{"dropping-particle":"","family":"Belanger","given":"Scott E.","non-dropping-particle":"","parse-names":false,"suffix":""},{"dropping-particle":"","family":"Berninger","given":"Jason P.","non-dropping-particle":"","parse-names":false,"suffix":""},{"dropping-particle":"","family":"Carriquiriborde","given":"Pedro","non-dropping-particle":"","parse-names":false,"suffix":""},{"dropping-particle":"","family":"Coors","given":"Anja","non-dropping-particle":"","parse-names":false,"suffix":""},{"dropping-particle":"","family":"DeLeo","given":"Paul C.","non-dropping-particle":"","parse-names":false,"suffix":""},{"dropping-particle":"","family":"Dyer","given":"Scott D.","non-dropping-particle":"","parse-names":false,"suffix":""},{"dropping-particle":"","family":"Ericson","given":"Jon F.","non-dropping-particle":"","parse-names":false,"suffix":""},{"dropping-particle":"","family":"Gagné","given":"François","non-dropping-particle":"","parse-names":false,"suffix":""},{"dropping-particle":"","family":"Giesy","given":"John P.","non-dropping-particle":"","parse-names":false,"suffix":""},{"dropping-particle":"","family":"Gouin","given":"Todd","non-dropping-particle":"","parse-names":false,"suffix":""},{"dropping-particle":"","family":"Hallstrom","given":"Lars","non-dropping-particle":"","parse-names":false,"suffix":""},{"dropping-particle":"V.","family":"Karlsson","given":"Maja","non-dropping-particle":"","parse-names":false,"suffix":""},{"dropping-particle":"","family":"Joakim Larsson","given":"D. G.","non-dropping-particle":"","parse-names":false,"suffix":""},{"dropping-particle":"","family":"Lazorchak","given":"James M.","non-dropping-particle":"","parse-names":false,"suffix":""},{"dropping-particle":"","family":"Mastrocco","given":"Frank","non-dropping-particle":"","parse-names":false,"suffix":""},{"dropping-particle":"","family":"McLaughlin","given":"Alison","non-dropping-particle":"","parse-names":false,"suffix":""},{"dropping-particle":"","family":"McMaster","given":"Mark E.","non-dropping-particle":"","parse-names":false,"suffix":""},{"dropping-particle":"","family":"Meyerhoff","given":"Roger D.","non-dropping-particle":"","parse-names":false,"suffix":""},{"dropping-particle":"","family":"Moore","given":"Roberta","non-dropping-particle":"","parse-names":false,"suffix":""},{"dropping-particle":"","family":"Parrott","given":"Joanne L.","non-dropping-particle":"","parse-names":false,"suffix":""},{"dropping-particle":"","family":"Snape","given":"Jason R.","non-dropping-particle":"","parse-names":false,"suffix":""},{"dropping-particle":"","family":"Murray-Smith","given":"Richard","non-dropping-particle":"","parse-names":false,"suffix":""},{"dropping-particle":"","family":"Servos","given":"Mark R.","non-dropping-particle":"","parse-names":false,"suffix":""},{"dropping-particle":"","family":"Sibley","given":"Paul K.","non-dropping-particle":"","parse-names":false,"suffix":""},{"dropping-particle":"","family":"Straub","given":"Jürg Oliver","non-dropping-particle":"","parse-names":false,"suffix":""},{"dropping-particle":"","family":"Szabo","given":"Nora D.","non-dropping-particle":"","parse-names":false,"suffix":""},{"dropping-particle":"","family":"Topp","given":"Edward","non-dropping-particle":"","parse-names":false,"suffix":""},{"dropping-particle":"","family":"Tetreault","given":"Gerald R.","non-dropping-particle":"","parse-names":false,"suffix":""},{"dropping-particle":"","family":"Trudeau","given":"Vance L.","non-dropping-particle":"","parse-names":false,"suffix":""},{"dropping-particle":"","family":"Kraak","given":"Glen","non-dropping-particle":"Van Der","parse-names":false,"suffix":""}],"container-title":"Environmental Health Perspectives","id":"ITEM-1","issue":"9","issued":{"date-parts":[["2012"]]},"page":"1221-1229","title":"Pharmaceuticals and personal care products in the environment: What are the big questions?","type":"article","volume":"120"},"uris":["http://www.mendeley.com/documents/?uuid=7f3dae5e-3df8-4f12-8de7-6db54ffba0d2","http://www.mendeley.com/documents/?uuid=699b69de-e5f9-4dbc-bfea-a5e4cc28f259"]},{"id":"ITEM-2","itemData":{"DOI":"10.1016/j.scitotenv.2021.149003","ISSN":"18791026","PMID":"34274674","abstract":"Protected woodlands are rare and small portions of the plain territory of northern Italy, where agricultural, industrial and urban activities strongly dominate the landscape. Such natural areas are frequently set on river floodplains and are therefore potentially conditioned by the contamination brought by the surface waters. We investigated the occurrence of multiple categories of organic pollutants, including Polycyclic Aromatic Hydrocarbons (PAHs), Musk fragrances, UV-filters, organophosphorus and novel brominated Flame Retardants (FRs) and Total Petroleum Hydrocarbons (TPH) in woodland soils of eight different protected areas. The samples collected in the floodplains of the Po, Adige and Fratta rivers resulted more contaminated, with levels of PAHs up to 633 ng g−1. Moreover, these samples for the first time revealed the presence of personal care products, primarily 2-ethylhexyl-4-methoxycinnamate (EHMC) and tonalide (AHTN), in soils of protected woodlands, reaching respectively 3.4 ng g−1 and 5.0 ng g−1, together with the occurrence of both organophosphorus and brominated FRs, with total concentrations up to 15 ng g−1. Higher concentrations of hydrocarbons, with TPH in the range 5–65 μg g−1, were instead reflecting the inputs of long chain n-alkanes from epicuticular waxes more than petrogenic contamination.","author":[{"dropping-particle":"","family":"Vecchiato","given":"Marco","non-dropping-particle":"","parse-names":false,"suffix":""},{"dropping-particle":"","family":"Bonato","given":"Tiziano","non-dropping-particle":"","parse-names":false,"suffix":""},{"dropping-particle":"","family":"Barbante","given":"Carlo","non-dropping-particle":"","parse-names":false,"suffix":""},{"dropping-particle":"","family":"Gambaro","given":"Andrea","non-dropping-particle":"","parse-names":false,"suffix":""},{"dropping-particle":"","family":"Piazza","given":"Rossano","non-dropping-particle":"","parse-names":false,"suffix":""}],"container-title":"Science of the Total Environment","id":"ITEM-2","issued":{"date-parts":[["2021"]]},"page":"149003","publisher":"Elsevier B.V.","title":"Organic pollutants in protected plain areas: The occurrence of PAHs, musks, UV-filters, flame retardants and hydrocarbons in woodland soils","type":"article-journal","volume":"796"},"uris":["http://www.mendeley.com/documents/?uuid=28fe985f-eaaf-4169-af0f-40c8c01a945e"]}],"mendeley":{"formattedCitation":"[22,23]","plainTextFormattedCitation":"[22,23]","previouslyFormattedCitation":"&lt;sup&gt;22,23&lt;/sup&gt;"},"properties":{"noteIndex":0},"schema":"https://github.com/citation-style-language/schema/raw/master/csl-citation.json"}</w:instrText>
      </w:r>
      <w:r w:rsidR="00E031CA">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[22,23]</w:t>
      </w:r>
      <w:r w:rsidR="00E031CA">
        <w:rPr>
          <w:rFonts w:ascii="Times New Roman" w:eastAsia="Times New Roman" w:hAnsi="Times New Roman" w:cs="Times New Roman"/>
          <w:color w:val="000000"/>
          <w:sz w:val="24"/>
          <w:szCs w:val="24"/>
        </w:rPr>
        <w:fldChar w:fldCharType="end"/>
      </w:r>
      <w:r w:rsidR="006562E1" w:rsidRPr="006562E1">
        <w:rPr>
          <w:rFonts w:ascii="Times New Roman" w:eastAsia="Times New Roman" w:hAnsi="Times New Roman" w:cs="Times New Roman"/>
          <w:color w:val="000000"/>
          <w:sz w:val="24"/>
          <w:szCs w:val="24"/>
        </w:rPr>
        <w:t xml:space="preserve">. In most cases, EHMC </w:t>
      </w:r>
      <w:r>
        <w:rPr>
          <w:rFonts w:ascii="Times New Roman" w:eastAsia="Times New Roman" w:hAnsi="Times New Roman" w:cs="Times New Roman"/>
          <w:color w:val="000000"/>
          <w:sz w:val="24"/>
          <w:szCs w:val="24"/>
        </w:rPr>
        <w:lastRenderedPageBreak/>
        <w:t>was</w:t>
      </w:r>
      <w:r w:rsidR="006562E1" w:rsidRPr="006562E1">
        <w:rPr>
          <w:rFonts w:ascii="Times New Roman" w:eastAsia="Times New Roman" w:hAnsi="Times New Roman" w:cs="Times New Roman"/>
          <w:color w:val="000000"/>
          <w:sz w:val="24"/>
          <w:szCs w:val="24"/>
        </w:rPr>
        <w:t xml:space="preserve"> found close to its potential sources</w:t>
      </w:r>
      <w:r w:rsidR="00FB1392">
        <w:rPr>
          <w:rFonts w:ascii="Times New Roman" w:eastAsia="Times New Roman" w:hAnsi="Times New Roman" w:cs="Times New Roman"/>
          <w:color w:val="000000"/>
          <w:sz w:val="24"/>
          <w:szCs w:val="24"/>
        </w:rPr>
        <w:t>,</w:t>
      </w:r>
      <w:r w:rsidR="006562E1" w:rsidRPr="006562E1">
        <w:rPr>
          <w:rFonts w:ascii="Times New Roman" w:eastAsia="Times New Roman" w:hAnsi="Times New Roman" w:cs="Times New Roman"/>
          <w:color w:val="000000"/>
          <w:sz w:val="24"/>
          <w:szCs w:val="24"/>
        </w:rPr>
        <w:t xml:space="preserve"> </w:t>
      </w:r>
      <w:r w:rsidR="00FB1392">
        <w:rPr>
          <w:rFonts w:ascii="Times New Roman" w:eastAsia="Times New Roman" w:hAnsi="Times New Roman" w:cs="Times New Roman"/>
          <w:color w:val="000000"/>
          <w:sz w:val="24"/>
          <w:szCs w:val="24"/>
        </w:rPr>
        <w:t>h</w:t>
      </w:r>
      <w:r w:rsidR="00CB55F3">
        <w:rPr>
          <w:rFonts w:ascii="Times New Roman" w:eastAsia="Times New Roman" w:hAnsi="Times New Roman" w:cs="Times New Roman"/>
          <w:color w:val="000000"/>
          <w:sz w:val="24"/>
          <w:szCs w:val="24"/>
        </w:rPr>
        <w:t>owever</w:t>
      </w:r>
      <w:r w:rsidR="006562E1" w:rsidRPr="006562E1">
        <w:rPr>
          <w:rFonts w:ascii="Times New Roman" w:eastAsia="Times New Roman" w:hAnsi="Times New Roman" w:cs="Times New Roman"/>
          <w:color w:val="000000"/>
          <w:sz w:val="24"/>
          <w:szCs w:val="24"/>
        </w:rPr>
        <w:t xml:space="preserve">, it </w:t>
      </w:r>
      <w:r w:rsidR="00191619">
        <w:rPr>
          <w:rFonts w:ascii="Times New Roman" w:eastAsia="Times New Roman" w:hAnsi="Times New Roman" w:cs="Times New Roman"/>
          <w:color w:val="000000"/>
          <w:sz w:val="24"/>
          <w:szCs w:val="24"/>
        </w:rPr>
        <w:t>has</w:t>
      </w:r>
      <w:r w:rsidR="00191619" w:rsidRPr="006562E1">
        <w:rPr>
          <w:rFonts w:ascii="Times New Roman" w:eastAsia="Times New Roman" w:hAnsi="Times New Roman" w:cs="Times New Roman"/>
          <w:color w:val="000000"/>
          <w:sz w:val="24"/>
          <w:szCs w:val="24"/>
        </w:rPr>
        <w:t xml:space="preserve"> </w:t>
      </w:r>
      <w:r w:rsidR="00191619">
        <w:rPr>
          <w:rFonts w:ascii="Times New Roman" w:eastAsia="Times New Roman" w:hAnsi="Times New Roman" w:cs="Times New Roman"/>
          <w:color w:val="000000"/>
          <w:sz w:val="24"/>
          <w:szCs w:val="24"/>
        </w:rPr>
        <w:t xml:space="preserve">also been </w:t>
      </w:r>
      <w:r w:rsidR="006562E1" w:rsidRPr="006562E1">
        <w:rPr>
          <w:rFonts w:ascii="Times New Roman" w:eastAsia="Times New Roman" w:hAnsi="Times New Roman" w:cs="Times New Roman"/>
          <w:color w:val="000000"/>
          <w:sz w:val="24"/>
          <w:szCs w:val="24"/>
        </w:rPr>
        <w:t xml:space="preserve">detected in various </w:t>
      </w:r>
      <w:r w:rsidR="00FB1392">
        <w:rPr>
          <w:rFonts w:ascii="Times New Roman" w:eastAsia="Times New Roman" w:hAnsi="Times New Roman" w:cs="Times New Roman"/>
          <w:color w:val="000000"/>
          <w:sz w:val="24"/>
          <w:szCs w:val="24"/>
        </w:rPr>
        <w:t xml:space="preserve">environmental </w:t>
      </w:r>
      <w:r w:rsidR="006562E1" w:rsidRPr="006562E1">
        <w:rPr>
          <w:rFonts w:ascii="Times New Roman" w:eastAsia="Times New Roman" w:hAnsi="Times New Roman" w:cs="Times New Roman"/>
          <w:color w:val="000000"/>
          <w:sz w:val="24"/>
          <w:szCs w:val="24"/>
        </w:rPr>
        <w:t>matrices</w:t>
      </w:r>
      <w:r w:rsidR="004A0C33">
        <w:rPr>
          <w:rFonts w:ascii="Times New Roman" w:eastAsia="Times New Roman" w:hAnsi="Times New Roman" w:cs="Times New Roman"/>
          <w:color w:val="000000"/>
          <w:sz w:val="24"/>
          <w:szCs w:val="24"/>
        </w:rPr>
        <w:t>, including background areas</w:t>
      </w:r>
      <w:r w:rsidR="006562E1" w:rsidRPr="006562E1">
        <w:rPr>
          <w:rFonts w:ascii="Times New Roman" w:eastAsia="Times New Roman" w:hAnsi="Times New Roman" w:cs="Times New Roman"/>
          <w:color w:val="000000"/>
          <w:sz w:val="24"/>
          <w:szCs w:val="24"/>
        </w:rPr>
        <w:t>: in soils of protected woodlands in Italy</w:t>
      </w:r>
      <w:r w:rsidR="00E031CA">
        <w:rPr>
          <w:rFonts w:ascii="Times New Roman" w:eastAsia="Times New Roman" w:hAnsi="Times New Roman" w:cs="Times New Roman"/>
          <w:color w:val="000000"/>
          <w:sz w:val="24"/>
          <w:szCs w:val="24"/>
        </w:rPr>
        <w:t xml:space="preserve"> </w:t>
      </w:r>
      <w:r w:rsidR="00E031CA">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{"citationItems":[{"id":"ITEM-1","itemData":{"DOI":"10.1016/j.scitotenv.2021.149003","ISSN":"18791026","PMID":"34274674","abstract":"Protected woodlands are rare and small portions of the plain territory of northern Italy, where agricultural, industrial and urban activities strongly dominate the landscape. Such natural areas are frequently set on river floodplains and are therefore potentially conditioned by the contamination brought by the surface waters. We investigated the occurrence of multiple categories of organic pollutants, including Polycyclic Aromatic Hydrocarbons (PAHs), Musk fragrances, UV-filters, organophosphorus and novel brominated Flame Retardants (FRs) and Total Petroleum Hydrocarbons (TPH) in woodland soils of eight different protected areas. The samples collected in the floodplains of the Po, Adige and Fratta rivers resulted more contaminated, with levels of PAHs up to 633 ng g−1. Moreover, these samples for the first time revealed the presence of personal care products, primarily 2-ethylhexyl-4-methoxycinnamate (EHMC) and tonalide (AHTN), in soils of protected woodlands, reaching respectively 3.4 ng g−1 and 5.0 ng g−1, together with the occurrence of both organophosphorus and brominated FRs, with total concentrations up to 15 ng g−1. Higher concentrations of hydrocarbons, with TPH in the range 5–65 μg g−1, were instead reflecting the inputs of long chain n-alkanes from epicuticular waxes more than petrogenic contamination.","author":[{"dropping-particle":"","family":"Vecchiato","given":"Marco","non-dropping-particle":"","parse-names":false,"suffix":""},{"dropping-particle":"","family":"Bonato","given":"Tiziano","non-dropping-particle":"","parse-names":false,"suffix":""},{"dropping-particle":"","family":"Barbante","given":"Carlo","non-dropping-particle":"","parse-names":false,"suffix":""},{"dropping-particle":"","family":"Gambaro","given":"Andrea","non-dropping-particle":"","parse-names":false,"suffix":""},{"dropping-particle":"","family":"Piazza","given":"Rossano","non-dropping-particle":"","parse-names":false,"suffix":""}],"container-title":"Science of the Total Environment","id":"ITEM-1","issued":{"date-parts":[["2021"]]},"page":"149003","publisher":"Elsevier B.V.","title":"Organic pollutants in protected plain areas: The occurrence of PAHs, musks, UV-filters, flame retardants and hydrocarbons in woodland soils","type":"article-journal","volume":"796"},"uris":["http://www.mendeley.com/documents/?uuid=28fe985f-eaaf-4169-af0f-40c8c01a945e"]}],"mendeley":{"formattedCitation":"[23]","plainTextFormattedCitation":"[23]","previouslyFormattedCitation":"&lt;sup&gt;23&lt;/sup&gt;"},"properties":{"noteIndex":0},"schema":"https://github.com/citation-style-language/schema/raw/master/csl-citation.json"}</w:instrText>
      </w:r>
      <w:r w:rsidR="00E031CA">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[23]</w:t>
      </w:r>
      <w:r w:rsidR="00E031CA">
        <w:rPr>
          <w:rFonts w:ascii="Times New Roman" w:eastAsia="Times New Roman" w:hAnsi="Times New Roman" w:cs="Times New Roman"/>
          <w:color w:val="000000"/>
          <w:sz w:val="24"/>
          <w:szCs w:val="24"/>
        </w:rPr>
        <w:fldChar w:fldCharType="end"/>
      </w:r>
      <w:r w:rsidR="006562E1" w:rsidRPr="006562E1">
        <w:rPr>
          <w:rFonts w:ascii="Times New Roman" w:eastAsia="Times New Roman" w:hAnsi="Times New Roman" w:cs="Times New Roman"/>
          <w:color w:val="000000"/>
          <w:sz w:val="24"/>
          <w:szCs w:val="24"/>
        </w:rPr>
        <w:t>, in surface sediments in the North Sea and the Baltic Sea</w:t>
      </w:r>
      <w:r w:rsidR="00D4711D">
        <w:rPr>
          <w:rFonts w:ascii="Times New Roman" w:eastAsia="Times New Roman" w:hAnsi="Times New Roman" w:cs="Times New Roman"/>
          <w:color w:val="000000"/>
          <w:sz w:val="24"/>
          <w:szCs w:val="24"/>
        </w:rPr>
        <w:t xml:space="preserve"> </w:t>
      </w:r>
      <w:r w:rsidR="00D4711D">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{"citationItems":[{"id":"ITEM-1","itemData":{"DOI":"10.1016/j.chemosphere.2018.08.105","ISSN":"18791298","PMID":"30145417","abstract":"UV absorbing compounds are of emerging concern due to their large production volumes, their persistence or pseudo-persistence, and their potential adverse effects. This is the first study investigating the environmental occurrence and potential hazard of organic UV stabilizers and UV filters in the North and Baltic Sea surface sediments, including the connecting Skagerrak and Kattegat straits. In total, nineteen substances were identified over the entire study area, including the rarely studied compounds ethylhexyl triazone (EHT) and bisoctrizole (UV-360). Octocrylene (OC) was the predominant compound in this study with regard to detection frequency (79%) and concentrations (up to 9.7 ng/g dw). OC accounted for more than 65% of UV stabilizer contamination in the German Bight. The triazine derivative EHT was quantified in the Rhine-Meuse-Delta and the German Bight in concentrations up to 2.0 ng/g dw. In the Baltic Sea, benzotriazole UV stabilizers accounted for 60% of the contamination, with UV-360 as the main substance. The estimated environmental hazard quotients indicated a negligible impact on benthic and sediment-dwelling organisms in the North and Baltic Seas. Region-specific contamination pattern and riverine influences were revealed. The results suggest that both direct and indirect sources contribute to the UV stabilizer and UV filter contamination in the study area.","author":[{"dropping-particle":"","family":"Apel","given":"Christina","non-dropping-particle":"","parse-names":false,"suffix":""},{"dropping-particle":"","family":"Joerss","given":"Hanna","non-dropping-particle":"","parse-names":false,"suffix":""},{"dropping-particle":"","family":"Ebinghaus","given":"Ralf","non-dropping-particle":"","parse-names":false,"suffix":""}],"container-title":"Chemosphere","id":"ITEM-1","issued":{"date-parts":[["2018"]]},"page":"254-261","publisher":"Elsevier Ltd","title":"Environmental occurrence and hazard of organic UV stabilizers and UV filters in the sediment of European North and Baltic Seas","type":"article-journal","volume":"212"},"uris":["http://www.mendeley.com/documents/?uuid=0457dc46-3034-4cfa-9959-a0dea588b37f","http://www.mendeley.com/documents/?uuid=2213227e-f6c2-454b-8c37-8a236813c4e9"]}],"mendeley":{"formattedCitation":"[24]","plainTextFormattedCitation":"[24]","previouslyFormattedCitation":"&lt;sup&gt;24&lt;/sup&gt;"},"properties":{"noteIndex":0},"schema":"https://github.com/citation-style-language/schema/raw/master/csl-citation.json"}</w:instrText>
      </w:r>
      <w:r w:rsidR="00D4711D">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[24]</w:t>
      </w:r>
      <w:r w:rsidR="00D4711D">
        <w:rPr>
          <w:rFonts w:ascii="Times New Roman" w:eastAsia="Times New Roman" w:hAnsi="Times New Roman" w:cs="Times New Roman"/>
          <w:color w:val="000000"/>
          <w:sz w:val="24"/>
          <w:szCs w:val="24"/>
        </w:rPr>
        <w:fldChar w:fldCharType="end"/>
      </w:r>
      <w:r w:rsidR="006562E1" w:rsidRPr="006562E1">
        <w:rPr>
          <w:rFonts w:ascii="Times New Roman" w:eastAsia="Times New Roman" w:hAnsi="Times New Roman" w:cs="Times New Roman"/>
          <w:color w:val="000000"/>
          <w:sz w:val="24"/>
          <w:szCs w:val="24"/>
        </w:rPr>
        <w:t>, in freshwater in Australia</w:t>
      </w:r>
      <w:r w:rsidR="00D4711D">
        <w:rPr>
          <w:rFonts w:ascii="Times New Roman" w:eastAsia="Times New Roman" w:hAnsi="Times New Roman" w:cs="Times New Roman"/>
          <w:color w:val="000000"/>
          <w:sz w:val="24"/>
          <w:szCs w:val="24"/>
        </w:rPr>
        <w:t xml:space="preserve"> </w:t>
      </w:r>
      <w:r w:rsidR="00D4711D">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{"citationItems":[{"id":"ITEM-1","itemData":{"DOI":"10.1016/j.scitotenv.2020.142373","ISSN":"18791026","PMID":"33254898","abstract":"UV filters present in sunscreen and other cosmetics are directly released into the environment during aquatic recreational activities. The extent to which the wide range of UV filters pose a risk to the environment remains unclear. This study investigated the occurrence and dissipation of selected organic UV filters at a recreational site (Enoggera Reservoir, Queensland, Australia) over 12 h. Furthermore, different possible degradation processes were investigated in a controlled off-site experiment with surface water exposed to natural light. Half-lives were estimated for ten UV filters. In Enoggera Reservoir, seven UV filters were detected, of which the most prevalent were octocrylene, avobenzone (BMDBM) and enzacamene (4-MBC). Summed concentrations of the seven UV filters ranged from 7330 ng L−1 at 13:00 h to 2550 ng L−1 at 21:00 h. In the degradation experiment, four UV filters showed no significant change over time. The fate of these compounds in the environment is likely to be mainly influenced by dispersion. Half-lives of the remaining UV filters were 6.6 h for amiloxate (IMC), 20 h for benzophenone 1, 23 h for octinoxate (EHMC), 30 h for 3-benzylidene camphor, 34 h for 4-MBC and 140 h for dioxybenzone (BP8). The degree of susceptibility to photodegradation and biodegradation was generally consistent within a structural class. The fate and half-lives of UV filters are variable and should be considered on a per site basis when assessing environmental risk.","author":[{"dropping-particle":"","family":"O'Malley","given":"Elissa","non-dropping-particle":"","parse-names":false,"suffix":""},{"dropping-particle":"","family":"McLachlan","given":"Michael S","non-dropping-particle":"","parse-names":false,"suffix":""},{"dropping-particle":"","family":"O'Brien","given":"Jake W","non-dropping-particle":"","parse-names":false,"suffix":""},{"dropping-particle":"","family":"Verhagen","given":"Rory","non-dropping-particle":"","parse-names":false,"suffix":""},{"dropping-particle":"","family":"Mueller","given":"Jochen F","non-dropping-particle":"","parse-names":false,"suffix":""}],"container-title":"Science of the Total Environment","id":"ITEM-1","issued":{"date-parts":[["2021"]]},"page":"142373","publisher":"Elsevier B.V.","title":"The presence of selected UV filters in a freshwater recreational reservoir and fate in controlled experiments","type":"article-journal","volume":"754"},"uris":["http://www.mendeley.com/documents/?uuid=e31cb6de-7772-4cdc-8559-7a2af131f3c1","http://www.mendeley.com/documents/?uuid=95ad60e0-8f05-43d9-b487-3a3816ee7082"]}],"mendeley":{"formattedCitation":"[25]","plainTextFormattedCitation":"[25]","previouslyFormattedCitation":"&lt;sup&gt;25&lt;/sup&gt;"},"properties":{"noteIndex":0},"schema":"https://github.com/citation-style-language/schema/raw/master/csl-citation.json"}</w:instrText>
      </w:r>
      <w:r w:rsidR="00D4711D">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[25]</w:t>
      </w:r>
      <w:r w:rsidR="00D4711D">
        <w:rPr>
          <w:rFonts w:ascii="Times New Roman" w:eastAsia="Times New Roman" w:hAnsi="Times New Roman" w:cs="Times New Roman"/>
          <w:color w:val="000000"/>
          <w:sz w:val="24"/>
          <w:szCs w:val="24"/>
        </w:rPr>
        <w:fldChar w:fldCharType="end"/>
      </w:r>
      <w:r w:rsidR="006562E1" w:rsidRPr="006562E1">
        <w:rPr>
          <w:rFonts w:ascii="Times New Roman" w:eastAsia="Times New Roman" w:hAnsi="Times New Roman" w:cs="Times New Roman"/>
          <w:color w:val="000000"/>
          <w:sz w:val="24"/>
          <w:szCs w:val="24"/>
        </w:rPr>
        <w:t>, in German rivers</w:t>
      </w:r>
      <w:r w:rsidR="00D4711D">
        <w:rPr>
          <w:rFonts w:ascii="Times New Roman" w:eastAsia="Times New Roman" w:hAnsi="Times New Roman" w:cs="Times New Roman"/>
          <w:color w:val="000000"/>
          <w:sz w:val="24"/>
          <w:szCs w:val="24"/>
        </w:rPr>
        <w:t xml:space="preserve"> </w:t>
      </w:r>
      <w:r w:rsidR="00D4711D">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{"citationItems":[{"id":"ITEM-1","itemData":{"DOI":"10.1186/s12302-020-00448-w","ISSN":"21904715","abstract":"Background: Globally, 2-Ethylhexyl-4-methoxycinnamate (EHMC) is one of the most commonly used UV filters in sunscreen and personal care products. Due to its widespread usage, the occurrence of EHMC in the aquatic environment has frequently been documented. In the EU, EHMC is listed under the European Community Rolling Action Plan (CoRAP) as suspected to be persistent, bioaccumulative, and toxic (PBT) and as a potential endocrine disruptor. It was included in the first watch list under the Water Framework Directive (WFD) referring to a sediment PNEC of 200 µg/kg dry weight (dw). In the light of the ongoing substance evaluation to refine the environmental risk assessment, the objective of this study was to obtain spatio-temporal trends for EHMC in freshwater. We analyzed samples of suspended particulate matter (SPM) retrieved from the German environmental specimen bank (ESB). The samples covered 13 sampling sites from major German rivers, including Rhine, Elbe, and Danube, and have been collected since mid-2000s. Results: Our results show decreasing concentrations of EHMC in annual SPM samples during the studied period. In the mid-2000s, the levels for EHMC ranged between 3.3 and 72 ng/g dw. The highest burden could be found in the Rhine tributary Saar. In 2017, we observed a maximum concentration ten times lower (7.9 ng/g dw in samples from the Saar). In 62% of all samples taken in 2017, concentrations were even below the limit of quantification (LOQ) of 2.7 ng/g dw. Conclusions: The results indicate a general declining discharge of EHMC into German rivers within the last 15 years and correspond to the market data. Although the measured levels are below the predicted no-effect level (PNEC) in sediment, further research should identify local and seasonal level of exposure, e.g., at highly frequented bathing waters especially in lakes. In addition, possible substitutes as well as their potentially synergistic effects together with other UV filters should be investigated.","author":[{"dropping-particle":"","family":"Nagorka","given":"Regine","non-dropping-particle":"","parse-names":false,"suffix":""},{"dropping-particle":"","family":"Duffek","given":"Anja","non-dropping-particle":"","parse-names":false,"suffix":""}],"container-title":"Environmental Sciences Europe","id":"ITEM-1","issue":"1","issued":{"date-parts":[["2021"]]},"publisher":"Springer Berlin Heidelberg","title":"Under the influence of regulations: spatio-temporal trends of the UV filter 2-Ethylhexyl-4-methoxycinnamate (EHMC) in German rivers","type":"article-journal","volume":"33"},"uris":["http://www.mendeley.com/documents/?uuid=4d19b478-a21d-4d40-9d6d-accf16f87ccf"]}],"mendeley":{"formattedCitation":"[26]","plainTextFormattedCitation":"[26]","previouslyFormattedCitation":"&lt;sup&gt;26&lt;/sup&gt;"},"properties":{"noteIndex":0},"schema":"https://github.com/citation-style-language/schema/raw/master/csl-citation.json"}</w:instrText>
      </w:r>
      <w:r w:rsidR="00D4711D">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[26]</w:t>
      </w:r>
      <w:r w:rsidR="00D4711D">
        <w:rPr>
          <w:rFonts w:ascii="Times New Roman" w:eastAsia="Times New Roman" w:hAnsi="Times New Roman" w:cs="Times New Roman"/>
          <w:color w:val="000000"/>
          <w:sz w:val="24"/>
          <w:szCs w:val="24"/>
        </w:rPr>
        <w:fldChar w:fldCharType="end"/>
      </w:r>
      <w:r w:rsidR="006562E1" w:rsidRPr="006562E1">
        <w:rPr>
          <w:rFonts w:ascii="Times New Roman" w:eastAsia="Times New Roman" w:hAnsi="Times New Roman" w:cs="Times New Roman"/>
          <w:color w:val="000000"/>
          <w:sz w:val="24"/>
          <w:szCs w:val="24"/>
        </w:rPr>
        <w:t>, and</w:t>
      </w:r>
      <w:r w:rsidR="005233F3">
        <w:rPr>
          <w:rFonts w:ascii="Times New Roman" w:eastAsia="Times New Roman" w:hAnsi="Times New Roman" w:cs="Times New Roman"/>
          <w:color w:val="000000"/>
          <w:sz w:val="24"/>
          <w:szCs w:val="24"/>
        </w:rPr>
        <w:t xml:space="preserve"> in</w:t>
      </w:r>
      <w:r w:rsidR="006562E1" w:rsidRPr="006562E1">
        <w:rPr>
          <w:rFonts w:ascii="Times New Roman" w:eastAsia="Times New Roman" w:hAnsi="Times New Roman" w:cs="Times New Roman"/>
          <w:color w:val="000000"/>
          <w:sz w:val="24"/>
          <w:szCs w:val="24"/>
        </w:rPr>
        <w:t xml:space="preserve"> urban air in Canada </w:t>
      </w:r>
      <w:r w:rsidR="00D4711D">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 xml:space="preserve">ADDIN CSL_CITATION {"citationItems":[{"id":"ITEM-1","itemData":{"DOI":"10.1021/acs.est.0c02665","ISSN":"15205851","PMID":"32924452","abstract":"A retrospective analysis of a comprehensive series of high-volume air samples (n = 70) collected during 2010-2011 in Toronto (Canada) was performed. Seven UV compounds were analyzed by gas chromatography-tandem mass spectrometry (GC-MS/MS) with sum of concentrations (gas + particle phase) ranging from 80 to 2030 pg/m3. Homosalate (HMS) was the most prevalent organic UV-filter in air (47% of the total concentration), followed by 2-ethylhexyl salicylate (EHS, </w:instrText>
      </w:r>
      <w:r w:rsidR="007A5F81">
        <w:rPr>
          <w:rFonts w:ascii="Cambria Math" w:eastAsia="Times New Roman" w:hAnsi="Cambria Math" w:cs="Cambria Math"/>
          <w:color w:val="000000"/>
          <w:sz w:val="24"/>
          <w:szCs w:val="24"/>
        </w:rPr>
        <w:instrText>∼</w:instrText>
      </w:r>
      <w:r w:rsidR="007A5F81">
        <w:rPr>
          <w:rFonts w:ascii="Times New Roman" w:eastAsia="Times New Roman" w:hAnsi="Times New Roman" w:cs="Times New Roman"/>
          <w:color w:val="000000"/>
          <w:sz w:val="24"/>
          <w:szCs w:val="24"/>
        </w:rPr>
        <w:instrText xml:space="preserve">29%), E- and Z-2-ethylhexyl 4-methoxycinnamate (EHMC, </w:instrText>
      </w:r>
      <w:r w:rsidR="007A5F81">
        <w:rPr>
          <w:rFonts w:ascii="Cambria Math" w:eastAsia="Times New Roman" w:hAnsi="Cambria Math" w:cs="Cambria Math"/>
          <w:color w:val="000000"/>
          <w:sz w:val="24"/>
          <w:szCs w:val="24"/>
        </w:rPr>
        <w:instrText>∼</w:instrText>
      </w:r>
      <w:r w:rsidR="007A5F81">
        <w:rPr>
          <w:rFonts w:ascii="Times New Roman" w:eastAsia="Times New Roman" w:hAnsi="Times New Roman" w:cs="Times New Roman"/>
          <w:color w:val="000000"/>
          <w:sz w:val="24"/>
          <w:szCs w:val="24"/>
        </w:rPr>
        <w:instrText>17%). Ambient air (gas + particle phase) concentrations of organic UV-filters showed a strong seasonality, with peak levels during the summer. An analysis of Clausius-Clapeyron slopes indicated that much of the ambient burden of organic UV-filters are explained by volatilization from terrestrial and aquatic surfaces and supplemented with human activities and use of lotions and sunscreens, containing organic UV-filters, in addition to its use in plastics, textiles, paints, and pesticides. The results showed that organic UV-filters exist mainly in the gas phase with some exceptions, for instance, octocrylene (OCR), which was associated with both gas and particle phases, and avobenzone (AVB), which was predominantly in the particle phase. Lastly, this study revealed the need for basic physical chemical property data for organic UV-filters, including information on transformation rates and products, for better evaluating their environmental fate and effects.","author":[{"dropping-particle":"","family":"Pegoraro","given":"César N.","non-dropping-particle":"","parse-names":false,"suffix":""},{"dropping-particle":"","family":"Harner","given":"Tom","non-dropping-particle":"","parse-names":false,"suffix":""},{"dropping-particle":"","family":"Su","given":"Ky","non-dropping-particle":"","parse-names":false,"suffix":""},{"dropping-particle":"","family":"Ahrens","given":"Lutz","non-dropping-particle":"","parse-names":false,"suffix":""}],"container-title":"Environmental science &amp; technology","id":"ITEM-1","issue":"20","issued":{"date-parts":[["2020"]]},"page":"12881-12889","title":"Occurrence and Gas-Particle Partitioning of Organic UV-Filters in Urban Air","type":"article-journal","volume":"54"},"uris":["http://www.mendeley.com/documents/?uuid=deedf208-49ac-4adb-86d6-2d743493b7f3"]}],"mendeley":{"formattedCitation":"[15]","plainTextFormattedCitation":"[15]","previouslyFormattedCitation":"&lt;sup&gt;15&lt;/sup&gt;"},"properties":{"noteIndex":0},"schema":"https://github.com/citation-style-language/schema/raw/master/csl-citation.json"}</w:instrText>
      </w:r>
      <w:r w:rsidR="00D4711D">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[15]</w:t>
      </w:r>
      <w:r w:rsidR="00D4711D">
        <w:rPr>
          <w:rFonts w:ascii="Times New Roman" w:eastAsia="Times New Roman" w:hAnsi="Times New Roman" w:cs="Times New Roman"/>
          <w:color w:val="000000"/>
          <w:sz w:val="24"/>
          <w:szCs w:val="24"/>
        </w:rPr>
        <w:fldChar w:fldCharType="end"/>
      </w:r>
      <w:r w:rsidR="00D4711D">
        <w:rPr>
          <w:rFonts w:ascii="Times New Roman" w:eastAsia="Times New Roman" w:hAnsi="Times New Roman" w:cs="Times New Roman"/>
          <w:color w:val="000000"/>
          <w:sz w:val="24"/>
          <w:szCs w:val="24"/>
        </w:rPr>
        <w:t xml:space="preserve">. </w:t>
      </w:r>
      <w:r w:rsidR="006562E1" w:rsidRPr="006562E1">
        <w:rPr>
          <w:rFonts w:ascii="Times New Roman" w:eastAsia="Times New Roman" w:hAnsi="Times New Roman" w:cs="Times New Roman"/>
          <w:color w:val="000000"/>
          <w:sz w:val="24"/>
          <w:szCs w:val="24"/>
        </w:rPr>
        <w:t>The latter study shows the presence of EHMC in the atmosphere in both gas and particulate phases, suggesting that it can be prone to atmospheric transport</w:t>
      </w:r>
      <w:r>
        <w:rPr>
          <w:rFonts w:ascii="Times New Roman" w:eastAsia="Times New Roman" w:hAnsi="Times New Roman" w:cs="Times New Roman"/>
          <w:color w:val="000000"/>
          <w:sz w:val="24"/>
          <w:szCs w:val="24"/>
        </w:rPr>
        <w:t>,</w:t>
      </w:r>
      <w:r w:rsidR="006562E1" w:rsidRPr="006562E1">
        <w:rPr>
          <w:rFonts w:ascii="Times New Roman" w:eastAsia="Times New Roman" w:hAnsi="Times New Roman" w:cs="Times New Roman"/>
          <w:color w:val="000000"/>
          <w:sz w:val="24"/>
          <w:szCs w:val="24"/>
        </w:rPr>
        <w:t xml:space="preserve"> potentially </w:t>
      </w:r>
      <w:r w:rsidR="00856728">
        <w:rPr>
          <w:rFonts w:ascii="Times New Roman" w:eastAsia="Times New Roman" w:hAnsi="Times New Roman" w:cs="Times New Roman"/>
          <w:color w:val="000000"/>
          <w:sz w:val="24"/>
          <w:szCs w:val="24"/>
        </w:rPr>
        <w:t>diffusing</w:t>
      </w:r>
      <w:r w:rsidR="006562E1" w:rsidRPr="006562E1">
        <w:rPr>
          <w:rFonts w:ascii="Times New Roman" w:eastAsia="Times New Roman" w:hAnsi="Times New Roman" w:cs="Times New Roman"/>
          <w:color w:val="000000"/>
          <w:sz w:val="24"/>
          <w:szCs w:val="24"/>
        </w:rPr>
        <w:t xml:space="preserve"> from its source point. </w:t>
      </w:r>
      <w:r w:rsidR="00052F2A">
        <w:rPr>
          <w:rFonts w:ascii="Times New Roman" w:eastAsia="Times New Roman" w:hAnsi="Times New Roman" w:cs="Times New Roman"/>
          <w:color w:val="000000"/>
          <w:sz w:val="24"/>
          <w:szCs w:val="24"/>
        </w:rPr>
        <w:t>I</w:t>
      </w:r>
      <w:r w:rsidR="006562E1" w:rsidRPr="006562E1">
        <w:rPr>
          <w:rFonts w:ascii="Times New Roman" w:eastAsia="Times New Roman" w:hAnsi="Times New Roman" w:cs="Times New Roman"/>
          <w:color w:val="000000"/>
          <w:sz w:val="24"/>
          <w:szCs w:val="24"/>
        </w:rPr>
        <w:t xml:space="preserve">n polar regions, EHMC was </w:t>
      </w:r>
      <w:r w:rsidR="00C02ACD">
        <w:rPr>
          <w:rFonts w:ascii="Times New Roman" w:eastAsia="Times New Roman" w:hAnsi="Times New Roman" w:cs="Times New Roman"/>
          <w:color w:val="000000"/>
          <w:sz w:val="24"/>
          <w:szCs w:val="24"/>
        </w:rPr>
        <w:t xml:space="preserve">previously </w:t>
      </w:r>
      <w:r w:rsidR="006562E1" w:rsidRPr="006562E1">
        <w:rPr>
          <w:rFonts w:ascii="Times New Roman" w:eastAsia="Times New Roman" w:hAnsi="Times New Roman" w:cs="Times New Roman"/>
          <w:color w:val="000000"/>
          <w:sz w:val="24"/>
          <w:szCs w:val="24"/>
        </w:rPr>
        <w:t>found in the surface water of the Arctic Ocean</w:t>
      </w:r>
      <w:r w:rsidR="00D4711D">
        <w:rPr>
          <w:rFonts w:ascii="Times New Roman" w:eastAsia="Times New Roman" w:hAnsi="Times New Roman" w:cs="Times New Roman"/>
          <w:color w:val="000000"/>
          <w:sz w:val="24"/>
          <w:szCs w:val="24"/>
        </w:rPr>
        <w:t xml:space="preserve"> </w:t>
      </w:r>
      <w:r w:rsidR="00D4711D">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{"citationItems":[{"id":"ITEM-1","itemData":{"DOI":"10.1016/j.watres.2014.09.013","ISSN":"18792448","PMID":"25261628","abstract":"Organic UV filters are common ingredients of personal care products (PCPs), but little is known about their distribution in and potential impacts to the marine environment. This study reports the occurrence and risk assessment of twelve widely used organic UV filters in surface water collected in eight cities in four countries (China, the United States, Japan, and Thailand) and the North American Arctic. The number of compounds detected, Hong Kong (12), Tokyo (9), Bangkok (9), New York (8), Los Angeles (8), Arctic (6), Shantou (5) and Chaozhou (5), generally increased with population density. Median concentrations of all detectable UV filters were &lt;250ng/L. The presence of these compounds in the Arctic is likely due to a combination of inadequate wastewater treatment and long-range oceanic transport. Principal component analysis (PCA) and two-way analysis of variance (ANOVA) were conducted to explore spatiotemporal patterns and difference in organic UV filter levels in Hong Kong. In general, spatial patterns varied with sampling month and all compounds showed higher concentrations in the wet season except benzophenone-4 (BP-4). Probabilistic risk assessment showed that 4-methylbenzylidene camphor (4-MBC) posed greater risk to algae, while benzophenone-3 (BP-3) and ethylhexyl methoxycinnamate (EHMC) were more likely to pose a risk to fishes and also posed high risk of bleaching in hard corals in aquatic recreational areas in Hong Kong. This study is the first to report the occurrence of organic UV filters in the Arctic and provides a wider assessment of their potential negative impacts in the marine environment.","author":[{"dropping-particle":"","family":"Tsui","given":"Mirabelle M.P.","non-dropping-particle":"","parse-names":false,"suffix":""},{"dropping-particle":"","family":"Leung","given":"H W","non-dropping-particle":"","parse-names":false,"suffix":""},{"dropping-particle":"","family":"Wai","given":"Tak Cheung","non-dropping-particle":"","parse-names":false,"suffix":""},{"dropping-particle":"","family":"Yamashita","given":"Nobuyoshi","non-dropping-particle":"","parse-names":false,"suffix":""},{"dropping-particle":"","family":"Taniyasu","given":"Sachi","non-dropping-particle":"","parse-names":false,"suffix":""},{"dropping-particle":"","family":"Liu","given":"Wenhua","non-dropping-particle":"","parse-names":false,"suffix":""},{"dropping-particle":"","family":"Lam","given":"Paul K.S.","non-dropping-particle":"","parse-names":false,"suffix":""},{"dropping-particle":"","family":"Murphy","given":"Margaret B.","non-dropping-particle":"","parse-names":false,"suffix":""}],"container-title":"Water Research","id":"ITEM-1","issued":{"date-parts":[["2014"]]},"page":"55-65","publisher":"Elsevier Ltd","title":"Occurrence, distribution and ecological risk assessment of multiple classes of UV filters in surface waters from different countries","type":"article-journal","volume":"67"},"uris":["http://www.mendeley.com/documents/?uuid=874320ea-89a1-46ac-a808-6ba1c3a860ef","http://www.mendeley.com/documents/?uuid=898d2b8b-29dd-4137-b382-94b0fb352215"]}],"mendeley":{"formattedCitation":"[27]","plainTextFormattedCitation":"[27]","previouslyFormattedCitation":"&lt;sup&gt;27&lt;/sup&gt;"},"properties":{"noteIndex":0},"schema":"https://github.com/citation-style-language/schema/raw/master/csl-citation.json"}</w:instrText>
      </w:r>
      <w:r w:rsidR="00D4711D">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[27]</w:t>
      </w:r>
      <w:r w:rsidR="00D4711D">
        <w:rPr>
          <w:rFonts w:ascii="Times New Roman" w:eastAsia="Times New Roman" w:hAnsi="Times New Roman" w:cs="Times New Roman"/>
          <w:color w:val="000000"/>
          <w:sz w:val="24"/>
          <w:szCs w:val="24"/>
        </w:rPr>
        <w:fldChar w:fldCharType="end"/>
      </w:r>
      <w:r w:rsidR="006562E1" w:rsidRPr="006562E1">
        <w:rPr>
          <w:rFonts w:ascii="Times New Roman" w:eastAsia="Times New Roman" w:hAnsi="Times New Roman" w:cs="Times New Roman"/>
          <w:color w:val="000000"/>
          <w:sz w:val="24"/>
          <w:szCs w:val="24"/>
        </w:rPr>
        <w:t xml:space="preserve">, while in Antarctica, </w:t>
      </w:r>
      <w:r w:rsidR="00C02ACD">
        <w:rPr>
          <w:rFonts w:ascii="Times New Roman" w:eastAsia="Times New Roman" w:hAnsi="Times New Roman" w:cs="Times New Roman"/>
          <w:color w:val="000000"/>
          <w:sz w:val="24"/>
          <w:szCs w:val="24"/>
        </w:rPr>
        <w:t>local emissions were</w:t>
      </w:r>
      <w:r w:rsidR="006562E1" w:rsidRPr="006562E1">
        <w:rPr>
          <w:rFonts w:ascii="Times New Roman" w:eastAsia="Times New Roman" w:hAnsi="Times New Roman" w:cs="Times New Roman"/>
          <w:color w:val="000000"/>
          <w:sz w:val="24"/>
          <w:szCs w:val="24"/>
        </w:rPr>
        <w:t xml:space="preserve"> detected in suspended particulate matter in freshwater and wastewater drainage by</w:t>
      </w:r>
      <w:r w:rsidR="00D4711D">
        <w:rPr>
          <w:rFonts w:ascii="Times New Roman" w:eastAsia="Times New Roman" w:hAnsi="Times New Roman" w:cs="Times New Roman"/>
          <w:color w:val="000000"/>
          <w:sz w:val="24"/>
          <w:szCs w:val="24"/>
        </w:rPr>
        <w:t xml:space="preserve"> </w:t>
      </w:r>
      <w:r w:rsidR="00D4711D">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{"citationItems":[{"id":"ITEM-1","itemData":{"DOI":"10.1007/s13280-020-01404-x","ISSN":"16547209","PMID":"33098531","abstract":"This study aimed to evaluate the presence of ultraviolet filters (UV-Fs), benzotriazoles, pyrethroids and per- and polyfluoroalkyl substances (PFASs) in freshwater and wastewater from the northern Antarctic Peninsula region. All water samples analyzed contained UV-Fs residues and high concentrations were detected in anthropogenic impacted sites (&lt; LOD up to 1300 ng/L). Likewise, benzotriazoles were detected in all water samples (&lt; LOQ–920 ng/L). Regarding suspended particulate matter, almost all UV-Fs and all benzotriazoles were measured at concentrations ranging from &lt; LOQ to 33 µg/g dry weight. Pyrethroids were also detected (&lt; LOQ–250 ng/L) and their presence implies the existence of a gateway to the Antarctica Peninsula from other regions. The data confirmed the presence of PFASs (&lt; LOD–7500 ng/L) in this area, in agreement with previous studies. In light of these results, extended monitoring in Antarctica should be carried out to perform a reliable environmental risk assessment leading to propose recommendations to minimize the anthropic impact.","author":[{"dropping-particle":"","family":"Domínguez-Morueco","given":"Noelia","non-dropping-particle":"","parse-names":false,"suffix":""},{"dropping-particle":"","family":"Moreno-Merino","given":"Luis","non-dropping-particle":"","parse-names":false,"suffix":""},{"dropping-particle":"","family":"Molins-Delgado","given":"Daniel","non-dropping-particle":"","parse-names":false,"suffix":""},{"dropping-particle":"","family":"Díaz-Cruz","given":"M. Silvia","non-dropping-particle":"","parse-names":false,"suffix":""},{"dropping-particle":"","family":"Aznar-Alemany","given":"Òscar","non-dropping-particle":"","parse-names":false,"suffix":""},{"dropping-particle":"","family":"Eljarrat","given":"Ethel","non-dropping-particle":"","parse-names":false,"suffix":""},{"dropping-particle":"","family":"Farré","given":"Marinella","non-dropping-particle":"","parse-names":false,"suffix":""},{"dropping-particle":"","family":"López-Martínez","given":"Jerónimo","non-dropping-particle":"","parse-names":false,"suffix":""},{"dropping-particle":"","family":"López de Alda","given":"Miren","non-dropping-particle":"","parse-names":false,"suffix":""},{"dropping-particle":"","family":"Silva","given":"Adrián","non-dropping-particle":"","parse-names":false,"suffix":""},{"dropping-particle":"","family":"Durán Valsero","given":"Juan José","non-dropping-particle":"","parse-names":false,"suffix":""},{"dropping-particle":"","family":"Valcárcel","given":"Yolanda","non-dropping-particle":"","parse-names":false,"suffix":""}],"container-title":"Ambio","id":"ITEM-1","issue":"3","issued":{"date-parts":[["2021"]]},"page":"544-559","title":"Anthropogenic contaminants in freshwater from the northern Antarctic Peninsula region","type":"article-journal","volume":"50"},"uris":["http://www.mendeley.com/documents/?uuid=9f31b51e-d938-4464-a816-5b260e8fc65c"]}],"mendeley":{"formattedCitation":"[13]","manualFormatting":"Domínguez-Morueco et al. (2021)","plainTextFormattedCitation":"[13]","previouslyFormattedCitation":"&lt;sup&gt;13&lt;/sup&gt;"},"properties":{"noteIndex":0},"schema":"https://github.com/citation-style-language/schema/raw/master/csl-citation.json"}</w:instrText>
      </w:r>
      <w:r w:rsidR="00D4711D">
        <w:rPr>
          <w:rFonts w:ascii="Times New Roman" w:eastAsia="Times New Roman" w:hAnsi="Times New Roman" w:cs="Times New Roman"/>
          <w:color w:val="000000"/>
          <w:sz w:val="24"/>
          <w:szCs w:val="24"/>
        </w:rPr>
        <w:fldChar w:fldCharType="separate"/>
      </w:r>
      <w:r w:rsidR="00D4711D" w:rsidRPr="00D4711D">
        <w:rPr>
          <w:rFonts w:ascii="Times New Roman" w:eastAsia="Times New Roman" w:hAnsi="Times New Roman" w:cs="Times New Roman"/>
          <w:noProof/>
          <w:color w:val="000000"/>
          <w:sz w:val="24"/>
          <w:szCs w:val="24"/>
        </w:rPr>
        <w:t xml:space="preserve">Domínguez-Morueco et al. </w:t>
      </w:r>
      <w:r w:rsidR="00D4711D">
        <w:rPr>
          <w:rFonts w:ascii="Times New Roman" w:eastAsia="Times New Roman" w:hAnsi="Times New Roman" w:cs="Times New Roman"/>
          <w:noProof/>
          <w:color w:val="000000"/>
          <w:sz w:val="24"/>
          <w:szCs w:val="24"/>
        </w:rPr>
        <w:t>(</w:t>
      </w:r>
      <w:r w:rsidR="00D4711D" w:rsidRPr="00D4711D">
        <w:rPr>
          <w:rFonts w:ascii="Times New Roman" w:eastAsia="Times New Roman" w:hAnsi="Times New Roman" w:cs="Times New Roman"/>
          <w:noProof/>
          <w:color w:val="000000"/>
          <w:sz w:val="24"/>
          <w:szCs w:val="24"/>
        </w:rPr>
        <w:t>2021)</w:t>
      </w:r>
      <w:r w:rsidR="00D4711D">
        <w:rPr>
          <w:rFonts w:ascii="Times New Roman" w:eastAsia="Times New Roman" w:hAnsi="Times New Roman" w:cs="Times New Roman"/>
          <w:color w:val="000000"/>
          <w:sz w:val="24"/>
          <w:szCs w:val="24"/>
        </w:rPr>
        <w:fldChar w:fldCharType="end"/>
      </w:r>
      <w:r w:rsidR="00C02ACD">
        <w:rPr>
          <w:rFonts w:ascii="Times New Roman" w:eastAsia="Times New Roman" w:hAnsi="Times New Roman" w:cs="Times New Roman"/>
          <w:color w:val="000000"/>
          <w:sz w:val="24"/>
          <w:szCs w:val="24"/>
        </w:rPr>
        <w:t>, resulting</w:t>
      </w:r>
      <w:r w:rsidR="006562E1" w:rsidRPr="006562E1">
        <w:rPr>
          <w:rFonts w:ascii="Times New Roman" w:eastAsia="Times New Roman" w:hAnsi="Times New Roman" w:cs="Times New Roman"/>
          <w:color w:val="000000"/>
          <w:sz w:val="24"/>
          <w:szCs w:val="24"/>
        </w:rPr>
        <w:t xml:space="preserve"> in the range of 69 – 1900 ng g</w:t>
      </w:r>
      <w:r w:rsidR="006562E1" w:rsidRPr="00856728">
        <w:rPr>
          <w:rFonts w:ascii="Times New Roman" w:eastAsia="Times New Roman" w:hAnsi="Times New Roman" w:cs="Times New Roman"/>
          <w:color w:val="000000"/>
          <w:sz w:val="24"/>
          <w:szCs w:val="24"/>
          <w:vertAlign w:val="superscript"/>
        </w:rPr>
        <w:t>-1</w:t>
      </w:r>
      <w:r w:rsidR="006562E1" w:rsidRPr="006562E1">
        <w:rPr>
          <w:rFonts w:ascii="Times New Roman" w:eastAsia="Times New Roman" w:hAnsi="Times New Roman" w:cs="Times New Roman"/>
          <w:color w:val="000000"/>
          <w:sz w:val="24"/>
          <w:szCs w:val="24"/>
        </w:rPr>
        <w:t xml:space="preserve"> </w:t>
      </w:r>
      <w:proofErr w:type="spellStart"/>
      <w:r w:rsidR="006562E1" w:rsidRPr="006562E1">
        <w:rPr>
          <w:rFonts w:ascii="Times New Roman" w:eastAsia="Times New Roman" w:hAnsi="Times New Roman" w:cs="Times New Roman"/>
          <w:color w:val="000000"/>
          <w:sz w:val="24"/>
          <w:szCs w:val="24"/>
        </w:rPr>
        <w:t>dw</w:t>
      </w:r>
      <w:proofErr w:type="spellEnd"/>
      <w:r w:rsidR="006562E1" w:rsidRPr="006562E1">
        <w:rPr>
          <w:rFonts w:ascii="Times New Roman" w:eastAsia="Times New Roman" w:hAnsi="Times New Roman" w:cs="Times New Roman"/>
          <w:color w:val="000000"/>
          <w:sz w:val="24"/>
          <w:szCs w:val="24"/>
        </w:rPr>
        <w:t xml:space="preserve"> and 1.3 – 296 µg g</w:t>
      </w:r>
      <w:r w:rsidR="006562E1" w:rsidRPr="00856728">
        <w:rPr>
          <w:rFonts w:ascii="Times New Roman" w:eastAsia="Times New Roman" w:hAnsi="Times New Roman" w:cs="Times New Roman"/>
          <w:color w:val="000000"/>
          <w:sz w:val="24"/>
          <w:szCs w:val="24"/>
          <w:vertAlign w:val="superscript"/>
        </w:rPr>
        <w:t>-1</w:t>
      </w:r>
      <w:r w:rsidR="006562E1" w:rsidRPr="006562E1">
        <w:rPr>
          <w:rFonts w:ascii="Times New Roman" w:eastAsia="Times New Roman" w:hAnsi="Times New Roman" w:cs="Times New Roman"/>
          <w:color w:val="000000"/>
          <w:sz w:val="24"/>
          <w:szCs w:val="24"/>
        </w:rPr>
        <w:t xml:space="preserve"> </w:t>
      </w:r>
      <w:proofErr w:type="spellStart"/>
      <w:r w:rsidR="006562E1" w:rsidRPr="006562E1">
        <w:rPr>
          <w:rFonts w:ascii="Times New Roman" w:eastAsia="Times New Roman" w:hAnsi="Times New Roman" w:cs="Times New Roman"/>
          <w:color w:val="000000"/>
          <w:sz w:val="24"/>
          <w:szCs w:val="24"/>
        </w:rPr>
        <w:t>dw</w:t>
      </w:r>
      <w:proofErr w:type="spellEnd"/>
      <w:r w:rsidR="006562E1" w:rsidRPr="006562E1">
        <w:rPr>
          <w:rFonts w:ascii="Times New Roman" w:eastAsia="Times New Roman" w:hAnsi="Times New Roman" w:cs="Times New Roman"/>
          <w:color w:val="000000"/>
          <w:sz w:val="24"/>
          <w:szCs w:val="24"/>
        </w:rPr>
        <w:t xml:space="preserve"> respectively. </w:t>
      </w:r>
      <w:r w:rsidR="000E27EE">
        <w:rPr>
          <w:rFonts w:ascii="Times New Roman" w:eastAsia="Times New Roman" w:hAnsi="Times New Roman" w:cs="Times New Roman"/>
          <w:color w:val="000000"/>
          <w:sz w:val="24"/>
          <w:szCs w:val="24"/>
        </w:rPr>
        <w:t xml:space="preserve"> </w:t>
      </w:r>
      <w:r w:rsidR="000821F5">
        <w:rPr>
          <w:rFonts w:ascii="Times New Roman" w:eastAsia="Times New Roman" w:hAnsi="Times New Roman" w:cs="Times New Roman"/>
          <w:color w:val="000000"/>
          <w:sz w:val="24"/>
          <w:szCs w:val="24"/>
        </w:rPr>
        <w:t xml:space="preserve">Literature studies therefore suggest the presence of </w:t>
      </w:r>
      <w:r w:rsidR="00FB1392">
        <w:rPr>
          <w:rFonts w:ascii="Times New Roman" w:eastAsia="Times New Roman" w:hAnsi="Times New Roman" w:cs="Times New Roman"/>
          <w:color w:val="000000"/>
          <w:sz w:val="24"/>
          <w:szCs w:val="24"/>
        </w:rPr>
        <w:t>EHMC in the Antarctic environment, but, beyond local emissions,</w:t>
      </w:r>
      <w:r w:rsidR="000821F5">
        <w:rPr>
          <w:rFonts w:ascii="Times New Roman" w:eastAsia="Times New Roman" w:hAnsi="Times New Roman" w:cs="Times New Roman"/>
          <w:color w:val="000000"/>
          <w:sz w:val="24"/>
          <w:szCs w:val="24"/>
        </w:rPr>
        <w:t xml:space="preserve"> long-range sources </w:t>
      </w:r>
      <w:r w:rsidR="00FB1392">
        <w:rPr>
          <w:rFonts w:ascii="Times New Roman" w:eastAsia="Times New Roman" w:hAnsi="Times New Roman" w:cs="Times New Roman"/>
          <w:color w:val="000000"/>
          <w:sz w:val="24"/>
          <w:szCs w:val="24"/>
        </w:rPr>
        <w:t>may play a maj</w:t>
      </w:r>
      <w:r w:rsidR="003F26CD">
        <w:rPr>
          <w:rFonts w:ascii="Times New Roman" w:eastAsia="Times New Roman" w:hAnsi="Times New Roman" w:cs="Times New Roman"/>
          <w:color w:val="000000"/>
          <w:sz w:val="24"/>
          <w:szCs w:val="24"/>
        </w:rPr>
        <w:t>or role</w:t>
      </w:r>
      <w:r w:rsidR="000821F5">
        <w:rPr>
          <w:rFonts w:ascii="Times New Roman" w:eastAsia="Times New Roman" w:hAnsi="Times New Roman" w:cs="Times New Roman"/>
          <w:color w:val="000000"/>
          <w:sz w:val="24"/>
          <w:szCs w:val="24"/>
        </w:rPr>
        <w:t xml:space="preserve">. </w:t>
      </w:r>
      <w:r w:rsidR="000E27EE" w:rsidRPr="000E27EE">
        <w:rPr>
          <w:rFonts w:ascii="Times New Roman" w:eastAsia="Times New Roman" w:hAnsi="Times New Roman" w:cs="Times New Roman"/>
          <w:color w:val="000000"/>
          <w:sz w:val="24"/>
          <w:szCs w:val="24"/>
        </w:rPr>
        <w:t xml:space="preserve">For this </w:t>
      </w:r>
      <w:r w:rsidR="00910F9A">
        <w:rPr>
          <w:rFonts w:ascii="Times New Roman" w:eastAsia="Times New Roman" w:hAnsi="Times New Roman" w:cs="Times New Roman"/>
          <w:color w:val="000000"/>
          <w:sz w:val="24"/>
          <w:szCs w:val="24"/>
        </w:rPr>
        <w:t xml:space="preserve">exploratory </w:t>
      </w:r>
      <w:r w:rsidR="000E27EE" w:rsidRPr="000E27EE">
        <w:rPr>
          <w:rFonts w:ascii="Times New Roman" w:eastAsia="Times New Roman" w:hAnsi="Times New Roman" w:cs="Times New Roman"/>
          <w:color w:val="000000"/>
          <w:sz w:val="24"/>
          <w:szCs w:val="24"/>
        </w:rPr>
        <w:t>study, 14 samples of snow, snowmelt, and pond water from Terra Nova Bay</w:t>
      </w:r>
      <w:r w:rsidR="002E43C4">
        <w:rPr>
          <w:rFonts w:ascii="Times New Roman" w:eastAsia="Times New Roman" w:hAnsi="Times New Roman" w:cs="Times New Roman"/>
          <w:color w:val="000000"/>
          <w:sz w:val="24"/>
          <w:szCs w:val="24"/>
        </w:rPr>
        <w:t xml:space="preserve"> and Victoria Land, Antarctica,</w:t>
      </w:r>
      <w:r w:rsidR="000E27EE" w:rsidRPr="000E27EE">
        <w:rPr>
          <w:rFonts w:ascii="Times New Roman" w:eastAsia="Times New Roman" w:hAnsi="Times New Roman" w:cs="Times New Roman"/>
          <w:color w:val="000000"/>
          <w:sz w:val="24"/>
          <w:szCs w:val="24"/>
        </w:rPr>
        <w:t xml:space="preserve"> were analysed. The aims of the study are </w:t>
      </w:r>
      <w:proofErr w:type="spellStart"/>
      <w:r w:rsidR="000E27EE" w:rsidRPr="000E27EE">
        <w:rPr>
          <w:rFonts w:ascii="Times New Roman" w:eastAsia="Times New Roman" w:hAnsi="Times New Roman" w:cs="Times New Roman"/>
          <w:color w:val="000000"/>
          <w:sz w:val="24"/>
          <w:szCs w:val="24"/>
        </w:rPr>
        <w:t>i</w:t>
      </w:r>
      <w:proofErr w:type="spellEnd"/>
      <w:r w:rsidR="000E27EE" w:rsidRPr="000E27EE">
        <w:rPr>
          <w:rFonts w:ascii="Times New Roman" w:eastAsia="Times New Roman" w:hAnsi="Times New Roman" w:cs="Times New Roman"/>
          <w:color w:val="000000"/>
          <w:sz w:val="24"/>
          <w:szCs w:val="24"/>
        </w:rPr>
        <w:t xml:space="preserve">) to </w:t>
      </w:r>
      <w:r w:rsidR="00C91754">
        <w:rPr>
          <w:rFonts w:ascii="Times New Roman" w:eastAsia="Times New Roman" w:hAnsi="Times New Roman" w:cs="Times New Roman"/>
          <w:color w:val="000000"/>
          <w:sz w:val="24"/>
          <w:szCs w:val="24"/>
        </w:rPr>
        <w:t>investigate</w:t>
      </w:r>
      <w:r w:rsidR="00C91754" w:rsidRPr="000E27EE">
        <w:rPr>
          <w:rFonts w:ascii="Times New Roman" w:eastAsia="Times New Roman" w:hAnsi="Times New Roman" w:cs="Times New Roman"/>
          <w:color w:val="000000"/>
          <w:sz w:val="24"/>
          <w:szCs w:val="24"/>
        </w:rPr>
        <w:t xml:space="preserve"> </w:t>
      </w:r>
      <w:r w:rsidR="000E27EE" w:rsidRPr="000E27EE">
        <w:rPr>
          <w:rFonts w:ascii="Times New Roman" w:eastAsia="Times New Roman" w:hAnsi="Times New Roman" w:cs="Times New Roman"/>
          <w:color w:val="000000"/>
          <w:sz w:val="24"/>
          <w:szCs w:val="24"/>
        </w:rPr>
        <w:t xml:space="preserve">the </w:t>
      </w:r>
      <w:r w:rsidR="00C91754">
        <w:rPr>
          <w:rFonts w:ascii="Times New Roman" w:eastAsia="Times New Roman" w:hAnsi="Times New Roman" w:cs="Times New Roman"/>
          <w:color w:val="000000"/>
          <w:sz w:val="24"/>
          <w:szCs w:val="24"/>
        </w:rPr>
        <w:t>occurrence</w:t>
      </w:r>
      <w:r w:rsidR="00C91754" w:rsidRPr="000E27EE">
        <w:rPr>
          <w:rFonts w:ascii="Times New Roman" w:eastAsia="Times New Roman" w:hAnsi="Times New Roman" w:cs="Times New Roman"/>
          <w:color w:val="000000"/>
          <w:sz w:val="24"/>
          <w:szCs w:val="24"/>
        </w:rPr>
        <w:t xml:space="preserve"> </w:t>
      </w:r>
      <w:r w:rsidR="000E27EE" w:rsidRPr="000E27EE">
        <w:rPr>
          <w:rFonts w:ascii="Times New Roman" w:eastAsia="Times New Roman" w:hAnsi="Times New Roman" w:cs="Times New Roman"/>
          <w:color w:val="000000"/>
          <w:sz w:val="24"/>
          <w:szCs w:val="24"/>
        </w:rPr>
        <w:t>of EHMC in Antarctic</w:t>
      </w:r>
      <w:r w:rsidR="00C91754">
        <w:rPr>
          <w:rFonts w:ascii="Times New Roman" w:eastAsia="Times New Roman" w:hAnsi="Times New Roman" w:cs="Times New Roman"/>
          <w:color w:val="000000"/>
          <w:sz w:val="24"/>
          <w:szCs w:val="24"/>
        </w:rPr>
        <w:t xml:space="preserve"> snow</w:t>
      </w:r>
      <w:r w:rsidR="000E27EE" w:rsidRPr="000E27EE">
        <w:rPr>
          <w:rFonts w:ascii="Times New Roman" w:eastAsia="Times New Roman" w:hAnsi="Times New Roman" w:cs="Times New Roman"/>
          <w:color w:val="000000"/>
          <w:sz w:val="24"/>
          <w:szCs w:val="24"/>
        </w:rPr>
        <w:t xml:space="preserve">, ii) to identify </w:t>
      </w:r>
      <w:r w:rsidR="009128ED">
        <w:rPr>
          <w:rFonts w:ascii="Times New Roman" w:eastAsia="Times New Roman" w:hAnsi="Times New Roman" w:cs="Times New Roman"/>
          <w:color w:val="000000"/>
          <w:sz w:val="24"/>
          <w:szCs w:val="24"/>
        </w:rPr>
        <w:t xml:space="preserve">the </w:t>
      </w:r>
      <w:r w:rsidR="000E27EE" w:rsidRPr="000E27EE">
        <w:rPr>
          <w:rFonts w:ascii="Times New Roman" w:eastAsia="Times New Roman" w:hAnsi="Times New Roman" w:cs="Times New Roman"/>
          <w:color w:val="000000"/>
          <w:sz w:val="24"/>
          <w:szCs w:val="24"/>
        </w:rPr>
        <w:t xml:space="preserve">potential contamination sources, and iii) to </w:t>
      </w:r>
      <w:r w:rsidR="009128ED">
        <w:rPr>
          <w:rFonts w:ascii="Times New Roman" w:eastAsia="Times New Roman" w:hAnsi="Times New Roman" w:cs="Times New Roman"/>
          <w:color w:val="000000"/>
          <w:sz w:val="24"/>
          <w:szCs w:val="24"/>
        </w:rPr>
        <w:t>evaluate</w:t>
      </w:r>
      <w:r w:rsidR="009128ED" w:rsidRPr="000E27EE">
        <w:rPr>
          <w:rFonts w:ascii="Times New Roman" w:eastAsia="Times New Roman" w:hAnsi="Times New Roman" w:cs="Times New Roman"/>
          <w:color w:val="000000"/>
          <w:sz w:val="24"/>
          <w:szCs w:val="24"/>
        </w:rPr>
        <w:t xml:space="preserve"> </w:t>
      </w:r>
      <w:r w:rsidR="000E27EE" w:rsidRPr="000E27EE">
        <w:rPr>
          <w:rFonts w:ascii="Times New Roman" w:eastAsia="Times New Roman" w:hAnsi="Times New Roman" w:cs="Times New Roman"/>
          <w:color w:val="000000"/>
          <w:sz w:val="24"/>
          <w:szCs w:val="24"/>
        </w:rPr>
        <w:t xml:space="preserve">the long-range transport potential of EHMC </w:t>
      </w:r>
      <w:r w:rsidR="009128ED" w:rsidRPr="000E27EE">
        <w:rPr>
          <w:rFonts w:ascii="Times New Roman" w:eastAsia="Times New Roman" w:hAnsi="Times New Roman" w:cs="Times New Roman"/>
          <w:color w:val="000000"/>
          <w:sz w:val="24"/>
          <w:szCs w:val="24"/>
        </w:rPr>
        <w:t>comparing two modelling studies</w:t>
      </w:r>
      <w:r w:rsidR="000E27EE" w:rsidRPr="000E27EE">
        <w:rPr>
          <w:rFonts w:ascii="Times New Roman" w:eastAsia="Times New Roman" w:hAnsi="Times New Roman" w:cs="Times New Roman"/>
          <w:color w:val="000000"/>
          <w:sz w:val="24"/>
          <w:szCs w:val="24"/>
        </w:rPr>
        <w:t>. </w:t>
      </w:r>
    </w:p>
    <w:p w14:paraId="6C66A654" w14:textId="2060FB17" w:rsidR="00A03240" w:rsidRDefault="00A03240" w:rsidP="006562E1">
      <w:pPr>
        <w:spacing w:after="0" w:line="360" w:lineRule="auto"/>
        <w:jc w:val="both"/>
        <w:rPr>
          <w:rFonts w:ascii="Times New Roman" w:eastAsia="Times New Roman" w:hAnsi="Times New Roman" w:cs="Times New Roman"/>
          <w:color w:val="000000"/>
          <w:sz w:val="24"/>
          <w:szCs w:val="24"/>
        </w:rPr>
      </w:pPr>
    </w:p>
    <w:p w14:paraId="06F1A8CC" w14:textId="77777777" w:rsidR="00A03240" w:rsidRPr="00693F0B" w:rsidRDefault="00A03240" w:rsidP="00A03240">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sidRPr="00663EA2">
        <w:rPr>
          <w:rFonts w:ascii="Times New Roman" w:eastAsia="Times New Roman" w:hAnsi="Times New Roman" w:cs="Times New Roman"/>
          <w:sz w:val="24"/>
          <w:szCs w:val="24"/>
        </w:rPr>
        <w:t>Table 1. Physicochemical properties of EHMC</w:t>
      </w:r>
    </w:p>
    <w:tbl>
      <w:tblPr>
        <w:tblStyle w:val="a"/>
        <w:tblW w:w="10201" w:type="dxa"/>
        <w:jc w:val="center"/>
        <w:tblInd w:w="0" w:type="dxa"/>
        <w:tblLayout w:type="fixed"/>
        <w:tblLook w:val="0400" w:firstRow="0" w:lastRow="0" w:firstColumn="0" w:lastColumn="0" w:noHBand="0" w:noVBand="1"/>
      </w:tblPr>
      <w:tblGrid>
        <w:gridCol w:w="988"/>
        <w:gridCol w:w="1417"/>
        <w:gridCol w:w="992"/>
        <w:gridCol w:w="851"/>
        <w:gridCol w:w="1027"/>
        <w:gridCol w:w="1032"/>
        <w:gridCol w:w="1031"/>
        <w:gridCol w:w="737"/>
        <w:gridCol w:w="1134"/>
        <w:gridCol w:w="992"/>
      </w:tblGrid>
      <w:tr w:rsidR="00A03240" w14:paraId="1077EF86" w14:textId="77777777" w:rsidTr="00F1295B">
        <w:trPr>
          <w:jc w:val="center"/>
        </w:trPr>
        <w:tc>
          <w:tcPr>
            <w:tcW w:w="988" w:type="dxa"/>
            <w:tcBorders>
              <w:top w:val="single" w:sz="4" w:space="0" w:color="auto"/>
              <w:bottom w:val="single" w:sz="4" w:space="0" w:color="auto"/>
            </w:tcBorders>
          </w:tcPr>
          <w:p w14:paraId="7FE54E2E" w14:textId="77777777" w:rsidR="00A03240" w:rsidRDefault="00A03240" w:rsidP="00F1295B">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tc>
        <w:tc>
          <w:tcPr>
            <w:tcW w:w="1417" w:type="dxa"/>
            <w:tcBorders>
              <w:top w:val="single" w:sz="4" w:space="0" w:color="auto"/>
              <w:bottom w:val="single" w:sz="4" w:space="0" w:color="auto"/>
            </w:tcBorders>
          </w:tcPr>
          <w:p w14:paraId="1AF54422" w14:textId="77777777" w:rsidR="00A03240" w:rsidRDefault="00A03240" w:rsidP="00F1295B">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VP</w:t>
            </w:r>
          </w:p>
          <w:p w14:paraId="4E4384EC" w14:textId="77777777" w:rsidR="00A03240" w:rsidRDefault="00A03240" w:rsidP="00F1295B">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[mmHg]</w:t>
            </w:r>
          </w:p>
        </w:tc>
        <w:tc>
          <w:tcPr>
            <w:tcW w:w="992" w:type="dxa"/>
            <w:tcBorders>
              <w:top w:val="single" w:sz="4" w:space="0" w:color="auto"/>
              <w:bottom w:val="single" w:sz="4" w:space="0" w:color="auto"/>
            </w:tcBorders>
          </w:tcPr>
          <w:p w14:paraId="0F4F30E6" w14:textId="77777777" w:rsidR="00A03240" w:rsidRDefault="00A03240" w:rsidP="00F1295B">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Log K</w:t>
            </w:r>
            <w:r>
              <w:rPr>
                <w:rFonts w:ascii="Times New Roman" w:eastAsia="Times New Roman" w:hAnsi="Times New Roman" w:cs="Times New Roman"/>
                <w:color w:val="000000"/>
                <w:sz w:val="24"/>
                <w:szCs w:val="24"/>
                <w:vertAlign w:val="subscript"/>
              </w:rPr>
              <w:t>P</w:t>
            </w:r>
          </w:p>
        </w:tc>
        <w:tc>
          <w:tcPr>
            <w:tcW w:w="851" w:type="dxa"/>
            <w:tcBorders>
              <w:top w:val="single" w:sz="4" w:space="0" w:color="auto"/>
              <w:bottom w:val="single" w:sz="4" w:space="0" w:color="auto"/>
            </w:tcBorders>
          </w:tcPr>
          <w:p w14:paraId="6C138EE4" w14:textId="77777777" w:rsidR="00A03240" w:rsidRDefault="00A03240" w:rsidP="00F1295B">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sidRPr="001E0A97">
              <w:rPr>
                <w:rFonts w:ascii="Times New Roman" w:eastAsia="Times New Roman" w:hAnsi="Times New Roman" w:cs="Times New Roman"/>
                <w:color w:val="000000"/>
                <w:sz w:val="24"/>
                <w:szCs w:val="24"/>
              </w:rPr>
              <w:t>Φ/%</w:t>
            </w:r>
          </w:p>
        </w:tc>
        <w:tc>
          <w:tcPr>
            <w:tcW w:w="1027" w:type="dxa"/>
            <w:tcBorders>
              <w:top w:val="single" w:sz="4" w:space="0" w:color="auto"/>
              <w:bottom w:val="single" w:sz="4" w:space="0" w:color="auto"/>
            </w:tcBorders>
          </w:tcPr>
          <w:p w14:paraId="455DA887" w14:textId="77777777" w:rsidR="00A03240" w:rsidRDefault="00A03240" w:rsidP="00F1295B">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Log K</w:t>
            </w:r>
            <w:r>
              <w:rPr>
                <w:rFonts w:ascii="Times New Roman" w:eastAsia="Times New Roman" w:hAnsi="Times New Roman" w:cs="Times New Roman"/>
                <w:color w:val="000000"/>
                <w:sz w:val="24"/>
                <w:szCs w:val="24"/>
                <w:vertAlign w:val="subscript"/>
              </w:rPr>
              <w:t>OW</w:t>
            </w:r>
          </w:p>
        </w:tc>
        <w:tc>
          <w:tcPr>
            <w:tcW w:w="1032" w:type="dxa"/>
            <w:tcBorders>
              <w:top w:val="single" w:sz="4" w:space="0" w:color="auto"/>
              <w:bottom w:val="single" w:sz="4" w:space="0" w:color="auto"/>
            </w:tcBorders>
          </w:tcPr>
          <w:p w14:paraId="35172BDE" w14:textId="77777777" w:rsidR="00A03240" w:rsidRDefault="00A03240" w:rsidP="00F1295B">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Log K</w:t>
            </w:r>
            <w:r>
              <w:rPr>
                <w:rFonts w:ascii="Times New Roman" w:eastAsia="Times New Roman" w:hAnsi="Times New Roman" w:cs="Times New Roman"/>
                <w:color w:val="000000"/>
                <w:sz w:val="24"/>
                <w:szCs w:val="24"/>
                <w:vertAlign w:val="subscript"/>
              </w:rPr>
              <w:t>OA</w:t>
            </w:r>
          </w:p>
        </w:tc>
        <w:tc>
          <w:tcPr>
            <w:tcW w:w="1031" w:type="dxa"/>
            <w:tcBorders>
              <w:top w:val="single" w:sz="4" w:space="0" w:color="auto"/>
              <w:bottom w:val="single" w:sz="4" w:space="0" w:color="auto"/>
            </w:tcBorders>
          </w:tcPr>
          <w:p w14:paraId="54FAC1E8" w14:textId="77777777" w:rsidR="00A03240" w:rsidRDefault="00A03240" w:rsidP="00F1295B">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Log K</w:t>
            </w:r>
            <w:r>
              <w:rPr>
                <w:rFonts w:ascii="Times New Roman" w:eastAsia="Times New Roman" w:hAnsi="Times New Roman" w:cs="Times New Roman"/>
                <w:color w:val="000000"/>
                <w:sz w:val="24"/>
                <w:szCs w:val="24"/>
                <w:vertAlign w:val="subscript"/>
              </w:rPr>
              <w:t>OC</w:t>
            </w:r>
          </w:p>
        </w:tc>
        <w:tc>
          <w:tcPr>
            <w:tcW w:w="737" w:type="dxa"/>
            <w:tcBorders>
              <w:top w:val="single" w:sz="4" w:space="0" w:color="auto"/>
              <w:bottom w:val="single" w:sz="4" w:space="0" w:color="auto"/>
            </w:tcBorders>
          </w:tcPr>
          <w:p w14:paraId="32EDCE74" w14:textId="77777777" w:rsidR="00A03240" w:rsidRDefault="00A03240" w:rsidP="00F1295B">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LogK</w:t>
            </w:r>
            <w:r>
              <w:rPr>
                <w:rFonts w:ascii="Times New Roman" w:eastAsia="Times New Roman" w:hAnsi="Times New Roman" w:cs="Times New Roman"/>
                <w:color w:val="000000"/>
                <w:sz w:val="24"/>
                <w:szCs w:val="24"/>
                <w:vertAlign w:val="subscript"/>
              </w:rPr>
              <w:t>AW</w:t>
            </w:r>
            <w:proofErr w:type="spellEnd"/>
          </w:p>
        </w:tc>
        <w:tc>
          <w:tcPr>
            <w:tcW w:w="1134" w:type="dxa"/>
            <w:tcBorders>
              <w:top w:val="single" w:sz="4" w:space="0" w:color="auto"/>
              <w:bottom w:val="single" w:sz="4" w:space="0" w:color="auto"/>
            </w:tcBorders>
          </w:tcPr>
          <w:p w14:paraId="68160491" w14:textId="77777777" w:rsidR="00A03240" w:rsidRDefault="00A03240" w:rsidP="00F1295B">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POV [days]</w:t>
            </w:r>
          </w:p>
        </w:tc>
        <w:tc>
          <w:tcPr>
            <w:tcW w:w="992" w:type="dxa"/>
            <w:tcBorders>
              <w:top w:val="single" w:sz="4" w:space="0" w:color="auto"/>
              <w:bottom w:val="single" w:sz="4" w:space="0" w:color="auto"/>
            </w:tcBorders>
          </w:tcPr>
          <w:p w14:paraId="2FBA1302" w14:textId="77777777" w:rsidR="00A03240" w:rsidRDefault="00A03240" w:rsidP="00F1295B">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LRTP [km]</w:t>
            </w:r>
          </w:p>
        </w:tc>
      </w:tr>
      <w:tr w:rsidR="00A03240" w14:paraId="06BEDC16" w14:textId="77777777" w:rsidTr="00F1295B">
        <w:trPr>
          <w:jc w:val="center"/>
        </w:trPr>
        <w:tc>
          <w:tcPr>
            <w:tcW w:w="988" w:type="dxa"/>
            <w:tcBorders>
              <w:top w:val="single" w:sz="4" w:space="0" w:color="auto"/>
              <w:bottom w:val="single" w:sz="4" w:space="0" w:color="auto"/>
            </w:tcBorders>
          </w:tcPr>
          <w:p w14:paraId="642C9935" w14:textId="77777777" w:rsidR="00A03240" w:rsidRDefault="00A03240" w:rsidP="00F1295B">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EHMC</w:t>
            </w:r>
          </w:p>
        </w:tc>
        <w:tc>
          <w:tcPr>
            <w:tcW w:w="1417" w:type="dxa"/>
            <w:tcBorders>
              <w:top w:val="single" w:sz="4" w:space="0" w:color="auto"/>
              <w:bottom w:val="single" w:sz="4" w:space="0" w:color="auto"/>
            </w:tcBorders>
          </w:tcPr>
          <w:p w14:paraId="1DFE6291" w14:textId="77777777" w:rsidR="00A03240" w:rsidRDefault="00A03240" w:rsidP="00F1295B">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1.38·10</w:t>
            </w:r>
            <w:r>
              <w:rPr>
                <w:rFonts w:ascii="Times New Roman" w:eastAsia="Times New Roman" w:hAnsi="Times New Roman" w:cs="Times New Roman"/>
                <w:color w:val="000000"/>
                <w:sz w:val="24"/>
                <w:szCs w:val="24"/>
                <w:vertAlign w:val="superscript"/>
              </w:rPr>
              <w:t>-5 (a)</w:t>
            </w:r>
          </w:p>
        </w:tc>
        <w:tc>
          <w:tcPr>
            <w:tcW w:w="992" w:type="dxa"/>
            <w:tcBorders>
              <w:top w:val="single" w:sz="4" w:space="0" w:color="auto"/>
              <w:bottom w:val="single" w:sz="4" w:space="0" w:color="auto"/>
            </w:tcBorders>
          </w:tcPr>
          <w:p w14:paraId="4318261F" w14:textId="77777777" w:rsidR="00A03240" w:rsidRDefault="00A03240" w:rsidP="00F1295B">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-1.65 </w:t>
            </w:r>
            <w:r>
              <w:rPr>
                <w:rFonts w:ascii="Times New Roman" w:eastAsia="Times New Roman" w:hAnsi="Times New Roman" w:cs="Times New Roman"/>
                <w:color w:val="000000"/>
                <w:sz w:val="24"/>
                <w:szCs w:val="24"/>
                <w:vertAlign w:val="superscript"/>
              </w:rPr>
              <w:t>(d)</w:t>
            </w:r>
          </w:p>
        </w:tc>
        <w:tc>
          <w:tcPr>
            <w:tcW w:w="851" w:type="dxa"/>
            <w:tcBorders>
              <w:top w:val="single" w:sz="4" w:space="0" w:color="auto"/>
              <w:bottom w:val="single" w:sz="4" w:space="0" w:color="auto"/>
            </w:tcBorders>
          </w:tcPr>
          <w:p w14:paraId="107B5E1D" w14:textId="77777777" w:rsidR="00A03240" w:rsidRDefault="00A03240" w:rsidP="00F1295B">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32 </w:t>
            </w:r>
            <w:r>
              <w:rPr>
                <w:rFonts w:ascii="Times New Roman" w:eastAsia="Times New Roman" w:hAnsi="Times New Roman" w:cs="Times New Roman"/>
                <w:color w:val="000000"/>
                <w:sz w:val="24"/>
                <w:szCs w:val="24"/>
                <w:vertAlign w:val="superscript"/>
              </w:rPr>
              <w:t>(d)</w:t>
            </w:r>
          </w:p>
        </w:tc>
        <w:tc>
          <w:tcPr>
            <w:tcW w:w="1027" w:type="dxa"/>
            <w:tcBorders>
              <w:top w:val="single" w:sz="4" w:space="0" w:color="auto"/>
              <w:bottom w:val="single" w:sz="4" w:space="0" w:color="auto"/>
            </w:tcBorders>
          </w:tcPr>
          <w:p w14:paraId="67D632C2" w14:textId="77777777" w:rsidR="00A03240" w:rsidRDefault="00A03240" w:rsidP="00F1295B">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&gt; 6 </w:t>
            </w:r>
            <w:r>
              <w:rPr>
                <w:rFonts w:ascii="Times New Roman" w:eastAsia="Times New Roman" w:hAnsi="Times New Roman" w:cs="Times New Roman"/>
                <w:color w:val="000000"/>
                <w:sz w:val="24"/>
                <w:szCs w:val="24"/>
                <w:vertAlign w:val="superscript"/>
              </w:rPr>
              <w:t>(b)</w:t>
            </w:r>
          </w:p>
        </w:tc>
        <w:tc>
          <w:tcPr>
            <w:tcW w:w="1032" w:type="dxa"/>
            <w:tcBorders>
              <w:top w:val="single" w:sz="4" w:space="0" w:color="auto"/>
              <w:bottom w:val="single" w:sz="4" w:space="0" w:color="auto"/>
            </w:tcBorders>
          </w:tcPr>
          <w:p w14:paraId="1F662D79" w14:textId="77777777" w:rsidR="00A03240" w:rsidRDefault="00A03240" w:rsidP="00F1295B">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9.9 </w:t>
            </w:r>
            <w:r>
              <w:rPr>
                <w:rFonts w:ascii="Times New Roman" w:eastAsia="Times New Roman" w:hAnsi="Times New Roman" w:cs="Times New Roman"/>
                <w:color w:val="000000"/>
                <w:sz w:val="24"/>
                <w:szCs w:val="24"/>
                <w:vertAlign w:val="superscript"/>
              </w:rPr>
              <w:t>(c)</w:t>
            </w:r>
          </w:p>
        </w:tc>
        <w:tc>
          <w:tcPr>
            <w:tcW w:w="1031" w:type="dxa"/>
            <w:tcBorders>
              <w:top w:val="single" w:sz="4" w:space="0" w:color="auto"/>
              <w:bottom w:val="single" w:sz="4" w:space="0" w:color="auto"/>
            </w:tcBorders>
          </w:tcPr>
          <w:p w14:paraId="2DEB2B23" w14:textId="77777777" w:rsidR="00A03240" w:rsidRDefault="00A03240" w:rsidP="00F1295B">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- 4 </w:t>
            </w:r>
            <w:r>
              <w:rPr>
                <w:rFonts w:ascii="Times New Roman" w:eastAsia="Times New Roman" w:hAnsi="Times New Roman" w:cs="Times New Roman"/>
                <w:color w:val="000000"/>
                <w:sz w:val="24"/>
                <w:szCs w:val="24"/>
                <w:vertAlign w:val="superscript"/>
              </w:rPr>
              <w:t>(a)</w:t>
            </w:r>
          </w:p>
        </w:tc>
        <w:tc>
          <w:tcPr>
            <w:tcW w:w="737" w:type="dxa"/>
            <w:tcBorders>
              <w:top w:val="single" w:sz="4" w:space="0" w:color="auto"/>
              <w:bottom w:val="single" w:sz="4" w:space="0" w:color="auto"/>
            </w:tcBorders>
          </w:tcPr>
          <w:p w14:paraId="31E2AFB0" w14:textId="77777777" w:rsidR="00A03240" w:rsidRDefault="00A03240" w:rsidP="00F1295B">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-4.13 </w:t>
            </w:r>
            <w:r>
              <w:rPr>
                <w:rFonts w:ascii="Times New Roman" w:eastAsia="Times New Roman" w:hAnsi="Times New Roman" w:cs="Times New Roman"/>
                <w:color w:val="000000"/>
                <w:sz w:val="24"/>
                <w:szCs w:val="24"/>
                <w:vertAlign w:val="superscript"/>
              </w:rPr>
              <w:t>(a)</w:t>
            </w:r>
          </w:p>
        </w:tc>
        <w:tc>
          <w:tcPr>
            <w:tcW w:w="1134" w:type="dxa"/>
            <w:tcBorders>
              <w:top w:val="single" w:sz="4" w:space="0" w:color="auto"/>
              <w:bottom w:val="single" w:sz="4" w:space="0" w:color="auto"/>
            </w:tcBorders>
          </w:tcPr>
          <w:p w14:paraId="607AC1D6" w14:textId="77777777" w:rsidR="00A03240" w:rsidRDefault="00A03240" w:rsidP="00F1295B">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43.26 </w:t>
            </w:r>
            <w:r>
              <w:rPr>
                <w:rFonts w:ascii="Times New Roman" w:eastAsia="Times New Roman" w:hAnsi="Times New Roman" w:cs="Times New Roman"/>
                <w:color w:val="000000"/>
                <w:sz w:val="24"/>
                <w:szCs w:val="24"/>
                <w:vertAlign w:val="superscript"/>
              </w:rPr>
              <w:t>(a)</w:t>
            </w:r>
          </w:p>
        </w:tc>
        <w:tc>
          <w:tcPr>
            <w:tcW w:w="992" w:type="dxa"/>
            <w:tcBorders>
              <w:top w:val="single" w:sz="4" w:space="0" w:color="auto"/>
              <w:bottom w:val="single" w:sz="4" w:space="0" w:color="auto"/>
            </w:tcBorders>
          </w:tcPr>
          <w:p w14:paraId="606B12D8" w14:textId="77777777" w:rsidR="00A03240" w:rsidRDefault="00A03240" w:rsidP="00F1295B">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90.80 </w:t>
            </w:r>
            <w:r>
              <w:rPr>
                <w:rFonts w:ascii="Times New Roman" w:eastAsia="Times New Roman" w:hAnsi="Times New Roman" w:cs="Times New Roman"/>
                <w:color w:val="000000"/>
                <w:sz w:val="24"/>
                <w:szCs w:val="24"/>
                <w:vertAlign w:val="superscript"/>
              </w:rPr>
              <w:t>(a)</w:t>
            </w:r>
          </w:p>
        </w:tc>
      </w:tr>
    </w:tbl>
    <w:p w14:paraId="630DF5E2" w14:textId="77777777" w:rsidR="00A03240" w:rsidRDefault="00A03240" w:rsidP="00A03240">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124D18">
        <w:rPr>
          <w:rFonts w:ascii="Times New Roman" w:eastAsia="Times New Roman" w:hAnsi="Times New Roman" w:cs="Times New Roman"/>
          <w:color w:val="000000"/>
          <w:sz w:val="24"/>
          <w:szCs w:val="24"/>
          <w:lang w:val="it-IT"/>
        </w:rPr>
        <w:t xml:space="preserve">a – </w:t>
      </w:r>
      <w:r>
        <w:rPr>
          <w:rFonts w:ascii="Times New Roman" w:eastAsia="Times New Roman" w:hAnsi="Times New Roman" w:cs="Times New Roman"/>
          <w:color w:val="000000"/>
          <w:sz w:val="24"/>
          <w:szCs w:val="24"/>
        </w:rPr>
        <w:fldChar w:fldCharType="begin" w:fldLock="1"/>
      </w:r>
      <w:r>
        <w:rPr>
          <w:rFonts w:ascii="Times New Roman" w:eastAsia="Times New Roman" w:hAnsi="Times New Roman" w:cs="Times New Roman"/>
          <w:color w:val="000000"/>
          <w:sz w:val="24"/>
          <w:szCs w:val="24"/>
          <w:lang w:val="it-IT"/>
        </w:rPr>
        <w:instrText>ADDIN CSL_CITATION {"citationItems":[{"id":"ITEM-1","itemData":{"DOI":"10.1007/s11356-018-1796-6","ISSN":"16147499","PMID":"29594898","abstract":"The organic UV filters, commonly used in personal protection products, are of concern because of their potential risk to aquatic ecosystems and living organisms. One of UV filters is ethylhexyl-4-methoxycinnamate (EHMC) acid. Studies have shown that, in the presence of oxidizing and chlorinating factors, EHMC forms a series of products with different properties than the substrate. In this study, the toxicities of EHMC and its transformation/degradation products formed under the influence of NaOCl/UV and H2O2/UV systems in the water medium were tested using Microtox® bioassay and by observation of mortality of juvenile crustaceans Daphnia magna and Artemia Salina. We have observed that oxidation and chlorination products of EHMC show significantly higher toxicity than EHMC alone. The toxicity of chemicals is related to their physicochemical characteristic such as lipophilicity and substituent groups. With the increase in lipophilicity of products, expressed as log KOW, the toxicity (EC50) increases. On the basis of physicochemical properties such as vapour pressure (VP), solubility (S), octanol-water partition coefficient (KOW), bioconcentration factor (BCF) and half-lives, the overall persistence (POV) and long-range transport potential (LRTP) of all the products and EHMC were calculated. It was shown that the most persistent and traveling on the long distances in environment are methoxyphenol chloroderivatives, then methoxybenzene chloroderivatives, EHMC chloroderivatives, methoxybenzaldehyde chloroderivatives and methoxycinnamate acid chloroderivatives. These compounds are also characterised by high toxicity.","author":[{"dropping-particle":"","family":"Gackowska","given":"Alicja","non-dropping-particle":"","parse-names":false,"suffix":""},{"dropping-particle":"","family":"Studziński","given":"Waldemar","non-dropping-particle":"","parse-names":false,"suffix":""},{"dropping-particle":"","family":"Kudlek","given":"Edyta","non-dropping-particle":"","parse-names":false,"suffix":""},{"dropping-particle":"","family":"Dudziak","given":"Mariusz","non-dropping-particle":"","parse-names":false,"suffix":""},{"dropping-particle":"","family":"Gaca","given":"Jerzy","non-dropping-particle":"","parse-names":false,"suffix":""}],"container-title":"Environmental Science and Pollution Research","id":"ITEM-1","issue":"16","issued":{"date-parts":[["2018"]]},"page":"16037-16049","title":"Estimation of physicochemical properties of 2-ethylhexyl-4-methoxycinnamate (EHMC) degradation products and their toxicological evaluation","type":"article-journal","volume":"25"},"uris":["http://www.mendeley.com/documents/?uuid=ada76b1e-bcf7-4a29-89ab-e556077c4097"]}],"mendeley":{"formattedCitation":"(Gackowska et al., 2018)","plainTextFormattedCitation":"(Gackowska et al., 2018)","previouslyFormattedCitation":"(Gackowska et al., 2018)"},"properties":{"noteIndex":0},"schema":"https://github.com/citation-style-language/schema/raw/master/csl-citation.json"}</w:instrText>
      </w:r>
      <w:r>
        <w:rPr>
          <w:rFonts w:ascii="Times New Roman" w:eastAsia="Times New Roman" w:hAnsi="Times New Roman" w:cs="Times New Roman"/>
          <w:color w:val="000000"/>
          <w:sz w:val="24"/>
          <w:szCs w:val="24"/>
        </w:rPr>
        <w:fldChar w:fldCharType="separate"/>
      </w:r>
      <w:r w:rsidRPr="00F34D70">
        <w:rPr>
          <w:rFonts w:ascii="Times New Roman" w:eastAsia="Times New Roman" w:hAnsi="Times New Roman" w:cs="Times New Roman"/>
          <w:noProof/>
          <w:color w:val="000000"/>
          <w:sz w:val="24"/>
          <w:szCs w:val="24"/>
          <w:lang w:val="it-IT"/>
        </w:rPr>
        <w:t>(Gackowska et al., 2018)</w:t>
      </w:r>
      <w:r>
        <w:rPr>
          <w:rFonts w:ascii="Times New Roman" w:eastAsia="Times New Roman" w:hAnsi="Times New Roman" w:cs="Times New Roman"/>
          <w:color w:val="000000"/>
          <w:sz w:val="24"/>
          <w:szCs w:val="24"/>
        </w:rPr>
        <w:fldChar w:fldCharType="end"/>
      </w:r>
      <w:r w:rsidRPr="00124D18">
        <w:rPr>
          <w:rFonts w:ascii="Times New Roman" w:eastAsia="Times New Roman" w:hAnsi="Times New Roman" w:cs="Times New Roman"/>
          <w:color w:val="000000"/>
          <w:sz w:val="24"/>
          <w:szCs w:val="24"/>
          <w:lang w:val="it-IT"/>
        </w:rPr>
        <w:t xml:space="preserve"> b – </w:t>
      </w:r>
      <w:r>
        <w:rPr>
          <w:rFonts w:ascii="Times New Roman" w:eastAsia="Times New Roman" w:hAnsi="Times New Roman" w:cs="Times New Roman"/>
          <w:color w:val="000000"/>
          <w:sz w:val="24"/>
          <w:szCs w:val="24"/>
        </w:rPr>
        <w:fldChar w:fldCharType="begin" w:fldLock="1"/>
      </w:r>
      <w:r>
        <w:rPr>
          <w:rFonts w:ascii="Times New Roman" w:eastAsia="Times New Roman" w:hAnsi="Times New Roman" w:cs="Times New Roman"/>
          <w:color w:val="000000"/>
          <w:sz w:val="24"/>
          <w:szCs w:val="24"/>
          <w:lang w:val="it-IT"/>
        </w:rPr>
        <w:instrText>ADDIN CSL_CITATION {"citationItems":[{"id":"ITEM-1","itemData":{"DOI":"10.2788/101376","ISBN":"9789279462009","abstract":"According to Directive 2008/105/EC (the Environmental Quality Standards Directive, EQSD), a new mechanism is needed to provide high-quality monitoring information on the concentrations of polluting substances in the aquatic environment across the EU. The aim of this mechanism is to support the identification of priority substances for regulation under the Water Framework Directive. A restricted number of substances (up to 10) are to be included in a dynamic Watch List, remaining there for limited time. Three compounds, i.e. diclofenac, 17-beta-estradiol (E2), and 17-alpha-ethinylestradiol (EE2) have already been identified for inclusion in the first Watch List, for the specific purpose of better informing the determination of suitable risk reduction measures. Therefore, up to seven additional substances should be identified for inclusion. This report describes the procedure to identify a short-list of substances, based on the suspected risk to or via the aquatic environment, as well as on the unavailability of sufficient monitoring data or data of sufficient quality to identify the risk posed by those substances, and to prioritise them at EU level. From the short-list, seven additional substances are proposed for inclusion in the first Watch List.","author":[{"dropping-particle":"","family":"Carvalho","given":"Raquel N","non-dropping-particle":"","parse-names":false,"suffix":""},{"dropping-particle":"","family":"Ceriani","given":"Lidia","non-dropping-particle":"","parse-names":false,"suffix":""},{"dropping-particle":"","family":"Ippolito","given":"Alessio","non-dropping-particle":"","parse-names":false,"suffix":""}],"id":"ITEM-1","issued":{"date-parts":[["2015"]]},"number-of-pages":"168","title":"Development of the first Watch List under the Environmental Quality Standards Directive water policy","type":"report"},"uris":["http://www.mendeley.com/documents/?uuid=78af9866-3d7d-4746-980d-c186ac22d85d"]}],"mendeley":{"formattedCitation":"(Carvalho et al., 2015)","plainTextFormattedCitation":"(Carvalho et al., 2015)","previouslyFormattedCitation":"(Carvalho et al., 2015)"},"properties":{"noteIndex":0},"schema":"https://github.com/citation-style-language/schema/raw/master/csl-citation.json"}</w:instrText>
      </w:r>
      <w:r>
        <w:rPr>
          <w:rFonts w:ascii="Times New Roman" w:eastAsia="Times New Roman" w:hAnsi="Times New Roman" w:cs="Times New Roman"/>
          <w:color w:val="000000"/>
          <w:sz w:val="24"/>
          <w:szCs w:val="24"/>
        </w:rPr>
        <w:fldChar w:fldCharType="separate"/>
      </w:r>
      <w:r w:rsidRPr="00F34D70">
        <w:rPr>
          <w:rFonts w:ascii="Times New Roman" w:eastAsia="Times New Roman" w:hAnsi="Times New Roman" w:cs="Times New Roman"/>
          <w:noProof/>
          <w:color w:val="000000"/>
          <w:sz w:val="24"/>
          <w:szCs w:val="24"/>
          <w:lang w:val="en-US"/>
        </w:rPr>
        <w:t>(Carvalho et al., 2015)</w:t>
      </w:r>
      <w:r>
        <w:rPr>
          <w:rFonts w:ascii="Times New Roman" w:eastAsia="Times New Roman" w:hAnsi="Times New Roman" w:cs="Times New Roman"/>
          <w:color w:val="000000"/>
          <w:sz w:val="24"/>
          <w:szCs w:val="24"/>
        </w:rPr>
        <w:fldChar w:fldCharType="end"/>
      </w:r>
      <w:r w:rsidRPr="00A25385">
        <w:rPr>
          <w:rFonts w:ascii="Times New Roman" w:eastAsia="Times New Roman" w:hAnsi="Times New Roman" w:cs="Times New Roman"/>
          <w:color w:val="000000"/>
          <w:sz w:val="24"/>
          <w:szCs w:val="24"/>
          <w:lang w:val="en-US"/>
        </w:rPr>
        <w:t xml:space="preserve"> c – </w:t>
      </w:r>
      <w:r>
        <w:rPr>
          <w:rFonts w:ascii="Times New Roman" w:eastAsia="Times New Roman" w:hAnsi="Times New Roman" w:cs="Times New Roman"/>
          <w:color w:val="000000"/>
          <w:sz w:val="24"/>
          <w:szCs w:val="24"/>
        </w:rPr>
        <w:fldChar w:fldCharType="begin" w:fldLock="1"/>
      </w:r>
      <w:r>
        <w:rPr>
          <w:rFonts w:ascii="Times New Roman" w:eastAsia="Times New Roman" w:hAnsi="Times New Roman" w:cs="Times New Roman"/>
          <w:color w:val="000000"/>
          <w:sz w:val="24"/>
          <w:szCs w:val="24"/>
          <w:lang w:val="en-US"/>
        </w:rPr>
        <w:instrText xml:space="preserve">ADDIN CSL_CITATION {"citationItems":[{"id":"ITEM-1","itemData":{"DOI":"10.1021/acs.est.0c02665","ISSN":"15205851","PMID":"32924452","abstract":"A retrospective analysis of a comprehensive series of high-volume air samples (n = 70) collected during 2010-2011 in Toronto (Canada) was performed. Seven UV compounds were analyzed by gas chromatography-tandem mass spectrometry (GC-MS/MS) with sum of concentrations (gas + particle phase) ranging from 80 to 2030 pg/m3. Homosalate (HMS) was the most prevalent organic UV-filter in air (47% of the total concentration), followed by 2-ethylhexyl salicylate (EHS, </w:instrText>
      </w:r>
      <w:r>
        <w:rPr>
          <w:rFonts w:ascii="Cambria Math" w:eastAsia="Times New Roman" w:hAnsi="Cambria Math" w:cs="Cambria Math"/>
          <w:color w:val="000000"/>
          <w:sz w:val="24"/>
          <w:szCs w:val="24"/>
          <w:lang w:val="en-US"/>
        </w:rPr>
        <w:instrText>∼</w:instrText>
      </w:r>
      <w:r>
        <w:rPr>
          <w:rFonts w:ascii="Times New Roman" w:eastAsia="Times New Roman" w:hAnsi="Times New Roman" w:cs="Times New Roman"/>
          <w:color w:val="000000"/>
          <w:sz w:val="24"/>
          <w:szCs w:val="24"/>
          <w:lang w:val="en-US"/>
        </w:rPr>
        <w:instrText xml:space="preserve">29%), E- and Z-2-ethylhexyl 4-methoxycinnamate (EHMC, </w:instrText>
      </w:r>
      <w:r>
        <w:rPr>
          <w:rFonts w:ascii="Cambria Math" w:eastAsia="Times New Roman" w:hAnsi="Cambria Math" w:cs="Cambria Math"/>
          <w:color w:val="000000"/>
          <w:sz w:val="24"/>
          <w:szCs w:val="24"/>
          <w:lang w:val="en-US"/>
        </w:rPr>
        <w:instrText>∼</w:instrText>
      </w:r>
      <w:r>
        <w:rPr>
          <w:rFonts w:ascii="Times New Roman" w:eastAsia="Times New Roman" w:hAnsi="Times New Roman" w:cs="Times New Roman"/>
          <w:color w:val="000000"/>
          <w:sz w:val="24"/>
          <w:szCs w:val="24"/>
          <w:lang w:val="en-US"/>
        </w:rPr>
        <w:instrText>17%). Ambient air (gas + particle phase) concentrations of organic UV-filters showed a strong seasonality, with peak levels during the summer. An analysis of Clausius-Clapeyron slopes indicated that much of the ambient burden of organic UV-filters are explained by volatilization from terrestrial and aquatic surfaces and supplemented with human activities and use of lotions and sunscreens, containing organic UV-filters, in addition to its use in plastics, textiles, paints, and pesticides. The results showed that organic UV-filters exist mainly in the gas phase with some exceptions, for instance, octocrylene (OCR), which was associated with both gas and particle phases, and avobenzone (AVB), which was predominantly in the particle phase. Lastly, this study revealed the need for basic physical chemical property data for organic UV-filters, including information on transformation rates and products, for better evaluating their environmental fate and effects.","author":[{"dropping-particle":"","family":"Pegoraro","given":"César N.","non-dropping-particle":"","parse-names":false,"suffix":""},{"dropping-particle":"","family":"Harner","given":"Tom","non-dropping-particle":"","parse-names":false,"suffix":""},{"dropping-particle":"","family":"Su","given":"Ky","non-dropping-particle":"","parse-names":false,"suffix":""},{"dropping-particle":"","family":"Ahrens","given":"Lutz","non-dropping-particle":"","parse-names":false,"suffix":""}],"container-title":"Environmental Science and Technology","id":"ITEM-1","issue":"20","issued":{"date-parts":[["2020"]]},"page":"12881-12889","title":"Occurrence and Gas-Particle Partitioning of Organic UV-Filters in Urban Air","type":"article-journal","volume":"54"},"uris":["http://www.mendeley.com/documents/?uuid=6144c8b8-5afe-4788-ba85-4dc416ae0139"]}],"mendeley":{"formattedCitation":"(Pegoraro et al., 2020)","plainTextFormattedCitation":"(Pegoraro et al., 2020)","previouslyFormattedCitation":"(Pegoraro et al., 2020)"},"properties":{"noteIndex":0},"schema":"https://github.com/citation-style-language/schema/raw/master/csl-citation.json"}</w:instrText>
      </w:r>
      <w:r>
        <w:rPr>
          <w:rFonts w:ascii="Times New Roman" w:eastAsia="Times New Roman" w:hAnsi="Times New Roman" w:cs="Times New Roman"/>
          <w:color w:val="000000"/>
          <w:sz w:val="24"/>
          <w:szCs w:val="24"/>
        </w:rPr>
        <w:fldChar w:fldCharType="separate"/>
      </w:r>
      <w:r w:rsidRPr="00F34D70">
        <w:rPr>
          <w:rFonts w:ascii="Times New Roman" w:eastAsia="Times New Roman" w:hAnsi="Times New Roman" w:cs="Times New Roman"/>
          <w:noProof/>
          <w:color w:val="000000"/>
          <w:sz w:val="24"/>
          <w:szCs w:val="24"/>
        </w:rPr>
        <w:t>(Pegoraro et al., 2020)</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d - </w:t>
      </w:r>
      <w:r>
        <w:rPr>
          <w:rFonts w:ascii="Times New Roman" w:eastAsia="Times New Roman" w:hAnsi="Times New Roman" w:cs="Times New Roman"/>
          <w:color w:val="000000"/>
          <w:sz w:val="24"/>
          <w:szCs w:val="24"/>
        </w:rPr>
        <w:fldChar w:fldCharType="begin" w:fldLock="1"/>
      </w:r>
      <w:r>
        <w:rPr>
          <w:rFonts w:ascii="Times New Roman" w:eastAsia="Times New Roman" w:hAnsi="Times New Roman" w:cs="Times New Roman"/>
          <w:color w:val="000000"/>
          <w:sz w:val="24"/>
          <w:szCs w:val="24"/>
        </w:rPr>
        <w:instrText>ADDIN CSL_CITATION {"citationItems":[{"id":"ITEM-1","itemData":{"DOI":"10.1504/IJENVH.2018.090865","ISSN":"17434963","abstract":"The UVB filter E-ethylhexyl p-methoxycinnamate (E-EHMC) is extensively used as UV protectant in commercial products. Besides, it is well known that it photoisomerises into Z-EHMC. In this work, ΔvapH (Tm) and vapour pressure, P (Pa) at 298.15 K, of E-EHMC and Z-EHMC were estimated using an indirect experimental method developed in our laboratory named effusion method under atmospheric pressure (EMAP). The atmospheric particle bound fraction (φ) and the gas-particle partition coefficient (KP) for E-EHMC and Z-EHMC were derived from the vapour pressure, P (Pa) (298.15 K), estimated by EMAP methodology.","author":[{"dropping-particle":"","family":"Pegoraro","given":"César Nicolás","non-dropping-particle":"","parse-names":false,"suffix":""},{"dropping-particle":"","family":"Montejano","given":"Hernán A.","non-dropping-particle":"","parse-names":false,"suffix":""},{"dropping-particle":"","family":"Chiappero","given":"Malisa S.","non-dropping-particle":"","parse-names":false,"suffix":""}],"container-title":"International Journal of Environment and Health","id":"ITEM-1","issue":"1","issued":{"date-parts":[["2018"]]},"page":"66-83","title":"Atmospheric gas-particle partitioning of E-EHMC and Z-EHMC estimated from their liquid vapour pressures at 298.15 K","type":"paper-conference","volume":"9"},"uris":["http://www.mendeley.com/documents/?uuid=f6ceb437-f06d-4e28-bd40-58babed23b46"]}],"mendeley":{"formattedCitation":"(Pegoraro et al., 2018)","plainTextFormattedCitation":"(Pegoraro et al., 2018)","previouslyFormattedCitation":"(Pegoraro et al., 2018)"},"properties":{"noteIndex":0},"schema":"https://github.com/citation-style-language/schema/raw/master/csl-citation.json"}</w:instrText>
      </w:r>
      <w:r>
        <w:rPr>
          <w:rFonts w:ascii="Times New Roman" w:eastAsia="Times New Roman" w:hAnsi="Times New Roman" w:cs="Times New Roman"/>
          <w:color w:val="000000"/>
          <w:sz w:val="24"/>
          <w:szCs w:val="24"/>
        </w:rPr>
        <w:fldChar w:fldCharType="separate"/>
      </w:r>
      <w:r w:rsidRPr="00F34D70">
        <w:rPr>
          <w:rFonts w:ascii="Times New Roman" w:eastAsia="Times New Roman" w:hAnsi="Times New Roman" w:cs="Times New Roman"/>
          <w:noProof/>
          <w:color w:val="000000"/>
          <w:sz w:val="24"/>
          <w:szCs w:val="24"/>
        </w:rPr>
        <w:t>(Pegoraro et al., 2018)</w:t>
      </w:r>
      <w:r>
        <w:rPr>
          <w:rFonts w:ascii="Times New Roman" w:eastAsia="Times New Roman" w:hAnsi="Times New Roman" w:cs="Times New Roman"/>
          <w:color w:val="000000"/>
          <w:sz w:val="24"/>
          <w:szCs w:val="24"/>
        </w:rPr>
        <w:fldChar w:fldCharType="end"/>
      </w:r>
    </w:p>
    <w:p w14:paraId="3D27CD36" w14:textId="77777777" w:rsidR="00693F0B" w:rsidRDefault="00693F0B">
      <w:pPr>
        <w:spacing w:after="0" w:line="360" w:lineRule="auto"/>
        <w:jc w:val="both"/>
        <w:rPr>
          <w:rFonts w:ascii="Times New Roman" w:eastAsia="Times New Roman" w:hAnsi="Times New Roman" w:cs="Times New Roman"/>
          <w:b/>
          <w:sz w:val="24"/>
          <w:szCs w:val="24"/>
        </w:rPr>
      </w:pPr>
    </w:p>
    <w:p w14:paraId="706F2439" w14:textId="5FB722EE" w:rsidR="006962A3" w:rsidRDefault="00AD36D7" w:rsidP="006A3989">
      <w:pPr>
        <w:pStyle w:val="Paragrafoelenco"/>
        <w:numPr>
          <w:ilvl w:val="0"/>
          <w:numId w:val="1"/>
        </w:num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MATERIALS AND METHODS</w:t>
      </w:r>
    </w:p>
    <w:p w14:paraId="3548B16A" w14:textId="1B60DC83" w:rsidR="0078701E" w:rsidRDefault="00315089" w:rsidP="00310DD7">
      <w:pPr>
        <w:spacing w:after="0" w:line="360" w:lineRule="auto"/>
        <w:jc w:val="both"/>
        <w:rPr>
          <w:rFonts w:ascii="Times New Roman" w:eastAsia="Times New Roman" w:hAnsi="Times New Roman" w:cs="Times New Roman"/>
          <w:sz w:val="24"/>
          <w:szCs w:val="24"/>
        </w:rPr>
      </w:pPr>
      <w:r w:rsidRPr="00315089">
        <w:rPr>
          <w:rFonts w:ascii="Times New Roman" w:eastAsia="Times New Roman" w:hAnsi="Times New Roman" w:cs="Times New Roman"/>
          <w:sz w:val="24"/>
          <w:szCs w:val="24"/>
        </w:rPr>
        <w:t xml:space="preserve">Surface snow (S), snowmelt (SM), and pond water (P) (n = 14) were collected during the austral summer of 2019-2020 in precleaned stainless steel containers in Terra Nova Bay (Victoria Land, Antarctica) at the sites shown in Figure 1. </w:t>
      </w:r>
      <w:r w:rsidR="00EF4199">
        <w:rPr>
          <w:rFonts w:ascii="Times New Roman" w:eastAsia="Times New Roman" w:hAnsi="Times New Roman" w:cs="Times New Roman"/>
          <w:sz w:val="24"/>
          <w:szCs w:val="24"/>
        </w:rPr>
        <w:t>Sampling</w:t>
      </w:r>
      <w:r w:rsidR="003F26CD">
        <w:rPr>
          <w:rFonts w:ascii="Times New Roman" w:eastAsia="Times New Roman" w:hAnsi="Times New Roman" w:cs="Times New Roman"/>
          <w:sz w:val="24"/>
          <w:szCs w:val="24"/>
        </w:rPr>
        <w:t xml:space="preserve"> sites are </w:t>
      </w:r>
      <w:r w:rsidR="00EF4199">
        <w:rPr>
          <w:rFonts w:ascii="Times New Roman" w:eastAsia="Times New Roman" w:hAnsi="Times New Roman" w:cs="Times New Roman"/>
          <w:sz w:val="24"/>
          <w:szCs w:val="24"/>
        </w:rPr>
        <w:t>set at various distances</w:t>
      </w:r>
      <w:r w:rsidR="0038768B">
        <w:rPr>
          <w:rFonts w:ascii="Times New Roman" w:eastAsia="Times New Roman" w:hAnsi="Times New Roman" w:cs="Times New Roman"/>
          <w:sz w:val="24"/>
          <w:szCs w:val="24"/>
        </w:rPr>
        <w:t xml:space="preserve"> </w:t>
      </w:r>
      <w:r w:rsidR="00EF4199">
        <w:rPr>
          <w:rFonts w:ascii="Times New Roman" w:eastAsia="Times New Roman" w:hAnsi="Times New Roman" w:cs="Times New Roman"/>
          <w:sz w:val="24"/>
          <w:szCs w:val="24"/>
        </w:rPr>
        <w:t>from</w:t>
      </w:r>
      <w:r w:rsidR="0038768B">
        <w:rPr>
          <w:rFonts w:ascii="Times New Roman" w:eastAsia="Times New Roman" w:hAnsi="Times New Roman" w:cs="Times New Roman"/>
          <w:sz w:val="24"/>
          <w:szCs w:val="24"/>
        </w:rPr>
        <w:t xml:space="preserve"> scientific facilities</w:t>
      </w:r>
      <w:r w:rsidR="00EF4199">
        <w:rPr>
          <w:rFonts w:ascii="Times New Roman" w:eastAsia="Times New Roman" w:hAnsi="Times New Roman" w:cs="Times New Roman"/>
          <w:sz w:val="24"/>
          <w:szCs w:val="24"/>
        </w:rPr>
        <w:t>, with frequent or occasional human presence</w:t>
      </w:r>
      <w:r w:rsidR="0038768B">
        <w:rPr>
          <w:rFonts w:ascii="Times New Roman" w:eastAsia="Times New Roman" w:hAnsi="Times New Roman" w:cs="Times New Roman"/>
          <w:sz w:val="24"/>
          <w:szCs w:val="24"/>
        </w:rPr>
        <w:t xml:space="preserve">, but are </w:t>
      </w:r>
      <w:r w:rsidR="00EF4199">
        <w:rPr>
          <w:rFonts w:ascii="Times New Roman" w:eastAsia="Times New Roman" w:hAnsi="Times New Roman" w:cs="Times New Roman"/>
          <w:sz w:val="24"/>
          <w:szCs w:val="24"/>
        </w:rPr>
        <w:t>un</w:t>
      </w:r>
      <w:r w:rsidR="0038768B">
        <w:rPr>
          <w:rFonts w:ascii="Times New Roman" w:eastAsia="Times New Roman" w:hAnsi="Times New Roman" w:cs="Times New Roman"/>
          <w:sz w:val="24"/>
          <w:szCs w:val="24"/>
        </w:rPr>
        <w:t>affected by direct discharges</w:t>
      </w:r>
      <w:r w:rsidR="00FA51E7">
        <w:rPr>
          <w:rFonts w:ascii="Times New Roman" w:eastAsia="Times New Roman" w:hAnsi="Times New Roman" w:cs="Times New Roman"/>
          <w:sz w:val="24"/>
          <w:szCs w:val="24"/>
        </w:rPr>
        <w:t xml:space="preserve"> and inputs</w:t>
      </w:r>
      <w:r w:rsidR="0038768B">
        <w:rPr>
          <w:rFonts w:ascii="Times New Roman" w:eastAsia="Times New Roman" w:hAnsi="Times New Roman" w:cs="Times New Roman"/>
          <w:sz w:val="24"/>
          <w:szCs w:val="24"/>
        </w:rPr>
        <w:t xml:space="preserve">. </w:t>
      </w:r>
      <w:r w:rsidRPr="00315089">
        <w:rPr>
          <w:rFonts w:ascii="Times New Roman" w:eastAsia="Times New Roman" w:hAnsi="Times New Roman" w:cs="Times New Roman"/>
          <w:sz w:val="24"/>
          <w:szCs w:val="24"/>
        </w:rPr>
        <w:t>Surface snow (5 cm depth) was collected at David Glacier (</w:t>
      </w:r>
      <w:proofErr w:type="spellStart"/>
      <w:r w:rsidRPr="00315089">
        <w:rPr>
          <w:rFonts w:ascii="Times New Roman" w:eastAsia="Times New Roman" w:hAnsi="Times New Roman" w:cs="Times New Roman"/>
          <w:sz w:val="24"/>
          <w:szCs w:val="24"/>
        </w:rPr>
        <w:t>Dav</w:t>
      </w:r>
      <w:proofErr w:type="spellEnd"/>
      <w:r w:rsidRPr="00315089">
        <w:rPr>
          <w:rFonts w:ascii="Times New Roman" w:eastAsia="Times New Roman" w:hAnsi="Times New Roman" w:cs="Times New Roman"/>
          <w:sz w:val="24"/>
          <w:szCs w:val="24"/>
        </w:rPr>
        <w:t>-S), Browning Pass (Bro-S), Cape Phillips (</w:t>
      </w:r>
      <w:proofErr w:type="spellStart"/>
      <w:r w:rsidRPr="00315089">
        <w:rPr>
          <w:rFonts w:ascii="Times New Roman" w:eastAsia="Times New Roman" w:hAnsi="Times New Roman" w:cs="Times New Roman"/>
          <w:sz w:val="24"/>
          <w:szCs w:val="24"/>
        </w:rPr>
        <w:t>Cph</w:t>
      </w:r>
      <w:proofErr w:type="spellEnd"/>
      <w:r w:rsidRPr="00315089">
        <w:rPr>
          <w:rFonts w:ascii="Times New Roman" w:eastAsia="Times New Roman" w:hAnsi="Times New Roman" w:cs="Times New Roman"/>
          <w:sz w:val="24"/>
          <w:szCs w:val="24"/>
        </w:rPr>
        <w:t>-S), and Adelie Cove (Ade-S).</w:t>
      </w:r>
      <w:r w:rsidR="005233F3">
        <w:rPr>
          <w:rFonts w:ascii="Times New Roman" w:eastAsia="Times New Roman" w:hAnsi="Times New Roman" w:cs="Times New Roman"/>
          <w:sz w:val="24"/>
          <w:szCs w:val="24"/>
        </w:rPr>
        <w:t xml:space="preserve"> In some locations</w:t>
      </w:r>
      <w:r w:rsidR="0087693A">
        <w:rPr>
          <w:rFonts w:ascii="Times New Roman" w:eastAsia="Times New Roman" w:hAnsi="Times New Roman" w:cs="Times New Roman"/>
          <w:sz w:val="24"/>
          <w:szCs w:val="24"/>
        </w:rPr>
        <w:t>,</w:t>
      </w:r>
      <w:r w:rsidR="005233F3">
        <w:rPr>
          <w:rFonts w:ascii="Times New Roman" w:eastAsia="Times New Roman" w:hAnsi="Times New Roman" w:cs="Times New Roman"/>
          <w:sz w:val="24"/>
          <w:szCs w:val="24"/>
        </w:rPr>
        <w:t xml:space="preserve"> </w:t>
      </w:r>
      <w:r w:rsidR="00856728">
        <w:rPr>
          <w:rFonts w:ascii="Times New Roman" w:eastAsia="Times New Roman" w:hAnsi="Times New Roman" w:cs="Times New Roman"/>
          <w:sz w:val="24"/>
          <w:szCs w:val="24"/>
        </w:rPr>
        <w:t>repeated</w:t>
      </w:r>
      <w:r w:rsidR="005233F3">
        <w:rPr>
          <w:rFonts w:ascii="Times New Roman" w:eastAsia="Times New Roman" w:hAnsi="Times New Roman" w:cs="Times New Roman"/>
          <w:sz w:val="24"/>
          <w:szCs w:val="24"/>
        </w:rPr>
        <w:t xml:space="preserve"> sample</w:t>
      </w:r>
      <w:r w:rsidR="001A0A39">
        <w:rPr>
          <w:rFonts w:ascii="Times New Roman" w:eastAsia="Times New Roman" w:hAnsi="Times New Roman" w:cs="Times New Roman"/>
          <w:sz w:val="24"/>
          <w:szCs w:val="24"/>
        </w:rPr>
        <w:t>s</w:t>
      </w:r>
      <w:r w:rsidR="005233F3">
        <w:rPr>
          <w:rFonts w:ascii="Times New Roman" w:eastAsia="Times New Roman" w:hAnsi="Times New Roman" w:cs="Times New Roman"/>
          <w:sz w:val="24"/>
          <w:szCs w:val="24"/>
        </w:rPr>
        <w:t xml:space="preserve"> w</w:t>
      </w:r>
      <w:r w:rsidR="001A0A39">
        <w:rPr>
          <w:rFonts w:ascii="Times New Roman" w:eastAsia="Times New Roman" w:hAnsi="Times New Roman" w:cs="Times New Roman"/>
          <w:sz w:val="24"/>
          <w:szCs w:val="24"/>
        </w:rPr>
        <w:t>ere</w:t>
      </w:r>
      <w:r w:rsidR="005233F3">
        <w:rPr>
          <w:rFonts w:ascii="Times New Roman" w:eastAsia="Times New Roman" w:hAnsi="Times New Roman" w:cs="Times New Roman"/>
          <w:sz w:val="24"/>
          <w:szCs w:val="24"/>
        </w:rPr>
        <w:t xml:space="preserve"> collected</w:t>
      </w:r>
      <w:r w:rsidR="001A0A39">
        <w:rPr>
          <w:rFonts w:ascii="Times New Roman" w:eastAsia="Times New Roman" w:hAnsi="Times New Roman" w:cs="Times New Roman"/>
          <w:sz w:val="24"/>
          <w:szCs w:val="24"/>
        </w:rPr>
        <w:t>:</w:t>
      </w:r>
      <w:r w:rsidRPr="00315089">
        <w:rPr>
          <w:rFonts w:ascii="Times New Roman" w:eastAsia="Times New Roman" w:hAnsi="Times New Roman" w:cs="Times New Roman"/>
          <w:sz w:val="24"/>
          <w:szCs w:val="24"/>
        </w:rPr>
        <w:t xml:space="preserve"> </w:t>
      </w:r>
      <w:r w:rsidR="001A0A39">
        <w:rPr>
          <w:rFonts w:ascii="Times New Roman" w:eastAsia="Times New Roman" w:hAnsi="Times New Roman" w:cs="Times New Roman"/>
          <w:sz w:val="24"/>
          <w:szCs w:val="24"/>
        </w:rPr>
        <w:t>at</w:t>
      </w:r>
      <w:r w:rsidRPr="00315089">
        <w:rPr>
          <w:rFonts w:ascii="Times New Roman" w:eastAsia="Times New Roman" w:hAnsi="Times New Roman" w:cs="Times New Roman"/>
          <w:sz w:val="24"/>
          <w:szCs w:val="24"/>
        </w:rPr>
        <w:t xml:space="preserve"> </w:t>
      </w:r>
      <w:proofErr w:type="spellStart"/>
      <w:r w:rsidRPr="00315089">
        <w:rPr>
          <w:rFonts w:ascii="Times New Roman" w:eastAsia="Times New Roman" w:hAnsi="Times New Roman" w:cs="Times New Roman"/>
          <w:sz w:val="24"/>
          <w:szCs w:val="24"/>
        </w:rPr>
        <w:t>Icaro</w:t>
      </w:r>
      <w:proofErr w:type="spellEnd"/>
      <w:r w:rsidRPr="00315089">
        <w:rPr>
          <w:rFonts w:ascii="Times New Roman" w:eastAsia="Times New Roman" w:hAnsi="Times New Roman" w:cs="Times New Roman"/>
          <w:sz w:val="24"/>
          <w:szCs w:val="24"/>
        </w:rPr>
        <w:t xml:space="preserve"> Camp, we collected fresh snow after two precipitation events (Ica-S1 and Ica-S2) and one sample of snowmelt (Ica-SM) from a nearby stream. In Enigma Lake, water was collected at the shore of the lake (Eni-P), surface snow was sampled from the facing hill (Eni-S1), and later fresh snow was </w:t>
      </w:r>
      <w:r w:rsidRPr="00315089">
        <w:rPr>
          <w:rFonts w:ascii="Times New Roman" w:eastAsia="Times New Roman" w:hAnsi="Times New Roman" w:cs="Times New Roman"/>
          <w:sz w:val="24"/>
          <w:szCs w:val="24"/>
        </w:rPr>
        <w:lastRenderedPageBreak/>
        <w:t xml:space="preserve">also sampled at the same point (Eni-S2) and at the </w:t>
      </w:r>
      <w:r w:rsidR="00C02ACD" w:rsidRPr="00315089">
        <w:rPr>
          <w:rFonts w:ascii="Times New Roman" w:eastAsia="Times New Roman" w:hAnsi="Times New Roman" w:cs="Times New Roman"/>
          <w:sz w:val="24"/>
          <w:szCs w:val="24"/>
        </w:rPr>
        <w:t>centr</w:t>
      </w:r>
      <w:r w:rsidR="00C02ACD">
        <w:rPr>
          <w:rFonts w:ascii="Times New Roman" w:eastAsia="Times New Roman" w:hAnsi="Times New Roman" w:cs="Times New Roman"/>
          <w:sz w:val="24"/>
          <w:szCs w:val="24"/>
        </w:rPr>
        <w:t>e</w:t>
      </w:r>
      <w:r w:rsidRPr="00315089">
        <w:rPr>
          <w:rFonts w:ascii="Times New Roman" w:eastAsia="Times New Roman" w:hAnsi="Times New Roman" w:cs="Times New Roman"/>
          <w:sz w:val="24"/>
          <w:szCs w:val="24"/>
        </w:rPr>
        <w:t xml:space="preserve"> of the lake (Eni-S3). Other samples from ponds were collected at Skua Lake (</w:t>
      </w:r>
      <w:proofErr w:type="spellStart"/>
      <w:r w:rsidRPr="00315089">
        <w:rPr>
          <w:rFonts w:ascii="Times New Roman" w:eastAsia="Times New Roman" w:hAnsi="Times New Roman" w:cs="Times New Roman"/>
          <w:sz w:val="24"/>
          <w:szCs w:val="24"/>
        </w:rPr>
        <w:t>Sku</w:t>
      </w:r>
      <w:proofErr w:type="spellEnd"/>
      <w:r w:rsidRPr="00315089">
        <w:rPr>
          <w:rFonts w:ascii="Times New Roman" w:eastAsia="Times New Roman" w:hAnsi="Times New Roman" w:cs="Times New Roman"/>
          <w:sz w:val="24"/>
          <w:szCs w:val="24"/>
        </w:rPr>
        <w:t>-P) and Boulder Clay (</w:t>
      </w:r>
      <w:proofErr w:type="spellStart"/>
      <w:r w:rsidRPr="00315089">
        <w:rPr>
          <w:rFonts w:ascii="Times New Roman" w:eastAsia="Times New Roman" w:hAnsi="Times New Roman" w:cs="Times New Roman"/>
          <w:sz w:val="24"/>
          <w:szCs w:val="24"/>
        </w:rPr>
        <w:t>Bou</w:t>
      </w:r>
      <w:proofErr w:type="spellEnd"/>
      <w:r w:rsidRPr="00315089">
        <w:rPr>
          <w:rFonts w:ascii="Times New Roman" w:eastAsia="Times New Roman" w:hAnsi="Times New Roman" w:cs="Times New Roman"/>
          <w:sz w:val="24"/>
          <w:szCs w:val="24"/>
        </w:rPr>
        <w:t xml:space="preserve">-P), while snowmelt was sampled from a stream in </w:t>
      </w:r>
      <w:proofErr w:type="spellStart"/>
      <w:r w:rsidRPr="00315089">
        <w:rPr>
          <w:rFonts w:ascii="Times New Roman" w:eastAsia="Times New Roman" w:hAnsi="Times New Roman" w:cs="Times New Roman"/>
          <w:sz w:val="24"/>
          <w:szCs w:val="24"/>
        </w:rPr>
        <w:t>Edmonson</w:t>
      </w:r>
      <w:proofErr w:type="spellEnd"/>
      <w:r w:rsidRPr="00315089">
        <w:rPr>
          <w:rFonts w:ascii="Times New Roman" w:eastAsia="Times New Roman" w:hAnsi="Times New Roman" w:cs="Times New Roman"/>
          <w:sz w:val="24"/>
          <w:szCs w:val="24"/>
        </w:rPr>
        <w:t xml:space="preserve"> Point (</w:t>
      </w:r>
      <w:proofErr w:type="spellStart"/>
      <w:r w:rsidRPr="00315089">
        <w:rPr>
          <w:rFonts w:ascii="Times New Roman" w:eastAsia="Times New Roman" w:hAnsi="Times New Roman" w:cs="Times New Roman"/>
          <w:sz w:val="24"/>
          <w:szCs w:val="24"/>
        </w:rPr>
        <w:t>Edm</w:t>
      </w:r>
      <w:proofErr w:type="spellEnd"/>
      <w:r w:rsidRPr="00315089">
        <w:rPr>
          <w:rFonts w:ascii="Times New Roman" w:eastAsia="Times New Roman" w:hAnsi="Times New Roman" w:cs="Times New Roman"/>
          <w:sz w:val="24"/>
          <w:szCs w:val="24"/>
        </w:rPr>
        <w:t>-SM). Sampling dates</w:t>
      </w:r>
      <w:r w:rsidR="0087693A">
        <w:rPr>
          <w:rFonts w:ascii="Times New Roman" w:eastAsia="Times New Roman" w:hAnsi="Times New Roman" w:cs="Times New Roman"/>
          <w:sz w:val="24"/>
          <w:szCs w:val="24"/>
        </w:rPr>
        <w:t xml:space="preserve"> and</w:t>
      </w:r>
      <w:r w:rsidRPr="00315089">
        <w:rPr>
          <w:rFonts w:ascii="Times New Roman" w:eastAsia="Times New Roman" w:hAnsi="Times New Roman" w:cs="Times New Roman"/>
          <w:sz w:val="24"/>
          <w:szCs w:val="24"/>
        </w:rPr>
        <w:t xml:space="preserve"> coordinates are reported </w:t>
      </w:r>
      <w:r w:rsidRPr="00D8615C">
        <w:rPr>
          <w:rFonts w:ascii="Times New Roman" w:eastAsia="Times New Roman" w:hAnsi="Times New Roman" w:cs="Times New Roman"/>
          <w:sz w:val="24"/>
          <w:szCs w:val="24"/>
        </w:rPr>
        <w:t xml:space="preserve">in Table </w:t>
      </w:r>
      <w:r w:rsidR="002F429A" w:rsidRPr="00D8615C">
        <w:rPr>
          <w:rFonts w:ascii="Times New Roman" w:eastAsia="Times New Roman" w:hAnsi="Times New Roman" w:cs="Times New Roman"/>
          <w:sz w:val="24"/>
          <w:szCs w:val="24"/>
        </w:rPr>
        <w:t>S1</w:t>
      </w:r>
      <w:r w:rsidRPr="00D8615C">
        <w:rPr>
          <w:rFonts w:ascii="Times New Roman" w:eastAsia="Times New Roman" w:hAnsi="Times New Roman" w:cs="Times New Roman"/>
          <w:sz w:val="24"/>
          <w:szCs w:val="24"/>
        </w:rPr>
        <w:t xml:space="preserve">. </w:t>
      </w:r>
    </w:p>
    <w:p w14:paraId="63854243" w14:textId="36351C0D" w:rsidR="008F6BE8" w:rsidRDefault="008F6BE8" w:rsidP="008F6BE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samples </w:t>
      </w:r>
      <w:r w:rsidR="00BD3411">
        <w:rPr>
          <w:rFonts w:ascii="Times New Roman" w:eastAsia="Times New Roman" w:hAnsi="Times New Roman" w:cs="Times New Roman"/>
          <w:sz w:val="24"/>
          <w:szCs w:val="24"/>
        </w:rPr>
        <w:t xml:space="preserve">(average 0.91 L) </w:t>
      </w:r>
      <w:r>
        <w:rPr>
          <w:rFonts w:ascii="Times New Roman" w:eastAsia="Times New Roman" w:hAnsi="Times New Roman" w:cs="Times New Roman"/>
          <w:sz w:val="24"/>
          <w:szCs w:val="24"/>
        </w:rPr>
        <w:t xml:space="preserve">were extracted using 200 mg Oasis® HLB cartridges (Waters Corp., Milford, MA USA) previously conditioned with 10 mL of </w:t>
      </w:r>
      <w:r w:rsidRPr="00F2350C">
        <w:rPr>
          <w:rFonts w:ascii="Times New Roman" w:eastAsia="Times New Roman" w:hAnsi="Times New Roman" w:cs="Times New Roman"/>
          <w:i/>
          <w:iCs/>
          <w:sz w:val="24"/>
          <w:szCs w:val="24"/>
        </w:rPr>
        <w:t>n</w:t>
      </w:r>
      <w:r>
        <w:rPr>
          <w:rFonts w:ascii="Times New Roman" w:eastAsia="Times New Roman" w:hAnsi="Times New Roman" w:cs="Times New Roman"/>
          <w:sz w:val="24"/>
          <w:szCs w:val="24"/>
        </w:rPr>
        <w:t xml:space="preserve">-hexane, 10 mL of dichloromethane followed by 10 mL of ultrapure water (ELGA, </w:t>
      </w:r>
      <w:proofErr w:type="spellStart"/>
      <w:r>
        <w:rPr>
          <w:rFonts w:ascii="Times New Roman" w:eastAsia="Times New Roman" w:hAnsi="Times New Roman" w:cs="Times New Roman"/>
          <w:sz w:val="24"/>
          <w:szCs w:val="24"/>
        </w:rPr>
        <w:t>HighWycombe</w:t>
      </w:r>
      <w:proofErr w:type="spellEnd"/>
      <w:r>
        <w:rPr>
          <w:rFonts w:ascii="Times New Roman" w:eastAsia="Times New Roman" w:hAnsi="Times New Roman" w:cs="Times New Roman"/>
          <w:sz w:val="24"/>
          <w:szCs w:val="24"/>
        </w:rPr>
        <w:t xml:space="preserve">, UK) in the laboratories of the Italian Mario </w:t>
      </w:r>
      <w:proofErr w:type="spellStart"/>
      <w:r>
        <w:rPr>
          <w:rFonts w:ascii="Times New Roman" w:eastAsia="Times New Roman" w:hAnsi="Times New Roman" w:cs="Times New Roman"/>
          <w:sz w:val="24"/>
          <w:szCs w:val="24"/>
        </w:rPr>
        <w:t>Zucchelli</w:t>
      </w:r>
      <w:proofErr w:type="spellEnd"/>
      <w:r>
        <w:rPr>
          <w:rFonts w:ascii="Times New Roman" w:eastAsia="Times New Roman" w:hAnsi="Times New Roman" w:cs="Times New Roman"/>
          <w:sz w:val="24"/>
          <w:szCs w:val="24"/>
        </w:rPr>
        <w:t xml:space="preserve"> Station in Antarctica and stored at -20°C. Samples were later eluted with pesticide-grade 1 mL of toluene, 15 mL of dichloromethane, and 10 mL of </w:t>
      </w:r>
      <w:r w:rsidRPr="00E242F6">
        <w:rPr>
          <w:rFonts w:ascii="Times New Roman" w:eastAsia="Times New Roman" w:hAnsi="Times New Roman" w:cs="Times New Roman"/>
          <w:i/>
          <w:iCs/>
          <w:sz w:val="24"/>
          <w:szCs w:val="24"/>
        </w:rPr>
        <w:t>n</w:t>
      </w:r>
      <w:r>
        <w:rPr>
          <w:rFonts w:ascii="Times New Roman" w:eastAsia="Times New Roman" w:hAnsi="Times New Roman" w:cs="Times New Roman"/>
          <w:sz w:val="24"/>
          <w:szCs w:val="24"/>
        </w:rPr>
        <w:t>-hexane (</w:t>
      </w:r>
      <w:proofErr w:type="spellStart"/>
      <w:r>
        <w:rPr>
          <w:rFonts w:ascii="Times New Roman" w:eastAsia="Times New Roman" w:hAnsi="Times New Roman" w:cs="Times New Roman"/>
          <w:sz w:val="24"/>
          <w:szCs w:val="24"/>
        </w:rPr>
        <w:t>Romil</w:t>
      </w:r>
      <w:proofErr w:type="spellEnd"/>
      <w:r>
        <w:rPr>
          <w:rFonts w:ascii="Times New Roman" w:eastAsia="Times New Roman" w:hAnsi="Times New Roman" w:cs="Times New Roman"/>
          <w:sz w:val="24"/>
          <w:szCs w:val="24"/>
        </w:rPr>
        <w:t xml:space="preserve"> Ltd., Cambridge, UK), in a stainless steel ISO 7 cleanroom, specifically built to analyse organic compounds. Eluates were dried with an aliquot of Na</w:t>
      </w:r>
      <w:r w:rsidRPr="00E242F6">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SO</w:t>
      </w:r>
      <w:r w:rsidRPr="00E242F6">
        <w:rPr>
          <w:rFonts w:ascii="Times New Roman" w:eastAsia="Times New Roman" w:hAnsi="Times New Roman" w:cs="Times New Roman"/>
          <w:sz w:val="24"/>
          <w:szCs w:val="24"/>
          <w:vertAlign w:val="subscript"/>
        </w:rPr>
        <w:t>4</w:t>
      </w:r>
      <w:r>
        <w:rPr>
          <w:rFonts w:ascii="Times New Roman" w:eastAsia="Times New Roman" w:hAnsi="Times New Roman" w:cs="Times New Roman"/>
          <w:sz w:val="24"/>
          <w:szCs w:val="24"/>
        </w:rPr>
        <w:t xml:space="preserve"> and concentrated at 250 µL under nitrogen flow at 23°C (</w:t>
      </w:r>
      <w:proofErr w:type="spellStart"/>
      <w:r>
        <w:rPr>
          <w:rFonts w:ascii="Times New Roman" w:eastAsia="Times New Roman" w:hAnsi="Times New Roman" w:cs="Times New Roman"/>
          <w:sz w:val="24"/>
          <w:szCs w:val="24"/>
        </w:rPr>
        <w:t>Turbovap</w:t>
      </w:r>
      <w:proofErr w:type="spellEnd"/>
      <w:r>
        <w:rPr>
          <w:rFonts w:ascii="Times New Roman" w:eastAsia="Times New Roman" w:hAnsi="Times New Roman" w:cs="Times New Roman"/>
          <w:sz w:val="24"/>
          <w:szCs w:val="24"/>
        </w:rPr>
        <w:t xml:space="preserve"> II®, </w:t>
      </w:r>
      <w:proofErr w:type="spellStart"/>
      <w:r>
        <w:rPr>
          <w:rFonts w:ascii="Times New Roman" w:eastAsia="Times New Roman" w:hAnsi="Times New Roman" w:cs="Times New Roman"/>
          <w:sz w:val="24"/>
          <w:szCs w:val="24"/>
        </w:rPr>
        <w:t>Caliper</w:t>
      </w:r>
      <w:proofErr w:type="spellEnd"/>
      <w:r>
        <w:rPr>
          <w:rFonts w:ascii="Times New Roman" w:eastAsia="Times New Roman" w:hAnsi="Times New Roman" w:cs="Times New Roman"/>
          <w:sz w:val="24"/>
          <w:szCs w:val="24"/>
        </w:rPr>
        <w:t xml:space="preserve"> Life Science, Hopkinton, MA, USA). The instrumental analysis was conducted by GC-MS/MS (Trace 1310 - TSQ 9000, </w:t>
      </w:r>
      <w:proofErr w:type="spellStart"/>
      <w:r>
        <w:rPr>
          <w:rFonts w:ascii="Times New Roman" w:eastAsia="Times New Roman" w:hAnsi="Times New Roman" w:cs="Times New Roman"/>
          <w:sz w:val="24"/>
          <w:szCs w:val="24"/>
        </w:rPr>
        <w:t>Thermo</w:t>
      </w:r>
      <w:proofErr w:type="spellEnd"/>
      <w:r>
        <w:rPr>
          <w:rFonts w:ascii="Times New Roman" w:eastAsia="Times New Roman" w:hAnsi="Times New Roman" w:cs="Times New Roman"/>
          <w:sz w:val="24"/>
          <w:szCs w:val="24"/>
        </w:rPr>
        <w:t xml:space="preserve"> Scientific). The gas chromatographic separation was executed on a 60-m HP-5MS (0.25 mm I.D., 0.25 µm; Agilent Technologies, Avondale, USA). The initial temperature in the oven is 120 °C (1 min) increasing to 180°C at 25 °C min</w:t>
      </w:r>
      <w:r w:rsidRPr="00E242F6">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subsequently until 250°C at 10°C min</w:t>
      </w:r>
      <w:r w:rsidRPr="00E242F6">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and finally to 310°C at 20°C min</w:t>
      </w:r>
      <w:r w:rsidRPr="00E242F6">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xml:space="preserve">. </w:t>
      </w:r>
      <w:r w:rsidR="000A0A79">
        <w:rPr>
          <w:rFonts w:ascii="Times New Roman" w:eastAsia="Times New Roman" w:hAnsi="Times New Roman" w:cs="Times New Roman"/>
          <w:sz w:val="24"/>
          <w:szCs w:val="24"/>
        </w:rPr>
        <w:t>MRM transitions were 178.1</w:t>
      </w:r>
      <w:r w:rsidR="0012674D">
        <w:rPr>
          <w:rFonts w:ascii="Times New Roman" w:eastAsia="Times New Roman" w:hAnsi="Times New Roman" w:cs="Times New Roman"/>
          <w:sz w:val="24"/>
          <w:szCs w:val="24"/>
        </w:rPr>
        <w:t>→</w:t>
      </w:r>
      <w:r w:rsidR="000A0A79">
        <w:rPr>
          <w:rFonts w:ascii="Times New Roman" w:eastAsia="Times New Roman" w:hAnsi="Times New Roman" w:cs="Times New Roman"/>
          <w:sz w:val="24"/>
          <w:szCs w:val="24"/>
        </w:rPr>
        <w:t>132.1 for quantification and 178.1</w:t>
      </w:r>
      <w:r w:rsidR="0012674D">
        <w:rPr>
          <w:rFonts w:ascii="Times New Roman" w:eastAsia="Times New Roman" w:hAnsi="Times New Roman" w:cs="Times New Roman"/>
          <w:sz w:val="24"/>
          <w:szCs w:val="24"/>
        </w:rPr>
        <w:t>→</w:t>
      </w:r>
      <w:r w:rsidR="000A0A79">
        <w:rPr>
          <w:rFonts w:ascii="Times New Roman" w:eastAsia="Times New Roman" w:hAnsi="Times New Roman" w:cs="Times New Roman"/>
          <w:sz w:val="24"/>
          <w:szCs w:val="24"/>
        </w:rPr>
        <w:t xml:space="preserve">161.1 for confirmation. </w:t>
      </w:r>
      <w:r>
        <w:rPr>
          <w:rFonts w:ascii="Times New Roman" w:eastAsia="Times New Roman" w:hAnsi="Times New Roman" w:cs="Times New Roman"/>
          <w:sz w:val="24"/>
          <w:szCs w:val="24"/>
        </w:rPr>
        <w:t xml:space="preserve">Phenanthrene </w:t>
      </w:r>
      <w:r w:rsidRPr="00E242F6">
        <w:rPr>
          <w:rFonts w:ascii="Times New Roman" w:eastAsia="Times New Roman" w:hAnsi="Times New Roman" w:cs="Times New Roman"/>
          <w:sz w:val="24"/>
          <w:szCs w:val="24"/>
          <w:vertAlign w:val="superscript"/>
        </w:rPr>
        <w:t>13</w:t>
      </w:r>
      <w:r>
        <w:rPr>
          <w:rFonts w:ascii="Times New Roman" w:eastAsia="Times New Roman" w:hAnsi="Times New Roman" w:cs="Times New Roman"/>
          <w:sz w:val="24"/>
          <w:szCs w:val="24"/>
        </w:rPr>
        <w:t xml:space="preserve">C was used as the procedural internal standard for quantification </w:t>
      </w:r>
      <w:r w:rsidR="002A6F93">
        <w:rPr>
          <w:rFonts w:ascii="Times New Roman" w:eastAsia="Times New Roman" w:hAnsi="Times New Roman" w:cs="Times New Roman"/>
          <w:sz w:val="24"/>
          <w:szCs w:val="24"/>
        </w:rPr>
        <w:t>implementing</w:t>
      </w:r>
      <w:r>
        <w:rPr>
          <w:rFonts w:ascii="Times New Roman" w:eastAsia="Times New Roman" w:hAnsi="Times New Roman" w:cs="Times New Roman"/>
          <w:sz w:val="24"/>
          <w:szCs w:val="24"/>
        </w:rPr>
        <w:t xml:space="preserve"> </w:t>
      </w:r>
      <w:r w:rsidR="002A6F93">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previously developed method (Vecchiato et al., 2018). </w:t>
      </w:r>
      <w:r w:rsidR="002A6F93" w:rsidRPr="00C36491">
        <w:rPr>
          <w:rFonts w:ascii="Times New Roman" w:eastAsia="Times New Roman" w:hAnsi="Times New Roman" w:cs="Times New Roman"/>
          <w:sz w:val="24"/>
          <w:szCs w:val="24"/>
        </w:rPr>
        <w:t xml:space="preserve">Procedural recoveries </w:t>
      </w:r>
      <w:r w:rsidR="00C36491" w:rsidRPr="00C36491">
        <w:rPr>
          <w:rFonts w:ascii="Times New Roman" w:eastAsia="Times New Roman" w:hAnsi="Times New Roman" w:cs="Times New Roman"/>
          <w:sz w:val="24"/>
          <w:szCs w:val="24"/>
        </w:rPr>
        <w:t xml:space="preserve">(n=5) </w:t>
      </w:r>
      <w:r w:rsidR="002A6F93" w:rsidRPr="00C36491">
        <w:rPr>
          <w:rFonts w:ascii="Times New Roman" w:eastAsia="Times New Roman" w:hAnsi="Times New Roman" w:cs="Times New Roman"/>
          <w:sz w:val="24"/>
          <w:szCs w:val="24"/>
        </w:rPr>
        <w:t>result</w:t>
      </w:r>
      <w:r w:rsidR="00441CC6" w:rsidRPr="00C36491">
        <w:rPr>
          <w:rFonts w:ascii="Times New Roman" w:eastAsia="Times New Roman" w:hAnsi="Times New Roman" w:cs="Times New Roman"/>
          <w:sz w:val="24"/>
          <w:szCs w:val="24"/>
        </w:rPr>
        <w:t>ed</w:t>
      </w:r>
      <w:r w:rsidR="002A6F93" w:rsidRPr="00C36491">
        <w:rPr>
          <w:rFonts w:ascii="Times New Roman" w:eastAsia="Times New Roman" w:hAnsi="Times New Roman" w:cs="Times New Roman"/>
          <w:sz w:val="24"/>
          <w:szCs w:val="24"/>
        </w:rPr>
        <w:t xml:space="preserve"> 94</w:t>
      </w:r>
      <w:r w:rsidR="00FB23AD">
        <w:rPr>
          <w:rFonts w:ascii="Times New Roman" w:eastAsia="Times New Roman" w:hAnsi="Times New Roman" w:cs="Times New Roman"/>
          <w:sz w:val="24"/>
          <w:szCs w:val="24"/>
        </w:rPr>
        <w:t xml:space="preserve"> </w:t>
      </w:r>
      <w:r w:rsidR="002A6F93" w:rsidRPr="00C36491">
        <w:rPr>
          <w:rFonts w:ascii="Times New Roman" w:eastAsia="Times New Roman" w:hAnsi="Times New Roman" w:cs="Times New Roman"/>
          <w:sz w:val="24"/>
          <w:szCs w:val="24"/>
        </w:rPr>
        <w:t>±</w:t>
      </w:r>
      <w:r w:rsidR="00FB23AD">
        <w:rPr>
          <w:rFonts w:ascii="Times New Roman" w:eastAsia="Times New Roman" w:hAnsi="Times New Roman" w:cs="Times New Roman"/>
          <w:sz w:val="24"/>
          <w:szCs w:val="24"/>
        </w:rPr>
        <w:t xml:space="preserve"> </w:t>
      </w:r>
      <w:r w:rsidR="002A6F93" w:rsidRPr="00C36491">
        <w:rPr>
          <w:rFonts w:ascii="Times New Roman" w:eastAsia="Times New Roman" w:hAnsi="Times New Roman" w:cs="Times New Roman"/>
          <w:sz w:val="24"/>
          <w:szCs w:val="24"/>
        </w:rPr>
        <w:t>4% with a trueness error</w:t>
      </w:r>
      <w:r w:rsidR="00C36491" w:rsidRPr="00C36491">
        <w:rPr>
          <w:rFonts w:ascii="Times New Roman" w:eastAsia="Times New Roman" w:hAnsi="Times New Roman" w:cs="Times New Roman"/>
          <w:sz w:val="24"/>
          <w:szCs w:val="24"/>
        </w:rPr>
        <w:t xml:space="preserve"> (n=5)</w:t>
      </w:r>
      <w:r w:rsidR="002A6F93" w:rsidRPr="00C36491">
        <w:rPr>
          <w:rFonts w:ascii="Times New Roman" w:eastAsia="Times New Roman" w:hAnsi="Times New Roman" w:cs="Times New Roman"/>
          <w:sz w:val="24"/>
          <w:szCs w:val="24"/>
        </w:rPr>
        <w:t xml:space="preserve"> of</w:t>
      </w:r>
      <w:r w:rsidR="00545CB6" w:rsidRPr="00C36491">
        <w:rPr>
          <w:rFonts w:ascii="Times New Roman" w:eastAsia="Times New Roman" w:hAnsi="Times New Roman" w:cs="Times New Roman"/>
          <w:sz w:val="24"/>
          <w:szCs w:val="24"/>
        </w:rPr>
        <w:t xml:space="preserve"> 6</w:t>
      </w:r>
      <w:r w:rsidR="00FB23AD">
        <w:rPr>
          <w:rFonts w:ascii="Times New Roman" w:eastAsia="Times New Roman" w:hAnsi="Times New Roman" w:cs="Times New Roman"/>
          <w:sz w:val="24"/>
          <w:szCs w:val="24"/>
        </w:rPr>
        <w:t xml:space="preserve"> </w:t>
      </w:r>
      <w:r w:rsidR="00545CB6" w:rsidRPr="00C36491">
        <w:rPr>
          <w:rFonts w:ascii="Times New Roman" w:eastAsia="Times New Roman" w:hAnsi="Times New Roman" w:cs="Times New Roman"/>
          <w:sz w:val="24"/>
          <w:szCs w:val="24"/>
        </w:rPr>
        <w:t>±</w:t>
      </w:r>
      <w:r w:rsidR="00FB23AD">
        <w:rPr>
          <w:rFonts w:ascii="Times New Roman" w:eastAsia="Times New Roman" w:hAnsi="Times New Roman" w:cs="Times New Roman"/>
          <w:sz w:val="24"/>
          <w:szCs w:val="24"/>
        </w:rPr>
        <w:t xml:space="preserve"> </w:t>
      </w:r>
      <w:r w:rsidR="00545CB6" w:rsidRPr="00C36491">
        <w:rPr>
          <w:rFonts w:ascii="Times New Roman" w:eastAsia="Times New Roman" w:hAnsi="Times New Roman" w:cs="Times New Roman"/>
          <w:sz w:val="24"/>
          <w:szCs w:val="24"/>
        </w:rPr>
        <w:t xml:space="preserve">7%. </w:t>
      </w:r>
      <w:r w:rsidR="00441CC6" w:rsidRPr="00C36491">
        <w:rPr>
          <w:rFonts w:ascii="Times New Roman" w:eastAsia="Times New Roman" w:hAnsi="Times New Roman" w:cs="Times New Roman"/>
          <w:sz w:val="24"/>
          <w:szCs w:val="24"/>
        </w:rPr>
        <w:t xml:space="preserve">The linearity of the instrumental response was </w:t>
      </w:r>
      <w:r w:rsidR="00E242F6" w:rsidRPr="00C36491">
        <w:rPr>
          <w:rFonts w:ascii="Times New Roman" w:eastAsia="Times New Roman" w:hAnsi="Times New Roman" w:cs="Times New Roman"/>
          <w:sz w:val="24"/>
          <w:szCs w:val="24"/>
        </w:rPr>
        <w:t xml:space="preserve">five-points </w:t>
      </w:r>
      <w:r w:rsidR="00441CC6" w:rsidRPr="00C36491">
        <w:rPr>
          <w:rFonts w:ascii="Times New Roman" w:eastAsia="Times New Roman" w:hAnsi="Times New Roman" w:cs="Times New Roman"/>
          <w:sz w:val="24"/>
          <w:szCs w:val="24"/>
        </w:rPr>
        <w:t xml:space="preserve">checked in the 0.5 </w:t>
      </w:r>
      <w:proofErr w:type="spellStart"/>
      <w:r w:rsidR="00441CC6" w:rsidRPr="00C36491">
        <w:rPr>
          <w:rFonts w:ascii="Times New Roman" w:eastAsia="Times New Roman" w:hAnsi="Times New Roman" w:cs="Times New Roman"/>
          <w:sz w:val="24"/>
          <w:szCs w:val="24"/>
        </w:rPr>
        <w:t>pg</w:t>
      </w:r>
      <w:proofErr w:type="spellEnd"/>
      <w:r w:rsidR="00441CC6" w:rsidRPr="00C36491">
        <w:rPr>
          <w:rFonts w:ascii="Times New Roman" w:eastAsia="Times New Roman" w:hAnsi="Times New Roman" w:cs="Times New Roman"/>
          <w:sz w:val="24"/>
          <w:szCs w:val="24"/>
        </w:rPr>
        <w:t>/</w:t>
      </w:r>
      <w:proofErr w:type="spellStart"/>
      <w:r w:rsidR="00441CC6" w:rsidRPr="00C36491">
        <w:rPr>
          <w:rFonts w:ascii="Times New Roman" w:eastAsia="Times New Roman" w:hAnsi="Times New Roman" w:cs="Times New Roman"/>
          <w:sz w:val="24"/>
          <w:szCs w:val="24"/>
        </w:rPr>
        <w:t>μl</w:t>
      </w:r>
      <w:proofErr w:type="spellEnd"/>
      <w:r w:rsidR="00441CC6" w:rsidRPr="00C36491">
        <w:rPr>
          <w:rFonts w:ascii="Times New Roman" w:eastAsia="Times New Roman" w:hAnsi="Times New Roman" w:cs="Times New Roman"/>
          <w:sz w:val="24"/>
          <w:szCs w:val="24"/>
        </w:rPr>
        <w:t xml:space="preserve"> – 25 ng/</w:t>
      </w:r>
      <w:proofErr w:type="spellStart"/>
      <w:r w:rsidR="00441CC6" w:rsidRPr="00C36491">
        <w:rPr>
          <w:rFonts w:ascii="Times New Roman" w:eastAsia="Times New Roman" w:hAnsi="Times New Roman" w:cs="Times New Roman"/>
          <w:sz w:val="24"/>
          <w:szCs w:val="24"/>
        </w:rPr>
        <w:t>μl</w:t>
      </w:r>
      <w:proofErr w:type="spellEnd"/>
      <w:r w:rsidR="00441CC6" w:rsidRPr="00C36491">
        <w:rPr>
          <w:rFonts w:ascii="Times New Roman" w:eastAsia="Times New Roman" w:hAnsi="Times New Roman" w:cs="Times New Roman"/>
          <w:sz w:val="24"/>
          <w:szCs w:val="24"/>
        </w:rPr>
        <w:t xml:space="preserve"> concentration range obtaining R</w:t>
      </w:r>
      <w:r w:rsidR="00441CC6" w:rsidRPr="00C36491">
        <w:rPr>
          <w:rFonts w:ascii="Times New Roman" w:eastAsia="Times New Roman" w:hAnsi="Times New Roman" w:cs="Times New Roman"/>
          <w:sz w:val="24"/>
          <w:szCs w:val="24"/>
          <w:vertAlign w:val="superscript"/>
        </w:rPr>
        <w:t>2</w:t>
      </w:r>
      <w:r w:rsidR="00441CC6" w:rsidRPr="00C36491">
        <w:rPr>
          <w:rFonts w:ascii="Times New Roman" w:eastAsia="Times New Roman" w:hAnsi="Times New Roman" w:cs="Times New Roman"/>
          <w:sz w:val="24"/>
          <w:szCs w:val="24"/>
        </w:rPr>
        <w:t>=1.0000</w:t>
      </w:r>
      <w:r w:rsidR="00E242F6" w:rsidRPr="00C36491">
        <w:rPr>
          <w:rFonts w:ascii="Times New Roman" w:eastAsia="Times New Roman" w:hAnsi="Times New Roman" w:cs="Times New Roman"/>
          <w:sz w:val="24"/>
          <w:szCs w:val="24"/>
        </w:rPr>
        <w:t>,</w:t>
      </w:r>
      <w:r w:rsidR="00441CC6" w:rsidRPr="00C36491">
        <w:rPr>
          <w:rFonts w:ascii="Times New Roman" w:eastAsia="Times New Roman" w:hAnsi="Times New Roman" w:cs="Times New Roman"/>
          <w:sz w:val="24"/>
          <w:szCs w:val="24"/>
        </w:rPr>
        <w:t xml:space="preserve"> </w:t>
      </w:r>
      <w:r w:rsidR="00E242F6" w:rsidRPr="00C36491">
        <w:rPr>
          <w:rFonts w:ascii="Times New Roman" w:eastAsia="Times New Roman" w:hAnsi="Times New Roman" w:cs="Times New Roman"/>
          <w:sz w:val="24"/>
          <w:szCs w:val="24"/>
        </w:rPr>
        <w:t>where</w:t>
      </w:r>
      <w:r w:rsidR="00441CC6" w:rsidRPr="00C36491">
        <w:rPr>
          <w:rFonts w:ascii="Times New Roman" w:eastAsia="Times New Roman" w:hAnsi="Times New Roman" w:cs="Times New Roman"/>
          <w:sz w:val="24"/>
          <w:szCs w:val="24"/>
        </w:rPr>
        <w:t xml:space="preserve"> </w:t>
      </w:r>
      <w:r w:rsidR="00E242F6" w:rsidRPr="00C36491">
        <w:rPr>
          <w:rFonts w:ascii="Times New Roman" w:eastAsia="Times New Roman" w:hAnsi="Times New Roman" w:cs="Times New Roman"/>
          <w:sz w:val="24"/>
          <w:szCs w:val="24"/>
        </w:rPr>
        <w:t>I</w:t>
      </w:r>
      <w:r w:rsidR="00441CC6" w:rsidRPr="00C36491">
        <w:rPr>
          <w:rFonts w:ascii="Times New Roman" w:eastAsia="Times New Roman" w:hAnsi="Times New Roman" w:cs="Times New Roman"/>
          <w:sz w:val="24"/>
          <w:szCs w:val="24"/>
        </w:rPr>
        <w:t xml:space="preserve">nstrumental </w:t>
      </w:r>
      <w:r w:rsidR="00E242F6" w:rsidRPr="00C36491">
        <w:rPr>
          <w:rFonts w:ascii="Times New Roman" w:eastAsia="Times New Roman" w:hAnsi="Times New Roman" w:cs="Times New Roman"/>
          <w:sz w:val="24"/>
          <w:szCs w:val="24"/>
        </w:rPr>
        <w:t>D</w:t>
      </w:r>
      <w:r w:rsidR="00441CC6" w:rsidRPr="00C36491">
        <w:rPr>
          <w:rFonts w:ascii="Times New Roman" w:eastAsia="Times New Roman" w:hAnsi="Times New Roman" w:cs="Times New Roman"/>
          <w:sz w:val="24"/>
          <w:szCs w:val="24"/>
        </w:rPr>
        <w:t xml:space="preserve">etection </w:t>
      </w:r>
      <w:r w:rsidR="00E242F6" w:rsidRPr="00C36491">
        <w:rPr>
          <w:rFonts w:ascii="Times New Roman" w:eastAsia="Times New Roman" w:hAnsi="Times New Roman" w:cs="Times New Roman"/>
          <w:sz w:val="24"/>
          <w:szCs w:val="24"/>
        </w:rPr>
        <w:t>L</w:t>
      </w:r>
      <w:r w:rsidR="00441CC6" w:rsidRPr="00C36491">
        <w:rPr>
          <w:rFonts w:ascii="Times New Roman" w:eastAsia="Times New Roman" w:hAnsi="Times New Roman" w:cs="Times New Roman"/>
          <w:sz w:val="24"/>
          <w:szCs w:val="24"/>
        </w:rPr>
        <w:t>imit</w:t>
      </w:r>
      <w:r w:rsidR="00E242F6" w:rsidRPr="00C36491">
        <w:rPr>
          <w:rFonts w:ascii="Times New Roman" w:eastAsia="Times New Roman" w:hAnsi="Times New Roman" w:cs="Times New Roman"/>
          <w:sz w:val="24"/>
          <w:szCs w:val="24"/>
        </w:rPr>
        <w:t xml:space="preserve"> </w:t>
      </w:r>
      <w:r w:rsidR="00FB23AD">
        <w:rPr>
          <w:rFonts w:ascii="Times New Roman" w:eastAsia="Times New Roman" w:hAnsi="Times New Roman" w:cs="Times New Roman"/>
          <w:sz w:val="24"/>
          <w:szCs w:val="24"/>
        </w:rPr>
        <w:t xml:space="preserve">(IDL) </w:t>
      </w:r>
      <w:r w:rsidR="00E242F6" w:rsidRPr="00C36491">
        <w:rPr>
          <w:rFonts w:ascii="Times New Roman" w:eastAsia="Times New Roman" w:hAnsi="Times New Roman" w:cs="Times New Roman"/>
          <w:sz w:val="24"/>
          <w:szCs w:val="24"/>
        </w:rPr>
        <w:t xml:space="preserve">resulted 2.5 </w:t>
      </w:r>
      <w:proofErr w:type="spellStart"/>
      <w:r w:rsidR="00E242F6" w:rsidRPr="00C36491">
        <w:rPr>
          <w:rFonts w:ascii="Times New Roman" w:eastAsia="Times New Roman" w:hAnsi="Times New Roman" w:cs="Times New Roman"/>
          <w:sz w:val="24"/>
          <w:szCs w:val="24"/>
        </w:rPr>
        <w:t>pg</w:t>
      </w:r>
      <w:proofErr w:type="spellEnd"/>
      <w:r w:rsidR="00E242F6" w:rsidRPr="00C36491">
        <w:rPr>
          <w:rFonts w:ascii="Times New Roman" w:eastAsia="Times New Roman" w:hAnsi="Times New Roman" w:cs="Times New Roman"/>
          <w:sz w:val="24"/>
          <w:szCs w:val="24"/>
        </w:rPr>
        <w:t xml:space="preserve"> absolute.</w:t>
      </w:r>
      <w:r w:rsidR="00441CC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Field blanks (n = 5) were conducted by extracting 1 L of ultrapure water. Results were corrected by subtracting the mean blank value (0.16</w:t>
      </w:r>
      <w:r w:rsidR="00FB23AD">
        <w:rPr>
          <w:rFonts w:ascii="Times New Roman" w:eastAsia="Times New Roman" w:hAnsi="Times New Roman" w:cs="Times New Roman"/>
          <w:sz w:val="24"/>
          <w:szCs w:val="24"/>
        </w:rPr>
        <w:t xml:space="preserve"> </w:t>
      </w:r>
      <w:r w:rsidR="00FB23AD" w:rsidRPr="00C36491">
        <w:rPr>
          <w:rFonts w:ascii="Times New Roman" w:eastAsia="Times New Roman" w:hAnsi="Times New Roman" w:cs="Times New Roman"/>
          <w:sz w:val="24"/>
          <w:szCs w:val="24"/>
        </w:rPr>
        <w:t>±</w:t>
      </w:r>
      <w:r w:rsidR="00FB23AD">
        <w:rPr>
          <w:rFonts w:ascii="Times New Roman" w:eastAsia="Times New Roman" w:hAnsi="Times New Roman" w:cs="Times New Roman"/>
          <w:sz w:val="24"/>
          <w:szCs w:val="24"/>
        </w:rPr>
        <w:t xml:space="preserve"> 0.09</w:t>
      </w:r>
      <w:r>
        <w:rPr>
          <w:rFonts w:ascii="Times New Roman" w:eastAsia="Times New Roman" w:hAnsi="Times New Roman" w:cs="Times New Roman"/>
          <w:sz w:val="24"/>
          <w:szCs w:val="24"/>
        </w:rPr>
        <w:t xml:space="preserve"> ng absolute), and the Method Detection Limit (MDL = 0.2</w:t>
      </w:r>
      <w:r w:rsidR="0014558B">
        <w:rPr>
          <w:rFonts w:ascii="Times New Roman" w:eastAsia="Times New Roman" w:hAnsi="Times New Roman" w:cs="Times New Roman"/>
          <w:sz w:val="24"/>
          <w:szCs w:val="24"/>
        </w:rPr>
        <w:t>8</w:t>
      </w:r>
      <w:r>
        <w:rPr>
          <w:rFonts w:ascii="Times New Roman" w:eastAsia="Times New Roman" w:hAnsi="Times New Roman" w:cs="Times New Roman"/>
          <w:sz w:val="24"/>
          <w:szCs w:val="24"/>
        </w:rPr>
        <w:t xml:space="preserve"> ng</w:t>
      </w:r>
      <w:r w:rsidR="0014558B">
        <w:rPr>
          <w:rFonts w:ascii="Times New Roman" w:eastAsia="Times New Roman" w:hAnsi="Times New Roman" w:cs="Times New Roman"/>
          <w:sz w:val="24"/>
          <w:szCs w:val="24"/>
        </w:rPr>
        <w:t xml:space="preserve"> L</w:t>
      </w:r>
      <w:r w:rsidR="0014558B" w:rsidRPr="0014558B">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was calculated as three times the standard deviation of the blank signal.</w:t>
      </w:r>
    </w:p>
    <w:p w14:paraId="21997A7D" w14:textId="77777777" w:rsidR="008F6BE8" w:rsidRDefault="008F6BE8" w:rsidP="00310DD7">
      <w:pPr>
        <w:spacing w:after="0" w:line="360" w:lineRule="auto"/>
        <w:jc w:val="both"/>
        <w:rPr>
          <w:rFonts w:ascii="Times New Roman" w:eastAsia="Times New Roman" w:hAnsi="Times New Roman" w:cs="Times New Roman"/>
          <w:sz w:val="24"/>
          <w:szCs w:val="24"/>
        </w:rPr>
      </w:pPr>
    </w:p>
    <w:p w14:paraId="3C458D8D" w14:textId="3B72919B" w:rsidR="00315089" w:rsidRPr="00226845" w:rsidRDefault="0078701E" w:rsidP="00310DD7">
      <w:pPr>
        <w:spacing w:after="0" w:line="360" w:lineRule="auto"/>
        <w:jc w:val="both"/>
        <w:rPr>
          <w:rFonts w:ascii="Times New Roman" w:eastAsia="Times New Roman" w:hAnsi="Times New Roman" w:cs="Times New Roman"/>
          <w:strike/>
          <w:sz w:val="24"/>
          <w:szCs w:val="24"/>
        </w:rPr>
      </w:pPr>
      <w:r>
        <w:rPr>
          <w:rFonts w:ascii="Times New Roman" w:eastAsia="Times New Roman" w:hAnsi="Times New Roman" w:cs="Times New Roman"/>
          <w:noProof/>
          <w:sz w:val="24"/>
          <w:szCs w:val="24"/>
        </w:rPr>
        <w:lastRenderedPageBreak/>
        <w:drawing>
          <wp:inline distT="0" distB="0" distL="0" distR="0" wp14:anchorId="578AFD2A" wp14:editId="37EA0F11">
            <wp:extent cx="6115050" cy="68961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15050" cy="6896100"/>
                    </a:xfrm>
                    <a:prstGeom prst="rect">
                      <a:avLst/>
                    </a:prstGeom>
                    <a:noFill/>
                    <a:ln>
                      <a:noFill/>
                    </a:ln>
                  </pic:spPr>
                </pic:pic>
              </a:graphicData>
            </a:graphic>
          </wp:inline>
        </w:drawing>
      </w:r>
    </w:p>
    <w:p w14:paraId="52BC6FF5" w14:textId="3E5EC3EF" w:rsidR="002A0B8A" w:rsidRPr="005C4CEF" w:rsidRDefault="002A0B8A" w:rsidP="008F70D5">
      <w:pPr>
        <w:spacing w:after="0" w:line="360" w:lineRule="auto"/>
        <w:jc w:val="both"/>
        <w:rPr>
          <w:rFonts w:ascii="Times New Roman" w:eastAsia="Times New Roman" w:hAnsi="Times New Roman" w:cs="Times New Roman"/>
          <w:sz w:val="24"/>
          <w:szCs w:val="24"/>
          <w:lang w:val="en-US"/>
        </w:rPr>
      </w:pPr>
      <w:r w:rsidRPr="005C4CEF">
        <w:rPr>
          <w:rFonts w:ascii="Times New Roman" w:eastAsia="Times New Roman" w:hAnsi="Times New Roman" w:cs="Times New Roman"/>
          <w:sz w:val="24"/>
          <w:szCs w:val="24"/>
          <w:lang w:val="en-US"/>
        </w:rPr>
        <w:t xml:space="preserve">Figure 1 – Sampling </w:t>
      </w:r>
      <w:r w:rsidR="005C4CEF" w:rsidRPr="005C4CEF">
        <w:rPr>
          <w:rFonts w:ascii="Times New Roman" w:eastAsia="Times New Roman" w:hAnsi="Times New Roman" w:cs="Times New Roman"/>
          <w:sz w:val="24"/>
          <w:szCs w:val="24"/>
          <w:lang w:val="en-US"/>
        </w:rPr>
        <w:t xml:space="preserve">locations: </w:t>
      </w:r>
      <w:r w:rsidR="005C4CEF">
        <w:rPr>
          <w:rFonts w:ascii="Times New Roman" w:eastAsia="Times New Roman" w:hAnsi="Times New Roman" w:cs="Times New Roman"/>
          <w:sz w:val="24"/>
          <w:szCs w:val="24"/>
        </w:rPr>
        <w:t>David Glacier (</w:t>
      </w:r>
      <w:proofErr w:type="spellStart"/>
      <w:r w:rsidR="005C4CEF">
        <w:rPr>
          <w:rFonts w:ascii="Times New Roman" w:eastAsia="Times New Roman" w:hAnsi="Times New Roman" w:cs="Times New Roman"/>
          <w:sz w:val="24"/>
          <w:szCs w:val="24"/>
        </w:rPr>
        <w:t>Dav</w:t>
      </w:r>
      <w:proofErr w:type="spellEnd"/>
      <w:r w:rsidR="005C4CEF">
        <w:rPr>
          <w:rFonts w:ascii="Times New Roman" w:eastAsia="Times New Roman" w:hAnsi="Times New Roman" w:cs="Times New Roman"/>
          <w:sz w:val="24"/>
          <w:szCs w:val="24"/>
        </w:rPr>
        <w:t>), Browning Pass (Bro), Cape Phillips (</w:t>
      </w:r>
      <w:proofErr w:type="spellStart"/>
      <w:r w:rsidR="005C4CEF">
        <w:rPr>
          <w:rFonts w:ascii="Times New Roman" w:eastAsia="Times New Roman" w:hAnsi="Times New Roman" w:cs="Times New Roman"/>
          <w:sz w:val="24"/>
          <w:szCs w:val="24"/>
        </w:rPr>
        <w:t>Cph</w:t>
      </w:r>
      <w:proofErr w:type="spellEnd"/>
      <w:r w:rsidR="005C4CEF">
        <w:rPr>
          <w:rFonts w:ascii="Times New Roman" w:eastAsia="Times New Roman" w:hAnsi="Times New Roman" w:cs="Times New Roman"/>
          <w:sz w:val="24"/>
          <w:szCs w:val="24"/>
        </w:rPr>
        <w:t xml:space="preserve">), Adelie Cove (Ade), </w:t>
      </w:r>
      <w:proofErr w:type="spellStart"/>
      <w:r w:rsidR="005C4CEF">
        <w:rPr>
          <w:rFonts w:ascii="Times New Roman" w:eastAsia="Times New Roman" w:hAnsi="Times New Roman" w:cs="Times New Roman"/>
          <w:sz w:val="24"/>
          <w:szCs w:val="24"/>
        </w:rPr>
        <w:t>Icaro</w:t>
      </w:r>
      <w:proofErr w:type="spellEnd"/>
      <w:r w:rsidR="005C4CEF">
        <w:rPr>
          <w:rFonts w:ascii="Times New Roman" w:eastAsia="Times New Roman" w:hAnsi="Times New Roman" w:cs="Times New Roman"/>
          <w:sz w:val="24"/>
          <w:szCs w:val="24"/>
        </w:rPr>
        <w:t xml:space="preserve"> Camp (Ica), Enigma Lake (Eni), Skua Lake (</w:t>
      </w:r>
      <w:proofErr w:type="spellStart"/>
      <w:r w:rsidR="005C4CEF">
        <w:rPr>
          <w:rFonts w:ascii="Times New Roman" w:eastAsia="Times New Roman" w:hAnsi="Times New Roman" w:cs="Times New Roman"/>
          <w:sz w:val="24"/>
          <w:szCs w:val="24"/>
        </w:rPr>
        <w:t>Sku</w:t>
      </w:r>
      <w:proofErr w:type="spellEnd"/>
      <w:r w:rsidR="005C4CEF">
        <w:rPr>
          <w:rFonts w:ascii="Times New Roman" w:eastAsia="Times New Roman" w:hAnsi="Times New Roman" w:cs="Times New Roman"/>
          <w:sz w:val="24"/>
          <w:szCs w:val="24"/>
        </w:rPr>
        <w:t>), Boulder Clay (</w:t>
      </w:r>
      <w:proofErr w:type="spellStart"/>
      <w:r w:rsidR="005C4CEF">
        <w:rPr>
          <w:rFonts w:ascii="Times New Roman" w:eastAsia="Times New Roman" w:hAnsi="Times New Roman" w:cs="Times New Roman"/>
          <w:sz w:val="24"/>
          <w:szCs w:val="24"/>
        </w:rPr>
        <w:t>Bou</w:t>
      </w:r>
      <w:proofErr w:type="spellEnd"/>
      <w:r w:rsidR="005C4CEF">
        <w:rPr>
          <w:rFonts w:ascii="Times New Roman" w:eastAsia="Times New Roman" w:hAnsi="Times New Roman" w:cs="Times New Roman"/>
          <w:sz w:val="24"/>
          <w:szCs w:val="24"/>
        </w:rPr>
        <w:t xml:space="preserve">) and </w:t>
      </w:r>
      <w:proofErr w:type="spellStart"/>
      <w:r w:rsidR="005C4CEF">
        <w:rPr>
          <w:rFonts w:ascii="Times New Roman" w:eastAsia="Times New Roman" w:hAnsi="Times New Roman" w:cs="Times New Roman"/>
          <w:sz w:val="24"/>
          <w:szCs w:val="24"/>
        </w:rPr>
        <w:t>Edmonson</w:t>
      </w:r>
      <w:proofErr w:type="spellEnd"/>
      <w:r w:rsidR="005C4CEF">
        <w:rPr>
          <w:rFonts w:ascii="Times New Roman" w:eastAsia="Times New Roman" w:hAnsi="Times New Roman" w:cs="Times New Roman"/>
          <w:sz w:val="24"/>
          <w:szCs w:val="24"/>
        </w:rPr>
        <w:t xml:space="preserve"> Point (</w:t>
      </w:r>
      <w:proofErr w:type="spellStart"/>
      <w:r w:rsidR="005C4CEF">
        <w:rPr>
          <w:rFonts w:ascii="Times New Roman" w:eastAsia="Times New Roman" w:hAnsi="Times New Roman" w:cs="Times New Roman"/>
          <w:sz w:val="24"/>
          <w:szCs w:val="24"/>
        </w:rPr>
        <w:t>Edm</w:t>
      </w:r>
      <w:proofErr w:type="spellEnd"/>
      <w:r w:rsidR="005C4CEF">
        <w:rPr>
          <w:rFonts w:ascii="Times New Roman" w:eastAsia="Times New Roman" w:hAnsi="Times New Roman" w:cs="Times New Roman"/>
          <w:sz w:val="24"/>
          <w:szCs w:val="24"/>
        </w:rPr>
        <w:t>)</w:t>
      </w:r>
      <w:r w:rsidR="00A14009" w:rsidRPr="005C4CEF">
        <w:rPr>
          <w:rFonts w:ascii="Times New Roman" w:eastAsia="Times New Roman" w:hAnsi="Times New Roman" w:cs="Times New Roman"/>
          <w:sz w:val="24"/>
          <w:szCs w:val="24"/>
          <w:lang w:val="en-US"/>
        </w:rPr>
        <w:t>.</w:t>
      </w:r>
      <w:r w:rsidR="00943EBF">
        <w:rPr>
          <w:rFonts w:ascii="Times New Roman" w:eastAsia="Times New Roman" w:hAnsi="Times New Roman" w:cs="Times New Roman"/>
          <w:sz w:val="24"/>
          <w:szCs w:val="24"/>
          <w:lang w:val="en-US"/>
        </w:rPr>
        <w:t xml:space="preserve"> </w:t>
      </w:r>
      <w:r w:rsidR="005674AE">
        <w:rPr>
          <w:rFonts w:ascii="Times New Roman" w:eastAsia="Times New Roman" w:hAnsi="Times New Roman" w:cs="Times New Roman"/>
          <w:sz w:val="24"/>
          <w:szCs w:val="24"/>
          <w:lang w:val="en-US"/>
        </w:rPr>
        <w:t>Location of the s</w:t>
      </w:r>
      <w:r w:rsidR="00943EBF">
        <w:rPr>
          <w:rFonts w:ascii="Times New Roman" w:eastAsia="Times New Roman" w:hAnsi="Times New Roman" w:cs="Times New Roman"/>
          <w:sz w:val="24"/>
          <w:szCs w:val="24"/>
          <w:lang w:val="en-US"/>
        </w:rPr>
        <w:t xml:space="preserve">cientific stations: </w:t>
      </w:r>
      <w:r w:rsidR="007B11ED">
        <w:rPr>
          <w:rFonts w:ascii="Times New Roman" w:eastAsia="Times New Roman" w:hAnsi="Times New Roman" w:cs="Times New Roman"/>
          <w:sz w:val="24"/>
          <w:szCs w:val="24"/>
          <w:lang w:val="en-US"/>
        </w:rPr>
        <w:t xml:space="preserve">Mario </w:t>
      </w:r>
      <w:proofErr w:type="spellStart"/>
      <w:r w:rsidR="00943EBF">
        <w:rPr>
          <w:rFonts w:ascii="Times New Roman" w:eastAsia="Times New Roman" w:hAnsi="Times New Roman" w:cs="Times New Roman"/>
          <w:sz w:val="24"/>
          <w:szCs w:val="24"/>
          <w:lang w:val="en-US"/>
        </w:rPr>
        <w:t>Zucchelli</w:t>
      </w:r>
      <w:proofErr w:type="spellEnd"/>
      <w:r w:rsidR="007B11ED">
        <w:rPr>
          <w:rFonts w:ascii="Times New Roman" w:eastAsia="Times New Roman" w:hAnsi="Times New Roman" w:cs="Times New Roman"/>
          <w:sz w:val="24"/>
          <w:szCs w:val="24"/>
          <w:lang w:val="en-US"/>
        </w:rPr>
        <w:t xml:space="preserve"> Station</w:t>
      </w:r>
      <w:r w:rsidR="00943EBF">
        <w:rPr>
          <w:rFonts w:ascii="Times New Roman" w:eastAsia="Times New Roman" w:hAnsi="Times New Roman" w:cs="Times New Roman"/>
          <w:sz w:val="24"/>
          <w:szCs w:val="24"/>
          <w:lang w:val="en-US"/>
        </w:rPr>
        <w:t xml:space="preserve"> (</w:t>
      </w:r>
      <w:r w:rsidR="007B11ED">
        <w:rPr>
          <w:rFonts w:ascii="Times New Roman" w:eastAsia="Times New Roman" w:hAnsi="Times New Roman" w:cs="Times New Roman"/>
          <w:sz w:val="24"/>
          <w:szCs w:val="24"/>
          <w:lang w:val="en-US"/>
        </w:rPr>
        <w:t xml:space="preserve">MZS; </w:t>
      </w:r>
      <w:r w:rsidR="00943EBF">
        <w:rPr>
          <w:rFonts w:ascii="Times New Roman" w:eastAsia="Times New Roman" w:hAnsi="Times New Roman" w:cs="Times New Roman"/>
          <w:sz w:val="24"/>
          <w:szCs w:val="24"/>
          <w:lang w:val="en-US"/>
        </w:rPr>
        <w:t>Italy)</w:t>
      </w:r>
      <w:r w:rsidR="0075056D">
        <w:rPr>
          <w:rFonts w:ascii="Times New Roman" w:eastAsia="Times New Roman" w:hAnsi="Times New Roman" w:cs="Times New Roman"/>
          <w:sz w:val="24"/>
          <w:szCs w:val="24"/>
          <w:lang w:val="en-US"/>
        </w:rPr>
        <w:t>,</w:t>
      </w:r>
      <w:r w:rsidR="00943EBF">
        <w:rPr>
          <w:rFonts w:ascii="Times New Roman" w:eastAsia="Times New Roman" w:hAnsi="Times New Roman" w:cs="Times New Roman"/>
          <w:sz w:val="24"/>
          <w:szCs w:val="24"/>
          <w:lang w:val="en-US"/>
        </w:rPr>
        <w:t xml:space="preserve"> Jang Bogo (</w:t>
      </w:r>
      <w:r w:rsidR="007B11ED">
        <w:rPr>
          <w:rFonts w:ascii="Times New Roman" w:eastAsia="Times New Roman" w:hAnsi="Times New Roman" w:cs="Times New Roman"/>
          <w:sz w:val="24"/>
          <w:szCs w:val="24"/>
          <w:lang w:val="en-US"/>
        </w:rPr>
        <w:t xml:space="preserve">South </w:t>
      </w:r>
      <w:r w:rsidR="00943EBF">
        <w:rPr>
          <w:rFonts w:ascii="Times New Roman" w:eastAsia="Times New Roman" w:hAnsi="Times New Roman" w:cs="Times New Roman"/>
          <w:sz w:val="24"/>
          <w:szCs w:val="24"/>
          <w:lang w:val="en-US"/>
        </w:rPr>
        <w:t>Korea)</w:t>
      </w:r>
      <w:r w:rsidR="0075056D">
        <w:rPr>
          <w:rFonts w:ascii="Times New Roman" w:eastAsia="Times New Roman" w:hAnsi="Times New Roman" w:cs="Times New Roman"/>
          <w:sz w:val="24"/>
          <w:szCs w:val="24"/>
          <w:lang w:val="en-US"/>
        </w:rPr>
        <w:t>, and Gondwana (Germany)</w:t>
      </w:r>
      <w:r w:rsidR="00943EBF">
        <w:rPr>
          <w:rFonts w:ascii="Times New Roman" w:eastAsia="Times New Roman" w:hAnsi="Times New Roman" w:cs="Times New Roman"/>
          <w:sz w:val="24"/>
          <w:szCs w:val="24"/>
          <w:lang w:val="en-US"/>
        </w:rPr>
        <w:t>.</w:t>
      </w:r>
      <w:r w:rsidR="008D4F4E">
        <w:rPr>
          <w:rFonts w:ascii="Times New Roman" w:eastAsia="Times New Roman" w:hAnsi="Times New Roman" w:cs="Times New Roman"/>
          <w:sz w:val="24"/>
          <w:szCs w:val="24"/>
          <w:lang w:val="en-US"/>
        </w:rPr>
        <w:t xml:space="preserve"> </w:t>
      </w:r>
      <w:r w:rsidR="008D4F4E">
        <w:rPr>
          <w:rFonts w:ascii="Times New Roman" w:eastAsia="Times New Roman" w:hAnsi="Times New Roman" w:cs="Times New Roman"/>
          <w:color w:val="000000"/>
          <w:sz w:val="24"/>
          <w:szCs w:val="24"/>
        </w:rPr>
        <w:t>Concentrations of EHMC</w:t>
      </w:r>
      <w:r w:rsidR="0087693A">
        <w:rPr>
          <w:rFonts w:ascii="Times New Roman" w:eastAsia="Times New Roman" w:hAnsi="Times New Roman" w:cs="Times New Roman"/>
          <w:color w:val="000000"/>
          <w:sz w:val="24"/>
          <w:szCs w:val="24"/>
        </w:rPr>
        <w:t xml:space="preserve"> (ng L</w:t>
      </w:r>
      <w:r w:rsidR="0087693A" w:rsidRPr="0087693A">
        <w:rPr>
          <w:rFonts w:ascii="Times New Roman" w:eastAsia="Times New Roman" w:hAnsi="Times New Roman" w:cs="Times New Roman"/>
          <w:color w:val="000000"/>
          <w:sz w:val="24"/>
          <w:szCs w:val="24"/>
          <w:vertAlign w:val="superscript"/>
        </w:rPr>
        <w:t>-1</w:t>
      </w:r>
      <w:r w:rsidR="0087693A">
        <w:rPr>
          <w:rFonts w:ascii="Times New Roman" w:eastAsia="Times New Roman" w:hAnsi="Times New Roman" w:cs="Times New Roman"/>
          <w:color w:val="000000"/>
          <w:sz w:val="24"/>
          <w:szCs w:val="24"/>
        </w:rPr>
        <w:t>)</w:t>
      </w:r>
      <w:r w:rsidR="008D4F4E">
        <w:rPr>
          <w:rFonts w:ascii="Times New Roman" w:eastAsia="Times New Roman" w:hAnsi="Times New Roman" w:cs="Times New Roman"/>
          <w:color w:val="000000"/>
          <w:sz w:val="24"/>
          <w:szCs w:val="24"/>
        </w:rPr>
        <w:t xml:space="preserve"> in Antarctic snow (S), snowmelt (SM) and pond (P) samples collected at the nine sampling locations: </w:t>
      </w:r>
      <w:r w:rsidR="008D4F4E" w:rsidRPr="006D399C">
        <w:rPr>
          <w:rFonts w:ascii="Times New Roman" w:eastAsia="Times New Roman" w:hAnsi="Times New Roman" w:cs="Times New Roman"/>
          <w:sz w:val="24"/>
          <w:szCs w:val="24"/>
        </w:rPr>
        <w:t xml:space="preserve">Error bars </w:t>
      </w:r>
      <w:r w:rsidR="008D4F4E">
        <w:rPr>
          <w:rFonts w:ascii="Times New Roman" w:eastAsia="Times New Roman" w:hAnsi="Times New Roman" w:cs="Times New Roman"/>
          <w:sz w:val="24"/>
          <w:szCs w:val="24"/>
        </w:rPr>
        <w:t>refer to</w:t>
      </w:r>
      <w:r w:rsidR="008D4F4E" w:rsidRPr="006D399C">
        <w:rPr>
          <w:rFonts w:ascii="Times New Roman" w:eastAsia="Times New Roman" w:hAnsi="Times New Roman" w:cs="Times New Roman"/>
          <w:sz w:val="24"/>
          <w:szCs w:val="24"/>
        </w:rPr>
        <w:t xml:space="preserve"> the standard deviation of the </w:t>
      </w:r>
      <w:r w:rsidR="008D4F4E">
        <w:rPr>
          <w:rFonts w:ascii="Times New Roman" w:eastAsia="Times New Roman" w:hAnsi="Times New Roman" w:cs="Times New Roman"/>
          <w:sz w:val="24"/>
          <w:szCs w:val="24"/>
        </w:rPr>
        <w:t xml:space="preserve">analytical </w:t>
      </w:r>
      <w:r w:rsidR="008D4F4E" w:rsidRPr="006D399C">
        <w:rPr>
          <w:rFonts w:ascii="Times New Roman" w:eastAsia="Times New Roman" w:hAnsi="Times New Roman" w:cs="Times New Roman"/>
          <w:sz w:val="24"/>
          <w:szCs w:val="24"/>
        </w:rPr>
        <w:t>method precision</w:t>
      </w:r>
      <w:r w:rsidR="008D4F4E">
        <w:rPr>
          <w:rFonts w:ascii="Times New Roman" w:eastAsia="Times New Roman" w:hAnsi="Times New Roman" w:cs="Times New Roman"/>
          <w:sz w:val="24"/>
          <w:szCs w:val="24"/>
        </w:rPr>
        <w:t>.</w:t>
      </w:r>
      <w:r w:rsidR="007B11ED">
        <w:rPr>
          <w:rFonts w:ascii="Times New Roman" w:eastAsia="Times New Roman" w:hAnsi="Times New Roman" w:cs="Times New Roman"/>
          <w:sz w:val="24"/>
          <w:szCs w:val="24"/>
        </w:rPr>
        <w:t xml:space="preserve"> Adapted from Antarctic Digital Database (</w:t>
      </w:r>
      <w:r w:rsidR="007B11ED" w:rsidRPr="007B11ED">
        <w:rPr>
          <w:rFonts w:ascii="Times New Roman" w:eastAsia="Times New Roman" w:hAnsi="Times New Roman" w:cs="Times New Roman"/>
          <w:sz w:val="24"/>
          <w:szCs w:val="24"/>
        </w:rPr>
        <w:t>www.add.scar.org</w:t>
      </w:r>
      <w:r w:rsidR="007B11ED">
        <w:rPr>
          <w:rFonts w:ascii="Times New Roman" w:eastAsia="Times New Roman" w:hAnsi="Times New Roman" w:cs="Times New Roman"/>
          <w:sz w:val="24"/>
          <w:szCs w:val="24"/>
        </w:rPr>
        <w:t>).</w:t>
      </w:r>
    </w:p>
    <w:p w14:paraId="59778A12" w14:textId="77777777" w:rsidR="002A0B8A" w:rsidRPr="000A2046" w:rsidRDefault="002A0B8A">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lang w:val="en-US"/>
        </w:rPr>
      </w:pPr>
    </w:p>
    <w:p w14:paraId="551CA4FA" w14:textId="7450C3E1" w:rsidR="006962A3" w:rsidRDefault="00832152" w:rsidP="006A3989">
      <w:pPr>
        <w:pStyle w:val="Paragrafoelenco"/>
        <w:numPr>
          <w:ilvl w:val="0"/>
          <w:numId w:val="1"/>
        </w:numPr>
        <w:spacing w:after="0" w:line="360" w:lineRule="auto"/>
        <w:jc w:val="both"/>
        <w:rPr>
          <w:rFonts w:ascii="Times New Roman" w:eastAsia="Times New Roman" w:hAnsi="Times New Roman" w:cs="Times New Roman"/>
          <w:b/>
          <w:color w:val="000000"/>
          <w:sz w:val="24"/>
          <w:szCs w:val="24"/>
        </w:rPr>
      </w:pPr>
      <w:r w:rsidRPr="006A3989">
        <w:rPr>
          <w:rFonts w:ascii="Times New Roman" w:eastAsia="Times New Roman" w:hAnsi="Times New Roman" w:cs="Times New Roman"/>
          <w:b/>
          <w:sz w:val="24"/>
          <w:szCs w:val="24"/>
        </w:rPr>
        <w:lastRenderedPageBreak/>
        <w:t>RESULTS</w:t>
      </w:r>
      <w:r>
        <w:rPr>
          <w:rFonts w:ascii="Times New Roman" w:eastAsia="Times New Roman" w:hAnsi="Times New Roman" w:cs="Times New Roman"/>
          <w:b/>
          <w:color w:val="000000"/>
          <w:sz w:val="24"/>
          <w:szCs w:val="24"/>
        </w:rPr>
        <w:t xml:space="preserve"> AND DISCUSSION</w:t>
      </w:r>
    </w:p>
    <w:p w14:paraId="65CF40B1" w14:textId="0B30DD32" w:rsidR="00056635" w:rsidRPr="00A45FDE" w:rsidRDefault="00A45FDE">
      <w:pPr>
        <w:pBdr>
          <w:top w:val="nil"/>
          <w:left w:val="nil"/>
          <w:bottom w:val="nil"/>
          <w:right w:val="nil"/>
          <w:between w:val="nil"/>
        </w:pBdr>
        <w:spacing w:after="0" w:line="360" w:lineRule="auto"/>
        <w:jc w:val="both"/>
        <w:rPr>
          <w:rFonts w:ascii="Times New Roman" w:hAnsi="Times New Roman" w:cs="Times New Roman"/>
          <w:sz w:val="24"/>
          <w:szCs w:val="24"/>
        </w:rPr>
      </w:pPr>
      <w:r w:rsidRPr="00A45FDE">
        <w:rPr>
          <w:rFonts w:ascii="Times New Roman" w:hAnsi="Times New Roman" w:cs="Times New Roman"/>
          <w:sz w:val="24"/>
          <w:szCs w:val="24"/>
        </w:rPr>
        <w:t>EHMC was found in 10 out of 14 samples, with concentrations ranging from 0.4 ng L</w:t>
      </w:r>
      <w:r w:rsidRPr="002C33D3">
        <w:rPr>
          <w:rFonts w:ascii="Times New Roman" w:hAnsi="Times New Roman" w:cs="Times New Roman"/>
          <w:sz w:val="24"/>
          <w:szCs w:val="24"/>
          <w:vertAlign w:val="superscript"/>
        </w:rPr>
        <w:t>-1</w:t>
      </w:r>
      <w:r w:rsidRPr="00A45FDE">
        <w:rPr>
          <w:rFonts w:ascii="Times New Roman" w:hAnsi="Times New Roman" w:cs="Times New Roman"/>
          <w:sz w:val="24"/>
          <w:szCs w:val="24"/>
        </w:rPr>
        <w:t xml:space="preserve"> to 3.1 ng L</w:t>
      </w:r>
      <w:r w:rsidRPr="002C33D3">
        <w:rPr>
          <w:rFonts w:ascii="Times New Roman" w:hAnsi="Times New Roman" w:cs="Times New Roman"/>
          <w:sz w:val="24"/>
          <w:szCs w:val="24"/>
          <w:vertAlign w:val="superscript"/>
        </w:rPr>
        <w:t>-1</w:t>
      </w:r>
      <w:r w:rsidRPr="00A45FDE">
        <w:rPr>
          <w:rFonts w:ascii="Times New Roman" w:hAnsi="Times New Roman" w:cs="Times New Roman"/>
          <w:sz w:val="24"/>
          <w:szCs w:val="24"/>
        </w:rPr>
        <w:t xml:space="preserve"> (Table </w:t>
      </w:r>
      <w:r w:rsidR="00125F6A">
        <w:rPr>
          <w:rFonts w:ascii="Times New Roman" w:hAnsi="Times New Roman" w:cs="Times New Roman"/>
          <w:sz w:val="24"/>
          <w:szCs w:val="24"/>
        </w:rPr>
        <w:t>S1</w:t>
      </w:r>
      <w:r w:rsidRPr="00A45FDE">
        <w:rPr>
          <w:rFonts w:ascii="Times New Roman" w:hAnsi="Times New Roman" w:cs="Times New Roman"/>
          <w:sz w:val="24"/>
          <w:szCs w:val="24"/>
        </w:rPr>
        <w:t xml:space="preserve"> and Figure </w:t>
      </w:r>
      <w:r w:rsidR="0087693A">
        <w:rPr>
          <w:rFonts w:ascii="Times New Roman" w:hAnsi="Times New Roman" w:cs="Times New Roman"/>
          <w:sz w:val="24"/>
          <w:szCs w:val="24"/>
        </w:rPr>
        <w:t>1</w:t>
      </w:r>
      <w:r w:rsidRPr="00A45FDE">
        <w:rPr>
          <w:rFonts w:ascii="Times New Roman" w:hAnsi="Times New Roman" w:cs="Times New Roman"/>
          <w:sz w:val="24"/>
          <w:szCs w:val="24"/>
        </w:rPr>
        <w:t xml:space="preserve">) being detected both in the surroundings of the scientific stations and in more remote areas. </w:t>
      </w:r>
      <w:r w:rsidR="00C02ACD" w:rsidRPr="006562E1">
        <w:rPr>
          <w:rFonts w:ascii="Times New Roman" w:eastAsia="Times New Roman" w:hAnsi="Times New Roman" w:cs="Times New Roman"/>
          <w:color w:val="000000"/>
          <w:sz w:val="24"/>
          <w:szCs w:val="24"/>
        </w:rPr>
        <w:t xml:space="preserve">To the best of our knowledge, this is the first </w:t>
      </w:r>
      <w:r w:rsidR="00F32BF8">
        <w:rPr>
          <w:rFonts w:ascii="Times New Roman" w:eastAsia="Times New Roman" w:hAnsi="Times New Roman" w:cs="Times New Roman"/>
          <w:color w:val="000000"/>
          <w:sz w:val="24"/>
          <w:szCs w:val="24"/>
        </w:rPr>
        <w:t>detection of</w:t>
      </w:r>
      <w:r w:rsidR="00C02ACD" w:rsidRPr="006562E1">
        <w:rPr>
          <w:rFonts w:ascii="Times New Roman" w:eastAsia="Times New Roman" w:hAnsi="Times New Roman" w:cs="Times New Roman"/>
          <w:color w:val="000000"/>
          <w:sz w:val="24"/>
          <w:szCs w:val="24"/>
        </w:rPr>
        <w:t xml:space="preserve"> EHMC in snow </w:t>
      </w:r>
      <w:r w:rsidR="00C02ACD">
        <w:rPr>
          <w:rFonts w:ascii="Times New Roman" w:eastAsia="Times New Roman" w:hAnsi="Times New Roman" w:cs="Times New Roman"/>
          <w:color w:val="000000"/>
          <w:sz w:val="24"/>
          <w:szCs w:val="24"/>
        </w:rPr>
        <w:t>samples.</w:t>
      </w:r>
      <w:r w:rsidR="00C02ACD" w:rsidRPr="00A45FDE">
        <w:rPr>
          <w:rFonts w:ascii="Times New Roman" w:hAnsi="Times New Roman" w:cs="Times New Roman"/>
          <w:sz w:val="24"/>
          <w:szCs w:val="24"/>
        </w:rPr>
        <w:t xml:space="preserve"> </w:t>
      </w:r>
      <w:r w:rsidRPr="00A45FDE">
        <w:rPr>
          <w:rFonts w:ascii="Times New Roman" w:hAnsi="Times New Roman" w:cs="Times New Roman"/>
          <w:sz w:val="24"/>
          <w:szCs w:val="24"/>
        </w:rPr>
        <w:t xml:space="preserve">The highest values were found in Eni-P and Bro-S (Figure 2). The occurrence of EHMC in snowmelt and pond water samples indicates that this contaminant can be remobilized after snow deposition and melting. Snow samples collected at </w:t>
      </w:r>
      <w:proofErr w:type="spellStart"/>
      <w:r w:rsidRPr="00A45FDE">
        <w:rPr>
          <w:rFonts w:ascii="Times New Roman" w:hAnsi="Times New Roman" w:cs="Times New Roman"/>
          <w:sz w:val="24"/>
          <w:szCs w:val="24"/>
        </w:rPr>
        <w:t>Icaro</w:t>
      </w:r>
      <w:proofErr w:type="spellEnd"/>
      <w:r w:rsidRPr="00A45FDE">
        <w:rPr>
          <w:rFonts w:ascii="Times New Roman" w:hAnsi="Times New Roman" w:cs="Times New Roman"/>
          <w:sz w:val="24"/>
          <w:szCs w:val="24"/>
        </w:rPr>
        <w:t xml:space="preserve"> Camp showed variable concentrations: 1.9 ng L</w:t>
      </w:r>
      <w:r w:rsidRPr="00D8615C">
        <w:rPr>
          <w:rFonts w:ascii="Times New Roman" w:hAnsi="Times New Roman" w:cs="Times New Roman"/>
          <w:sz w:val="24"/>
          <w:szCs w:val="24"/>
          <w:vertAlign w:val="superscript"/>
        </w:rPr>
        <w:t>-1</w:t>
      </w:r>
      <w:r w:rsidRPr="00A45FDE">
        <w:rPr>
          <w:rFonts w:ascii="Times New Roman" w:hAnsi="Times New Roman" w:cs="Times New Roman"/>
          <w:sz w:val="24"/>
          <w:szCs w:val="24"/>
        </w:rPr>
        <w:t xml:space="preserve"> were found in Ica-S1 collected on 14th January, and concentrations resulted lower than MDL after 14 days (Ica-S2). The same was observed in Eni-S1 and Eni-S2, where the second round of sampling was conducted right after a snowfall.</w:t>
      </w:r>
    </w:p>
    <w:p w14:paraId="6FF5E0D3" w14:textId="081252BA" w:rsidR="00A45FDE" w:rsidRPr="00A45FDE" w:rsidRDefault="00A45FDE" w:rsidP="006A298B">
      <w:pPr>
        <w:pStyle w:val="NormaleWeb"/>
        <w:spacing w:before="240" w:beforeAutospacing="0" w:after="240" w:afterAutospacing="0" w:line="360" w:lineRule="auto"/>
        <w:jc w:val="both"/>
        <w:rPr>
          <w:color w:val="000000"/>
          <w:lang w:val="en-GB"/>
        </w:rPr>
      </w:pPr>
      <w:r w:rsidRPr="00A45FDE">
        <w:rPr>
          <w:color w:val="000000"/>
          <w:lang w:val="en-GB"/>
        </w:rPr>
        <w:t xml:space="preserve">The values of EHMC found in this study are lower than those detected in </w:t>
      </w:r>
      <w:r w:rsidRPr="00486F7B">
        <w:rPr>
          <w:color w:val="000000"/>
          <w:lang w:val="en-GB"/>
        </w:rPr>
        <w:t>freshwater (69 - 1900 ng g</w:t>
      </w:r>
      <w:r w:rsidRPr="00D8615C">
        <w:rPr>
          <w:color w:val="000000"/>
          <w:vertAlign w:val="superscript"/>
          <w:lang w:val="en-GB"/>
        </w:rPr>
        <w:t>-1</w:t>
      </w:r>
      <w:r w:rsidRPr="00486F7B">
        <w:rPr>
          <w:color w:val="000000"/>
          <w:lang w:val="en-GB"/>
        </w:rPr>
        <w:t xml:space="preserve"> </w:t>
      </w:r>
      <w:proofErr w:type="spellStart"/>
      <w:r w:rsidRPr="00486F7B">
        <w:rPr>
          <w:color w:val="000000"/>
          <w:lang w:val="en-GB"/>
        </w:rPr>
        <w:t>dw</w:t>
      </w:r>
      <w:proofErr w:type="spellEnd"/>
      <w:r w:rsidRPr="00486F7B">
        <w:rPr>
          <w:color w:val="000000"/>
          <w:lang w:val="en-GB"/>
        </w:rPr>
        <w:t>)</w:t>
      </w:r>
      <w:r w:rsidRPr="00D8615C">
        <w:rPr>
          <w:color w:val="000000"/>
          <w:vertAlign w:val="superscript"/>
          <w:lang w:val="en-GB"/>
        </w:rPr>
        <w:t xml:space="preserve"> </w:t>
      </w:r>
      <w:r w:rsidRPr="00486F7B">
        <w:rPr>
          <w:color w:val="000000"/>
          <w:lang w:val="en-GB"/>
        </w:rPr>
        <w:t>and</w:t>
      </w:r>
      <w:r w:rsidRPr="00A45FDE">
        <w:rPr>
          <w:color w:val="000000"/>
          <w:lang w:val="en-GB"/>
        </w:rPr>
        <w:t xml:space="preserve"> </w:t>
      </w:r>
      <w:r w:rsidRPr="00D8615C">
        <w:rPr>
          <w:color w:val="000000"/>
          <w:lang w:val="en-GB"/>
        </w:rPr>
        <w:t>wastewater drainage (7300 ng g</w:t>
      </w:r>
      <w:r w:rsidRPr="00D8615C">
        <w:rPr>
          <w:color w:val="000000"/>
          <w:vertAlign w:val="superscript"/>
          <w:lang w:val="en-GB"/>
        </w:rPr>
        <w:t>-1</w:t>
      </w:r>
      <w:r w:rsidRPr="00D8615C">
        <w:rPr>
          <w:color w:val="000000"/>
          <w:lang w:val="en-GB"/>
        </w:rPr>
        <w:t xml:space="preserve"> </w:t>
      </w:r>
      <w:proofErr w:type="spellStart"/>
      <w:r w:rsidRPr="00D8615C">
        <w:rPr>
          <w:color w:val="000000"/>
          <w:lang w:val="en-GB"/>
        </w:rPr>
        <w:t>dw</w:t>
      </w:r>
      <w:proofErr w:type="spellEnd"/>
      <w:r w:rsidRPr="00D8615C">
        <w:rPr>
          <w:color w:val="000000"/>
          <w:lang w:val="en-GB"/>
        </w:rPr>
        <w:t xml:space="preserve">) in Antarctica by </w:t>
      </w:r>
      <w:r w:rsidR="00E85448" w:rsidRPr="00D8615C">
        <w:rPr>
          <w:color w:val="000000"/>
          <w:lang w:val="en-GB"/>
        </w:rPr>
        <w:fldChar w:fldCharType="begin" w:fldLock="1"/>
      </w:r>
      <w:r w:rsidR="007A5F81">
        <w:rPr>
          <w:color w:val="000000"/>
          <w:lang w:val="en-GB"/>
        </w:rPr>
        <w:instrText>ADDIN CSL_CITATION {"citationItems":[{"id":"ITEM-1","itemData":{"DOI":"10.1007/s13280-020-01404-x","ISSN":"16547209","PMID":"33098531","abstract":"This study aimed to evaluate the presence of ultraviolet filters (UV-Fs), benzotriazoles, pyrethroids and per- and polyfluoroalkyl substances (PFASs) in freshwater and wastewater from the northern Antarctic Peninsula region. All water samples analyzed contained UV-Fs residues and high concentrations were detected in anthropogenic impacted sites (&lt; LOD up to 1300 ng/L). Likewise, benzotriazoles were detected in all water samples (&lt; LOQ–920 ng/L). Regarding suspended particulate matter, almost all UV-Fs and all benzotriazoles were measured at concentrations ranging from &lt; LOQ to 33 µg/g dry weight. Pyrethroids were also detected (&lt; LOQ–250 ng/L) and their presence implies the existence of a gateway to the Antarctica Peninsula from other regions. The data confirmed the presence of PFASs (&lt; LOD–7500 ng/L) in this area, in agreement with previous studies. In light of these results, extended monitoring in Antarctica should be carried out to perform a reliable environmental risk assessment leading to propose recommendations to minimize the anthropic impact.","author":[{"dropping-particle":"","family":"Domínguez-Morueco","given":"Noelia","non-dropping-particle":"","parse-names":false,"suffix":""},{"dropping-particle":"","family":"Moreno-Merino","given":"Luis","non-dropping-particle":"","parse-names":false,"suffix":""},{"dropping-particle":"","family":"Molins-Delgado","given":"Daniel","non-dropping-particle":"","parse-names":false,"suffix":""},{"dropping-particle":"","family":"Díaz-Cruz","given":"M. Silvia","non-dropping-particle":"","parse-names":false,"suffix":""},{"dropping-particle":"","family":"Aznar-Alemany","given":"Òscar","non-dropping-particle":"","parse-names":false,"suffix":""},{"dropping-particle":"","family":"Eljarrat","given":"Ethel","non-dropping-particle":"","parse-names":false,"suffix":""},{"dropping-particle":"","family":"Farré","given":"Marinella","non-dropping-particle":"","parse-names":false,"suffix":""},{"dropping-particle":"","family":"López-Martínez","given":"Jerónimo","non-dropping-particle":"","parse-names":false,"suffix":""},{"dropping-particle":"","family":"López de Alda","given":"Miren","non-dropping-particle":"","parse-names":false,"suffix":""},{"dropping-particle":"","family":"Silva","given":"Adrián","non-dropping-particle":"","parse-names":false,"suffix":""},{"dropping-particle":"","family":"Durán Valsero","given":"Juan José","non-dropping-particle":"","parse-names":false,"suffix":""},{"dropping-particle":"","family":"Valcárcel","given":"Yolanda","non-dropping-particle":"","parse-names":false,"suffix":""}],"container-title":"Ambio","id":"ITEM-1","issue":"3","issued":{"date-parts":[["2021"]]},"page":"544-559","title":"Anthropogenic contaminants in freshwater from the northern Antarctic Peninsula region","type":"article-journal","volume":"50"},"uris":["http://www.mendeley.com/documents/?uuid=9f31b51e-d938-4464-a816-5b260e8fc65c"]}],"mendeley":{"formattedCitation":"[13]","manualFormatting":"Domínguez-Morueco et al. (2021","plainTextFormattedCitation":"[13]","previouslyFormattedCitation":"&lt;sup&gt;13&lt;/sup&gt;"},"properties":{"noteIndex":0},"schema":"https://github.com/citation-style-language/schema/raw/master/csl-citation.json"}</w:instrText>
      </w:r>
      <w:r w:rsidR="00E85448" w:rsidRPr="00D8615C">
        <w:rPr>
          <w:color w:val="000000"/>
          <w:lang w:val="en-GB"/>
        </w:rPr>
        <w:fldChar w:fldCharType="separate"/>
      </w:r>
      <w:r w:rsidR="00E85448" w:rsidRPr="00D8615C">
        <w:rPr>
          <w:noProof/>
          <w:color w:val="000000"/>
          <w:lang w:val="en-GB"/>
        </w:rPr>
        <w:t>Domínguez-Morueco et al. (2021</w:t>
      </w:r>
      <w:r w:rsidR="00E85448" w:rsidRPr="00D8615C">
        <w:rPr>
          <w:color w:val="000000"/>
          <w:lang w:val="en-GB"/>
        </w:rPr>
        <w:fldChar w:fldCharType="end"/>
      </w:r>
      <w:r w:rsidR="00E85448" w:rsidRPr="00D8615C">
        <w:rPr>
          <w:color w:val="000000"/>
          <w:lang w:val="en-GB"/>
        </w:rPr>
        <w:t xml:space="preserve">) </w:t>
      </w:r>
      <w:r w:rsidRPr="00D8615C">
        <w:rPr>
          <w:color w:val="000000"/>
          <w:lang w:val="en-GB"/>
        </w:rPr>
        <w:t xml:space="preserve">(Table </w:t>
      </w:r>
      <w:r w:rsidR="00663EA2">
        <w:rPr>
          <w:color w:val="000000"/>
          <w:lang w:val="en-GB"/>
        </w:rPr>
        <w:t>2</w:t>
      </w:r>
      <w:r w:rsidRPr="00D8615C">
        <w:rPr>
          <w:color w:val="000000"/>
          <w:lang w:val="en-GB"/>
        </w:rPr>
        <w:t>). T</w:t>
      </w:r>
      <w:r w:rsidRPr="00A45FDE">
        <w:rPr>
          <w:color w:val="000000"/>
          <w:lang w:val="en-GB"/>
        </w:rPr>
        <w:t>hese samples were collected in areas near human settlements and dumping locations close to big scientific stations. Comparing the presented results with data from the Arctic, values are lower than those detected by</w:t>
      </w:r>
      <w:r w:rsidR="00E85448">
        <w:rPr>
          <w:color w:val="000000"/>
          <w:lang w:val="en-GB"/>
        </w:rPr>
        <w:t xml:space="preserve"> </w:t>
      </w:r>
      <w:r w:rsidR="00E85448">
        <w:rPr>
          <w:color w:val="000000"/>
          <w:lang w:val="en-GB"/>
        </w:rPr>
        <w:fldChar w:fldCharType="begin" w:fldLock="1"/>
      </w:r>
      <w:r w:rsidR="007A5F81">
        <w:rPr>
          <w:color w:val="000000"/>
          <w:lang w:val="en-GB"/>
        </w:rPr>
        <w:instrText>ADDIN CSL_CITATION {"citationItems":[{"id":"ITEM-1","itemData":{"DOI":"10.1016/j.watres.2014.09.013","ISSN":"18792448","PMID":"25261628","abstract":"Organic UV filters are common ingredients of personal care products (PCPs), but little is known about their distribution in and potential impacts to the marine environment. This study reports the occurrence and risk assessment of twelve widely used organic UV filters in surface water collected in eight cities in four countries (China, the United States, Japan, and Thailand) and the North American Arctic. The number of compounds detected, Hong Kong (12), Tokyo (9), Bangkok (9), New York (8), Los Angeles (8), Arctic (6), Shantou (5) and Chaozhou (5), generally increased with population density. Median concentrations of all detectable UV filters were &lt;250ng/L. The presence of these compounds in the Arctic is likely due to a combination of inadequate wastewater treatment and long-range oceanic transport. Principal component analysis (PCA) and two-way analysis of variance (ANOVA) were conducted to explore spatiotemporal patterns and difference in organic UV filter levels in Hong Kong. In general, spatial patterns varied with sampling month and all compounds showed higher concentrations in the wet season except benzophenone-4 (BP-4). Probabilistic risk assessment showed that 4-methylbenzylidene camphor (4-MBC) posed greater risk to algae, while benzophenone-3 (BP-3) and ethylhexyl methoxycinnamate (EHMC) were more likely to pose a risk to fishes and also posed high risk of bleaching in hard corals in aquatic recreational areas in Hong Kong. This study is the first to report the occurrence of organic UV filters in the Arctic and provides a wider assessment of their potential negative impacts in the marine environment.","author":[{"dropping-particle":"","family":"Tsui","given":"Mirabelle M.P.","non-dropping-particle":"","parse-names":false,"suffix":""},{"dropping-particle":"","family":"Leung","given":"H W","non-dropping-particle":"","parse-names":false,"suffix":""},{"dropping-particle":"","family":"Wai","given":"Tak Cheung","non-dropping-particle":"","parse-names":false,"suffix":""},{"dropping-particle":"","family":"Yamashita","given":"Nobuyoshi","non-dropping-particle":"","parse-names":false,"suffix":""},{"dropping-particle":"","family":"Taniyasu","given":"Sachi","non-dropping-particle":"","parse-names":false,"suffix":""},{"dropping-particle":"","family":"Liu","given":"Wenhua","non-dropping-particle":"","parse-names":false,"suffix":""},{"dropping-particle":"","family":"Lam","given":"Paul K.S.","non-dropping-particle":"","parse-names":false,"suffix":""},{"dropping-particle":"","family":"Murphy","given":"Margaret B.","non-dropping-particle":"","parse-names":false,"suffix":""}],"container-title":"Water Research","id":"ITEM-1","issued":{"date-parts":[["2014"]]},"page":"55-65","publisher":"Elsevier Ltd","title":"Occurrence, distribution and ecological risk assessment of multiple classes of UV filters in surface waters from different countries","type":"article-journal","volume":"67"},"uris":["http://www.mendeley.com/documents/?uuid=898d2b8b-29dd-4137-b382-94b0fb352215","http://www.mendeley.com/documents/?uuid=874320ea-89a1-46ac-a808-6ba1c3a860ef"]}],"mendeley":{"formattedCitation":"[27]","manualFormatting":"Tsui et al. (2014)","plainTextFormattedCitation":"[27]","previouslyFormattedCitation":"&lt;sup&gt;27&lt;/sup&gt;"},"properties":{"noteIndex":0},"schema":"https://github.com/citation-style-language/schema/raw/master/csl-citation.json"}</w:instrText>
      </w:r>
      <w:r w:rsidR="00E85448">
        <w:rPr>
          <w:color w:val="000000"/>
          <w:lang w:val="en-GB"/>
        </w:rPr>
        <w:fldChar w:fldCharType="separate"/>
      </w:r>
      <w:r w:rsidR="00E85448" w:rsidRPr="00E85448">
        <w:rPr>
          <w:noProof/>
          <w:color w:val="000000"/>
          <w:lang w:val="en-GB"/>
        </w:rPr>
        <w:t xml:space="preserve">Tsui et al. </w:t>
      </w:r>
      <w:r w:rsidR="00E85448">
        <w:rPr>
          <w:noProof/>
          <w:color w:val="000000"/>
          <w:lang w:val="en-GB"/>
        </w:rPr>
        <w:t>(</w:t>
      </w:r>
      <w:r w:rsidR="00E85448" w:rsidRPr="00E85448">
        <w:rPr>
          <w:noProof/>
          <w:color w:val="000000"/>
          <w:lang w:val="en-GB"/>
        </w:rPr>
        <w:t>2014)</w:t>
      </w:r>
      <w:r w:rsidR="00E85448">
        <w:rPr>
          <w:color w:val="000000"/>
          <w:lang w:val="en-GB"/>
        </w:rPr>
        <w:fldChar w:fldCharType="end"/>
      </w:r>
      <w:r w:rsidRPr="00A45FDE">
        <w:rPr>
          <w:color w:val="000000"/>
          <w:lang w:val="en-GB"/>
        </w:rPr>
        <w:t xml:space="preserve"> in surface water samples from the Arctic Ocean (range 25 – 66 </w:t>
      </w:r>
      <w:r w:rsidRPr="00486F7B">
        <w:rPr>
          <w:color w:val="000000"/>
          <w:lang w:val="en-GB"/>
        </w:rPr>
        <w:t>ng L</w:t>
      </w:r>
      <w:r w:rsidRPr="00D8615C">
        <w:rPr>
          <w:color w:val="000000"/>
          <w:vertAlign w:val="superscript"/>
          <w:lang w:val="en-GB"/>
        </w:rPr>
        <w:t>-1</w:t>
      </w:r>
      <w:r w:rsidRPr="00486F7B">
        <w:rPr>
          <w:color w:val="000000"/>
          <w:lang w:val="en-GB"/>
        </w:rPr>
        <w:t>).</w:t>
      </w:r>
    </w:p>
    <w:p w14:paraId="1A3BFFF3" w14:textId="3D5E25B3" w:rsidR="006A298B" w:rsidRPr="009C6944" w:rsidRDefault="006A298B" w:rsidP="006A298B">
      <w:pPr>
        <w:pStyle w:val="NormaleWeb"/>
        <w:spacing w:before="240" w:beforeAutospacing="0" w:after="240" w:afterAutospacing="0" w:line="360" w:lineRule="auto"/>
        <w:jc w:val="both"/>
        <w:rPr>
          <w:lang w:val="en-GB"/>
        </w:rPr>
      </w:pPr>
      <w:r w:rsidRPr="009C6944">
        <w:rPr>
          <w:lang w:val="en-GB"/>
        </w:rPr>
        <w:t xml:space="preserve">Table </w:t>
      </w:r>
      <w:r w:rsidR="00663EA2">
        <w:rPr>
          <w:lang w:val="en-GB"/>
        </w:rPr>
        <w:t>2</w:t>
      </w:r>
      <w:r w:rsidR="007B7BE1">
        <w:rPr>
          <w:lang w:val="en-GB"/>
        </w:rPr>
        <w:t xml:space="preserve">. </w:t>
      </w:r>
      <w:r w:rsidRPr="009C6944">
        <w:rPr>
          <w:lang w:val="en-GB"/>
        </w:rPr>
        <w:t>Literature data of UV filters in different matrices in Antarctica</w:t>
      </w:r>
    </w:p>
    <w:tbl>
      <w:tblPr>
        <w:tblW w:w="9913" w:type="dxa"/>
        <w:tblCellMar>
          <w:top w:w="15" w:type="dxa"/>
          <w:left w:w="15" w:type="dxa"/>
          <w:bottom w:w="15" w:type="dxa"/>
          <w:right w:w="15" w:type="dxa"/>
        </w:tblCellMar>
        <w:tblLook w:val="04A0" w:firstRow="1" w:lastRow="0" w:firstColumn="1" w:lastColumn="0" w:noHBand="0" w:noVBand="1"/>
      </w:tblPr>
      <w:tblGrid>
        <w:gridCol w:w="2684"/>
        <w:gridCol w:w="1984"/>
        <w:gridCol w:w="1985"/>
        <w:gridCol w:w="3260"/>
      </w:tblGrid>
      <w:tr w:rsidR="006A298B" w:rsidRPr="00145A63" w14:paraId="1AEFA18F" w14:textId="77777777" w:rsidTr="00DA01D5">
        <w:tc>
          <w:tcPr>
            <w:tcW w:w="2684" w:type="dxa"/>
            <w:tcBorders>
              <w:top w:val="single" w:sz="4" w:space="0" w:color="auto"/>
              <w:bottom w:val="single" w:sz="4" w:space="0" w:color="auto"/>
            </w:tcBorders>
            <w:tcMar>
              <w:top w:w="100" w:type="dxa"/>
              <w:left w:w="100" w:type="dxa"/>
              <w:bottom w:w="100" w:type="dxa"/>
              <w:right w:w="100" w:type="dxa"/>
            </w:tcMar>
            <w:hideMark/>
          </w:tcPr>
          <w:p w14:paraId="0AD6CE3E"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Matrix</w:t>
            </w:r>
          </w:p>
        </w:tc>
        <w:tc>
          <w:tcPr>
            <w:tcW w:w="1984" w:type="dxa"/>
            <w:tcBorders>
              <w:top w:val="single" w:sz="4" w:space="0" w:color="auto"/>
              <w:bottom w:val="single" w:sz="4" w:space="0" w:color="auto"/>
            </w:tcBorders>
            <w:tcMar>
              <w:top w:w="100" w:type="dxa"/>
              <w:left w:w="100" w:type="dxa"/>
              <w:bottom w:w="100" w:type="dxa"/>
              <w:right w:w="100" w:type="dxa"/>
            </w:tcMar>
            <w:hideMark/>
          </w:tcPr>
          <w:p w14:paraId="6DB2E681" w14:textId="79367185"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Analyte</w:t>
            </w:r>
            <w:r w:rsidR="00DA61D8">
              <w:rPr>
                <w:rFonts w:ascii="Times New Roman" w:eastAsia="Times New Roman" w:hAnsi="Times New Roman" w:cs="Times New Roman"/>
                <w:color w:val="000000"/>
                <w:sz w:val="24"/>
                <w:szCs w:val="24"/>
              </w:rPr>
              <w:t xml:space="preserve"> *</w:t>
            </w:r>
          </w:p>
        </w:tc>
        <w:tc>
          <w:tcPr>
            <w:tcW w:w="1985" w:type="dxa"/>
            <w:tcBorders>
              <w:top w:val="single" w:sz="4" w:space="0" w:color="auto"/>
              <w:bottom w:val="single" w:sz="4" w:space="0" w:color="auto"/>
            </w:tcBorders>
            <w:tcMar>
              <w:top w:w="100" w:type="dxa"/>
              <w:left w:w="100" w:type="dxa"/>
              <w:bottom w:w="100" w:type="dxa"/>
              <w:right w:w="100" w:type="dxa"/>
            </w:tcMar>
            <w:hideMark/>
          </w:tcPr>
          <w:p w14:paraId="0341D5BB"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Range</w:t>
            </w:r>
          </w:p>
        </w:tc>
        <w:tc>
          <w:tcPr>
            <w:tcW w:w="3260" w:type="dxa"/>
            <w:tcBorders>
              <w:top w:val="single" w:sz="4" w:space="0" w:color="auto"/>
              <w:bottom w:val="single" w:sz="4" w:space="0" w:color="auto"/>
            </w:tcBorders>
            <w:tcMar>
              <w:top w:w="100" w:type="dxa"/>
              <w:left w:w="100" w:type="dxa"/>
              <w:bottom w:w="100" w:type="dxa"/>
              <w:right w:w="100" w:type="dxa"/>
            </w:tcMar>
            <w:hideMark/>
          </w:tcPr>
          <w:p w14:paraId="0FB12BF2"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References</w:t>
            </w:r>
          </w:p>
        </w:tc>
      </w:tr>
      <w:tr w:rsidR="00FD7A17" w:rsidRPr="00145A63" w14:paraId="598A5A37" w14:textId="77777777" w:rsidTr="00DA01D5">
        <w:tc>
          <w:tcPr>
            <w:tcW w:w="2684" w:type="dxa"/>
            <w:tcBorders>
              <w:top w:val="single" w:sz="4" w:space="0" w:color="auto"/>
            </w:tcBorders>
            <w:tcMar>
              <w:top w:w="100" w:type="dxa"/>
              <w:left w:w="100" w:type="dxa"/>
              <w:bottom w:w="100" w:type="dxa"/>
              <w:right w:w="100" w:type="dxa"/>
            </w:tcMar>
          </w:tcPr>
          <w:p w14:paraId="3FF65E85" w14:textId="0F447AF5" w:rsidR="00FD7A17" w:rsidRPr="00046C80" w:rsidRDefault="00FD7A17" w:rsidP="00852E5A">
            <w:pPr>
              <w:spacing w:after="0" w:line="240" w:lineRule="auto"/>
              <w:jc w:val="center"/>
              <w:rPr>
                <w:rFonts w:ascii="Times New Roman" w:eastAsia="Times New Roman" w:hAnsi="Times New Roman" w:cs="Times New Roman"/>
                <w:color w:val="000000"/>
                <w:sz w:val="24"/>
                <w:szCs w:val="24"/>
              </w:rPr>
            </w:pPr>
            <w:r w:rsidRPr="00046C80">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now</w:t>
            </w:r>
            <w:r w:rsidRPr="00046C80">
              <w:rPr>
                <w:rFonts w:ascii="Times New Roman" w:eastAsia="Times New Roman" w:hAnsi="Times New Roman" w:cs="Times New Roman"/>
                <w:color w:val="000000"/>
                <w:sz w:val="24"/>
                <w:szCs w:val="24"/>
              </w:rPr>
              <w:t xml:space="preserve"> [ng L</w:t>
            </w:r>
            <w:r w:rsidRPr="00046C80">
              <w:rPr>
                <w:rFonts w:ascii="Times New Roman" w:eastAsia="Times New Roman" w:hAnsi="Times New Roman" w:cs="Times New Roman"/>
                <w:color w:val="000000"/>
                <w:sz w:val="24"/>
                <w:szCs w:val="24"/>
                <w:vertAlign w:val="superscript"/>
              </w:rPr>
              <w:t>-1</w:t>
            </w:r>
            <w:r w:rsidRPr="00046C80">
              <w:rPr>
                <w:rFonts w:ascii="Times New Roman" w:eastAsia="Times New Roman" w:hAnsi="Times New Roman" w:cs="Times New Roman"/>
                <w:color w:val="000000"/>
                <w:sz w:val="24"/>
                <w:szCs w:val="24"/>
              </w:rPr>
              <w:t>]</w:t>
            </w:r>
          </w:p>
        </w:tc>
        <w:tc>
          <w:tcPr>
            <w:tcW w:w="1984" w:type="dxa"/>
            <w:tcBorders>
              <w:top w:val="single" w:sz="4" w:space="0" w:color="auto"/>
            </w:tcBorders>
            <w:tcMar>
              <w:top w:w="100" w:type="dxa"/>
              <w:left w:w="100" w:type="dxa"/>
              <w:bottom w:w="100" w:type="dxa"/>
              <w:right w:w="100" w:type="dxa"/>
            </w:tcMar>
          </w:tcPr>
          <w:p w14:paraId="6994D966" w14:textId="508EBC90" w:rsidR="00FD7A17" w:rsidRPr="00046C80" w:rsidRDefault="00FD7A17" w:rsidP="00852E5A">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EHMC</w:t>
            </w:r>
          </w:p>
        </w:tc>
        <w:tc>
          <w:tcPr>
            <w:tcW w:w="1985" w:type="dxa"/>
            <w:tcBorders>
              <w:top w:val="single" w:sz="4" w:space="0" w:color="auto"/>
            </w:tcBorders>
            <w:tcMar>
              <w:top w:w="100" w:type="dxa"/>
              <w:left w:w="100" w:type="dxa"/>
              <w:bottom w:w="100" w:type="dxa"/>
              <w:right w:w="100" w:type="dxa"/>
            </w:tcMar>
          </w:tcPr>
          <w:p w14:paraId="0E650A08" w14:textId="010829BF" w:rsidR="00FD7A17" w:rsidRPr="00046C80" w:rsidRDefault="00FD7A17" w:rsidP="00852E5A">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 – 3.1</w:t>
            </w:r>
          </w:p>
        </w:tc>
        <w:tc>
          <w:tcPr>
            <w:tcW w:w="3260" w:type="dxa"/>
            <w:tcBorders>
              <w:top w:val="single" w:sz="4" w:space="0" w:color="auto"/>
            </w:tcBorders>
            <w:tcMar>
              <w:top w:w="100" w:type="dxa"/>
              <w:left w:w="100" w:type="dxa"/>
              <w:bottom w:w="100" w:type="dxa"/>
              <w:right w:w="100" w:type="dxa"/>
            </w:tcMar>
          </w:tcPr>
          <w:p w14:paraId="553E7E91" w14:textId="1F636940" w:rsidR="00FD7A17" w:rsidRPr="00046C80" w:rsidRDefault="00FD7A17" w:rsidP="00852E5A">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study</w:t>
            </w:r>
          </w:p>
        </w:tc>
      </w:tr>
      <w:tr w:rsidR="006A298B" w:rsidRPr="00EE4F33" w14:paraId="7A5417E4" w14:textId="77777777" w:rsidTr="00DA01D5">
        <w:tc>
          <w:tcPr>
            <w:tcW w:w="2684" w:type="dxa"/>
            <w:tcMar>
              <w:top w:w="100" w:type="dxa"/>
              <w:left w:w="100" w:type="dxa"/>
              <w:bottom w:w="100" w:type="dxa"/>
              <w:right w:w="100" w:type="dxa"/>
            </w:tcMar>
            <w:hideMark/>
          </w:tcPr>
          <w:p w14:paraId="7615AFBB"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Seawater [ng L</w:t>
            </w:r>
            <w:r w:rsidRPr="00046C80">
              <w:rPr>
                <w:rFonts w:ascii="Times New Roman" w:eastAsia="Times New Roman" w:hAnsi="Times New Roman" w:cs="Times New Roman"/>
                <w:color w:val="000000"/>
                <w:sz w:val="24"/>
                <w:szCs w:val="24"/>
                <w:vertAlign w:val="superscript"/>
              </w:rPr>
              <w:t>-1</w:t>
            </w:r>
            <w:r w:rsidRPr="00046C80">
              <w:rPr>
                <w:rFonts w:ascii="Times New Roman" w:eastAsia="Times New Roman" w:hAnsi="Times New Roman" w:cs="Times New Roman"/>
                <w:color w:val="000000"/>
                <w:sz w:val="24"/>
                <w:szCs w:val="24"/>
              </w:rPr>
              <w:t>]</w:t>
            </w:r>
          </w:p>
        </w:tc>
        <w:tc>
          <w:tcPr>
            <w:tcW w:w="1984" w:type="dxa"/>
            <w:tcMar>
              <w:top w:w="100" w:type="dxa"/>
              <w:left w:w="100" w:type="dxa"/>
              <w:bottom w:w="100" w:type="dxa"/>
              <w:right w:w="100" w:type="dxa"/>
            </w:tcMar>
            <w:hideMark/>
          </w:tcPr>
          <w:p w14:paraId="39038F65"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4-MBC</w:t>
            </w:r>
          </w:p>
          <w:p w14:paraId="58A0F646"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BP-1</w:t>
            </w:r>
          </w:p>
          <w:p w14:paraId="3214BA71"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BP-3</w:t>
            </w:r>
          </w:p>
          <w:p w14:paraId="604140D0"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p>
          <w:p w14:paraId="42605B81"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Benzyl Salicylate</w:t>
            </w:r>
          </w:p>
        </w:tc>
        <w:tc>
          <w:tcPr>
            <w:tcW w:w="1985" w:type="dxa"/>
            <w:tcMar>
              <w:top w:w="100" w:type="dxa"/>
              <w:left w:w="100" w:type="dxa"/>
              <w:bottom w:w="100" w:type="dxa"/>
              <w:right w:w="100" w:type="dxa"/>
            </w:tcMar>
            <w:hideMark/>
          </w:tcPr>
          <w:p w14:paraId="05A34BF1"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&lt; 3.2 - 45.1</w:t>
            </w:r>
          </w:p>
          <w:p w14:paraId="64A51B7D"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&lt; 0.8 – 10.3</w:t>
            </w:r>
          </w:p>
          <w:p w14:paraId="2D1C7A6E"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&lt; 2.6 - 88.4</w:t>
            </w:r>
          </w:p>
          <w:p w14:paraId="389196A4"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p>
          <w:p w14:paraId="444CF2C3"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2.2 - 4.5</w:t>
            </w:r>
          </w:p>
        </w:tc>
        <w:tc>
          <w:tcPr>
            <w:tcW w:w="3260" w:type="dxa"/>
            <w:tcMar>
              <w:top w:w="100" w:type="dxa"/>
              <w:left w:w="100" w:type="dxa"/>
              <w:bottom w:w="100" w:type="dxa"/>
              <w:right w:w="100" w:type="dxa"/>
            </w:tcMar>
            <w:hideMark/>
          </w:tcPr>
          <w:p w14:paraId="5709ECDE" w14:textId="77777777" w:rsidR="006A298B" w:rsidRPr="0014491A" w:rsidRDefault="006A298B" w:rsidP="00852E5A">
            <w:pPr>
              <w:spacing w:after="0" w:line="240" w:lineRule="auto"/>
              <w:jc w:val="center"/>
              <w:rPr>
                <w:rFonts w:ascii="Times New Roman" w:eastAsia="Times New Roman" w:hAnsi="Times New Roman" w:cs="Times New Roman"/>
                <w:sz w:val="24"/>
                <w:szCs w:val="24"/>
                <w:lang w:val="it-IT"/>
              </w:rPr>
            </w:pPr>
            <w:proofErr w:type="spellStart"/>
            <w:r w:rsidRPr="0014491A">
              <w:rPr>
                <w:rFonts w:ascii="Times New Roman" w:eastAsia="Times New Roman" w:hAnsi="Times New Roman" w:cs="Times New Roman"/>
                <w:color w:val="000000"/>
                <w:sz w:val="24"/>
                <w:szCs w:val="24"/>
                <w:lang w:val="it-IT"/>
              </w:rPr>
              <w:t>Emnet</w:t>
            </w:r>
            <w:proofErr w:type="spellEnd"/>
            <w:r w:rsidRPr="0014491A">
              <w:rPr>
                <w:rFonts w:ascii="Times New Roman" w:eastAsia="Times New Roman" w:hAnsi="Times New Roman" w:cs="Times New Roman"/>
                <w:color w:val="000000"/>
                <w:sz w:val="24"/>
                <w:szCs w:val="24"/>
                <w:lang w:val="it-IT"/>
              </w:rPr>
              <w:t xml:space="preserve"> et al. 2015</w:t>
            </w:r>
          </w:p>
          <w:p w14:paraId="32D0EC2C" w14:textId="77777777" w:rsidR="006A298B" w:rsidRPr="0014491A" w:rsidRDefault="006A298B" w:rsidP="00852E5A">
            <w:pPr>
              <w:spacing w:after="240" w:line="240" w:lineRule="auto"/>
              <w:jc w:val="center"/>
              <w:rPr>
                <w:rFonts w:ascii="Times New Roman" w:eastAsia="Times New Roman" w:hAnsi="Times New Roman" w:cs="Times New Roman"/>
                <w:sz w:val="24"/>
                <w:szCs w:val="24"/>
                <w:lang w:val="it-IT"/>
              </w:rPr>
            </w:pPr>
          </w:p>
          <w:p w14:paraId="14012090" w14:textId="77777777" w:rsidR="006A298B" w:rsidRPr="0014491A" w:rsidRDefault="006A298B" w:rsidP="00852E5A">
            <w:pPr>
              <w:spacing w:after="0" w:line="240" w:lineRule="auto"/>
              <w:jc w:val="center"/>
              <w:rPr>
                <w:rFonts w:ascii="Times New Roman" w:eastAsia="Times New Roman" w:hAnsi="Times New Roman" w:cs="Times New Roman"/>
                <w:color w:val="000000"/>
                <w:sz w:val="24"/>
                <w:szCs w:val="24"/>
                <w:lang w:val="it-IT"/>
              </w:rPr>
            </w:pPr>
          </w:p>
          <w:p w14:paraId="0A4B0038" w14:textId="77777777" w:rsidR="006A298B" w:rsidRPr="0014491A" w:rsidRDefault="006A298B" w:rsidP="00852E5A">
            <w:pPr>
              <w:spacing w:after="0" w:line="240" w:lineRule="auto"/>
              <w:jc w:val="center"/>
              <w:rPr>
                <w:rFonts w:ascii="Times New Roman" w:eastAsia="Times New Roman" w:hAnsi="Times New Roman" w:cs="Times New Roman"/>
                <w:sz w:val="24"/>
                <w:szCs w:val="24"/>
                <w:lang w:val="it-IT"/>
              </w:rPr>
            </w:pPr>
            <w:r w:rsidRPr="0014491A">
              <w:rPr>
                <w:rFonts w:ascii="Times New Roman" w:eastAsia="Times New Roman" w:hAnsi="Times New Roman" w:cs="Times New Roman"/>
                <w:color w:val="000000"/>
                <w:sz w:val="24"/>
                <w:szCs w:val="24"/>
                <w:lang w:val="it-IT"/>
              </w:rPr>
              <w:t>Vecchiato et al. 2017</w:t>
            </w:r>
          </w:p>
        </w:tc>
      </w:tr>
      <w:tr w:rsidR="006A298B" w:rsidRPr="00145A63" w14:paraId="181D7016" w14:textId="77777777" w:rsidTr="00852E5A">
        <w:tc>
          <w:tcPr>
            <w:tcW w:w="2684" w:type="dxa"/>
            <w:tcMar>
              <w:top w:w="100" w:type="dxa"/>
              <w:left w:w="100" w:type="dxa"/>
              <w:bottom w:w="100" w:type="dxa"/>
              <w:right w:w="100" w:type="dxa"/>
            </w:tcMar>
            <w:hideMark/>
          </w:tcPr>
          <w:p w14:paraId="072584D6"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r w:rsidRPr="00046C80">
              <w:rPr>
                <w:rFonts w:ascii="Times New Roman" w:eastAsia="Times New Roman" w:hAnsi="Times New Roman" w:cs="Times New Roman"/>
                <w:color w:val="000000"/>
                <w:sz w:val="24"/>
                <w:szCs w:val="24"/>
              </w:rPr>
              <w:t>Freshwater</w:t>
            </w:r>
          </w:p>
          <w:p w14:paraId="4565B4B9"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Water [ng L</w:t>
            </w:r>
            <w:r w:rsidRPr="00046C80">
              <w:rPr>
                <w:rFonts w:ascii="Times New Roman" w:eastAsia="Times New Roman" w:hAnsi="Times New Roman" w:cs="Times New Roman"/>
                <w:color w:val="000000"/>
                <w:sz w:val="24"/>
                <w:szCs w:val="24"/>
                <w:vertAlign w:val="superscript"/>
              </w:rPr>
              <w:t>-1</w:t>
            </w:r>
            <w:r w:rsidRPr="00046C80">
              <w:rPr>
                <w:rFonts w:ascii="Times New Roman" w:eastAsia="Times New Roman" w:hAnsi="Times New Roman" w:cs="Times New Roman"/>
                <w:color w:val="000000"/>
                <w:sz w:val="24"/>
                <w:szCs w:val="24"/>
              </w:rPr>
              <w:t>]</w:t>
            </w:r>
          </w:p>
          <w:p w14:paraId="69D2F2C6" w14:textId="77777777" w:rsidR="006A298B" w:rsidRPr="00046C80" w:rsidRDefault="006A298B" w:rsidP="00852E5A">
            <w:pPr>
              <w:spacing w:after="24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sz w:val="24"/>
                <w:szCs w:val="24"/>
              </w:rPr>
              <w:br/>
            </w:r>
            <w:r w:rsidRPr="00046C80">
              <w:rPr>
                <w:rFonts w:ascii="Times New Roman" w:eastAsia="Times New Roman" w:hAnsi="Times New Roman" w:cs="Times New Roman"/>
                <w:sz w:val="24"/>
                <w:szCs w:val="24"/>
              </w:rPr>
              <w:br/>
            </w:r>
            <w:r w:rsidRPr="00046C80">
              <w:rPr>
                <w:rFonts w:ascii="Times New Roman" w:eastAsia="Times New Roman" w:hAnsi="Times New Roman" w:cs="Times New Roman"/>
                <w:sz w:val="24"/>
                <w:szCs w:val="24"/>
              </w:rPr>
              <w:br/>
            </w:r>
            <w:r w:rsidRPr="00046C80">
              <w:rPr>
                <w:rFonts w:ascii="Times New Roman" w:eastAsia="Times New Roman" w:hAnsi="Times New Roman" w:cs="Times New Roman"/>
                <w:sz w:val="24"/>
                <w:szCs w:val="24"/>
              </w:rPr>
              <w:br/>
            </w:r>
          </w:p>
          <w:p w14:paraId="5CB88067"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p>
          <w:p w14:paraId="2D22CD88"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Suspended Particulate Matter</w:t>
            </w:r>
          </w:p>
          <w:p w14:paraId="2B339347"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[ng g</w:t>
            </w:r>
            <w:r w:rsidRPr="00046C80">
              <w:rPr>
                <w:rFonts w:ascii="Times New Roman" w:eastAsia="Times New Roman" w:hAnsi="Times New Roman" w:cs="Times New Roman"/>
                <w:color w:val="000000"/>
                <w:sz w:val="24"/>
                <w:szCs w:val="24"/>
                <w:vertAlign w:val="superscript"/>
              </w:rPr>
              <w:t>-1</w:t>
            </w:r>
            <w:r w:rsidRPr="00046C80">
              <w:rPr>
                <w:rFonts w:ascii="Times New Roman" w:eastAsia="Times New Roman" w:hAnsi="Times New Roman" w:cs="Times New Roman"/>
                <w:color w:val="000000"/>
                <w:sz w:val="24"/>
                <w:szCs w:val="24"/>
              </w:rPr>
              <w:t xml:space="preserve"> </w:t>
            </w:r>
            <w:proofErr w:type="spellStart"/>
            <w:r w:rsidRPr="00046C80">
              <w:rPr>
                <w:rFonts w:ascii="Times New Roman" w:eastAsia="Times New Roman" w:hAnsi="Times New Roman" w:cs="Times New Roman"/>
                <w:color w:val="000000"/>
                <w:sz w:val="24"/>
                <w:szCs w:val="24"/>
              </w:rPr>
              <w:t>dw</w:t>
            </w:r>
            <w:proofErr w:type="spellEnd"/>
            <w:r w:rsidRPr="00046C80">
              <w:rPr>
                <w:rFonts w:ascii="Times New Roman" w:eastAsia="Times New Roman" w:hAnsi="Times New Roman" w:cs="Times New Roman"/>
                <w:color w:val="000000"/>
                <w:sz w:val="24"/>
                <w:szCs w:val="24"/>
              </w:rPr>
              <w:t>]</w:t>
            </w:r>
          </w:p>
          <w:p w14:paraId="74A5DF76"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p>
        </w:tc>
        <w:tc>
          <w:tcPr>
            <w:tcW w:w="1984" w:type="dxa"/>
            <w:tcMar>
              <w:top w:w="100" w:type="dxa"/>
              <w:left w:w="100" w:type="dxa"/>
              <w:bottom w:w="100" w:type="dxa"/>
              <w:right w:w="100" w:type="dxa"/>
            </w:tcMar>
            <w:hideMark/>
          </w:tcPr>
          <w:p w14:paraId="1A7A9573"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p>
          <w:p w14:paraId="6BC41FB0"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4-MBC</w:t>
            </w:r>
          </w:p>
          <w:p w14:paraId="5E0084A4"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BP-1</w:t>
            </w:r>
          </w:p>
          <w:p w14:paraId="54ED8262"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BP-3</w:t>
            </w:r>
          </w:p>
          <w:p w14:paraId="36AFDEA4"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4HB</w:t>
            </w:r>
          </w:p>
          <w:p w14:paraId="13FD08C8"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4DHB</w:t>
            </w:r>
          </w:p>
          <w:p w14:paraId="6D4693E8"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BZT</w:t>
            </w:r>
          </w:p>
          <w:p w14:paraId="47A50E69"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proofErr w:type="spellStart"/>
            <w:r w:rsidRPr="00046C80">
              <w:rPr>
                <w:rFonts w:ascii="Times New Roman" w:eastAsia="Times New Roman" w:hAnsi="Times New Roman" w:cs="Times New Roman"/>
                <w:color w:val="000000"/>
                <w:sz w:val="24"/>
                <w:szCs w:val="24"/>
              </w:rPr>
              <w:t>MeBZT</w:t>
            </w:r>
            <w:proofErr w:type="spellEnd"/>
          </w:p>
          <w:p w14:paraId="2226B7F9"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p>
          <w:p w14:paraId="426C9F87"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4HB</w:t>
            </w:r>
          </w:p>
          <w:p w14:paraId="5C30D03D"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EHMC</w:t>
            </w:r>
          </w:p>
          <w:p w14:paraId="57B197F7"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ODPABA</w:t>
            </w:r>
          </w:p>
          <w:p w14:paraId="531FB678"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OC</w:t>
            </w:r>
          </w:p>
        </w:tc>
        <w:tc>
          <w:tcPr>
            <w:tcW w:w="1985" w:type="dxa"/>
            <w:tcMar>
              <w:top w:w="100" w:type="dxa"/>
              <w:left w:w="100" w:type="dxa"/>
              <w:bottom w:w="100" w:type="dxa"/>
              <w:right w:w="100" w:type="dxa"/>
            </w:tcMar>
            <w:hideMark/>
          </w:tcPr>
          <w:p w14:paraId="02A80E56"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p>
          <w:p w14:paraId="043AAC92"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18 – 45</w:t>
            </w:r>
          </w:p>
          <w:p w14:paraId="59FB20C6"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3.5 - 390</w:t>
            </w:r>
          </w:p>
          <w:p w14:paraId="1225448F"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2.5 - 59</w:t>
            </w:r>
          </w:p>
          <w:p w14:paraId="3AC3D713"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6.1 - 53</w:t>
            </w:r>
          </w:p>
          <w:p w14:paraId="061EC56E"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LOQ - 5.2</w:t>
            </w:r>
          </w:p>
          <w:p w14:paraId="6588B20C"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4.9 - 34</w:t>
            </w:r>
          </w:p>
          <w:p w14:paraId="48237331"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5.6 - 95</w:t>
            </w:r>
          </w:p>
          <w:p w14:paraId="1306E9CF"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p>
          <w:p w14:paraId="0B4456DC"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9.7 - 100</w:t>
            </w:r>
          </w:p>
          <w:p w14:paraId="57C4F349"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69 - 1900</w:t>
            </w:r>
          </w:p>
          <w:p w14:paraId="39B62EA8"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9.2 - 35</w:t>
            </w:r>
          </w:p>
          <w:p w14:paraId="1D28B588"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210 - 1700</w:t>
            </w:r>
          </w:p>
        </w:tc>
        <w:tc>
          <w:tcPr>
            <w:tcW w:w="3260" w:type="dxa"/>
            <w:tcMar>
              <w:top w:w="100" w:type="dxa"/>
              <w:left w:w="100" w:type="dxa"/>
              <w:bottom w:w="100" w:type="dxa"/>
              <w:right w:w="100" w:type="dxa"/>
            </w:tcMar>
            <w:hideMark/>
          </w:tcPr>
          <w:p w14:paraId="3DC8D55C"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p>
          <w:p w14:paraId="5CADF1AD" w14:textId="1111E9E3"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Dom</w:t>
            </w:r>
            <w:r w:rsidR="00441921">
              <w:rPr>
                <w:rFonts w:ascii="Times New Roman" w:eastAsia="Times New Roman" w:hAnsi="Times New Roman" w:cs="Times New Roman"/>
                <w:color w:val="000000"/>
                <w:sz w:val="24"/>
                <w:szCs w:val="24"/>
              </w:rPr>
              <w:t>í</w:t>
            </w:r>
            <w:r w:rsidRPr="00046C80">
              <w:rPr>
                <w:rFonts w:ascii="Times New Roman" w:eastAsia="Times New Roman" w:hAnsi="Times New Roman" w:cs="Times New Roman"/>
                <w:color w:val="000000"/>
                <w:sz w:val="24"/>
                <w:szCs w:val="24"/>
              </w:rPr>
              <w:t>nguez-</w:t>
            </w:r>
            <w:proofErr w:type="spellStart"/>
            <w:r w:rsidRPr="00046C80">
              <w:rPr>
                <w:rFonts w:ascii="Times New Roman" w:eastAsia="Times New Roman" w:hAnsi="Times New Roman" w:cs="Times New Roman"/>
                <w:color w:val="000000"/>
                <w:sz w:val="24"/>
                <w:szCs w:val="24"/>
              </w:rPr>
              <w:t>Morueco</w:t>
            </w:r>
            <w:proofErr w:type="spellEnd"/>
            <w:r w:rsidRPr="00046C80">
              <w:rPr>
                <w:rFonts w:ascii="Times New Roman" w:eastAsia="Times New Roman" w:hAnsi="Times New Roman" w:cs="Times New Roman"/>
                <w:color w:val="000000"/>
                <w:sz w:val="24"/>
                <w:szCs w:val="24"/>
              </w:rPr>
              <w:t xml:space="preserve"> et al. 202</w:t>
            </w:r>
            <w:r w:rsidR="00441921">
              <w:rPr>
                <w:rFonts w:ascii="Times New Roman" w:eastAsia="Times New Roman" w:hAnsi="Times New Roman" w:cs="Times New Roman"/>
                <w:color w:val="000000"/>
                <w:sz w:val="24"/>
                <w:szCs w:val="24"/>
              </w:rPr>
              <w:t>1</w:t>
            </w:r>
          </w:p>
        </w:tc>
      </w:tr>
      <w:tr w:rsidR="006A298B" w:rsidRPr="00145A63" w14:paraId="09605CB4" w14:textId="77777777" w:rsidTr="00852E5A">
        <w:tc>
          <w:tcPr>
            <w:tcW w:w="2684" w:type="dxa"/>
            <w:tcMar>
              <w:top w:w="100" w:type="dxa"/>
              <w:left w:w="100" w:type="dxa"/>
              <w:bottom w:w="100" w:type="dxa"/>
              <w:right w:w="100" w:type="dxa"/>
            </w:tcMar>
            <w:hideMark/>
          </w:tcPr>
          <w:p w14:paraId="3C61C798"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lastRenderedPageBreak/>
              <w:t>Sea ice [ng L</w:t>
            </w:r>
            <w:r w:rsidRPr="00046C80">
              <w:rPr>
                <w:rFonts w:ascii="Times New Roman" w:eastAsia="Times New Roman" w:hAnsi="Times New Roman" w:cs="Times New Roman"/>
                <w:color w:val="000000"/>
                <w:sz w:val="24"/>
                <w:szCs w:val="24"/>
                <w:vertAlign w:val="superscript"/>
              </w:rPr>
              <w:t>-1</w:t>
            </w:r>
            <w:r w:rsidRPr="00046C80">
              <w:rPr>
                <w:rFonts w:ascii="Times New Roman" w:eastAsia="Times New Roman" w:hAnsi="Times New Roman" w:cs="Times New Roman"/>
                <w:color w:val="000000"/>
                <w:sz w:val="24"/>
                <w:szCs w:val="24"/>
              </w:rPr>
              <w:t>]</w:t>
            </w:r>
          </w:p>
        </w:tc>
        <w:tc>
          <w:tcPr>
            <w:tcW w:w="1984" w:type="dxa"/>
            <w:tcMar>
              <w:top w:w="100" w:type="dxa"/>
              <w:left w:w="100" w:type="dxa"/>
              <w:bottom w:w="100" w:type="dxa"/>
              <w:right w:w="100" w:type="dxa"/>
            </w:tcMar>
            <w:hideMark/>
          </w:tcPr>
          <w:p w14:paraId="0E32F6A0"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4-MBC</w:t>
            </w:r>
          </w:p>
          <w:p w14:paraId="542C1AE3"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BP-3</w:t>
            </w:r>
          </w:p>
        </w:tc>
        <w:tc>
          <w:tcPr>
            <w:tcW w:w="1985" w:type="dxa"/>
            <w:tcMar>
              <w:top w:w="100" w:type="dxa"/>
              <w:left w:w="100" w:type="dxa"/>
              <w:bottom w:w="100" w:type="dxa"/>
              <w:right w:w="100" w:type="dxa"/>
            </w:tcMar>
            <w:hideMark/>
          </w:tcPr>
          <w:p w14:paraId="3B104A3C"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&lt; 3.2 - 4.3</w:t>
            </w:r>
          </w:p>
          <w:p w14:paraId="7AFCBC7B"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&lt; 2.6 – 3.8</w:t>
            </w:r>
          </w:p>
        </w:tc>
        <w:tc>
          <w:tcPr>
            <w:tcW w:w="3260" w:type="dxa"/>
            <w:tcMar>
              <w:top w:w="100" w:type="dxa"/>
              <w:left w:w="100" w:type="dxa"/>
              <w:bottom w:w="100" w:type="dxa"/>
              <w:right w:w="100" w:type="dxa"/>
            </w:tcMar>
            <w:hideMark/>
          </w:tcPr>
          <w:p w14:paraId="4CD7AEF9"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proofErr w:type="spellStart"/>
            <w:r w:rsidRPr="00046C80">
              <w:rPr>
                <w:rFonts w:ascii="Times New Roman" w:eastAsia="Times New Roman" w:hAnsi="Times New Roman" w:cs="Times New Roman"/>
                <w:color w:val="000000"/>
                <w:sz w:val="24"/>
                <w:szCs w:val="24"/>
              </w:rPr>
              <w:t>Emnet</w:t>
            </w:r>
            <w:proofErr w:type="spellEnd"/>
            <w:r w:rsidRPr="00046C80">
              <w:rPr>
                <w:rFonts w:ascii="Times New Roman" w:eastAsia="Times New Roman" w:hAnsi="Times New Roman" w:cs="Times New Roman"/>
                <w:color w:val="000000"/>
                <w:sz w:val="24"/>
                <w:szCs w:val="24"/>
              </w:rPr>
              <w:t xml:space="preserve"> et al. 2015</w:t>
            </w:r>
          </w:p>
        </w:tc>
      </w:tr>
      <w:tr w:rsidR="006A298B" w:rsidRPr="00EE4F33" w14:paraId="7453BCD9" w14:textId="77777777" w:rsidTr="0014491A">
        <w:tc>
          <w:tcPr>
            <w:tcW w:w="2684" w:type="dxa"/>
            <w:tcMar>
              <w:top w:w="100" w:type="dxa"/>
              <w:left w:w="100" w:type="dxa"/>
              <w:bottom w:w="100" w:type="dxa"/>
              <w:right w:w="100" w:type="dxa"/>
            </w:tcMar>
            <w:hideMark/>
          </w:tcPr>
          <w:p w14:paraId="50D11B7D"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r w:rsidRPr="00046C80">
              <w:rPr>
                <w:rFonts w:ascii="Times New Roman" w:eastAsia="Times New Roman" w:hAnsi="Times New Roman" w:cs="Times New Roman"/>
                <w:color w:val="000000"/>
                <w:sz w:val="24"/>
                <w:szCs w:val="24"/>
              </w:rPr>
              <w:t xml:space="preserve">Wastewater </w:t>
            </w:r>
          </w:p>
          <w:p w14:paraId="011869CC"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r w:rsidRPr="00046C80">
              <w:rPr>
                <w:rFonts w:ascii="Times New Roman" w:eastAsia="Times New Roman" w:hAnsi="Times New Roman" w:cs="Times New Roman"/>
                <w:color w:val="000000"/>
                <w:sz w:val="24"/>
                <w:szCs w:val="24"/>
              </w:rPr>
              <w:t>Water [ng L</w:t>
            </w:r>
            <w:r w:rsidRPr="00046C80">
              <w:rPr>
                <w:rFonts w:ascii="Times New Roman" w:eastAsia="Times New Roman" w:hAnsi="Times New Roman" w:cs="Times New Roman"/>
                <w:color w:val="000000"/>
                <w:sz w:val="24"/>
                <w:szCs w:val="24"/>
                <w:vertAlign w:val="superscript"/>
              </w:rPr>
              <w:t>-1</w:t>
            </w:r>
            <w:r w:rsidRPr="00046C80">
              <w:rPr>
                <w:rFonts w:ascii="Times New Roman" w:eastAsia="Times New Roman" w:hAnsi="Times New Roman" w:cs="Times New Roman"/>
                <w:color w:val="000000"/>
                <w:sz w:val="24"/>
                <w:szCs w:val="24"/>
              </w:rPr>
              <w:t>]</w:t>
            </w:r>
          </w:p>
          <w:p w14:paraId="209F735B"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p>
          <w:p w14:paraId="20191F09"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p>
          <w:p w14:paraId="7EC86B5A"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p>
          <w:p w14:paraId="69CB6466"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p>
          <w:p w14:paraId="3AD799A9"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p>
          <w:p w14:paraId="7C2EC4DA"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p>
          <w:p w14:paraId="2942E4F2"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p>
          <w:p w14:paraId="0655D43C"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p>
          <w:p w14:paraId="25BBBDBE"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p>
          <w:p w14:paraId="2E6AE17D" w14:textId="7C69E51C"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S</w:t>
            </w:r>
            <w:r w:rsidR="00AD7D7F">
              <w:rPr>
                <w:rFonts w:ascii="Times New Roman" w:eastAsia="Times New Roman" w:hAnsi="Times New Roman" w:cs="Times New Roman"/>
                <w:color w:val="000000"/>
                <w:sz w:val="24"/>
                <w:szCs w:val="24"/>
              </w:rPr>
              <w:t xml:space="preserve">uspended </w:t>
            </w:r>
            <w:r w:rsidRPr="00046C80">
              <w:rPr>
                <w:rFonts w:ascii="Times New Roman" w:eastAsia="Times New Roman" w:hAnsi="Times New Roman" w:cs="Times New Roman"/>
                <w:color w:val="000000"/>
                <w:sz w:val="24"/>
                <w:szCs w:val="24"/>
              </w:rPr>
              <w:t>P</w:t>
            </w:r>
            <w:r w:rsidR="00AD7D7F">
              <w:rPr>
                <w:rFonts w:ascii="Times New Roman" w:eastAsia="Times New Roman" w:hAnsi="Times New Roman" w:cs="Times New Roman"/>
                <w:color w:val="000000"/>
                <w:sz w:val="24"/>
                <w:szCs w:val="24"/>
              </w:rPr>
              <w:t xml:space="preserve">articulate </w:t>
            </w:r>
            <w:r w:rsidRPr="00046C80">
              <w:rPr>
                <w:rFonts w:ascii="Times New Roman" w:eastAsia="Times New Roman" w:hAnsi="Times New Roman" w:cs="Times New Roman"/>
                <w:color w:val="000000"/>
                <w:sz w:val="24"/>
                <w:szCs w:val="24"/>
              </w:rPr>
              <w:t>M</w:t>
            </w:r>
            <w:r w:rsidR="00AD7D7F">
              <w:rPr>
                <w:rFonts w:ascii="Times New Roman" w:eastAsia="Times New Roman" w:hAnsi="Times New Roman" w:cs="Times New Roman"/>
                <w:color w:val="000000"/>
                <w:sz w:val="24"/>
                <w:szCs w:val="24"/>
              </w:rPr>
              <w:t>atter</w:t>
            </w:r>
            <w:r w:rsidRPr="00046C80">
              <w:rPr>
                <w:rFonts w:ascii="Times New Roman" w:eastAsia="Times New Roman" w:hAnsi="Times New Roman" w:cs="Times New Roman"/>
                <w:color w:val="000000"/>
                <w:sz w:val="24"/>
                <w:szCs w:val="24"/>
              </w:rPr>
              <w:t xml:space="preserve"> [ng g</w:t>
            </w:r>
            <w:r w:rsidRPr="00046C80">
              <w:rPr>
                <w:rFonts w:ascii="Times New Roman" w:eastAsia="Times New Roman" w:hAnsi="Times New Roman" w:cs="Times New Roman"/>
                <w:color w:val="000000"/>
                <w:sz w:val="24"/>
                <w:szCs w:val="24"/>
                <w:vertAlign w:val="superscript"/>
              </w:rPr>
              <w:t>-1</w:t>
            </w:r>
            <w:r w:rsidRPr="00046C80">
              <w:rPr>
                <w:rFonts w:ascii="Times New Roman" w:eastAsia="Times New Roman" w:hAnsi="Times New Roman" w:cs="Times New Roman"/>
                <w:color w:val="000000"/>
                <w:sz w:val="24"/>
                <w:szCs w:val="24"/>
              </w:rPr>
              <w:t xml:space="preserve"> </w:t>
            </w:r>
            <w:proofErr w:type="spellStart"/>
            <w:r w:rsidRPr="00046C80">
              <w:rPr>
                <w:rFonts w:ascii="Times New Roman" w:eastAsia="Times New Roman" w:hAnsi="Times New Roman" w:cs="Times New Roman"/>
                <w:color w:val="000000"/>
                <w:sz w:val="24"/>
                <w:szCs w:val="24"/>
              </w:rPr>
              <w:t>dw</w:t>
            </w:r>
            <w:proofErr w:type="spellEnd"/>
            <w:r w:rsidRPr="00046C80">
              <w:rPr>
                <w:rFonts w:ascii="Times New Roman" w:eastAsia="Times New Roman" w:hAnsi="Times New Roman" w:cs="Times New Roman"/>
                <w:color w:val="000000"/>
                <w:sz w:val="24"/>
                <w:szCs w:val="24"/>
              </w:rPr>
              <w:t>]</w:t>
            </w:r>
          </w:p>
          <w:p w14:paraId="55594C7B"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p>
          <w:p w14:paraId="5DD7DCE1" w14:textId="77777777" w:rsidR="006A298B" w:rsidRPr="00046C80" w:rsidRDefault="006A298B" w:rsidP="00852E5A">
            <w:pPr>
              <w:spacing w:after="0" w:line="240" w:lineRule="auto"/>
              <w:rPr>
                <w:rFonts w:ascii="Times New Roman" w:eastAsia="Times New Roman" w:hAnsi="Times New Roman" w:cs="Times New Roman"/>
                <w:sz w:val="24"/>
                <w:szCs w:val="24"/>
              </w:rPr>
            </w:pPr>
          </w:p>
          <w:p w14:paraId="3D41878B"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p>
        </w:tc>
        <w:tc>
          <w:tcPr>
            <w:tcW w:w="1984" w:type="dxa"/>
            <w:tcMar>
              <w:top w:w="100" w:type="dxa"/>
              <w:left w:w="100" w:type="dxa"/>
              <w:bottom w:w="100" w:type="dxa"/>
              <w:right w:w="100" w:type="dxa"/>
            </w:tcMar>
            <w:hideMark/>
          </w:tcPr>
          <w:p w14:paraId="15F9B73D"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p>
          <w:p w14:paraId="27F76D89"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4-MBC</w:t>
            </w:r>
          </w:p>
          <w:p w14:paraId="5A31FA75"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BP-1</w:t>
            </w:r>
          </w:p>
          <w:p w14:paraId="4A62449A"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r w:rsidRPr="00046C80">
              <w:rPr>
                <w:rFonts w:ascii="Times New Roman" w:eastAsia="Times New Roman" w:hAnsi="Times New Roman" w:cs="Times New Roman"/>
                <w:color w:val="000000"/>
                <w:sz w:val="24"/>
                <w:szCs w:val="24"/>
              </w:rPr>
              <w:t>BP-3</w:t>
            </w:r>
          </w:p>
          <w:p w14:paraId="36EEA994"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p>
          <w:p w14:paraId="7CEC603D"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sz w:val="24"/>
                <w:szCs w:val="24"/>
              </w:rPr>
              <w:t>BP-1</w:t>
            </w:r>
          </w:p>
          <w:p w14:paraId="1334FD53"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sz w:val="24"/>
                <w:szCs w:val="24"/>
              </w:rPr>
              <w:t>BP-3</w:t>
            </w:r>
          </w:p>
          <w:p w14:paraId="72E701B0"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sz w:val="24"/>
                <w:szCs w:val="24"/>
              </w:rPr>
              <w:t>4HB</w:t>
            </w:r>
          </w:p>
          <w:p w14:paraId="2338A10B"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sz w:val="24"/>
                <w:szCs w:val="24"/>
              </w:rPr>
              <w:t>BZT</w:t>
            </w:r>
          </w:p>
          <w:p w14:paraId="4E86F03F"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proofErr w:type="spellStart"/>
            <w:r w:rsidRPr="00046C80">
              <w:rPr>
                <w:rFonts w:ascii="Times New Roman" w:eastAsia="Times New Roman" w:hAnsi="Times New Roman" w:cs="Times New Roman"/>
                <w:sz w:val="24"/>
                <w:szCs w:val="24"/>
              </w:rPr>
              <w:t>MeBZT</w:t>
            </w:r>
            <w:proofErr w:type="spellEnd"/>
          </w:p>
          <w:p w14:paraId="29BB8524"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p>
          <w:p w14:paraId="19EF9145"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sz w:val="24"/>
                <w:szCs w:val="24"/>
              </w:rPr>
              <w:t>4HB</w:t>
            </w:r>
          </w:p>
          <w:p w14:paraId="16A4B9B8"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sz w:val="24"/>
                <w:szCs w:val="24"/>
              </w:rPr>
              <w:t>EHMC</w:t>
            </w:r>
          </w:p>
          <w:p w14:paraId="48757D6B"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sz w:val="24"/>
                <w:szCs w:val="24"/>
              </w:rPr>
              <w:t>OC</w:t>
            </w:r>
          </w:p>
        </w:tc>
        <w:tc>
          <w:tcPr>
            <w:tcW w:w="1985" w:type="dxa"/>
            <w:tcMar>
              <w:top w:w="100" w:type="dxa"/>
              <w:left w:w="100" w:type="dxa"/>
              <w:bottom w:w="100" w:type="dxa"/>
              <w:right w:w="100" w:type="dxa"/>
            </w:tcMar>
            <w:hideMark/>
          </w:tcPr>
          <w:p w14:paraId="5E5946D7"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p>
          <w:p w14:paraId="21FF7F33"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173 - 11,700</w:t>
            </w:r>
          </w:p>
          <w:p w14:paraId="61BF79E1"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7.3 - 6830</w:t>
            </w:r>
          </w:p>
          <w:p w14:paraId="09B388FB" w14:textId="77777777" w:rsidR="006A298B" w:rsidRPr="00046C80" w:rsidRDefault="006A298B" w:rsidP="00852E5A">
            <w:pPr>
              <w:spacing w:after="0" w:line="240" w:lineRule="auto"/>
              <w:jc w:val="center"/>
              <w:rPr>
                <w:rFonts w:ascii="Times New Roman" w:eastAsia="Times New Roman" w:hAnsi="Times New Roman" w:cs="Times New Roman"/>
                <w:color w:val="000000"/>
                <w:sz w:val="24"/>
                <w:szCs w:val="24"/>
              </w:rPr>
            </w:pPr>
            <w:r w:rsidRPr="00046C80">
              <w:rPr>
                <w:rFonts w:ascii="Times New Roman" w:eastAsia="Times New Roman" w:hAnsi="Times New Roman" w:cs="Times New Roman"/>
                <w:color w:val="000000"/>
                <w:sz w:val="24"/>
                <w:szCs w:val="24"/>
              </w:rPr>
              <w:t>16.7 – 195</w:t>
            </w:r>
          </w:p>
          <w:p w14:paraId="479AA94D"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p>
          <w:p w14:paraId="135DB795"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sz w:val="24"/>
                <w:szCs w:val="24"/>
              </w:rPr>
              <w:t>1400</w:t>
            </w:r>
          </w:p>
          <w:p w14:paraId="0D5882FC"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sz w:val="24"/>
                <w:szCs w:val="24"/>
              </w:rPr>
              <w:t>15</w:t>
            </w:r>
          </w:p>
          <w:p w14:paraId="17A5A556"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sz w:val="24"/>
                <w:szCs w:val="24"/>
              </w:rPr>
              <w:t>21</w:t>
            </w:r>
          </w:p>
          <w:p w14:paraId="48C49907"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sz w:val="24"/>
                <w:szCs w:val="24"/>
              </w:rPr>
              <w:t>57</w:t>
            </w:r>
          </w:p>
          <w:p w14:paraId="392F71A4"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sz w:val="24"/>
                <w:szCs w:val="24"/>
              </w:rPr>
              <w:t>920</w:t>
            </w:r>
          </w:p>
          <w:p w14:paraId="6C278115"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p>
          <w:p w14:paraId="42900108"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sz w:val="24"/>
                <w:szCs w:val="24"/>
              </w:rPr>
              <w:t>15</w:t>
            </w:r>
          </w:p>
          <w:p w14:paraId="29847A3B"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sz w:val="24"/>
                <w:szCs w:val="24"/>
              </w:rPr>
              <w:t>7300</w:t>
            </w:r>
          </w:p>
          <w:p w14:paraId="5A51F99B"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sz w:val="24"/>
                <w:szCs w:val="24"/>
              </w:rPr>
              <w:t>33000</w:t>
            </w:r>
          </w:p>
        </w:tc>
        <w:tc>
          <w:tcPr>
            <w:tcW w:w="3260" w:type="dxa"/>
            <w:tcMar>
              <w:top w:w="100" w:type="dxa"/>
              <w:left w:w="100" w:type="dxa"/>
              <w:bottom w:w="100" w:type="dxa"/>
              <w:right w:w="100" w:type="dxa"/>
            </w:tcMar>
            <w:hideMark/>
          </w:tcPr>
          <w:p w14:paraId="15E196CA" w14:textId="77777777" w:rsidR="006A298B" w:rsidRPr="0014491A" w:rsidRDefault="006A298B" w:rsidP="00852E5A">
            <w:pPr>
              <w:spacing w:after="0" w:line="240" w:lineRule="auto"/>
              <w:jc w:val="center"/>
              <w:rPr>
                <w:rFonts w:ascii="Times New Roman" w:eastAsia="Times New Roman" w:hAnsi="Times New Roman" w:cs="Times New Roman"/>
                <w:color w:val="000000"/>
                <w:sz w:val="24"/>
                <w:szCs w:val="24"/>
                <w:lang w:val="it-IT"/>
              </w:rPr>
            </w:pPr>
          </w:p>
          <w:p w14:paraId="0A6270F1" w14:textId="77777777" w:rsidR="006A298B" w:rsidRPr="0014491A" w:rsidRDefault="006A298B" w:rsidP="00852E5A">
            <w:pPr>
              <w:spacing w:after="0" w:line="240" w:lineRule="auto"/>
              <w:jc w:val="center"/>
              <w:rPr>
                <w:rFonts w:ascii="Times New Roman" w:eastAsia="Times New Roman" w:hAnsi="Times New Roman" w:cs="Times New Roman"/>
                <w:color w:val="000000"/>
                <w:sz w:val="24"/>
                <w:szCs w:val="24"/>
                <w:lang w:val="it-IT"/>
              </w:rPr>
            </w:pPr>
            <w:proofErr w:type="spellStart"/>
            <w:r w:rsidRPr="0014491A">
              <w:rPr>
                <w:rFonts w:ascii="Times New Roman" w:eastAsia="Times New Roman" w:hAnsi="Times New Roman" w:cs="Times New Roman"/>
                <w:color w:val="000000"/>
                <w:sz w:val="24"/>
                <w:szCs w:val="24"/>
                <w:lang w:val="it-IT"/>
              </w:rPr>
              <w:t>Emnet</w:t>
            </w:r>
            <w:proofErr w:type="spellEnd"/>
            <w:r w:rsidRPr="0014491A">
              <w:rPr>
                <w:rFonts w:ascii="Times New Roman" w:eastAsia="Times New Roman" w:hAnsi="Times New Roman" w:cs="Times New Roman"/>
                <w:color w:val="000000"/>
                <w:sz w:val="24"/>
                <w:szCs w:val="24"/>
                <w:lang w:val="it-IT"/>
              </w:rPr>
              <w:t xml:space="preserve"> et al. 2015</w:t>
            </w:r>
          </w:p>
          <w:p w14:paraId="7D9391CF" w14:textId="77777777" w:rsidR="006A298B" w:rsidRPr="0014491A" w:rsidRDefault="006A298B" w:rsidP="00852E5A">
            <w:pPr>
              <w:spacing w:after="0" w:line="240" w:lineRule="auto"/>
              <w:jc w:val="center"/>
              <w:rPr>
                <w:rFonts w:ascii="Times New Roman" w:eastAsia="Times New Roman" w:hAnsi="Times New Roman" w:cs="Times New Roman"/>
                <w:sz w:val="24"/>
                <w:szCs w:val="24"/>
                <w:lang w:val="it-IT"/>
              </w:rPr>
            </w:pPr>
          </w:p>
          <w:p w14:paraId="214D9E3F" w14:textId="77777777" w:rsidR="006A298B" w:rsidRPr="0014491A" w:rsidRDefault="006A298B" w:rsidP="00852E5A">
            <w:pPr>
              <w:spacing w:after="0" w:line="240" w:lineRule="auto"/>
              <w:jc w:val="center"/>
              <w:rPr>
                <w:rFonts w:ascii="Times New Roman" w:eastAsia="Times New Roman" w:hAnsi="Times New Roman" w:cs="Times New Roman"/>
                <w:sz w:val="24"/>
                <w:szCs w:val="24"/>
                <w:lang w:val="it-IT"/>
              </w:rPr>
            </w:pPr>
          </w:p>
          <w:p w14:paraId="39BCAE07" w14:textId="77777777" w:rsidR="006A298B" w:rsidRPr="0014491A" w:rsidRDefault="006A298B" w:rsidP="00852E5A">
            <w:pPr>
              <w:spacing w:after="0" w:line="240" w:lineRule="auto"/>
              <w:jc w:val="center"/>
              <w:rPr>
                <w:rFonts w:ascii="Times New Roman" w:eastAsia="Times New Roman" w:hAnsi="Times New Roman" w:cs="Times New Roman"/>
                <w:sz w:val="24"/>
                <w:szCs w:val="24"/>
                <w:lang w:val="it-IT"/>
              </w:rPr>
            </w:pPr>
          </w:p>
          <w:p w14:paraId="166D25E7" w14:textId="0E44408E" w:rsidR="006A298B" w:rsidRPr="0014491A" w:rsidRDefault="006A298B" w:rsidP="00852E5A">
            <w:pPr>
              <w:spacing w:after="0" w:line="240" w:lineRule="auto"/>
              <w:jc w:val="center"/>
              <w:rPr>
                <w:rFonts w:ascii="Times New Roman" w:eastAsia="Times New Roman" w:hAnsi="Times New Roman" w:cs="Times New Roman"/>
                <w:sz w:val="24"/>
                <w:szCs w:val="24"/>
                <w:lang w:val="it-IT"/>
              </w:rPr>
            </w:pPr>
            <w:proofErr w:type="spellStart"/>
            <w:r w:rsidRPr="0014491A">
              <w:rPr>
                <w:rFonts w:ascii="Times New Roman" w:eastAsia="Times New Roman" w:hAnsi="Times New Roman" w:cs="Times New Roman"/>
                <w:sz w:val="24"/>
                <w:szCs w:val="24"/>
                <w:lang w:val="it-IT"/>
              </w:rPr>
              <w:t>Dom</w:t>
            </w:r>
            <w:r w:rsidR="00CF1210">
              <w:rPr>
                <w:rFonts w:ascii="Times New Roman" w:eastAsia="Times New Roman" w:hAnsi="Times New Roman" w:cs="Times New Roman"/>
                <w:sz w:val="24"/>
                <w:szCs w:val="24"/>
                <w:lang w:val="it-IT"/>
              </w:rPr>
              <w:t>í</w:t>
            </w:r>
            <w:r w:rsidRPr="0014491A">
              <w:rPr>
                <w:rFonts w:ascii="Times New Roman" w:eastAsia="Times New Roman" w:hAnsi="Times New Roman" w:cs="Times New Roman"/>
                <w:sz w:val="24"/>
                <w:szCs w:val="24"/>
                <w:lang w:val="it-IT"/>
              </w:rPr>
              <w:t>nguez-Morueco</w:t>
            </w:r>
            <w:proofErr w:type="spellEnd"/>
            <w:r w:rsidRPr="0014491A">
              <w:rPr>
                <w:rFonts w:ascii="Times New Roman" w:eastAsia="Times New Roman" w:hAnsi="Times New Roman" w:cs="Times New Roman"/>
                <w:sz w:val="24"/>
                <w:szCs w:val="24"/>
                <w:lang w:val="it-IT"/>
              </w:rPr>
              <w:t xml:space="preserve"> et al. 202</w:t>
            </w:r>
            <w:r w:rsidR="00441921">
              <w:rPr>
                <w:rFonts w:ascii="Times New Roman" w:eastAsia="Times New Roman" w:hAnsi="Times New Roman" w:cs="Times New Roman"/>
                <w:sz w:val="24"/>
                <w:szCs w:val="24"/>
                <w:lang w:val="it-IT"/>
              </w:rPr>
              <w:t>1</w:t>
            </w:r>
          </w:p>
        </w:tc>
      </w:tr>
      <w:tr w:rsidR="006A298B" w:rsidRPr="00145A63" w14:paraId="69BFC16E" w14:textId="77777777" w:rsidTr="0014491A">
        <w:tc>
          <w:tcPr>
            <w:tcW w:w="2684" w:type="dxa"/>
            <w:tcBorders>
              <w:bottom w:val="single" w:sz="4" w:space="0" w:color="auto"/>
            </w:tcBorders>
            <w:tcMar>
              <w:top w:w="100" w:type="dxa"/>
              <w:left w:w="100" w:type="dxa"/>
              <w:bottom w:w="100" w:type="dxa"/>
              <w:right w:w="100" w:type="dxa"/>
            </w:tcMar>
            <w:hideMark/>
          </w:tcPr>
          <w:p w14:paraId="4B80B7EF"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Biota [ng g</w:t>
            </w:r>
            <w:r w:rsidRPr="00046C80">
              <w:rPr>
                <w:rFonts w:ascii="Times New Roman" w:eastAsia="Times New Roman" w:hAnsi="Times New Roman" w:cs="Times New Roman"/>
                <w:color w:val="000000"/>
                <w:sz w:val="24"/>
                <w:szCs w:val="24"/>
                <w:vertAlign w:val="superscript"/>
              </w:rPr>
              <w:t>-1</w:t>
            </w:r>
            <w:r w:rsidRPr="00046C80">
              <w:rPr>
                <w:rFonts w:ascii="Times New Roman" w:eastAsia="Times New Roman" w:hAnsi="Times New Roman" w:cs="Times New Roman"/>
                <w:color w:val="000000"/>
                <w:sz w:val="24"/>
                <w:szCs w:val="24"/>
              </w:rPr>
              <w:t xml:space="preserve"> </w:t>
            </w:r>
            <w:proofErr w:type="spellStart"/>
            <w:r w:rsidRPr="00046C80">
              <w:rPr>
                <w:rFonts w:ascii="Times New Roman" w:eastAsia="Times New Roman" w:hAnsi="Times New Roman" w:cs="Times New Roman"/>
                <w:color w:val="000000"/>
                <w:sz w:val="24"/>
                <w:szCs w:val="24"/>
              </w:rPr>
              <w:t>dw</w:t>
            </w:r>
            <w:proofErr w:type="spellEnd"/>
            <w:r w:rsidRPr="00046C80">
              <w:rPr>
                <w:rFonts w:ascii="Times New Roman" w:eastAsia="Times New Roman" w:hAnsi="Times New Roman" w:cs="Times New Roman"/>
                <w:color w:val="000000"/>
                <w:sz w:val="24"/>
                <w:szCs w:val="24"/>
              </w:rPr>
              <w:t>]</w:t>
            </w:r>
          </w:p>
        </w:tc>
        <w:tc>
          <w:tcPr>
            <w:tcW w:w="1984" w:type="dxa"/>
            <w:tcBorders>
              <w:bottom w:val="single" w:sz="4" w:space="0" w:color="auto"/>
            </w:tcBorders>
            <w:tcMar>
              <w:top w:w="100" w:type="dxa"/>
              <w:left w:w="100" w:type="dxa"/>
              <w:bottom w:w="100" w:type="dxa"/>
              <w:right w:w="100" w:type="dxa"/>
            </w:tcMar>
            <w:hideMark/>
          </w:tcPr>
          <w:p w14:paraId="241D2344"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BP-3</w:t>
            </w:r>
          </w:p>
        </w:tc>
        <w:tc>
          <w:tcPr>
            <w:tcW w:w="1985" w:type="dxa"/>
            <w:tcBorders>
              <w:bottom w:val="single" w:sz="4" w:space="0" w:color="auto"/>
            </w:tcBorders>
            <w:tcMar>
              <w:top w:w="100" w:type="dxa"/>
              <w:left w:w="100" w:type="dxa"/>
              <w:bottom w:w="100" w:type="dxa"/>
              <w:right w:w="100" w:type="dxa"/>
            </w:tcMar>
            <w:hideMark/>
          </w:tcPr>
          <w:p w14:paraId="0CDEC092"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r w:rsidRPr="00046C80">
              <w:rPr>
                <w:rFonts w:ascii="Times New Roman" w:eastAsia="Times New Roman" w:hAnsi="Times New Roman" w:cs="Times New Roman"/>
                <w:color w:val="000000"/>
                <w:sz w:val="24"/>
                <w:szCs w:val="24"/>
              </w:rPr>
              <w:t>6.6 – 14.1</w:t>
            </w:r>
          </w:p>
        </w:tc>
        <w:tc>
          <w:tcPr>
            <w:tcW w:w="3260" w:type="dxa"/>
            <w:tcBorders>
              <w:bottom w:val="single" w:sz="4" w:space="0" w:color="auto"/>
            </w:tcBorders>
            <w:tcMar>
              <w:top w:w="100" w:type="dxa"/>
              <w:left w:w="100" w:type="dxa"/>
              <w:bottom w:w="100" w:type="dxa"/>
              <w:right w:w="100" w:type="dxa"/>
            </w:tcMar>
            <w:hideMark/>
          </w:tcPr>
          <w:p w14:paraId="588E64D9" w14:textId="77777777" w:rsidR="006A298B" w:rsidRPr="00046C80" w:rsidRDefault="006A298B" w:rsidP="00852E5A">
            <w:pPr>
              <w:spacing w:after="0" w:line="240" w:lineRule="auto"/>
              <w:jc w:val="center"/>
              <w:rPr>
                <w:rFonts w:ascii="Times New Roman" w:eastAsia="Times New Roman" w:hAnsi="Times New Roman" w:cs="Times New Roman"/>
                <w:sz w:val="24"/>
                <w:szCs w:val="24"/>
              </w:rPr>
            </w:pPr>
            <w:proofErr w:type="spellStart"/>
            <w:r w:rsidRPr="00046C80">
              <w:rPr>
                <w:rFonts w:ascii="Times New Roman" w:eastAsia="Times New Roman" w:hAnsi="Times New Roman" w:cs="Times New Roman"/>
                <w:color w:val="000000"/>
                <w:sz w:val="24"/>
                <w:szCs w:val="24"/>
              </w:rPr>
              <w:t>Emnet</w:t>
            </w:r>
            <w:proofErr w:type="spellEnd"/>
            <w:r w:rsidRPr="00046C80">
              <w:rPr>
                <w:rFonts w:ascii="Times New Roman" w:eastAsia="Times New Roman" w:hAnsi="Times New Roman" w:cs="Times New Roman"/>
                <w:color w:val="000000"/>
                <w:sz w:val="24"/>
                <w:szCs w:val="24"/>
              </w:rPr>
              <w:t xml:space="preserve"> et al. 2015</w:t>
            </w:r>
          </w:p>
        </w:tc>
      </w:tr>
    </w:tbl>
    <w:p w14:paraId="231BF001" w14:textId="6AED57EE" w:rsidR="009127FF" w:rsidRPr="000023A0" w:rsidRDefault="00DA61D8">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523E9">
        <w:rPr>
          <w:rFonts w:ascii="Times New Roman" w:eastAsia="Times New Roman" w:hAnsi="Times New Roman" w:cs="Times New Roman"/>
          <w:sz w:val="24"/>
          <w:szCs w:val="24"/>
        </w:rPr>
        <w:t>2-Ethylhexyl 4-methoxycinnimate</w:t>
      </w:r>
      <w:r w:rsidR="005557BB">
        <w:rPr>
          <w:rFonts w:ascii="Times New Roman" w:eastAsia="Times New Roman" w:hAnsi="Times New Roman" w:cs="Times New Roman"/>
          <w:sz w:val="24"/>
          <w:szCs w:val="24"/>
        </w:rPr>
        <w:t xml:space="preserve"> (</w:t>
      </w:r>
      <w:r w:rsidR="005557BB">
        <w:rPr>
          <w:rFonts w:ascii="Times New Roman" w:eastAsia="Times New Roman" w:hAnsi="Times New Roman" w:cs="Times New Roman"/>
          <w:color w:val="000000"/>
          <w:sz w:val="24"/>
          <w:szCs w:val="24"/>
        </w:rPr>
        <w:t>EHMC)</w:t>
      </w:r>
      <w:r w:rsidR="005523E9">
        <w:rPr>
          <w:rFonts w:ascii="Times New Roman" w:eastAsia="Times New Roman" w:hAnsi="Times New Roman" w:cs="Times New Roman"/>
          <w:sz w:val="24"/>
          <w:szCs w:val="24"/>
        </w:rPr>
        <w:t>,</w:t>
      </w:r>
      <w:r w:rsidR="00AF6A65">
        <w:rPr>
          <w:rFonts w:ascii="Times New Roman" w:eastAsia="Times New Roman" w:hAnsi="Times New Roman" w:cs="Times New Roman"/>
          <w:sz w:val="24"/>
          <w:szCs w:val="24"/>
        </w:rPr>
        <w:t xml:space="preserve"> </w:t>
      </w:r>
      <w:r w:rsidR="00AF6A65" w:rsidRPr="00992EDE">
        <w:rPr>
          <w:rFonts w:ascii="Times New Roman" w:eastAsia="Times New Roman" w:hAnsi="Times New Roman" w:cs="Times New Roman"/>
          <w:sz w:val="24"/>
          <w:szCs w:val="24"/>
        </w:rPr>
        <w:t>4-methyl-benzylidene camphor</w:t>
      </w:r>
      <w:r w:rsidR="005557BB">
        <w:rPr>
          <w:rFonts w:ascii="Times New Roman" w:eastAsia="Times New Roman" w:hAnsi="Times New Roman" w:cs="Times New Roman"/>
          <w:sz w:val="24"/>
          <w:szCs w:val="24"/>
        </w:rPr>
        <w:t xml:space="preserve"> (4-MBC)</w:t>
      </w:r>
      <w:r w:rsidR="00992EDE">
        <w:rPr>
          <w:rFonts w:ascii="Times New Roman" w:eastAsia="Times New Roman" w:hAnsi="Times New Roman" w:cs="Times New Roman"/>
          <w:sz w:val="24"/>
          <w:szCs w:val="24"/>
        </w:rPr>
        <w:t xml:space="preserve">, </w:t>
      </w:r>
      <w:r w:rsidR="00992EDE" w:rsidRPr="00C07A92">
        <w:rPr>
          <w:rFonts w:ascii="Times New Roman" w:eastAsia="Times New Roman" w:hAnsi="Times New Roman" w:cs="Times New Roman"/>
          <w:sz w:val="24"/>
          <w:szCs w:val="24"/>
        </w:rPr>
        <w:t>2,4-dihydroxybenzophenone</w:t>
      </w:r>
      <w:r w:rsidR="005557BB">
        <w:rPr>
          <w:rFonts w:ascii="Times New Roman" w:eastAsia="Times New Roman" w:hAnsi="Times New Roman" w:cs="Times New Roman"/>
          <w:sz w:val="24"/>
          <w:szCs w:val="24"/>
        </w:rPr>
        <w:t xml:space="preserve"> (BP-1)</w:t>
      </w:r>
      <w:r w:rsidR="00992EDE" w:rsidRPr="00C07A92">
        <w:rPr>
          <w:rFonts w:ascii="Times New Roman" w:eastAsia="Times New Roman" w:hAnsi="Times New Roman" w:cs="Times New Roman"/>
          <w:sz w:val="24"/>
          <w:szCs w:val="24"/>
        </w:rPr>
        <w:t xml:space="preserve">, 2-hydroxy-4- </w:t>
      </w:r>
      <w:proofErr w:type="spellStart"/>
      <w:r w:rsidR="00992EDE" w:rsidRPr="00C07A92">
        <w:rPr>
          <w:rFonts w:ascii="Times New Roman" w:eastAsia="Times New Roman" w:hAnsi="Times New Roman" w:cs="Times New Roman"/>
          <w:sz w:val="24"/>
          <w:szCs w:val="24"/>
        </w:rPr>
        <w:t>methoxybenzophenone</w:t>
      </w:r>
      <w:proofErr w:type="spellEnd"/>
      <w:r w:rsidR="005557BB">
        <w:rPr>
          <w:rFonts w:ascii="Times New Roman" w:eastAsia="Times New Roman" w:hAnsi="Times New Roman" w:cs="Times New Roman"/>
          <w:sz w:val="24"/>
          <w:szCs w:val="24"/>
        </w:rPr>
        <w:t xml:space="preserve"> (</w:t>
      </w:r>
      <w:r w:rsidR="005557BB" w:rsidRPr="00C07A92">
        <w:rPr>
          <w:rFonts w:ascii="Times New Roman" w:eastAsia="Times New Roman" w:hAnsi="Times New Roman" w:cs="Times New Roman"/>
          <w:sz w:val="24"/>
          <w:szCs w:val="24"/>
        </w:rPr>
        <w:t>BP-3</w:t>
      </w:r>
      <w:r w:rsidR="005557BB">
        <w:rPr>
          <w:rFonts w:ascii="Times New Roman" w:eastAsia="Times New Roman" w:hAnsi="Times New Roman" w:cs="Times New Roman"/>
          <w:sz w:val="24"/>
          <w:szCs w:val="24"/>
        </w:rPr>
        <w:t>)</w:t>
      </w:r>
      <w:r w:rsidR="00992EDE" w:rsidRPr="00C07A92">
        <w:rPr>
          <w:rFonts w:ascii="Times New Roman" w:eastAsia="Times New Roman" w:hAnsi="Times New Roman" w:cs="Times New Roman"/>
          <w:sz w:val="24"/>
          <w:szCs w:val="24"/>
        </w:rPr>
        <w:t>, 4-hydroxybenzophenone</w:t>
      </w:r>
      <w:r w:rsidR="005557BB">
        <w:rPr>
          <w:rFonts w:ascii="Times New Roman" w:eastAsia="Times New Roman" w:hAnsi="Times New Roman" w:cs="Times New Roman"/>
          <w:sz w:val="24"/>
          <w:szCs w:val="24"/>
        </w:rPr>
        <w:t xml:space="preserve"> (</w:t>
      </w:r>
      <w:r w:rsidR="005557BB" w:rsidRPr="00C07A92">
        <w:rPr>
          <w:rFonts w:ascii="Times New Roman" w:eastAsia="Times New Roman" w:hAnsi="Times New Roman" w:cs="Times New Roman"/>
          <w:sz w:val="24"/>
          <w:szCs w:val="24"/>
        </w:rPr>
        <w:t>4HB</w:t>
      </w:r>
      <w:r w:rsidR="005557BB">
        <w:rPr>
          <w:rFonts w:ascii="Times New Roman" w:eastAsia="Times New Roman" w:hAnsi="Times New Roman" w:cs="Times New Roman"/>
          <w:sz w:val="24"/>
          <w:szCs w:val="24"/>
        </w:rPr>
        <w:t>)</w:t>
      </w:r>
      <w:r w:rsidR="00992EDE" w:rsidRPr="00C07A92">
        <w:rPr>
          <w:rFonts w:ascii="Times New Roman" w:eastAsia="Times New Roman" w:hAnsi="Times New Roman" w:cs="Times New Roman"/>
          <w:sz w:val="24"/>
          <w:szCs w:val="24"/>
        </w:rPr>
        <w:t xml:space="preserve">, </w:t>
      </w:r>
      <w:r w:rsidR="0052400D" w:rsidRPr="00C07A92">
        <w:rPr>
          <w:rFonts w:ascii="Times New Roman" w:eastAsia="Times New Roman" w:hAnsi="Times New Roman" w:cs="Times New Roman"/>
          <w:sz w:val="24"/>
          <w:szCs w:val="24"/>
        </w:rPr>
        <w:t>4,40-dihydroxybenzophenone</w:t>
      </w:r>
      <w:r w:rsidR="005557BB">
        <w:rPr>
          <w:rFonts w:ascii="Times New Roman" w:eastAsia="Times New Roman" w:hAnsi="Times New Roman" w:cs="Times New Roman"/>
          <w:sz w:val="24"/>
          <w:szCs w:val="24"/>
        </w:rPr>
        <w:t xml:space="preserve"> (</w:t>
      </w:r>
      <w:r w:rsidR="005557BB" w:rsidRPr="00C07A92">
        <w:rPr>
          <w:rFonts w:ascii="Times New Roman" w:eastAsia="Times New Roman" w:hAnsi="Times New Roman" w:cs="Times New Roman"/>
          <w:sz w:val="24"/>
          <w:szCs w:val="24"/>
        </w:rPr>
        <w:t>4DHB</w:t>
      </w:r>
      <w:r w:rsidR="005557BB">
        <w:rPr>
          <w:rFonts w:ascii="Times New Roman" w:eastAsia="Times New Roman" w:hAnsi="Times New Roman" w:cs="Times New Roman"/>
          <w:sz w:val="24"/>
          <w:szCs w:val="24"/>
        </w:rPr>
        <w:t>)</w:t>
      </w:r>
      <w:r w:rsidR="0052400D" w:rsidRPr="00C07A92">
        <w:rPr>
          <w:rFonts w:ascii="Times New Roman" w:eastAsia="Times New Roman" w:hAnsi="Times New Roman" w:cs="Times New Roman"/>
          <w:sz w:val="24"/>
          <w:szCs w:val="24"/>
        </w:rPr>
        <w:t>,</w:t>
      </w:r>
      <w:r w:rsidR="00335869">
        <w:rPr>
          <w:rFonts w:ascii="Times New Roman" w:eastAsia="Times New Roman" w:hAnsi="Times New Roman" w:cs="Times New Roman"/>
          <w:sz w:val="24"/>
          <w:szCs w:val="24"/>
        </w:rPr>
        <w:t xml:space="preserve"> Benzotriazole</w:t>
      </w:r>
      <w:r w:rsidR="005557BB">
        <w:rPr>
          <w:rFonts w:ascii="Times New Roman" w:eastAsia="Times New Roman" w:hAnsi="Times New Roman" w:cs="Times New Roman"/>
          <w:sz w:val="24"/>
          <w:szCs w:val="24"/>
        </w:rPr>
        <w:t xml:space="preserve"> (BZT)</w:t>
      </w:r>
      <w:r w:rsidR="00335869">
        <w:rPr>
          <w:rFonts w:ascii="Times New Roman" w:eastAsia="Times New Roman" w:hAnsi="Times New Roman" w:cs="Times New Roman"/>
          <w:sz w:val="24"/>
          <w:szCs w:val="24"/>
        </w:rPr>
        <w:t xml:space="preserve">, </w:t>
      </w:r>
      <w:r w:rsidR="00FF1AE5" w:rsidRPr="00FF1AE5">
        <w:rPr>
          <w:rFonts w:ascii="Times New Roman" w:eastAsia="Times New Roman" w:hAnsi="Times New Roman" w:cs="Times New Roman"/>
          <w:sz w:val="24"/>
          <w:szCs w:val="24"/>
        </w:rPr>
        <w:t xml:space="preserve">methyl </w:t>
      </w:r>
      <w:r w:rsidR="00FF1AE5">
        <w:rPr>
          <w:rFonts w:ascii="Times New Roman" w:eastAsia="Times New Roman" w:hAnsi="Times New Roman" w:cs="Times New Roman"/>
          <w:sz w:val="24"/>
          <w:szCs w:val="24"/>
        </w:rPr>
        <w:t>benzotriazole</w:t>
      </w:r>
      <w:r w:rsidR="005557BB">
        <w:rPr>
          <w:rFonts w:ascii="Times New Roman" w:eastAsia="Times New Roman" w:hAnsi="Times New Roman" w:cs="Times New Roman"/>
          <w:sz w:val="24"/>
          <w:szCs w:val="24"/>
        </w:rPr>
        <w:t xml:space="preserve"> (</w:t>
      </w:r>
      <w:proofErr w:type="spellStart"/>
      <w:r w:rsidR="005557BB">
        <w:rPr>
          <w:rFonts w:ascii="Times New Roman" w:eastAsia="Times New Roman" w:hAnsi="Times New Roman" w:cs="Times New Roman"/>
          <w:sz w:val="24"/>
          <w:szCs w:val="24"/>
        </w:rPr>
        <w:t>MeBZT</w:t>
      </w:r>
      <w:proofErr w:type="spellEnd"/>
      <w:r w:rsidR="005557BB">
        <w:rPr>
          <w:rFonts w:ascii="Times New Roman" w:eastAsia="Times New Roman" w:hAnsi="Times New Roman" w:cs="Times New Roman"/>
          <w:sz w:val="24"/>
          <w:szCs w:val="24"/>
        </w:rPr>
        <w:t>)</w:t>
      </w:r>
      <w:r w:rsidR="00FF1AE5">
        <w:rPr>
          <w:rFonts w:ascii="Times New Roman" w:eastAsia="Times New Roman" w:hAnsi="Times New Roman" w:cs="Times New Roman"/>
          <w:sz w:val="24"/>
          <w:szCs w:val="24"/>
        </w:rPr>
        <w:t>,</w:t>
      </w:r>
      <w:r w:rsidR="0052400D" w:rsidRPr="00C07A92">
        <w:rPr>
          <w:rFonts w:ascii="Times New Roman" w:eastAsia="Times New Roman" w:hAnsi="Times New Roman" w:cs="Times New Roman"/>
          <w:sz w:val="24"/>
          <w:szCs w:val="24"/>
        </w:rPr>
        <w:t xml:space="preserve"> </w:t>
      </w:r>
      <w:proofErr w:type="spellStart"/>
      <w:r w:rsidR="0052400D" w:rsidRPr="00C07A92">
        <w:rPr>
          <w:rFonts w:ascii="Times New Roman" w:eastAsia="Times New Roman" w:hAnsi="Times New Roman" w:cs="Times New Roman"/>
          <w:sz w:val="24"/>
          <w:szCs w:val="24"/>
        </w:rPr>
        <w:t>ethyhexyl</w:t>
      </w:r>
      <w:proofErr w:type="spellEnd"/>
      <w:r w:rsidR="0052400D" w:rsidRPr="00C07A92">
        <w:rPr>
          <w:rFonts w:ascii="Times New Roman" w:eastAsia="Times New Roman" w:hAnsi="Times New Roman" w:cs="Times New Roman"/>
          <w:sz w:val="24"/>
          <w:szCs w:val="24"/>
        </w:rPr>
        <w:t>-para-aminobenzoic acid</w:t>
      </w:r>
      <w:r>
        <w:rPr>
          <w:rFonts w:ascii="Times New Roman" w:eastAsia="Times New Roman" w:hAnsi="Times New Roman" w:cs="Times New Roman"/>
          <w:sz w:val="24"/>
          <w:szCs w:val="24"/>
        </w:rPr>
        <w:t xml:space="preserve"> (ODPABA)</w:t>
      </w:r>
      <w:r w:rsidR="0052400D" w:rsidRPr="00C07A92">
        <w:rPr>
          <w:rFonts w:ascii="Times New Roman" w:eastAsia="Times New Roman" w:hAnsi="Times New Roman" w:cs="Times New Roman"/>
          <w:sz w:val="24"/>
          <w:szCs w:val="24"/>
        </w:rPr>
        <w:t>, octocrylene</w:t>
      </w:r>
      <w:r>
        <w:rPr>
          <w:rFonts w:ascii="Times New Roman" w:eastAsia="Times New Roman" w:hAnsi="Times New Roman" w:cs="Times New Roman"/>
          <w:sz w:val="24"/>
          <w:szCs w:val="24"/>
        </w:rPr>
        <w:t xml:space="preserve"> (</w:t>
      </w:r>
      <w:r w:rsidRPr="00C07A92">
        <w:rPr>
          <w:rFonts w:ascii="Times New Roman" w:eastAsia="Times New Roman" w:hAnsi="Times New Roman" w:cs="Times New Roman"/>
          <w:sz w:val="24"/>
          <w:szCs w:val="24"/>
        </w:rPr>
        <w:t>OC</w:t>
      </w:r>
      <w:r>
        <w:rPr>
          <w:rFonts w:ascii="Times New Roman" w:eastAsia="Times New Roman" w:hAnsi="Times New Roman" w:cs="Times New Roman"/>
          <w:sz w:val="24"/>
          <w:szCs w:val="24"/>
        </w:rPr>
        <w:t>)</w:t>
      </w:r>
      <w:r w:rsidR="0052400D" w:rsidRPr="00C07A92">
        <w:rPr>
          <w:rFonts w:ascii="Times New Roman" w:eastAsia="Times New Roman" w:hAnsi="Times New Roman" w:cs="Times New Roman"/>
          <w:sz w:val="24"/>
          <w:szCs w:val="24"/>
        </w:rPr>
        <w:t>.</w:t>
      </w:r>
    </w:p>
    <w:p w14:paraId="098C7566" w14:textId="77777777" w:rsidR="001A06CC" w:rsidRDefault="001A06CC" w:rsidP="000023A0">
      <w:pPr>
        <w:spacing w:before="240" w:after="0" w:line="360" w:lineRule="auto"/>
        <w:jc w:val="both"/>
        <w:rPr>
          <w:rFonts w:ascii="Times New Roman" w:eastAsia="Times New Roman" w:hAnsi="Times New Roman" w:cs="Times New Roman"/>
          <w:sz w:val="24"/>
          <w:szCs w:val="24"/>
        </w:rPr>
      </w:pPr>
    </w:p>
    <w:p w14:paraId="39509561" w14:textId="338828A8" w:rsidR="00A45FDE" w:rsidRPr="00A45FDE" w:rsidRDefault="00A45FDE" w:rsidP="000023A0">
      <w:pPr>
        <w:spacing w:before="240" w:after="0" w:line="360" w:lineRule="auto"/>
        <w:jc w:val="both"/>
        <w:rPr>
          <w:rFonts w:ascii="Times New Roman" w:eastAsia="Times New Roman" w:hAnsi="Times New Roman" w:cs="Times New Roman"/>
          <w:sz w:val="24"/>
          <w:szCs w:val="24"/>
        </w:rPr>
      </w:pPr>
      <w:r w:rsidRPr="00A45FDE">
        <w:rPr>
          <w:rFonts w:ascii="Times New Roman" w:eastAsia="Times New Roman" w:hAnsi="Times New Roman" w:cs="Times New Roman"/>
          <w:sz w:val="24"/>
          <w:szCs w:val="24"/>
        </w:rPr>
        <w:t>In general, the presence of EHMC in Antarctic snow can be ascribable to three different scenarios: A) the substance enters the environment through direct local inputs; B) contaminants from local hotspots (e.g., scientific stations, tourist ships) are transported by local winds and deposited relatively further from the source of contamination, and C) EHMC enters in the atmosphere at lower latitudes, and it is transported through long-range atmospheric transport processes.</w:t>
      </w:r>
    </w:p>
    <w:p w14:paraId="6322AF06" w14:textId="4BB9D353" w:rsidR="00A45FDE" w:rsidRPr="000023A0" w:rsidRDefault="00A45FDE" w:rsidP="000023A0">
      <w:pPr>
        <w:pStyle w:val="NormaleWeb"/>
        <w:spacing w:before="240" w:beforeAutospacing="0" w:after="0" w:afterAutospacing="0" w:line="360" w:lineRule="auto"/>
        <w:jc w:val="both"/>
        <w:rPr>
          <w:lang w:val="en-GB"/>
        </w:rPr>
      </w:pPr>
      <w:r w:rsidRPr="000023A0">
        <w:rPr>
          <w:color w:val="000000"/>
          <w:lang w:val="en-GB"/>
        </w:rPr>
        <w:t xml:space="preserve">Literature data suggest that the presence of human facilities may represent a source of UV filters in the Antarctic environment. In Antarctica, sunscreen lotions containing UV filters are used to protect the exposed skin from high solar radiation. UV filters are also present in other personal care products and plastic materials </w:t>
      </w:r>
      <w:r w:rsidR="002E051A">
        <w:rPr>
          <w:color w:val="000000"/>
          <w:lang w:val="en-GB"/>
        </w:rPr>
        <w:t>making</w:t>
      </w:r>
      <w:r w:rsidRPr="000023A0">
        <w:rPr>
          <w:color w:val="000000"/>
          <w:lang w:val="en-GB"/>
        </w:rPr>
        <w:t xml:space="preserve"> scientific station</w:t>
      </w:r>
      <w:r w:rsidR="002E051A">
        <w:rPr>
          <w:color w:val="000000"/>
          <w:lang w:val="en-GB"/>
        </w:rPr>
        <w:t>s</w:t>
      </w:r>
      <w:r w:rsidRPr="000023A0">
        <w:rPr>
          <w:color w:val="000000"/>
          <w:lang w:val="en-GB"/>
        </w:rPr>
        <w:t xml:space="preserve"> potential local source</w:t>
      </w:r>
      <w:r w:rsidR="002E051A">
        <w:rPr>
          <w:color w:val="000000"/>
          <w:lang w:val="en-GB"/>
        </w:rPr>
        <w:t>s</w:t>
      </w:r>
      <w:r w:rsidRPr="000023A0">
        <w:rPr>
          <w:color w:val="000000"/>
          <w:lang w:val="en-GB"/>
        </w:rPr>
        <w:t xml:space="preserve"> of contamination. Once UV filters are applied to the skin, they can enter the environment by indirect inputs like wastewater treatment plants, or by direct inputs in situ</w:t>
      </w:r>
      <w:r w:rsidR="00944075">
        <w:rPr>
          <w:color w:val="000000"/>
          <w:lang w:val="en-GB"/>
        </w:rPr>
        <w:t>,</w:t>
      </w:r>
      <w:r w:rsidRPr="000023A0">
        <w:rPr>
          <w:color w:val="000000"/>
          <w:lang w:val="en-GB"/>
        </w:rPr>
        <w:t xml:space="preserve"> like field activities and direct contact with different environmental matrices</w:t>
      </w:r>
      <w:r w:rsidR="00E85448">
        <w:rPr>
          <w:color w:val="000000"/>
          <w:lang w:val="en-GB"/>
        </w:rPr>
        <w:t xml:space="preserve"> </w:t>
      </w:r>
      <w:r w:rsidR="00E85448">
        <w:rPr>
          <w:color w:val="000000"/>
          <w:lang w:val="en-GB"/>
        </w:rPr>
        <w:fldChar w:fldCharType="begin" w:fldLock="1"/>
      </w:r>
      <w:r w:rsidR="007A5F81">
        <w:rPr>
          <w:color w:val="000000"/>
          <w:lang w:val="en-GB"/>
        </w:rPr>
        <w:instrText>ADDIN CSL_CITATION {"citationItems":[{"id":"ITEM-1","itemData":{"DOI":"10.1016/j.chemosphere.2015.02.054","ISSN":"18791298","PMID":"25792520","abstract":"Due to the growing concern about human health effects of ultraviolet (UV) radiation, the use of UV filters has increased in recent decades. Unfortunately, some common UV filters are bioaccumulated in aquatic organisms and show a potential for estrogenic activity. The aim of the present study is to determine the presence of some UV filters in the coastal waters of six beaches around Gran Canaria Island as consequence of recreational seaside activities. Eight commonly used UV filters: benzophenone-3 (BP-3), octocrylene (OC), octyl-dimethyl-PABA (OD-PABA), ethylhexyl methoxy cinnamate (EHMC), homosalate (HMS), butyl methoxydibenzoyl methane (BMDBM), 4-methylbenzylidene camphor (4-MBC) and diethylamino hydroxybenzoyl hexyl benzoate (DHHB), were monitored and, with the exception of OD-PABA, all were detected in the samples collected. 99% of the samples showed some UV filters and concentration levels reached up to 3316.7. ng/L for BP-3. Environmental risk assessment (ERA) approach showed risk quotients (RQ) higher than 10, which means that there is a significant potential for adverse effects, for 4-MBC and EHMC for those samples with highest levels of UV filters.","author":[{"dropping-particle":"","family":"Sánchez Rodríguez","given":"A.","non-dropping-particle":"","parse-names":false,"suffix":""},{"dropping-particle":"","family":"Rodrigo Sanz","given":"M.","non-dropping-particle":"","parse-names":false,"suffix":""},{"dropping-particle":"","family":"Betancort Rodríguez","given":"J R","non-dropping-particle":"","parse-names":false,"suffix":""}],"container-title":"Chemosphere","id":"ITEM-1","issued":{"date-parts":[["2015"]]},"page":"85-90","title":"Occurrence of eight UV filters in beaches of Gran Canaria (Canary Islands). An approach to environmental risk assessment","type":"article-journal","volume":"131"},"uris":["http://www.mendeley.com/documents/?uuid=b93d9407-a2cd-4ad9-aea6-e371ae73dfbd","http://www.mendeley.com/documents/?uuid=997dcecc-d74c-4541-8084-4cb0e9fa3d54"]}],"mendeley":{"formattedCitation":"[28]","plainTextFormattedCitation":"[28]","previouslyFormattedCitation":"&lt;sup&gt;28&lt;/sup&gt;"},"properties":{"noteIndex":0},"schema":"https://github.com/citation-style-language/schema/raw/master/csl-citation.json"}</w:instrText>
      </w:r>
      <w:r w:rsidR="00E85448">
        <w:rPr>
          <w:color w:val="000000"/>
          <w:lang w:val="en-GB"/>
        </w:rPr>
        <w:fldChar w:fldCharType="separate"/>
      </w:r>
      <w:r w:rsidR="007A5F81" w:rsidRPr="007A5F81">
        <w:rPr>
          <w:noProof/>
          <w:color w:val="000000"/>
          <w:lang w:val="en-GB"/>
        </w:rPr>
        <w:t>[28]</w:t>
      </w:r>
      <w:r w:rsidR="00E85448">
        <w:rPr>
          <w:color w:val="000000"/>
          <w:lang w:val="en-GB"/>
        </w:rPr>
        <w:fldChar w:fldCharType="end"/>
      </w:r>
      <w:r w:rsidRPr="000023A0">
        <w:rPr>
          <w:color w:val="000000"/>
          <w:lang w:val="en-GB"/>
        </w:rPr>
        <w:t xml:space="preserve">. In the area facing Terra Nova Bay, there are </w:t>
      </w:r>
      <w:r w:rsidRPr="00D8615C">
        <w:rPr>
          <w:color w:val="000000"/>
          <w:lang w:val="en-GB"/>
        </w:rPr>
        <w:t>t</w:t>
      </w:r>
      <w:r w:rsidR="0014444F" w:rsidRPr="00D8615C">
        <w:rPr>
          <w:color w:val="000000"/>
          <w:lang w:val="en-GB"/>
        </w:rPr>
        <w:t>hree</w:t>
      </w:r>
      <w:r w:rsidRPr="00D8615C">
        <w:rPr>
          <w:color w:val="000000"/>
          <w:lang w:val="en-GB"/>
        </w:rPr>
        <w:t xml:space="preserve"> active scientific</w:t>
      </w:r>
      <w:r w:rsidRPr="000023A0">
        <w:rPr>
          <w:color w:val="000000"/>
          <w:lang w:val="en-GB"/>
        </w:rPr>
        <w:t xml:space="preserve"> research stations: the Italian Mario </w:t>
      </w:r>
      <w:proofErr w:type="spellStart"/>
      <w:r w:rsidRPr="000023A0">
        <w:rPr>
          <w:color w:val="000000"/>
          <w:lang w:val="en-GB"/>
        </w:rPr>
        <w:t>Zucchelli</w:t>
      </w:r>
      <w:proofErr w:type="spellEnd"/>
      <w:r w:rsidRPr="000023A0">
        <w:rPr>
          <w:color w:val="000000"/>
          <w:lang w:val="en-GB"/>
        </w:rPr>
        <w:t xml:space="preserve"> Station (74°41’45” S, 164°6’20” E)</w:t>
      </w:r>
      <w:r w:rsidR="0014444F">
        <w:rPr>
          <w:color w:val="000000"/>
          <w:lang w:val="en-GB"/>
        </w:rPr>
        <w:t>,</w:t>
      </w:r>
      <w:r w:rsidRPr="000023A0">
        <w:rPr>
          <w:color w:val="000000"/>
          <w:lang w:val="en-GB"/>
        </w:rPr>
        <w:t xml:space="preserve"> the Korean Jang Bogo Station (74°37’27'' S, 164°13’32” E)</w:t>
      </w:r>
      <w:r w:rsidR="00CF4229">
        <w:rPr>
          <w:color w:val="000000"/>
          <w:lang w:val="en-GB"/>
        </w:rPr>
        <w:t xml:space="preserve"> and the German Gondwana Station </w:t>
      </w:r>
      <w:r w:rsidR="00D304BF">
        <w:rPr>
          <w:color w:val="000000"/>
          <w:lang w:val="en-GB"/>
        </w:rPr>
        <w:t xml:space="preserve">(74°38’7” S, </w:t>
      </w:r>
      <w:r w:rsidR="00D304BF">
        <w:rPr>
          <w:color w:val="000000"/>
          <w:lang w:val="en-GB"/>
        </w:rPr>
        <w:lastRenderedPageBreak/>
        <w:t>164°13’18” E)</w:t>
      </w:r>
      <w:r w:rsidRPr="000023A0">
        <w:rPr>
          <w:color w:val="000000"/>
          <w:lang w:val="en-GB"/>
        </w:rPr>
        <w:t xml:space="preserve">. In addition, a new Chinese research station is under construction on the nearby Inexpressible Island, approximately 20 km from Mario </w:t>
      </w:r>
      <w:proofErr w:type="spellStart"/>
      <w:r w:rsidRPr="000023A0">
        <w:rPr>
          <w:color w:val="000000"/>
          <w:lang w:val="en-GB"/>
        </w:rPr>
        <w:t>Zucchelli</w:t>
      </w:r>
      <w:proofErr w:type="spellEnd"/>
      <w:r w:rsidRPr="000023A0">
        <w:rPr>
          <w:color w:val="000000"/>
          <w:lang w:val="en-GB"/>
        </w:rPr>
        <w:t xml:space="preserve"> Station. During the summer season, the scientific stations together can host up to an average of 1</w:t>
      </w:r>
      <w:r w:rsidR="00036CF6">
        <w:rPr>
          <w:color w:val="000000"/>
          <w:lang w:val="en-GB"/>
        </w:rPr>
        <w:t>8</w:t>
      </w:r>
      <w:r w:rsidRPr="000023A0">
        <w:rPr>
          <w:color w:val="000000"/>
          <w:lang w:val="en-GB"/>
        </w:rPr>
        <w:t xml:space="preserve">0 people, while, in winter, only Jang Bogo Station is active with a limited number of technicians and researchers. Six of the nine sampling sites of this study are in the area surrounding the Italian Mario </w:t>
      </w:r>
      <w:proofErr w:type="spellStart"/>
      <w:r w:rsidRPr="000023A0">
        <w:rPr>
          <w:color w:val="000000"/>
          <w:lang w:val="en-GB"/>
        </w:rPr>
        <w:t>Zucchelli</w:t>
      </w:r>
      <w:proofErr w:type="spellEnd"/>
      <w:r w:rsidRPr="000023A0">
        <w:rPr>
          <w:color w:val="000000"/>
          <w:lang w:val="en-GB"/>
        </w:rPr>
        <w:t xml:space="preserve"> Station (Figure 1b). The samples with the highest concentrations were collected in two of these sites, </w:t>
      </w:r>
      <w:proofErr w:type="gramStart"/>
      <w:r w:rsidRPr="000023A0">
        <w:rPr>
          <w:color w:val="000000"/>
          <w:lang w:val="en-GB"/>
        </w:rPr>
        <w:t>i.e.</w:t>
      </w:r>
      <w:proofErr w:type="gramEnd"/>
      <w:r w:rsidRPr="000023A0">
        <w:rPr>
          <w:color w:val="000000"/>
          <w:lang w:val="en-GB"/>
        </w:rPr>
        <w:t xml:space="preserve"> Eni-P and Bro-S. These values could be linked to the presence of human facilities: the Italian station at about 3 km from Enigma Lake, and the airplane runway at Browning Pass. Noteworthy is the occurrence of EHMC in fresh snow in Eni-S3 (1.1 ng L</w:t>
      </w:r>
      <w:r w:rsidRPr="000023A0">
        <w:rPr>
          <w:color w:val="000000"/>
          <w:sz w:val="14"/>
          <w:szCs w:val="14"/>
          <w:vertAlign w:val="superscript"/>
          <w:lang w:val="en-GB"/>
        </w:rPr>
        <w:t>-1</w:t>
      </w:r>
      <w:r w:rsidRPr="000023A0">
        <w:rPr>
          <w:color w:val="000000"/>
          <w:lang w:val="en-GB"/>
        </w:rPr>
        <w:t xml:space="preserve">), despite the other two samples of fresh snow </w:t>
      </w:r>
      <w:r w:rsidR="007E0923">
        <w:rPr>
          <w:color w:val="000000"/>
          <w:lang w:val="en-GB"/>
        </w:rPr>
        <w:t>(</w:t>
      </w:r>
      <w:r w:rsidRPr="000023A0">
        <w:rPr>
          <w:color w:val="000000"/>
          <w:lang w:val="en-GB"/>
        </w:rPr>
        <w:t>Ica-S2 and Eni-S2</w:t>
      </w:r>
      <w:r w:rsidR="007E0923">
        <w:rPr>
          <w:color w:val="000000"/>
          <w:lang w:val="en-GB"/>
        </w:rPr>
        <w:t>)</w:t>
      </w:r>
      <w:r w:rsidRPr="000023A0">
        <w:rPr>
          <w:color w:val="000000"/>
          <w:lang w:val="en-GB"/>
        </w:rPr>
        <w:t xml:space="preserve"> show values lower than MDL. The other three sampling sites are in more isolated areas: </w:t>
      </w:r>
      <w:proofErr w:type="spellStart"/>
      <w:r w:rsidR="00E85448" w:rsidRPr="000023A0">
        <w:rPr>
          <w:color w:val="000000"/>
          <w:lang w:val="en-GB"/>
        </w:rPr>
        <w:t>Edmonson</w:t>
      </w:r>
      <w:proofErr w:type="spellEnd"/>
      <w:r w:rsidRPr="000023A0">
        <w:rPr>
          <w:color w:val="000000"/>
          <w:lang w:val="en-GB"/>
        </w:rPr>
        <w:t xml:space="preserve"> Point is about 42 km from the closest scientific station, David Glacier is about 190 km, and Cape Phillips is about 240 km. A different scenario can be drawn for concentrations found in </w:t>
      </w:r>
      <w:proofErr w:type="spellStart"/>
      <w:r w:rsidRPr="000023A0">
        <w:rPr>
          <w:color w:val="000000"/>
          <w:lang w:val="en-GB"/>
        </w:rPr>
        <w:t>Edm</w:t>
      </w:r>
      <w:proofErr w:type="spellEnd"/>
      <w:r w:rsidRPr="000023A0">
        <w:rPr>
          <w:color w:val="000000"/>
          <w:lang w:val="en-GB"/>
        </w:rPr>
        <w:t>-SM (1.3 ng L</w:t>
      </w:r>
      <w:r w:rsidRPr="000023A0">
        <w:rPr>
          <w:color w:val="000000"/>
          <w:sz w:val="14"/>
          <w:szCs w:val="14"/>
          <w:vertAlign w:val="superscript"/>
          <w:lang w:val="en-GB"/>
        </w:rPr>
        <w:t>-1</w:t>
      </w:r>
      <w:r w:rsidRPr="000023A0">
        <w:rPr>
          <w:color w:val="000000"/>
          <w:lang w:val="en-GB"/>
        </w:rPr>
        <w:t xml:space="preserve">), </w:t>
      </w:r>
      <w:proofErr w:type="spellStart"/>
      <w:r w:rsidRPr="000023A0">
        <w:rPr>
          <w:color w:val="000000"/>
          <w:lang w:val="en-GB"/>
        </w:rPr>
        <w:t>Dav</w:t>
      </w:r>
      <w:proofErr w:type="spellEnd"/>
      <w:r w:rsidRPr="000023A0">
        <w:rPr>
          <w:color w:val="000000"/>
          <w:lang w:val="en-GB"/>
        </w:rPr>
        <w:t>-S (1.5 ng L</w:t>
      </w:r>
      <w:r w:rsidRPr="000023A0">
        <w:rPr>
          <w:color w:val="000000"/>
          <w:sz w:val="14"/>
          <w:szCs w:val="14"/>
          <w:vertAlign w:val="superscript"/>
          <w:lang w:val="en-GB"/>
        </w:rPr>
        <w:t>-1</w:t>
      </w:r>
      <w:r w:rsidRPr="000023A0">
        <w:rPr>
          <w:color w:val="000000"/>
          <w:lang w:val="en-GB"/>
        </w:rPr>
        <w:t xml:space="preserve">), and </w:t>
      </w:r>
      <w:proofErr w:type="spellStart"/>
      <w:r w:rsidRPr="000023A0">
        <w:rPr>
          <w:color w:val="000000"/>
          <w:lang w:val="en-GB"/>
        </w:rPr>
        <w:t>Cph</w:t>
      </w:r>
      <w:proofErr w:type="spellEnd"/>
      <w:r w:rsidRPr="000023A0">
        <w:rPr>
          <w:color w:val="000000"/>
          <w:lang w:val="en-GB"/>
        </w:rPr>
        <w:t>-S (0.4 ng L</w:t>
      </w:r>
      <w:r w:rsidRPr="000023A0">
        <w:rPr>
          <w:color w:val="000000"/>
          <w:sz w:val="14"/>
          <w:szCs w:val="14"/>
          <w:vertAlign w:val="superscript"/>
          <w:lang w:val="en-GB"/>
        </w:rPr>
        <w:t>-1</w:t>
      </w:r>
      <w:r w:rsidRPr="000023A0">
        <w:rPr>
          <w:color w:val="000000"/>
          <w:lang w:val="en-GB"/>
        </w:rPr>
        <w:t xml:space="preserve">) (Figure 1a). In these zones, the only human activities are linked to the Automatic Weather Stations (AWS) occasionally frequented by scientists. Direct input of contamination (scenario A), or contamination due to local hotspots (scenario B), cannot be excluded. However, these sources can be considered negligible since the presence of the scientists is limited throughout the year; moreover, the samples were collected in sites distant (≈ 300 m) from the areas directly impacted by the local human operations. These considerations suggest </w:t>
      </w:r>
      <w:r w:rsidR="002B6B14" w:rsidRPr="000023A0">
        <w:rPr>
          <w:color w:val="000000"/>
          <w:lang w:val="en-GB"/>
        </w:rPr>
        <w:t xml:space="preserve">distant </w:t>
      </w:r>
      <w:r w:rsidRPr="000023A0">
        <w:rPr>
          <w:color w:val="000000"/>
          <w:lang w:val="en-GB"/>
        </w:rPr>
        <w:t>source</w:t>
      </w:r>
      <w:r w:rsidR="002B6B14">
        <w:rPr>
          <w:color w:val="000000"/>
          <w:lang w:val="en-GB"/>
        </w:rPr>
        <w:t>s</w:t>
      </w:r>
      <w:r w:rsidRPr="000023A0">
        <w:rPr>
          <w:color w:val="000000"/>
          <w:lang w:val="en-GB"/>
        </w:rPr>
        <w:t xml:space="preserve"> of contamination (scenario C).</w:t>
      </w:r>
    </w:p>
    <w:p w14:paraId="785C6779" w14:textId="5CF4EBD5" w:rsidR="00A45FDE" w:rsidRPr="00E85448" w:rsidRDefault="00A45FDE" w:rsidP="000023A0">
      <w:pPr>
        <w:pStyle w:val="NormaleWeb"/>
        <w:spacing w:before="240" w:beforeAutospacing="0" w:after="0" w:afterAutospacing="0" w:line="360" w:lineRule="auto"/>
        <w:jc w:val="both"/>
        <w:rPr>
          <w:color w:val="000000"/>
          <w:lang w:val="en-GB"/>
        </w:rPr>
      </w:pPr>
      <w:r w:rsidRPr="000023A0">
        <w:rPr>
          <w:color w:val="000000"/>
          <w:lang w:val="en-GB"/>
        </w:rPr>
        <w:t xml:space="preserve">Three factors </w:t>
      </w:r>
      <w:r w:rsidR="00941CA6">
        <w:rPr>
          <w:color w:val="000000"/>
          <w:lang w:val="en-GB"/>
        </w:rPr>
        <w:t>make</w:t>
      </w:r>
      <w:r w:rsidRPr="000023A0">
        <w:rPr>
          <w:color w:val="000000"/>
          <w:lang w:val="en-GB"/>
        </w:rPr>
        <w:t xml:space="preserve"> a substance </w:t>
      </w:r>
      <w:r w:rsidR="00941CA6">
        <w:rPr>
          <w:color w:val="000000"/>
          <w:lang w:val="en-GB"/>
        </w:rPr>
        <w:t>prone</w:t>
      </w:r>
      <w:r w:rsidRPr="000023A0">
        <w:rPr>
          <w:color w:val="000000"/>
          <w:lang w:val="en-GB"/>
        </w:rPr>
        <w:t xml:space="preserve"> t</w:t>
      </w:r>
      <w:r w:rsidR="00941CA6">
        <w:rPr>
          <w:color w:val="000000"/>
          <w:lang w:val="en-GB"/>
        </w:rPr>
        <w:t>o</w:t>
      </w:r>
      <w:r w:rsidRPr="000023A0">
        <w:rPr>
          <w:color w:val="000000"/>
          <w:lang w:val="en-GB"/>
        </w:rPr>
        <w:t xml:space="preserve"> reach</w:t>
      </w:r>
      <w:r w:rsidR="00941CA6">
        <w:rPr>
          <w:color w:val="000000"/>
          <w:lang w:val="en-GB"/>
        </w:rPr>
        <w:t>ing</w:t>
      </w:r>
      <w:r w:rsidRPr="000023A0">
        <w:rPr>
          <w:color w:val="000000"/>
          <w:lang w:val="en-GB"/>
        </w:rPr>
        <w:t xml:space="preserve"> and accumulat</w:t>
      </w:r>
      <w:r w:rsidR="00941CA6">
        <w:rPr>
          <w:color w:val="000000"/>
          <w:lang w:val="en-GB"/>
        </w:rPr>
        <w:t>ing</w:t>
      </w:r>
      <w:r w:rsidRPr="000023A0">
        <w:rPr>
          <w:color w:val="000000"/>
          <w:lang w:val="en-GB"/>
        </w:rPr>
        <w:t xml:space="preserve"> in remote region</w:t>
      </w:r>
      <w:r w:rsidR="00941CA6">
        <w:rPr>
          <w:color w:val="000000"/>
          <w:lang w:val="en-GB"/>
        </w:rPr>
        <w:t>s</w:t>
      </w:r>
      <w:r w:rsidRPr="000023A0">
        <w:rPr>
          <w:color w:val="000000"/>
          <w:lang w:val="en-GB"/>
        </w:rPr>
        <w:t xml:space="preserve"> through atmospheric long-range transport. First, the contaminant must be present in significant quantities in the air</w:t>
      </w:r>
      <w:r w:rsidR="00944075">
        <w:rPr>
          <w:color w:val="000000"/>
          <w:lang w:val="en-GB"/>
        </w:rPr>
        <w:t>,</w:t>
      </w:r>
      <w:r w:rsidRPr="000023A0">
        <w:rPr>
          <w:color w:val="000000"/>
          <w:lang w:val="en-GB"/>
        </w:rPr>
        <w:t xml:space="preserve"> either by direct emissions or by evaporation from </w:t>
      </w:r>
      <w:r w:rsidR="00941CA6">
        <w:rPr>
          <w:color w:val="000000"/>
          <w:lang w:val="en-GB"/>
        </w:rPr>
        <w:t>environmental</w:t>
      </w:r>
      <w:r w:rsidRPr="000023A0">
        <w:rPr>
          <w:color w:val="000000"/>
          <w:lang w:val="en-GB"/>
        </w:rPr>
        <w:t xml:space="preserve"> medi</w:t>
      </w:r>
      <w:r w:rsidR="00941CA6">
        <w:rPr>
          <w:color w:val="000000"/>
          <w:lang w:val="en-GB"/>
        </w:rPr>
        <w:t>a</w:t>
      </w:r>
      <w:r w:rsidRPr="000023A0">
        <w:rPr>
          <w:color w:val="000000"/>
          <w:lang w:val="en-GB"/>
        </w:rPr>
        <w:t xml:space="preserve">. In this case, EHMC is globally a large volume production chemical, and its atmospheric occurrence could be associated with the use of personal care products or the manufacture of plastics. Second, the substance must be persistent enough in the atmosphere to be transported a considerable distance. Last, the physicochemical </w:t>
      </w:r>
      <w:r w:rsidR="0037390A">
        <w:rPr>
          <w:color w:val="000000"/>
          <w:lang w:val="en-GB"/>
        </w:rPr>
        <w:t xml:space="preserve">properties </w:t>
      </w:r>
      <w:r w:rsidR="0037390A" w:rsidRPr="000023A0">
        <w:rPr>
          <w:color w:val="000000"/>
          <w:lang w:val="en-GB"/>
        </w:rPr>
        <w:t>the atmosphere</w:t>
      </w:r>
      <w:r w:rsidR="0037390A">
        <w:rPr>
          <w:color w:val="000000"/>
          <w:lang w:val="en-GB"/>
        </w:rPr>
        <w:t xml:space="preserve">, primarily </w:t>
      </w:r>
      <w:r w:rsidR="0037390A" w:rsidRPr="000023A0">
        <w:rPr>
          <w:color w:val="000000"/>
          <w:lang w:val="en-GB"/>
        </w:rPr>
        <w:t>vapor pressure and the gas-particle partition coefficient (</w:t>
      </w:r>
      <w:proofErr w:type="spellStart"/>
      <w:r w:rsidR="0037390A" w:rsidRPr="000023A0">
        <w:rPr>
          <w:color w:val="000000"/>
          <w:lang w:val="en-GB"/>
        </w:rPr>
        <w:t>K</w:t>
      </w:r>
      <w:r w:rsidR="0037390A" w:rsidRPr="000023A0">
        <w:rPr>
          <w:color w:val="000000"/>
          <w:sz w:val="14"/>
          <w:szCs w:val="14"/>
          <w:vertAlign w:val="subscript"/>
          <w:lang w:val="en-GB"/>
        </w:rPr>
        <w:t>p</w:t>
      </w:r>
      <w:proofErr w:type="spellEnd"/>
      <w:r w:rsidR="0037390A" w:rsidRPr="000023A0">
        <w:rPr>
          <w:color w:val="000000"/>
          <w:lang w:val="en-GB"/>
        </w:rPr>
        <w:t>)</w:t>
      </w:r>
      <w:r w:rsidR="0037390A">
        <w:rPr>
          <w:color w:val="000000"/>
          <w:lang w:val="en-GB"/>
        </w:rPr>
        <w:t>, should promote the</w:t>
      </w:r>
      <w:r w:rsidRPr="000023A0">
        <w:rPr>
          <w:color w:val="000000"/>
          <w:lang w:val="en-GB"/>
        </w:rPr>
        <w:t xml:space="preserve"> transport and deposit</w:t>
      </w:r>
      <w:r w:rsidR="00944075">
        <w:rPr>
          <w:color w:val="000000"/>
          <w:lang w:val="en-GB"/>
        </w:rPr>
        <w:t>ion</w:t>
      </w:r>
      <w:r w:rsidRPr="000023A0">
        <w:rPr>
          <w:color w:val="000000"/>
          <w:lang w:val="en-GB"/>
        </w:rPr>
        <w:t xml:space="preserve"> </w:t>
      </w:r>
      <w:r w:rsidR="0037390A">
        <w:rPr>
          <w:color w:val="000000"/>
          <w:lang w:val="en-GB"/>
        </w:rPr>
        <w:t>of the substance</w:t>
      </w:r>
      <w:r w:rsidR="0037390A" w:rsidRPr="000023A0">
        <w:rPr>
          <w:color w:val="000000"/>
          <w:lang w:val="en-GB"/>
        </w:rPr>
        <w:t xml:space="preserve"> </w:t>
      </w:r>
      <w:r w:rsidRPr="000023A0">
        <w:rPr>
          <w:color w:val="000000"/>
          <w:lang w:val="en-GB"/>
        </w:rPr>
        <w:t>in remote regions</w:t>
      </w:r>
      <w:r w:rsidR="0037390A">
        <w:rPr>
          <w:color w:val="000000"/>
          <w:lang w:val="en-GB"/>
        </w:rPr>
        <w:t xml:space="preserve"> </w:t>
      </w:r>
      <w:r w:rsidR="00E85448">
        <w:rPr>
          <w:color w:val="000000"/>
          <w:lang w:val="en-GB"/>
        </w:rPr>
        <w:fldChar w:fldCharType="begin" w:fldLock="1"/>
      </w:r>
      <w:r w:rsidR="007A5F81">
        <w:rPr>
          <w:color w:val="000000"/>
          <w:lang w:val="en-GB"/>
        </w:rPr>
        <w:instrText>ADDIN CSL_CITATION {"citationItems":[{"id":"ITEM-1","itemData":{"DOI":"10.1504/IJENVH.2018.090865","ISSN":"17434963","abstract":"The UVB filter E-ethylhexyl p-methoxycinnamate (E-EHMC) is extensively used as UV protectant in commercial products. Besides, it is well known that it photoisomerises into Z-EHMC. In this work, ΔvapH (Tm) and vapour pressure, P (Pa) at 298.15 K, of E-EHMC and Z-EHMC were estimated using an indirect experimental method developed in our laboratory named effusion method under atmospheric pressure (EMAP). The atmospheric particle bound fraction (φ) and the gas-particle partition coefficient (KP) for E-EHMC and Z-EHMC were derived from the vapour pressure, P (Pa) (298.15 K), estimated by EMAP methodology.","author":[{"dropping-particle":"","family":"Pegoraro","given":"César Nicolás","non-dropping-particle":"","parse-names":false,"suffix":""},{"dropping-particle":"","family":"Montejano","given":"Hernán A.","non-dropping-particle":"","parse-names":false,"suffix":""},{"dropping-particle":"","family":"Chiappero","given":"Malisa S.","non-dropping-particle":"","parse-names":false,"suffix":""}],"container-title":"International Journal of Environment and Health","id":"ITEM-1","issue":"1","issued":{"date-parts":[["2018"]]},"page":"66-83","title":"Atmospheric gas-particle partitioning of E-EHMC and Z-EHMC estimated from their liquid vapour pressures at 298.15 K","type":"paper-conference","volume":"9"},"uris":["http://www.mendeley.com/documents/?uuid=f6ceb437-f06d-4e28-bd40-58babed23b46","http://www.mendeley.com/documents/?uuid=70bb1be1-3f64-4edc-982e-02c7a0471803"]}],"mendeley":{"formattedCitation":"[29]","plainTextFormattedCitation":"[29]","previouslyFormattedCitation":"&lt;sup&gt;29&lt;/sup&gt;"},"properties":{"noteIndex":0},"schema":"https://github.com/citation-style-language/schema/raw/master/csl-citation.json"}</w:instrText>
      </w:r>
      <w:r w:rsidR="00E85448">
        <w:rPr>
          <w:color w:val="000000"/>
          <w:lang w:val="en-GB"/>
        </w:rPr>
        <w:fldChar w:fldCharType="separate"/>
      </w:r>
      <w:r w:rsidR="007A5F81" w:rsidRPr="007A5F81">
        <w:rPr>
          <w:noProof/>
          <w:color w:val="000000"/>
          <w:lang w:val="en-GB"/>
        </w:rPr>
        <w:t>[29]</w:t>
      </w:r>
      <w:r w:rsidR="00E85448">
        <w:rPr>
          <w:color w:val="000000"/>
          <w:lang w:val="en-GB"/>
        </w:rPr>
        <w:fldChar w:fldCharType="end"/>
      </w:r>
      <w:r w:rsidRPr="000023A0">
        <w:rPr>
          <w:color w:val="000000"/>
          <w:lang w:val="en-GB"/>
        </w:rPr>
        <w:t xml:space="preserve">. </w:t>
      </w:r>
      <w:r w:rsidRPr="001A06CC">
        <w:rPr>
          <w:color w:val="000000"/>
          <w:lang w:val="en-GB"/>
        </w:rPr>
        <w:t xml:space="preserve">Recent assessments of the physical and chemical properties of EHMC </w:t>
      </w:r>
      <w:r w:rsidR="0073222F">
        <w:rPr>
          <w:color w:val="000000"/>
        </w:rPr>
        <w:t xml:space="preserve">(Table </w:t>
      </w:r>
      <w:r w:rsidR="00663EA2">
        <w:rPr>
          <w:color w:val="000000"/>
        </w:rPr>
        <w:t>1</w:t>
      </w:r>
      <w:r w:rsidR="0073222F">
        <w:rPr>
          <w:color w:val="000000"/>
        </w:rPr>
        <w:t>)</w:t>
      </w:r>
      <w:r w:rsidRPr="001A06CC">
        <w:rPr>
          <w:color w:val="000000"/>
          <w:lang w:val="en-GB"/>
        </w:rPr>
        <w:t xml:space="preserve"> suggest</w:t>
      </w:r>
      <w:r w:rsidRPr="00D8615C">
        <w:rPr>
          <w:color w:val="000000"/>
          <w:lang w:val="en-GB"/>
        </w:rPr>
        <w:t xml:space="preserve"> it can be found in the atmosphere both in the gas phase and associated with particles</w:t>
      </w:r>
      <w:r w:rsidR="00E85448" w:rsidRPr="00D8615C">
        <w:rPr>
          <w:color w:val="000000"/>
          <w:lang w:val="en-GB"/>
        </w:rPr>
        <w:t xml:space="preserve"> </w:t>
      </w:r>
      <w:r w:rsidR="00E85448" w:rsidRPr="00D8615C">
        <w:rPr>
          <w:color w:val="000000"/>
          <w:lang w:val="en-GB"/>
        </w:rPr>
        <w:fldChar w:fldCharType="begin" w:fldLock="1"/>
      </w:r>
      <w:r w:rsidR="007A5F81">
        <w:rPr>
          <w:color w:val="000000"/>
          <w:lang w:val="en-GB"/>
        </w:rPr>
        <w:instrText>ADDIN CSL_CITATION {"citationItems":[{"id":"ITEM-1","itemData":{"DOI":"10.1016/j.chemosphere.2015.07.035","ISSN":"18791298","PMID":"26210018","abstract":"2-Ethylhexyl 4-methoxycinnamate is one of the UVB blocking agents more widely used in a variety of industrial fields. There are more than one hundred industrial suppliers worldwide. Given the enormous annual consumption of octinoxate, problems that arise due to the accumulation of this compound in nature should be taken into consideration. The GC-RT was used in this work with the aim of determining the vapor pressure, enthalpies of vaporization and octanol-air partition coefficient, for the BBP, DOP, E- and Z-EHMC esters. The results showed that Z-EHMC is almost five times more volatile than E-EHMC. Moreover, BBP, Z-EHMC and E-EHMC can be classified as substances with a relatively low mobility since they lie within the range of 8&lt;logKOA&lt;10 and -4&lt;log(PL/Pa)&lt;-2, while DOP lies in the range of logKOA10 and log(PL/Pa)&lt;-4, therefore, a low mobility can be expected. From these parameters, their particle-bound fraction and gas-particle partition coefficient were also derived.","author":[{"dropping-particle":"","family":"Pegoraro","given":"César N","non-dropping-particle":"","parse-names":false,"suffix":""},{"dropping-particle":"","family":"Chiappero","given":"Malisa S","non-dropping-particle":"","parse-names":false,"suffix":""},{"dropping-particle":"","family":"Montejano","given":"Hernán A","non-dropping-particle":"","parse-names":false,"suffix":""}],"container-title":"Chemosphere","id":"ITEM-1","issued":{"date-parts":[["2015"]]},"page":"546-552","title":"Measurements of octanol-air partition coefficients, vapor pressures and vaporization enthalpies of the (E) and (Z) isomers of the 2-ethylhexyl 4-methoxycinnamate as parameters of environmental impact assessment","type":"article-journal","volume":"138"},"uris":["http://www.mendeley.com/documents/?uuid=5014623d-2331-48b2-b161-a6745226cd61","http://www.mendeley.com/documents/?uuid=3f421e24-c40e-4824-b1ce-602317182b82"]},{"id":"ITEM-2","itemData":{"DOI":"10.1504/IJENVH.2018.090865","ISSN":"17434963","abstract":"The UVB filter E-ethylhexyl p-methoxycinnamate (E-EHMC) is extensively used as UV protectant in commercial products. Besides, it is well known that it photoisomerises into Z-EHMC. In this work, ΔvapH (Tm) and vapour pressure, P (Pa) at 298.15 K, of E-EHMC and Z-EHMC were estimated using an indirect experimental method developed in our laboratory named effusion method under atmospheric pressure (EMAP). The atmospheric particle bound fraction (φ) and the gas-particle partition coefficient (KP) for E-EHMC and Z-EHMC were derived from the vapour pressure, P (Pa) (298.15 K), estimated by EMAP methodology.","author":[{"dropping-particle":"","family":"Pegoraro","given":"César Nicolás","non-dropping-particle":"","parse-names":false,"suffix":""},{"dropping-particle":"","family":"Montejano","given":"Hernán A.","non-dropping-particle":"","parse-names":false,"suffix":""},{"dropping-particle":"","family":"Chiappero","given":"Malisa S.","non-dropping-particle":"","parse-names":false,"suffix":""}],"container-title":"International Journal of Environment and Health","id":"ITEM-2","issue":"1","issued":{"date-parts":[["2018"]]},"page":"66-83","title":"Atmospheric gas-particle partitioning of E-EHMC and Z-EHMC estimated from their liquid vapour pressures at 298.15 K","type":"paper-conference","volume":"9"},"uris":["http://www.mendeley.com/documents/?uuid=70bb1be1-3f64-4edc-982e-02c7a0471803","http://www.mendeley.com/documents/?uuid=f6ceb437-f06d-4e28-bd40-58babed23b46"]}],"mendeley":{"formattedCitation":"[29,30]","plainTextFormattedCitation":"[29,30]","previouslyFormattedCitation":"&lt;sup&gt;29,30&lt;/sup&gt;"},"properties":{"noteIndex":0},"schema":"https://github.com/citation-style-language/schema/raw/master/csl-citation.json"}</w:instrText>
      </w:r>
      <w:r w:rsidR="00E85448" w:rsidRPr="00D8615C">
        <w:rPr>
          <w:color w:val="000000"/>
          <w:lang w:val="en-GB"/>
        </w:rPr>
        <w:fldChar w:fldCharType="separate"/>
      </w:r>
      <w:r w:rsidR="007A5F81" w:rsidRPr="007A5F81">
        <w:rPr>
          <w:noProof/>
          <w:color w:val="000000"/>
          <w:lang w:val="en-GB"/>
        </w:rPr>
        <w:t>[29,30]</w:t>
      </w:r>
      <w:r w:rsidR="00E85448" w:rsidRPr="00D8615C">
        <w:rPr>
          <w:color w:val="000000"/>
          <w:lang w:val="en-GB"/>
        </w:rPr>
        <w:fldChar w:fldCharType="end"/>
      </w:r>
      <w:r w:rsidRPr="00D8615C">
        <w:rPr>
          <w:color w:val="000000"/>
          <w:lang w:val="en-GB"/>
        </w:rPr>
        <w:t>. Field studies</w:t>
      </w:r>
      <w:r w:rsidRPr="000023A0">
        <w:rPr>
          <w:color w:val="000000"/>
          <w:lang w:val="en-GB"/>
        </w:rPr>
        <w:t xml:space="preserve"> conducted in urban air at mid-latitudes show that at 25° C the average particulate percentage (φ/%) is 1.4 ± 4.3</w:t>
      </w:r>
      <w:r w:rsidR="00FC5D8C">
        <w:rPr>
          <w:color w:val="000000"/>
          <w:lang w:val="en-GB"/>
        </w:rPr>
        <w:t xml:space="preserve"> </w:t>
      </w:r>
      <w:r w:rsidR="00FC5D8C">
        <w:rPr>
          <w:color w:val="000000"/>
          <w:lang w:val="en-GB"/>
        </w:rPr>
        <w:fldChar w:fldCharType="begin" w:fldLock="1"/>
      </w:r>
      <w:r w:rsidR="007A5F81">
        <w:rPr>
          <w:color w:val="000000"/>
          <w:lang w:val="en-GB"/>
        </w:rPr>
        <w:instrText xml:space="preserve">ADDIN CSL_CITATION {"citationItems":[{"id":"ITEM-1","itemData":{"DOI":"10.1021/acs.est.0c02665","ISSN":"15205851","PMID":"32924452","abstract":"A retrospective analysis of a comprehensive series of high-volume air samples (n = 70) collected during 2010-2011 in Toronto (Canada) was performed. Seven UV compounds were analyzed by gas chromatography-tandem mass spectrometry (GC-MS/MS) with sum of concentrations (gas + particle phase) ranging from 80 to 2030 pg/m3. Homosalate (HMS) was the most prevalent organic UV-filter in air (47% of the total concentration), followed by 2-ethylhexyl salicylate (EHS, </w:instrText>
      </w:r>
      <w:r w:rsidR="007A5F81">
        <w:rPr>
          <w:rFonts w:ascii="Cambria Math" w:hAnsi="Cambria Math" w:cs="Cambria Math"/>
          <w:color w:val="000000"/>
          <w:lang w:val="en-GB"/>
        </w:rPr>
        <w:instrText>∼</w:instrText>
      </w:r>
      <w:r w:rsidR="007A5F81">
        <w:rPr>
          <w:color w:val="000000"/>
          <w:lang w:val="en-GB"/>
        </w:rPr>
        <w:instrText xml:space="preserve">29%), E- and Z-2-ethylhexyl 4-methoxycinnamate (EHMC, </w:instrText>
      </w:r>
      <w:r w:rsidR="007A5F81">
        <w:rPr>
          <w:rFonts w:ascii="Cambria Math" w:hAnsi="Cambria Math" w:cs="Cambria Math"/>
          <w:color w:val="000000"/>
          <w:lang w:val="en-GB"/>
        </w:rPr>
        <w:instrText>∼</w:instrText>
      </w:r>
      <w:r w:rsidR="007A5F81">
        <w:rPr>
          <w:color w:val="000000"/>
          <w:lang w:val="en-GB"/>
        </w:rPr>
        <w:instrText>17%). Ambient air (gas + particle phase) concentrations of organic UV-filters showed a strong seasonality, with peak levels during the summer. An analysis of Clausius-Clapeyron slopes indicated that much of the ambient burden of organic UV-filters are explained by volatilization from terrestrial and aquatic surfaces and supplemented with human activities and use of lotions and sunscreens, containing organic UV-filters, in addition to its use in plastics, textiles, paints, and pesticides. The results showed that organic UV-filters exist mainly in the gas phase with some exceptions, for instance, octocrylene (OCR), which was associated with both gas and particle phases, and avobenzone (AVB), which was predominantly in the particle phase. Lastly, this study revealed the need for basic physical chemical property data for organic UV-filters, including information on transformation rates and products, for better evaluating their environmental fate and effects.","author":[{"dropping-particle":"","family":"Pegoraro","given":"César N.","non-dropping-particle":"","parse-names":false,"suffix":""},{"dropping-particle":"","family":"Harner","given":"Tom","non-dropping-particle":"","parse-names":false,"suffix":""},{"dropping-particle":"","family":"Su","given":"Ky","non-dropping-particle":"","parse-names":false,"suffix":""},{"dropping-particle":"","family":"Ahrens","given":"Lutz","non-dropping-particle":"","parse-names":false,"suffix":""}],"container-title":"Environmental science &amp; technology","id":"ITEM-1","issue":"20","issued":{"date-parts":[["2020"]]},"page":"12881-12889","title":"Occurrence and Gas-Particle Partitioning of Organic UV-Filters in Urban Air","type":"article-journal","volume":"54"},"uris":["http://www.mendeley.com/documents/?uuid=deedf208-49ac-4adb-86d6-2d743493b7f3"]}],"mendeley":{"formattedCitation":"[15]","plainTextFormattedCitation":"[15]","previouslyFormattedCitation":"&lt;sup&gt;15&lt;/sup&gt;"},"properties":{"noteIndex":0},"schema":"https://github.com/citation-style-language/schema/raw/master/csl-citation.json"}</w:instrText>
      </w:r>
      <w:r w:rsidR="00FC5D8C">
        <w:rPr>
          <w:color w:val="000000"/>
          <w:lang w:val="en-GB"/>
        </w:rPr>
        <w:fldChar w:fldCharType="separate"/>
      </w:r>
      <w:r w:rsidR="007A5F81" w:rsidRPr="007A5F81">
        <w:rPr>
          <w:noProof/>
          <w:color w:val="000000"/>
          <w:lang w:val="en-GB"/>
        </w:rPr>
        <w:t>[15]</w:t>
      </w:r>
      <w:r w:rsidR="00FC5D8C">
        <w:rPr>
          <w:color w:val="000000"/>
          <w:lang w:val="en-GB"/>
        </w:rPr>
        <w:fldChar w:fldCharType="end"/>
      </w:r>
      <w:r w:rsidRPr="000023A0">
        <w:rPr>
          <w:color w:val="000000"/>
          <w:lang w:val="en-GB"/>
        </w:rPr>
        <w:t xml:space="preserve">. The tendency to find EHMC either in the air or the particulate phase is related to air </w:t>
      </w:r>
      <w:r w:rsidR="008E47E5" w:rsidRPr="000023A0">
        <w:rPr>
          <w:color w:val="000000"/>
          <w:lang w:val="en-GB"/>
        </w:rPr>
        <w:t>temperatures,</w:t>
      </w:r>
      <w:r w:rsidRPr="000023A0">
        <w:rPr>
          <w:color w:val="000000"/>
          <w:lang w:val="en-GB"/>
        </w:rPr>
        <w:t xml:space="preserve"> and </w:t>
      </w:r>
      <w:r w:rsidR="007E0923">
        <w:rPr>
          <w:color w:val="000000"/>
          <w:lang w:val="en-GB"/>
        </w:rPr>
        <w:t xml:space="preserve">it </w:t>
      </w:r>
      <w:r w:rsidRPr="000023A0">
        <w:rPr>
          <w:color w:val="000000"/>
          <w:lang w:val="en-GB"/>
        </w:rPr>
        <w:t xml:space="preserve">was observed a positive correlation between air concentrations and air temperature. Similarly, the volatilization of EHMC from terrestrial and aquatic surfaces was also </w:t>
      </w:r>
      <w:r w:rsidRPr="000023A0">
        <w:rPr>
          <w:color w:val="000000"/>
          <w:lang w:val="en-GB"/>
        </w:rPr>
        <w:lastRenderedPageBreak/>
        <w:t xml:space="preserve">found to be favoured by higher temperatures </w:t>
      </w:r>
      <w:r w:rsidR="00FC5D8C">
        <w:rPr>
          <w:color w:val="000000"/>
          <w:lang w:val="en-GB"/>
        </w:rPr>
        <w:fldChar w:fldCharType="begin" w:fldLock="1"/>
      </w:r>
      <w:r w:rsidR="007A5F81">
        <w:rPr>
          <w:color w:val="000000"/>
          <w:lang w:val="en-GB"/>
        </w:rPr>
        <w:instrText xml:space="preserve">ADDIN CSL_CITATION {"citationItems":[{"id":"ITEM-1","itemData":{"DOI":"10.1021/acs.est.0c02665","ISSN":"15205851","PMID":"32924452","abstract":"A retrospective analysis of a comprehensive series of high-volume air samples (n = 70) collected during 2010-2011 in Toronto (Canada) was performed. Seven UV compounds were analyzed by gas chromatography-tandem mass spectrometry (GC-MS/MS) with sum of concentrations (gas + particle phase) ranging from 80 to 2030 pg/m3. Homosalate (HMS) was the most prevalent organic UV-filter in air (47% of the total concentration), followed by 2-ethylhexyl salicylate (EHS, </w:instrText>
      </w:r>
      <w:r w:rsidR="007A5F81">
        <w:rPr>
          <w:rFonts w:ascii="Cambria Math" w:hAnsi="Cambria Math" w:cs="Cambria Math"/>
          <w:color w:val="000000"/>
          <w:lang w:val="en-GB"/>
        </w:rPr>
        <w:instrText>∼</w:instrText>
      </w:r>
      <w:r w:rsidR="007A5F81">
        <w:rPr>
          <w:color w:val="000000"/>
          <w:lang w:val="en-GB"/>
        </w:rPr>
        <w:instrText xml:space="preserve">29%), E- and Z-2-ethylhexyl 4-methoxycinnamate (EHMC, </w:instrText>
      </w:r>
      <w:r w:rsidR="007A5F81">
        <w:rPr>
          <w:rFonts w:ascii="Cambria Math" w:hAnsi="Cambria Math" w:cs="Cambria Math"/>
          <w:color w:val="000000"/>
          <w:lang w:val="en-GB"/>
        </w:rPr>
        <w:instrText>∼</w:instrText>
      </w:r>
      <w:r w:rsidR="007A5F81">
        <w:rPr>
          <w:color w:val="000000"/>
          <w:lang w:val="en-GB"/>
        </w:rPr>
        <w:instrText>17%). Ambient air (gas + particle phase) concentrations of organic UV-filters showed a strong seasonality, with peak levels during the summer. An analysis of Clausius-Clapeyron slopes indicated that much of the ambient burden of organic UV-filters are explained by volatilization from terrestrial and aquatic surfaces and supplemented with human activities and use of lotions and sunscreens, containing organic UV-filters, in addition to its use in plastics, textiles, paints, and pesticides. The results showed that organic UV-filters exist mainly in the gas phase with some exceptions, for instance, octocrylene (OCR), which was associated with both gas and particle phases, and avobenzone (AVB), which was predominantly in the particle phase. Lastly, this study revealed the need for basic physical chemical property data for organic UV-filters, including information on transformation rates and products, for better evaluating their environmental fate and effects.","author":[{"dropping-particle":"","family":"Pegoraro","given":"César N.","non-dropping-particle":"","parse-names":false,"suffix":""},{"dropping-particle":"","family":"Harner","given":"Tom","non-dropping-particle":"","parse-names":false,"suffix":""},{"dropping-particle":"","family":"Su","given":"Ky","non-dropping-particle":"","parse-names":false,"suffix":""},{"dropping-particle":"","family":"Ahrens","given":"Lutz","non-dropping-particle":"","parse-names":false,"suffix":""}],"container-title":"Environmental science &amp; technology","id":"ITEM-1","issue":"20","issued":{"date-parts":[["2020"]]},"page":"12881-12889","title":"Occurrence and Gas-Particle Partitioning of Organic UV-Filters in Urban Air","type":"article-journal","volume":"54"},"uris":["http://www.mendeley.com/documents/?uuid=deedf208-49ac-4adb-86d6-2d743493b7f3"]}],"mendeley":{"formattedCitation":"[15]","plainTextFormattedCitation":"[15]","previouslyFormattedCitation":"&lt;sup&gt;15&lt;/sup&gt;"},"properties":{"noteIndex":0},"schema":"https://github.com/citation-style-language/schema/raw/master/csl-citation.json"}</w:instrText>
      </w:r>
      <w:r w:rsidR="00FC5D8C">
        <w:rPr>
          <w:color w:val="000000"/>
          <w:lang w:val="en-GB"/>
        </w:rPr>
        <w:fldChar w:fldCharType="separate"/>
      </w:r>
      <w:r w:rsidR="007A5F81" w:rsidRPr="007A5F81">
        <w:rPr>
          <w:noProof/>
          <w:color w:val="000000"/>
          <w:lang w:val="en-GB"/>
        </w:rPr>
        <w:t>[15]</w:t>
      </w:r>
      <w:r w:rsidR="00FC5D8C">
        <w:rPr>
          <w:color w:val="000000"/>
          <w:lang w:val="en-GB"/>
        </w:rPr>
        <w:fldChar w:fldCharType="end"/>
      </w:r>
      <w:r w:rsidRPr="000023A0">
        <w:rPr>
          <w:color w:val="000000"/>
          <w:lang w:val="en-GB"/>
        </w:rPr>
        <w:t xml:space="preserve">. </w:t>
      </w:r>
      <w:r w:rsidRPr="000023A0">
        <w:rPr>
          <w:color w:val="000000"/>
          <w:shd w:val="clear" w:color="auto" w:fill="FFFFFF"/>
          <w:lang w:val="en-GB"/>
        </w:rPr>
        <w:t>Assuming that at lower air temperature EHMC is associated with atmospheric particles, we can then expect a shift towards a higher average particulate percentage in polar regions. Generally, organic chemicals in the atmosphere can be deposited on the surface through dry or wet deposition events. In polar regions, precipitations mainly occur in the form of snow, which is a scavenger for both gaseous and particle-bound organic contaminants</w:t>
      </w:r>
      <w:r w:rsidR="00FC3219">
        <w:rPr>
          <w:color w:val="000000"/>
          <w:shd w:val="clear" w:color="auto" w:fill="FFFFFF"/>
          <w:lang w:val="en-GB"/>
        </w:rPr>
        <w:t xml:space="preserve"> </w:t>
      </w:r>
      <w:r w:rsidR="00FC5D8C">
        <w:rPr>
          <w:color w:val="000000"/>
          <w:shd w:val="clear" w:color="auto" w:fill="FFFFFF"/>
          <w:lang w:val="en-GB"/>
        </w:rPr>
        <w:fldChar w:fldCharType="begin" w:fldLock="1"/>
      </w:r>
      <w:r w:rsidR="007A5F81">
        <w:rPr>
          <w:color w:val="000000"/>
          <w:shd w:val="clear" w:color="auto" w:fill="FFFFFF"/>
          <w:lang w:val="en-GB"/>
        </w:rPr>
        <w:instrText>ADDIN CSL_CITATION {"citationItems":[{"id":"ITEM-1","itemData":{"DOI":"10.1016/j.atmosenv.2004.03.039","ISSN":"13522310","author":[{"dropping-particle":"","family":"Lei","given":"Ying Duan","non-dropping-particle":"","parse-names":false,"suffix":""},{"dropping-particle":"","family":"Wania","given":"Frank","non-dropping-particle":"","parse-names":false,"suffix":""}],"container-title":"Atmospheric Environment","id":"ITEM-1","issue":"22","issued":{"date-parts":[["2004","7"]]},"page":"3557-3571","title":"Is rain or snow a more efficient scavenger of organic chemicals?","type":"article-journal","volume":"38"},"uris":["http://www.mendeley.com/documents/?uuid=83788267-ad89-421e-9246-93fc559ab829"]}],"mendeley":{"formattedCitation":"[31]","plainTextFormattedCitation":"[31]","previouslyFormattedCitation":"&lt;sup&gt;31&lt;/sup&gt;"},"properties":{"noteIndex":0},"schema":"https://github.com/citation-style-language/schema/raw/master/csl-citation.json"}</w:instrText>
      </w:r>
      <w:r w:rsidR="00FC5D8C">
        <w:rPr>
          <w:color w:val="000000"/>
          <w:shd w:val="clear" w:color="auto" w:fill="FFFFFF"/>
          <w:lang w:val="en-GB"/>
        </w:rPr>
        <w:fldChar w:fldCharType="separate"/>
      </w:r>
      <w:r w:rsidR="007A5F81" w:rsidRPr="007A5F81">
        <w:rPr>
          <w:noProof/>
          <w:color w:val="000000"/>
          <w:shd w:val="clear" w:color="auto" w:fill="FFFFFF"/>
          <w:lang w:val="en-GB"/>
        </w:rPr>
        <w:t>[31]</w:t>
      </w:r>
      <w:r w:rsidR="00FC5D8C">
        <w:rPr>
          <w:color w:val="000000"/>
          <w:shd w:val="clear" w:color="auto" w:fill="FFFFFF"/>
          <w:lang w:val="en-GB"/>
        </w:rPr>
        <w:fldChar w:fldCharType="end"/>
      </w:r>
      <w:r w:rsidRPr="000023A0">
        <w:rPr>
          <w:color w:val="000000"/>
          <w:shd w:val="clear" w:color="auto" w:fill="FFFFFF"/>
          <w:lang w:val="en-GB"/>
        </w:rPr>
        <w:t xml:space="preserve">. Therefore, </w:t>
      </w:r>
      <w:r w:rsidR="00FC5D8C" w:rsidRPr="000023A0">
        <w:rPr>
          <w:color w:val="000000"/>
          <w:shd w:val="clear" w:color="auto" w:fill="FFFFFF"/>
          <w:lang w:val="en-GB"/>
        </w:rPr>
        <w:t>particle bound</w:t>
      </w:r>
      <w:r w:rsidRPr="000023A0">
        <w:rPr>
          <w:color w:val="000000"/>
          <w:shd w:val="clear" w:color="auto" w:fill="FFFFFF"/>
          <w:lang w:val="en-GB"/>
        </w:rPr>
        <w:t xml:space="preserve"> EHMC present in the atmosphere can be removed by snow precipitations and deposited in the snowpack.</w:t>
      </w:r>
    </w:p>
    <w:p w14:paraId="440053D4" w14:textId="7283F33B" w:rsidR="00A45FDE" w:rsidRPr="00A45FDE" w:rsidRDefault="00A45FDE" w:rsidP="000023A0">
      <w:pPr>
        <w:spacing w:before="240" w:after="0" w:line="360" w:lineRule="auto"/>
        <w:jc w:val="both"/>
        <w:rPr>
          <w:rFonts w:ascii="Times New Roman" w:eastAsia="Times New Roman" w:hAnsi="Times New Roman" w:cs="Times New Roman"/>
          <w:sz w:val="24"/>
          <w:szCs w:val="24"/>
        </w:rPr>
      </w:pPr>
      <w:r w:rsidRPr="00A45FDE">
        <w:rPr>
          <w:rFonts w:ascii="Times New Roman" w:eastAsia="Times New Roman" w:hAnsi="Times New Roman" w:cs="Times New Roman"/>
          <w:color w:val="000000"/>
          <w:sz w:val="24"/>
          <w:szCs w:val="24"/>
        </w:rPr>
        <w:t>A recent study conducted by</w:t>
      </w:r>
      <w:r w:rsidR="00FC5D8C">
        <w:rPr>
          <w:rFonts w:ascii="Times New Roman" w:eastAsia="Times New Roman" w:hAnsi="Times New Roman" w:cs="Times New Roman"/>
          <w:color w:val="000000"/>
          <w:sz w:val="24"/>
          <w:szCs w:val="24"/>
        </w:rPr>
        <w:t xml:space="preserve"> </w:t>
      </w:r>
      <w:r w:rsidR="00FC5D8C">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{"citationItems":[{"id":"ITEM-1","itemData":{"DOI":"10.1007/s11356-018-1796-6","ISSN":"16147499","PMID":"29594898","abstract":"The organic UV filters, commonly used in personal protection products, are of concern because of their potential risk to aquatic ecosystems and living organisms. One of UV filters is ethylhexyl-4-methoxycinnamate (EHMC) acid. Studies have shown that, in the presence of oxidizing and chlorinating factors, EHMC forms a series of products with different properties than the substrate. In this study, the toxicities of EHMC and its transformation/degradation products formed under the influence of NaOCl/UV and H2O2/UV systems in the water medium were tested using Microtox® bioassay and by observation of mortality of juvenile crustaceans Daphnia magna and Artemia Salina. We have observed that oxidation and chlorination products of EHMC show significantly higher toxicity than EHMC alone. The toxicity of chemicals is related to their physicochemical characteristic such as lipophilicity and substituent groups. With the increase in lipophilicity of products, expressed as log KOW, the toxicity (EC50) increases. On the basis of physicochemical properties such as vapour pressure (VP), solubility (S), octanol-water partition coefficient (KOW), bioconcentration factor (BCF) and half-lives, the overall persistence (POV) and long-range transport potential (LRTP) of all the products and EHMC were calculated. It was shown that the most persistent and traveling on the long distances in environment are methoxyphenol chloroderivatives, then methoxybenzene chloroderivatives, EHMC chloroderivatives, methoxybenzaldehyde chloroderivatives and methoxycinnamate acid chloroderivatives. These compounds are also characterised by high toxicity.","author":[{"dropping-particle":"","family":"Gackowska","given":"Alicja","non-dropping-particle":"","parse-names":false,"suffix":""},{"dropping-particle":"","family":"Studziński","given":"Waldemar","non-dropping-particle":"","parse-names":false,"suffix":""},{"dropping-particle":"","family":"Kudlek","given":"Edyta","non-dropping-particle":"","parse-names":false,"suffix":""},{"dropping-particle":"","family":"Dudziak","given":"Mariusz","non-dropping-particle":"","parse-names":false,"suffix":""},{"dropping-particle":"","family":"Gaca","given":"Jerzy","non-dropping-particle":"","parse-names":false,"suffix":""}],"container-title":"Environmental Science and Pollution Research","id":"ITEM-1","issue":"16","issued":{"date-parts":[["2018"]]},"page":"16037-16049","title":"Estimation of physicochemical properties of 2-ethylhexyl-4-methoxycinnamate (EHMC) degradation products and their toxicological evaluation","type":"article-journal","volume":"25"},"uris":["http://www.mendeley.com/documents/?uuid=224ccd5a-274c-4b1e-a0f5-884e21ae3ff7","http://www.mendeley.com/documents/?uuid=ada76b1e-bcf7-4a29-89ab-e556077c4097"]}],"mendeley":{"formattedCitation":"[18]","manualFormatting":"Gackowska et al. (2018)","plainTextFormattedCitation":"[18]","previouslyFormattedCitation":"&lt;sup&gt;18&lt;/sup&gt;"},"properties":{"noteIndex":0},"schema":"https://github.com/citation-style-language/schema/raw/master/csl-citation.json"}</w:instrText>
      </w:r>
      <w:r w:rsidR="00FC5D8C">
        <w:rPr>
          <w:rFonts w:ascii="Times New Roman" w:eastAsia="Times New Roman" w:hAnsi="Times New Roman" w:cs="Times New Roman"/>
          <w:color w:val="000000"/>
          <w:sz w:val="24"/>
          <w:szCs w:val="24"/>
        </w:rPr>
        <w:fldChar w:fldCharType="separate"/>
      </w:r>
      <w:r w:rsidR="00FC5D8C" w:rsidRPr="00FC5D8C">
        <w:rPr>
          <w:rFonts w:ascii="Times New Roman" w:eastAsia="Times New Roman" w:hAnsi="Times New Roman" w:cs="Times New Roman"/>
          <w:noProof/>
          <w:color w:val="000000"/>
          <w:sz w:val="24"/>
          <w:szCs w:val="24"/>
        </w:rPr>
        <w:t xml:space="preserve">Gackowska et al. </w:t>
      </w:r>
      <w:r w:rsidR="00FC5D8C">
        <w:rPr>
          <w:rFonts w:ascii="Times New Roman" w:eastAsia="Times New Roman" w:hAnsi="Times New Roman" w:cs="Times New Roman"/>
          <w:noProof/>
          <w:color w:val="000000"/>
          <w:sz w:val="24"/>
          <w:szCs w:val="24"/>
        </w:rPr>
        <w:t>(</w:t>
      </w:r>
      <w:r w:rsidR="00FC5D8C" w:rsidRPr="00FC5D8C">
        <w:rPr>
          <w:rFonts w:ascii="Times New Roman" w:eastAsia="Times New Roman" w:hAnsi="Times New Roman" w:cs="Times New Roman"/>
          <w:noProof/>
          <w:color w:val="000000"/>
          <w:sz w:val="24"/>
          <w:szCs w:val="24"/>
        </w:rPr>
        <w:t>2018)</w:t>
      </w:r>
      <w:r w:rsidR="00FC5D8C">
        <w:rPr>
          <w:rFonts w:ascii="Times New Roman" w:eastAsia="Times New Roman" w:hAnsi="Times New Roman" w:cs="Times New Roman"/>
          <w:color w:val="000000"/>
          <w:sz w:val="24"/>
          <w:szCs w:val="24"/>
        </w:rPr>
        <w:fldChar w:fldCharType="end"/>
      </w:r>
      <w:r w:rsidRPr="00A45FDE">
        <w:rPr>
          <w:rFonts w:ascii="Times New Roman" w:eastAsia="Times New Roman" w:hAnsi="Times New Roman" w:cs="Times New Roman"/>
          <w:color w:val="000000"/>
          <w:sz w:val="24"/>
          <w:szCs w:val="24"/>
        </w:rPr>
        <w:t xml:space="preserve"> calculated, through the OECD Screening Tool, the environmental overall persistence (P</w:t>
      </w:r>
      <w:r w:rsidRPr="00A45FDE">
        <w:rPr>
          <w:rFonts w:ascii="Times New Roman" w:eastAsia="Times New Roman" w:hAnsi="Times New Roman" w:cs="Times New Roman"/>
          <w:color w:val="000000"/>
          <w:sz w:val="14"/>
          <w:szCs w:val="14"/>
          <w:vertAlign w:val="subscript"/>
        </w:rPr>
        <w:t>OV</w:t>
      </w:r>
      <w:r w:rsidRPr="00A45FDE">
        <w:rPr>
          <w:rFonts w:ascii="Times New Roman" w:eastAsia="Times New Roman" w:hAnsi="Times New Roman" w:cs="Times New Roman"/>
          <w:color w:val="000000"/>
          <w:sz w:val="24"/>
          <w:szCs w:val="24"/>
        </w:rPr>
        <w:t>, days) and the long-range transport potential (LRTP) of EHMC at mid-latitudes environmental conditions. The P</w:t>
      </w:r>
      <w:r w:rsidRPr="00A45FDE">
        <w:rPr>
          <w:rFonts w:ascii="Times New Roman" w:eastAsia="Times New Roman" w:hAnsi="Times New Roman" w:cs="Times New Roman"/>
          <w:color w:val="000000"/>
          <w:sz w:val="14"/>
          <w:szCs w:val="14"/>
          <w:vertAlign w:val="subscript"/>
        </w:rPr>
        <w:t>OV</w:t>
      </w:r>
      <w:r w:rsidRPr="00A45FDE">
        <w:rPr>
          <w:rFonts w:ascii="Times New Roman" w:eastAsia="Times New Roman" w:hAnsi="Times New Roman" w:cs="Times New Roman"/>
          <w:color w:val="000000"/>
          <w:sz w:val="24"/>
          <w:szCs w:val="24"/>
        </w:rPr>
        <w:t xml:space="preserve"> is a measure of the time scale of the degradation of a chemical in the environment. It is calculated by dividing the total mass at </w:t>
      </w:r>
      <w:r w:rsidR="00FC5D8C" w:rsidRPr="00A45FDE">
        <w:rPr>
          <w:rFonts w:ascii="Times New Roman" w:eastAsia="Times New Roman" w:hAnsi="Times New Roman" w:cs="Times New Roman"/>
          <w:color w:val="000000"/>
          <w:sz w:val="24"/>
          <w:szCs w:val="24"/>
        </w:rPr>
        <w:t>steady state</w:t>
      </w:r>
      <w:r w:rsidRPr="00A45FDE">
        <w:rPr>
          <w:rFonts w:ascii="Times New Roman" w:eastAsia="Times New Roman" w:hAnsi="Times New Roman" w:cs="Times New Roman"/>
          <w:color w:val="000000"/>
          <w:sz w:val="24"/>
          <w:szCs w:val="24"/>
        </w:rPr>
        <w:t xml:space="preserve"> by the sum of the degradation mass fluxes in air, water, and soil</w:t>
      </w:r>
      <w:r w:rsidR="00FC5D8C">
        <w:rPr>
          <w:rFonts w:ascii="Times New Roman" w:eastAsia="Times New Roman" w:hAnsi="Times New Roman" w:cs="Times New Roman"/>
          <w:color w:val="000000"/>
          <w:sz w:val="24"/>
          <w:szCs w:val="24"/>
        </w:rPr>
        <w:t xml:space="preserve"> </w:t>
      </w:r>
      <w:r w:rsidR="00FC5D8C">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{"citationItems":[{"id":"ITEM-1","itemData":{"DOI":"10.1016/j.envsoft.2008.06.014","ISSN":"13648152","abstract":"We present the software implementation of The OECD POV &amp; LRTP Screening Tool (The Tool) that is used to assess the environmental hazard of organic chemicals using metrics of overall persistence (POV) and long-range transport potential (LRTP). The Tool is designed to support decision making for chemical management and includes features that are recommended by the Organization for Economic Cooperation and Development (OECD) expert group on multimedia modeling. The Tool is useful for screening the environmental hazard potential of non-ionizing organic chemicals whose environmental partitioning can be described by absorptive capacities of environmental media estimated from partitioning between air, water and octanol in the laboratory. The software includes data storage functionality, and a user interface that is designed to facilitate simple data input and straightforward interpretation of the model results. The effect of uncertainties in input properties describing chemicals can be assessed with a Monte Carlo analysis. The software is evaluated and illustrated by comparing results from The Tool with those from other models and by evaluating four substances that are candidates for regulation or ban under the Stockholm Convention on Persistent Organic Pollutants. © 2008 Elsevier Ltd. All rights reserved.","author":[{"dropping-particle":"","family":"Wegmann","given":"Fabio","non-dropping-particle":"","parse-names":false,"suffix":""},{"dropping-particle":"","family":"Cavin","given":"Laurent","non-dropping-particle":"","parse-names":false,"suffix":""},{"dropping-particle":"","family":"MacLeod","given":"Matthew","non-dropping-particle":"","parse-names":false,"suffix":""},{"dropping-particle":"","family":"Scheringer","given":"Martin","non-dropping-particle":"","parse-names":false,"suffix":""},{"dropping-particle":"","family":"Hungerbühler","given":"Konrad","non-dropping-particle":"","parse-names":false,"suffix":""}],"container-title":"Environmental Modelling and Software","id":"ITEM-1","issue":"2","issued":{"date-parts":[["2009"]]},"page":"228-237","title":"The OECD software tool for screening chemicals for persistence and long-range transport potential","type":"article-journal","volume":"24"},"uris":["http://www.mendeley.com/documents/?uuid=c1f1ee26-e096-4324-9785-215960c9109e","http://www.mendeley.com/documents/?uuid=b57ea0b2-70c1-4d8c-9de9-d5fb27ec3b83"]}],"mendeley":{"formattedCitation":"[32]","plainTextFormattedCitation":"[32]","previouslyFormattedCitation":"&lt;sup&gt;32&lt;/sup&gt;"},"properties":{"noteIndex":0},"schema":"https://github.com/citation-style-language/schema/raw/master/csl-citation.json"}</w:instrText>
      </w:r>
      <w:r w:rsidR="00FC5D8C">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[32]</w:t>
      </w:r>
      <w:r w:rsidR="00FC5D8C">
        <w:rPr>
          <w:rFonts w:ascii="Times New Roman" w:eastAsia="Times New Roman" w:hAnsi="Times New Roman" w:cs="Times New Roman"/>
          <w:color w:val="000000"/>
          <w:sz w:val="24"/>
          <w:szCs w:val="24"/>
        </w:rPr>
        <w:fldChar w:fldCharType="end"/>
      </w:r>
      <w:r w:rsidRPr="00A45FDE">
        <w:rPr>
          <w:rFonts w:ascii="Times New Roman" w:eastAsia="Times New Roman" w:hAnsi="Times New Roman" w:cs="Times New Roman"/>
          <w:color w:val="000000"/>
          <w:sz w:val="24"/>
          <w:szCs w:val="24"/>
        </w:rPr>
        <w:t>. The LRTP is calculated using two indicator values: the characteristic travel distance (CTD, km), which quantifies the distance from the point of release to the point in which the concentration dropped 37% of its initial value; and the transfer efficiency (TE, %), that is the mass flux into a target region divided by the emission mass flux in a source region</w:t>
      </w:r>
      <w:r w:rsidR="00FC5D8C">
        <w:rPr>
          <w:rFonts w:ascii="Times New Roman" w:eastAsia="Times New Roman" w:hAnsi="Times New Roman" w:cs="Times New Roman"/>
          <w:color w:val="000000"/>
          <w:sz w:val="24"/>
          <w:szCs w:val="24"/>
        </w:rPr>
        <w:t xml:space="preserve"> </w:t>
      </w:r>
      <w:r w:rsidR="00FC5D8C">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{"citationItems":[{"id":"ITEM-1","itemData":{"DOI":"10.1016/j.envsoft.2008.06.014","ISSN":"13648152","abstract":"We present the software implementation of The OECD POV &amp; LRTP Screening Tool (The Tool) that is used to assess the environmental hazard of organic chemicals using metrics of overall persistence (POV) and long-range transport potential (LRTP). The Tool is designed to support decision making for chemical management and includes features that are recommended by the Organization for Economic Cooperation and Development (OECD) expert group on multimedia modeling. The Tool is useful for screening the environmental hazard potential of non-ionizing organic chemicals whose environmental partitioning can be described by absorptive capacities of environmental media estimated from partitioning between air, water and octanol in the laboratory. The software includes data storage functionality, and a user interface that is designed to facilitate simple data input and straightforward interpretation of the model results. The effect of uncertainties in input properties describing chemicals can be assessed with a Monte Carlo analysis. The software is evaluated and illustrated by comparing results from The Tool with those from other models and by evaluating four substances that are candidates for regulation or ban under the Stockholm Convention on Persistent Organic Pollutants. © 2008 Elsevier Ltd. All rights reserved.","author":[{"dropping-particle":"","family":"Wegmann","given":"Fabio","non-dropping-particle":"","parse-names":false,"suffix":""},{"dropping-particle":"","family":"Cavin","given":"Laurent","non-dropping-particle":"","parse-names":false,"suffix":""},{"dropping-particle":"","family":"MacLeod","given":"Matthew","non-dropping-particle":"","parse-names":false,"suffix":""},{"dropping-particle":"","family":"Scheringer","given":"Martin","non-dropping-particle":"","parse-names":false,"suffix":""},{"dropping-particle":"","family":"Hungerbühler","given":"Konrad","non-dropping-particle":"","parse-names":false,"suffix":""}],"container-title":"Environmental Modelling and Software","id":"ITEM-1","issue":"2","issued":{"date-parts":[["2009"]]},"page":"228-237","title":"The OECD software tool for screening chemicals for persistence and long-range transport potential","type":"article-journal","volume":"24"},"uris":["http://www.mendeley.com/documents/?uuid=b57ea0b2-70c1-4d8c-9de9-d5fb27ec3b83","http://www.mendeley.com/documents/?uuid=c1f1ee26-e096-4324-9785-215960c9109e"]}],"mendeley":{"formattedCitation":"[32]","plainTextFormattedCitation":"[32]","previouslyFormattedCitation":"&lt;sup&gt;32&lt;/sup&gt;"},"properties":{"noteIndex":0},"schema":"https://github.com/citation-style-language/schema/raw/master/csl-citation.json"}</w:instrText>
      </w:r>
      <w:r w:rsidR="00FC5D8C">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[32]</w:t>
      </w:r>
      <w:r w:rsidR="00FC5D8C">
        <w:rPr>
          <w:rFonts w:ascii="Times New Roman" w:eastAsia="Times New Roman" w:hAnsi="Times New Roman" w:cs="Times New Roman"/>
          <w:color w:val="000000"/>
          <w:sz w:val="24"/>
          <w:szCs w:val="24"/>
        </w:rPr>
        <w:fldChar w:fldCharType="end"/>
      </w:r>
      <w:r w:rsidRPr="00A45FDE">
        <w:rPr>
          <w:rFonts w:ascii="Times New Roman" w:eastAsia="Times New Roman" w:hAnsi="Times New Roman" w:cs="Times New Roman"/>
          <w:color w:val="000000"/>
          <w:sz w:val="24"/>
          <w:szCs w:val="24"/>
        </w:rPr>
        <w:t xml:space="preserve">. For these calculations, </w:t>
      </w:r>
      <w:r w:rsidR="00FC5D8C">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{"citationItems":[{"id":"ITEM-1","itemData":{"DOI":"10.1007/s11356-018-1796-6","ISSN":"16147499","PMID":"29594898","abstract":"The organic UV filters, commonly used in personal protection products, are of concern because of their potential risk to aquatic ecosystems and living organisms. One of UV filters is ethylhexyl-4-methoxycinnamate (EHMC) acid. Studies have shown that, in the presence of oxidizing and chlorinating factors, EHMC forms a series of products with different properties than the substrate. In this study, the toxicities of EHMC and its transformation/degradation products formed under the influence of NaOCl/UV and H2O2/UV systems in the water medium were tested using Microtox® bioassay and by observation of mortality of juvenile crustaceans Daphnia magna and Artemia Salina. We have observed that oxidation and chlorination products of EHMC show significantly higher toxicity than EHMC alone. The toxicity of chemicals is related to their physicochemical characteristic such as lipophilicity and substituent groups. With the increase in lipophilicity of products, expressed as log KOW, the toxicity (EC50) increases. On the basis of physicochemical properties such as vapour pressure (VP), solubility (S), octanol-water partition coefficient (KOW), bioconcentration factor (BCF) and half-lives, the overall persistence (POV) and long-range transport potential (LRTP) of all the products and EHMC were calculated. It was shown that the most persistent and traveling on the long distances in environment are methoxyphenol chloroderivatives, then methoxybenzene chloroderivatives, EHMC chloroderivatives, methoxybenzaldehyde chloroderivatives and methoxycinnamate acid chloroderivatives. These compounds are also characterised by high toxicity.","author":[{"dropping-particle":"","family":"Gackowska","given":"Alicja","non-dropping-particle":"","parse-names":false,"suffix":""},{"dropping-particle":"","family":"Studziński","given":"Waldemar","non-dropping-particle":"","parse-names":false,"suffix":""},{"dropping-particle":"","family":"Kudlek","given":"Edyta","non-dropping-particle":"","parse-names":false,"suffix":""},{"dropping-particle":"","family":"Dudziak","given":"Mariusz","non-dropping-particle":"","parse-names":false,"suffix":""},{"dropping-particle":"","family":"Gaca","given":"Jerzy","non-dropping-particle":"","parse-names":false,"suffix":""}],"container-title":"Environmental Science and Pollution Research","id":"ITEM-1","issue":"16","issued":{"date-parts":[["2018"]]},"page":"16037-16049","title":"Estimation of physicochemical properties of 2-ethylhexyl-4-methoxycinnamate (EHMC) degradation products and their toxicological evaluation","type":"article-journal","volume":"25"},"uris":["http://www.mendeley.com/documents/?uuid=224ccd5a-274c-4b1e-a0f5-884e21ae3ff7","http://www.mendeley.com/documents/?uuid=ada76b1e-bcf7-4a29-89ab-e556077c4097"]}],"mendeley":{"formattedCitation":"[18]","manualFormatting":"Gackowska et al. (2018)","plainTextFormattedCitation":"[18]","previouslyFormattedCitation":"&lt;sup&gt;18&lt;/sup&gt;"},"properties":{"noteIndex":0},"schema":"https://github.com/citation-style-language/schema/raw/master/csl-citation.json"}</w:instrText>
      </w:r>
      <w:r w:rsidR="00FC5D8C">
        <w:rPr>
          <w:rFonts w:ascii="Times New Roman" w:eastAsia="Times New Roman" w:hAnsi="Times New Roman" w:cs="Times New Roman"/>
          <w:color w:val="000000"/>
          <w:sz w:val="24"/>
          <w:szCs w:val="24"/>
        </w:rPr>
        <w:fldChar w:fldCharType="separate"/>
      </w:r>
      <w:r w:rsidR="00FC5D8C" w:rsidRPr="00FC5D8C">
        <w:rPr>
          <w:rFonts w:ascii="Times New Roman" w:eastAsia="Times New Roman" w:hAnsi="Times New Roman" w:cs="Times New Roman"/>
          <w:noProof/>
          <w:color w:val="000000"/>
          <w:sz w:val="24"/>
          <w:szCs w:val="24"/>
        </w:rPr>
        <w:t xml:space="preserve">Gackowska et al. </w:t>
      </w:r>
      <w:r w:rsidR="00FC5D8C">
        <w:rPr>
          <w:rFonts w:ascii="Times New Roman" w:eastAsia="Times New Roman" w:hAnsi="Times New Roman" w:cs="Times New Roman"/>
          <w:noProof/>
          <w:color w:val="000000"/>
          <w:sz w:val="24"/>
          <w:szCs w:val="24"/>
        </w:rPr>
        <w:t>(</w:t>
      </w:r>
      <w:r w:rsidR="00FC5D8C" w:rsidRPr="00FC5D8C">
        <w:rPr>
          <w:rFonts w:ascii="Times New Roman" w:eastAsia="Times New Roman" w:hAnsi="Times New Roman" w:cs="Times New Roman"/>
          <w:noProof/>
          <w:color w:val="000000"/>
          <w:sz w:val="24"/>
          <w:szCs w:val="24"/>
        </w:rPr>
        <w:t>2018)</w:t>
      </w:r>
      <w:r w:rsidR="00FC5D8C">
        <w:rPr>
          <w:rFonts w:ascii="Times New Roman" w:eastAsia="Times New Roman" w:hAnsi="Times New Roman" w:cs="Times New Roman"/>
          <w:color w:val="000000"/>
          <w:sz w:val="24"/>
          <w:szCs w:val="24"/>
        </w:rPr>
        <w:fldChar w:fldCharType="end"/>
      </w:r>
      <w:r w:rsidRPr="00A45FDE">
        <w:rPr>
          <w:rFonts w:ascii="Times New Roman" w:eastAsia="Times New Roman" w:hAnsi="Times New Roman" w:cs="Times New Roman"/>
          <w:color w:val="000000"/>
          <w:sz w:val="24"/>
          <w:szCs w:val="24"/>
        </w:rPr>
        <w:t xml:space="preserve"> used partition coefficients and other physical-chemical parameters, such as the </w:t>
      </w:r>
      <w:r w:rsidRPr="00D8615C">
        <w:rPr>
          <w:rFonts w:ascii="Times New Roman" w:eastAsia="Times New Roman" w:hAnsi="Times New Roman" w:cs="Times New Roman"/>
          <w:color w:val="000000"/>
          <w:sz w:val="24"/>
          <w:szCs w:val="24"/>
        </w:rPr>
        <w:t>estimated degradation half-lives in different matrices. The results show values of P</w:t>
      </w:r>
      <w:r w:rsidRPr="00D8615C">
        <w:rPr>
          <w:rFonts w:ascii="Times New Roman" w:eastAsia="Times New Roman" w:hAnsi="Times New Roman" w:cs="Times New Roman"/>
          <w:color w:val="000000"/>
          <w:sz w:val="14"/>
          <w:szCs w:val="14"/>
          <w:vertAlign w:val="subscript"/>
        </w:rPr>
        <w:t>OV</w:t>
      </w:r>
      <w:r w:rsidRPr="00D8615C">
        <w:rPr>
          <w:rFonts w:ascii="Times New Roman" w:eastAsia="Times New Roman" w:hAnsi="Times New Roman" w:cs="Times New Roman"/>
          <w:color w:val="000000"/>
          <w:sz w:val="24"/>
          <w:szCs w:val="24"/>
        </w:rPr>
        <w:t xml:space="preserve"> = 43 days and LRTP = 90 km</w:t>
      </w:r>
      <w:r w:rsidR="0073222F">
        <w:rPr>
          <w:rFonts w:ascii="Times New Roman" w:eastAsia="Times New Roman" w:hAnsi="Times New Roman" w:cs="Times New Roman"/>
          <w:color w:val="000000"/>
          <w:sz w:val="24"/>
          <w:szCs w:val="24"/>
        </w:rPr>
        <w:t xml:space="preserve"> (Table </w:t>
      </w:r>
      <w:r w:rsidR="00663EA2">
        <w:rPr>
          <w:rFonts w:ascii="Times New Roman" w:eastAsia="Times New Roman" w:hAnsi="Times New Roman" w:cs="Times New Roman"/>
          <w:color w:val="000000"/>
          <w:sz w:val="24"/>
          <w:szCs w:val="24"/>
        </w:rPr>
        <w:t>1</w:t>
      </w:r>
      <w:r w:rsidR="0073222F">
        <w:rPr>
          <w:rFonts w:ascii="Times New Roman" w:eastAsia="Times New Roman" w:hAnsi="Times New Roman" w:cs="Times New Roman"/>
          <w:color w:val="000000"/>
          <w:sz w:val="24"/>
          <w:szCs w:val="24"/>
        </w:rPr>
        <w:t>)</w:t>
      </w:r>
      <w:r w:rsidRPr="00D8615C">
        <w:rPr>
          <w:rFonts w:ascii="Times New Roman" w:eastAsia="Times New Roman" w:hAnsi="Times New Roman" w:cs="Times New Roman"/>
          <w:color w:val="000000"/>
          <w:sz w:val="24"/>
          <w:szCs w:val="24"/>
        </w:rPr>
        <w:t xml:space="preserve"> suggesting</w:t>
      </w:r>
      <w:r w:rsidRPr="00A45FDE">
        <w:rPr>
          <w:rFonts w:ascii="Times New Roman" w:eastAsia="Times New Roman" w:hAnsi="Times New Roman" w:cs="Times New Roman"/>
          <w:color w:val="000000"/>
          <w:sz w:val="24"/>
          <w:szCs w:val="24"/>
        </w:rPr>
        <w:t xml:space="preserve"> relatively short-distance sources as possible contributors to the presence of EHMC.</w:t>
      </w:r>
      <w:r w:rsidR="009754FA">
        <w:rPr>
          <w:rFonts w:ascii="Times New Roman" w:eastAsia="Times New Roman" w:hAnsi="Times New Roman" w:cs="Times New Roman"/>
          <w:color w:val="000000"/>
          <w:sz w:val="24"/>
          <w:szCs w:val="24"/>
        </w:rPr>
        <w:t xml:space="preserve"> </w:t>
      </w:r>
      <w:r w:rsidRPr="00A45FDE">
        <w:rPr>
          <w:rFonts w:ascii="Times New Roman" w:eastAsia="Times New Roman" w:hAnsi="Times New Roman" w:cs="Times New Roman"/>
          <w:color w:val="000000"/>
          <w:sz w:val="24"/>
          <w:szCs w:val="24"/>
        </w:rPr>
        <w:t>To the best of our knowledge, there are no studies similar to</w:t>
      </w:r>
      <w:r w:rsidR="00FC5D8C">
        <w:rPr>
          <w:rFonts w:ascii="Times New Roman" w:eastAsia="Times New Roman" w:hAnsi="Times New Roman" w:cs="Times New Roman"/>
          <w:color w:val="000000"/>
          <w:sz w:val="24"/>
          <w:szCs w:val="24"/>
        </w:rPr>
        <w:t xml:space="preserve"> </w:t>
      </w:r>
      <w:r w:rsidR="00FC5D8C">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{"citationItems":[{"id":"ITEM-1","itemData":{"DOI":"10.1007/s11356-018-1796-6","ISSN":"16147499","PMID":"29594898","abstract":"The organic UV filters, commonly used in personal protection products, are of concern because of their potential risk to aquatic ecosystems and living organisms. One of UV filters is ethylhexyl-4-methoxycinnamate (EHMC) acid. Studies have shown that, in the presence of oxidizing and chlorinating factors, EHMC forms a series of products with different properties than the substrate. In this study, the toxicities of EHMC and its transformation/degradation products formed under the influence of NaOCl/UV and H2O2/UV systems in the water medium were tested using Microtox® bioassay and by observation of mortality of juvenile crustaceans Daphnia magna and Artemia Salina. We have observed that oxidation and chlorination products of EHMC show significantly higher toxicity than EHMC alone. The toxicity of chemicals is related to their physicochemical characteristic such as lipophilicity and substituent groups. With the increase in lipophilicity of products, expressed as log KOW, the toxicity (EC50) increases. On the basis of physicochemical properties such as vapour pressure (VP), solubility (S), octanol-water partition coefficient (KOW), bioconcentration factor (BCF) and half-lives, the overall persistence (POV) and long-range transport potential (LRTP) of all the products and EHMC were calculated. It was shown that the most persistent and traveling on the long distances in environment are methoxyphenol chloroderivatives, then methoxybenzene chloroderivatives, EHMC chloroderivatives, methoxybenzaldehyde chloroderivatives and methoxycinnamate acid chloroderivatives. These compounds are also characterised by high toxicity.","author":[{"dropping-particle":"","family":"Gackowska","given":"Alicja","non-dropping-particle":"","parse-names":false,"suffix":""},{"dropping-particle":"","family":"Studziński","given":"Waldemar","non-dropping-particle":"","parse-names":false,"suffix":""},{"dropping-particle":"","family":"Kudlek","given":"Edyta","non-dropping-particle":"","parse-names":false,"suffix":""},{"dropping-particle":"","family":"Dudziak","given":"Mariusz","non-dropping-particle":"","parse-names":false,"suffix":""},{"dropping-particle":"","family":"Gaca","given":"Jerzy","non-dropping-particle":"","parse-names":false,"suffix":""}],"container-title":"Environmental Science and Pollution Research","id":"ITEM-1","issue":"16","issued":{"date-parts":[["2018"]]},"page":"16037-16049","title":"Estimation of physicochemical properties of 2-ethylhexyl-4-methoxycinnamate (EHMC) degradation products and their toxicological evaluation","type":"article-journal","volume":"25"},"uris":["http://www.mendeley.com/documents/?uuid=224ccd5a-274c-4b1e-a0f5-884e21ae3ff7","http://www.mendeley.com/documents/?uuid=ada76b1e-bcf7-4a29-89ab-e556077c4097"]}],"mendeley":{"formattedCitation":"[18]","manualFormatting":"Gackowska et al. (2018)","plainTextFormattedCitation":"[18]","previouslyFormattedCitation":"&lt;sup&gt;18&lt;/sup&gt;"},"properties":{"noteIndex":0},"schema":"https://github.com/citation-style-language/schema/raw/master/csl-citation.json"}</w:instrText>
      </w:r>
      <w:r w:rsidR="00FC5D8C">
        <w:rPr>
          <w:rFonts w:ascii="Times New Roman" w:eastAsia="Times New Roman" w:hAnsi="Times New Roman" w:cs="Times New Roman"/>
          <w:color w:val="000000"/>
          <w:sz w:val="24"/>
          <w:szCs w:val="24"/>
        </w:rPr>
        <w:fldChar w:fldCharType="separate"/>
      </w:r>
      <w:r w:rsidR="00FC5D8C" w:rsidRPr="00FC5D8C">
        <w:rPr>
          <w:rFonts w:ascii="Times New Roman" w:eastAsia="Times New Roman" w:hAnsi="Times New Roman" w:cs="Times New Roman"/>
          <w:noProof/>
          <w:color w:val="000000"/>
          <w:sz w:val="24"/>
          <w:szCs w:val="24"/>
        </w:rPr>
        <w:t xml:space="preserve">Gackowska et al. </w:t>
      </w:r>
      <w:r w:rsidR="00FC5D8C">
        <w:rPr>
          <w:rFonts w:ascii="Times New Roman" w:eastAsia="Times New Roman" w:hAnsi="Times New Roman" w:cs="Times New Roman"/>
          <w:noProof/>
          <w:color w:val="000000"/>
          <w:sz w:val="24"/>
          <w:szCs w:val="24"/>
        </w:rPr>
        <w:t>(</w:t>
      </w:r>
      <w:r w:rsidR="00FC5D8C" w:rsidRPr="00FC5D8C">
        <w:rPr>
          <w:rFonts w:ascii="Times New Roman" w:eastAsia="Times New Roman" w:hAnsi="Times New Roman" w:cs="Times New Roman"/>
          <w:noProof/>
          <w:color w:val="000000"/>
          <w:sz w:val="24"/>
          <w:szCs w:val="24"/>
        </w:rPr>
        <w:t>2018)</w:t>
      </w:r>
      <w:r w:rsidR="00FC5D8C">
        <w:rPr>
          <w:rFonts w:ascii="Times New Roman" w:eastAsia="Times New Roman" w:hAnsi="Times New Roman" w:cs="Times New Roman"/>
          <w:color w:val="000000"/>
          <w:sz w:val="24"/>
          <w:szCs w:val="24"/>
        </w:rPr>
        <w:fldChar w:fldCharType="end"/>
      </w:r>
      <w:r w:rsidRPr="00A45FDE">
        <w:rPr>
          <w:rFonts w:ascii="Times New Roman" w:eastAsia="Times New Roman" w:hAnsi="Times New Roman" w:cs="Times New Roman"/>
          <w:color w:val="000000"/>
          <w:sz w:val="24"/>
          <w:szCs w:val="24"/>
        </w:rPr>
        <w:t xml:space="preserve"> that focus on the behaviour of EHMC in cold environmental conditions. Therefore, there is no data about environmental overall persistence and long-range transport potential in polar regions.</w:t>
      </w:r>
    </w:p>
    <w:p w14:paraId="7F0C6D67" w14:textId="4D4E4CE8" w:rsidR="00A45FDE" w:rsidRPr="00A45FDE" w:rsidRDefault="00A45FDE" w:rsidP="000023A0">
      <w:pPr>
        <w:spacing w:before="240" w:after="0" w:line="360" w:lineRule="auto"/>
        <w:jc w:val="both"/>
        <w:rPr>
          <w:rFonts w:ascii="Times New Roman" w:eastAsia="Times New Roman" w:hAnsi="Times New Roman" w:cs="Times New Roman"/>
          <w:sz w:val="24"/>
          <w:szCs w:val="24"/>
        </w:rPr>
      </w:pPr>
      <w:r w:rsidRPr="00A45FDE">
        <w:rPr>
          <w:rFonts w:ascii="Times New Roman" w:eastAsia="Times New Roman" w:hAnsi="Times New Roman" w:cs="Times New Roman"/>
          <w:color w:val="000000"/>
          <w:sz w:val="24"/>
          <w:szCs w:val="24"/>
        </w:rPr>
        <w:t>The long-range atmospheric transport processes of contaminants, such as POPs and inorganic elements were identified in the Terra Nova Bay area</w:t>
      </w:r>
      <w:r w:rsidR="00FC5D8C">
        <w:rPr>
          <w:rFonts w:ascii="Times New Roman" w:eastAsia="Times New Roman" w:hAnsi="Times New Roman" w:cs="Times New Roman"/>
          <w:color w:val="000000"/>
          <w:sz w:val="24"/>
          <w:szCs w:val="24"/>
        </w:rPr>
        <w:t xml:space="preserve"> </w:t>
      </w:r>
      <w:r w:rsidR="00FC5D8C">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{"citationItems":[{"id":"ITEM-1","itemData":{"DOI":"10.3390/molecules25173971","ISSN":"14203049","PMID":"32878154","abstract":"Size-fractionated particulate mercury (PHg) measurements were performed from November 2017 to January 2018 at Terra Nova Bay (Antarctica) for the first time. Samples were collected every 10 days by a six-stage high-volume cascade impactor with size classes between 10 µm and 0.49 µm. Total PHg concentrations were maxima (87 ± 8 pg m−3) in November, then decreased to values ~40% lower and remained almost constant until the end of the sampling period (~30 pg m−3). The trimodal aerosol mass distribution reveals that from 30% to 90% of the total PHg came in the size &gt; 1.0 µm. Hg in the two coarse fractions was probably produced by the adsorption of oxidized Hg species transported by air masses from the Antarctic plateau or produced locally by sea ice edges. PHg in accumulation mode seemed to be related to gas–particle partitioning with sea salt aerosol. Finally, average dry deposition fluxes of PHg were calculated to be 0.36 ± 0.21 ng m−2 d−1 in the accumulation mode, 47 ± 44 ng m−2 d−1 in the first coarse mode, and 37 ± 31 ng m−2 d−1 in the second coarse mode. The present work contributed to the comprehension of the Hg biogeochemical cycle, but further research studies are needed.","author":[{"dropping-particle":"","family":"Illuminati","given":"Silvia","non-dropping-particle":"","parse-names":false,"suffix":""},{"dropping-particle":"","family":"Annibaldi","given":"Anna","non-dropping-particle":"","parse-names":false,"suffix":""},{"dropping-particle":"","family":"Bau","given":"Sébastien","non-dropping-particle":"","parse-names":false,"suffix":""},{"dropping-particle":"","family":"Scarchilli","given":"Claudio","non-dropping-particle":"","parse-names":false,"suffix":""},{"dropping-particle":"","family":"Ciardini","given":"Virginia","non-dropping-particle":"","parse-names":false,"suffix":""},{"dropping-particle":"","family":"Grigioni","given":"Paolo","non-dropping-particle":"","parse-names":false,"suffix":""},{"dropping-particle":"","family":"Girolametti","given":"Federico","non-dropping-particle":"","parse-names":false,"suffix":""},{"dropping-particle":"","family":"Vagnoni","given":"Flavio","non-dropping-particle":"","parse-names":false,"suffix":""},{"dropping-particle":"","family":"Scarponi","given":"Giuseppe","non-dropping-particle":"","parse-names":false,"suffix":""},{"dropping-particle":"","family":"Truzzi","given":"Cristina","non-dropping-particle":"","parse-names":false,"suffix":""}],"container-title":"Molecules","id":"ITEM-1","issue":"17","issued":{"date-parts":[["2020"]]},"title":"Seasonal Evolution of Size-Segregated Particulate Mercury in the Atmospheric Aerosol over Terra Nova Bay, Antarctica","type":"article-journal","volume":"25"},"uris":["http://www.mendeley.com/documents/?uuid=cf2bac50-5dc4-489d-b1e0-01d97631784e","http://www.mendeley.com/documents/?uuid=e9fa23bb-746f-4ba1-88c2-d1eeb5e1681c"]},{"id":"ITEM-2","itemData":{"DOI":"10.1016/j.microc.2014.10.010","ISSN":"0026-265X","author":[{"dropping-particle":"","family":"Vecchiato","given":"Marco","non-dropping-particle":"","parse-names":false,"suffix":""},{"dropping-particle":"","family":"Argiriadis","given":"Elena","non-dropping-particle":"","parse-names":false,"suffix":""},{"dropping-particle":"","family":"Zambon","given":"Stefano","non-dropping-particle":"","parse-names":false,"suffix":""},{"dropping-particle":"","family":"Barbante","given":"Carlo","non-dropping-particle":"","parse-names":false,"suffix":""},{"dropping-particle":"","family":"Toscano","given":"Giuseppa","non-dropping-particle":"","parse-names":false,"suffix":""},{"dropping-particle":"","family":"Gambaro","given":"Andrea","non-dropping-particle":"","parse-names":false,"suffix":""},{"dropping-particle":"","family":"Piazza","given":"Rossano","non-dropping-particle":"","parse-names":false,"suffix":""}],"container-title":"Microchemical Journal","id":"ITEM-2","issued":{"date-parts":[["2015"]]},"page":"75-82","publisher":"Elsevier B.V.","title":"Persistent Organic Pollutants ( POPs ) in Antarctica: Occurrence in continental and coastal surface snow","type":"article-journal","volume":"119"},"uris":["http://www.mendeley.com/documents/?uuid=0c4beca0-c8cd-4e7a-a12d-59de7adc09be"]}],"mendeley":{"formattedCitation":"[5,33]","plainTextFormattedCitation":"[5,33]","previouslyFormattedCitation":"&lt;sup&gt;5,33&lt;/sup&gt;"},"properties":{"noteIndex":0},"schema":"https://github.com/citation-style-language/schema/raw/master/csl-citation.json"}</w:instrText>
      </w:r>
      <w:r w:rsidR="00FC5D8C">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[5,33]</w:t>
      </w:r>
      <w:r w:rsidR="00FC5D8C">
        <w:rPr>
          <w:rFonts w:ascii="Times New Roman" w:eastAsia="Times New Roman" w:hAnsi="Times New Roman" w:cs="Times New Roman"/>
          <w:color w:val="000000"/>
          <w:sz w:val="24"/>
          <w:szCs w:val="24"/>
        </w:rPr>
        <w:fldChar w:fldCharType="end"/>
      </w:r>
      <w:r w:rsidRPr="00A45FDE">
        <w:rPr>
          <w:rFonts w:ascii="Times New Roman" w:eastAsia="Times New Roman" w:hAnsi="Times New Roman" w:cs="Times New Roman"/>
          <w:b/>
          <w:bCs/>
          <w:color w:val="000000"/>
          <w:sz w:val="24"/>
          <w:szCs w:val="24"/>
        </w:rPr>
        <w:t xml:space="preserve">. </w:t>
      </w:r>
      <w:r w:rsidRPr="00A45FDE">
        <w:rPr>
          <w:rFonts w:ascii="Times New Roman" w:eastAsia="Times New Roman" w:hAnsi="Times New Roman" w:cs="Times New Roman"/>
          <w:color w:val="000000"/>
          <w:sz w:val="24"/>
          <w:szCs w:val="24"/>
        </w:rPr>
        <w:t>The potential of persistent organic chemicals for long-range transport in polar regions was calculated by</w:t>
      </w:r>
      <w:r w:rsidR="00FC5D8C">
        <w:rPr>
          <w:rFonts w:ascii="Times New Roman" w:eastAsia="Times New Roman" w:hAnsi="Times New Roman" w:cs="Times New Roman"/>
          <w:color w:val="000000"/>
          <w:sz w:val="24"/>
          <w:szCs w:val="24"/>
        </w:rPr>
        <w:t xml:space="preserve"> </w:t>
      </w:r>
      <w:r w:rsidR="00FC5D8C">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{"citationItems":[{"id":"ITEM-1","itemData":{"DOI":"10.1021/es026019e","ISSN":"0013936X","abstract":"A zonally averaged global distribution model is used to identify chemical partitioning properties and emission scenarios that favor enrichment in Arctic ecosystems. An immediate and a long-term Arctic Contamination Potential (ACP) are defined as the fraction of the total amount in global surface media that is in the Arctic after 1 and 10 years of steady emissions with a generic zonal distribution. Simulations for a two-dimensional \"space\" of hypothetical chemical property combinations indicate that the ACP of a perfectly persistent organic chemical is determined by a complex set of processes but tends to be higher for two combinations of partitioning properties: relatively volatile (log KOA &lt; 9) and water soluble (4 &gt; log KAW &gt; -0.5) substances and substances which are semivolatile (log KOA 6.5-10) and relatively hydrophobic (log KAW &gt; -3). Very volatile chemicals with log KOA &lt; 6.5 and log KAW &gt; -0.5 remain in the atmosphere even under Arctic temperature conditions, whereas very involatile chemical with a log KOA &gt; 10 are efficiently and irreversibly deposited with atmospheric particles before reaching the Arctic. The two sets of partitioning characteristics with elevated ACP overlap in the range 6.5 &lt; log KOA &lt; 10 and -0.5 &gt; log KAW &gt; -3, which also corresponds to a log KOW range of 5 to 8, i.e., comprises substances with a potential for bioaccumulation. Organic contaminants known to accumulate in the Arctic, such as hexachlorobenzene and the lighter PCBs, indeed have such partitioning properties. Marine currents contribute significantly to the long-range transport of chemicals with log KAW &lt; -2. Emissions to surface media greatly reduce the ACP, except for chemicals with octanol/water partition coefficients log KOW &lt; 5. The ACP of chemicals with different partitioning properties is sensitive to different sets of environmental parameters, reflecting the different pathways which determine their global transport behavior. The ACP of most chemicals is sensitive to the temperature dependence of the partition coefficients, temperature, atmospheric mixing coefficients, and sea ice cover.","author":[{"dropping-particle":"","family":"Wania","given":"Frank","non-dropping-particle":"","parse-names":false,"suffix":""}],"container-title":"Environmental Science and Technology","id":"ITEM-1","issue":"7","issued":{"date-parts":[["2003"]]},"page":"1344-1351","title":"Assessing the potential of persistent organic chemicals for long-range transport and accumulation in polar regions","type":"article-journal","volume":"37"},"uris":["http://www.mendeley.com/documents/?uuid=2d03f10d-09ba-4108-93e1-3c78c1a09e9a","http://www.mendeley.com/documents/?uuid=e42851c6-8234-4dc5-b87c-f5d2bbc82cb5"]}],"mendeley":{"formattedCitation":"[34]","manualFormatting":"Wania (2003)","plainTextFormattedCitation":"[34]","previouslyFormattedCitation":"&lt;sup&gt;34&lt;/sup&gt;"},"properties":{"noteIndex":0},"schema":"https://github.com/citation-style-language/schema/raw/master/csl-citation.json"}</w:instrText>
      </w:r>
      <w:r w:rsidR="00FC5D8C">
        <w:rPr>
          <w:rFonts w:ascii="Times New Roman" w:eastAsia="Times New Roman" w:hAnsi="Times New Roman" w:cs="Times New Roman"/>
          <w:color w:val="000000"/>
          <w:sz w:val="24"/>
          <w:szCs w:val="24"/>
        </w:rPr>
        <w:fldChar w:fldCharType="separate"/>
      </w:r>
      <w:r w:rsidR="00FC5D8C" w:rsidRPr="00FC5D8C">
        <w:rPr>
          <w:rFonts w:ascii="Times New Roman" w:eastAsia="Times New Roman" w:hAnsi="Times New Roman" w:cs="Times New Roman"/>
          <w:noProof/>
          <w:color w:val="000000"/>
          <w:sz w:val="24"/>
          <w:szCs w:val="24"/>
        </w:rPr>
        <w:t xml:space="preserve">Wania </w:t>
      </w:r>
      <w:r w:rsidR="00FC5D8C">
        <w:rPr>
          <w:rFonts w:ascii="Times New Roman" w:eastAsia="Times New Roman" w:hAnsi="Times New Roman" w:cs="Times New Roman"/>
          <w:noProof/>
          <w:color w:val="000000"/>
          <w:sz w:val="24"/>
          <w:szCs w:val="24"/>
        </w:rPr>
        <w:t>(</w:t>
      </w:r>
      <w:r w:rsidR="00FC5D8C" w:rsidRPr="00FC5D8C">
        <w:rPr>
          <w:rFonts w:ascii="Times New Roman" w:eastAsia="Times New Roman" w:hAnsi="Times New Roman" w:cs="Times New Roman"/>
          <w:noProof/>
          <w:color w:val="000000"/>
          <w:sz w:val="24"/>
          <w:szCs w:val="24"/>
        </w:rPr>
        <w:t>2003)</w:t>
      </w:r>
      <w:r w:rsidR="00FC5D8C">
        <w:rPr>
          <w:rFonts w:ascii="Times New Roman" w:eastAsia="Times New Roman" w:hAnsi="Times New Roman" w:cs="Times New Roman"/>
          <w:color w:val="000000"/>
          <w:sz w:val="24"/>
          <w:szCs w:val="24"/>
        </w:rPr>
        <w:fldChar w:fldCharType="end"/>
      </w:r>
      <w:r w:rsidRPr="00A45FDE">
        <w:rPr>
          <w:rFonts w:ascii="Times New Roman" w:eastAsia="Times New Roman" w:hAnsi="Times New Roman" w:cs="Times New Roman"/>
          <w:color w:val="000000"/>
          <w:sz w:val="24"/>
          <w:szCs w:val="24"/>
        </w:rPr>
        <w:t xml:space="preserve"> using a zonally averaged multimedia model (Globo-POP) determining the Arctic Contamination Potential (ACP). This approach however considers only Arctic regions and a selected list of hypothetical chemical properties combinations: partition coefficients, temperature dependence, and degradation rate with OH radicals in the air. For this contribution, we try to apply the approach of </w:t>
      </w:r>
      <w:r w:rsidR="00FC5D8C">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{"citationItems":[{"id":"ITEM-1","itemData":{"DOI":"10.1021/es026019e","ISSN":"0013936X","abstract":"A zonally averaged global distribution model is used to identify chemical partitioning properties and emission scenarios that favor enrichment in Arctic ecosystems. An immediate and a long-term Arctic Contamination Potential (ACP) are defined as the fraction of the total amount in global surface media that is in the Arctic after 1 and 10 years of steady emissions with a generic zonal distribution. Simulations for a two-dimensional \"space\" of hypothetical chemical property combinations indicate that the ACP of a perfectly persistent organic chemical is determined by a complex set of processes but tends to be higher for two combinations of partitioning properties: relatively volatile (log KOA &lt; 9) and water soluble (4 &gt; log KAW &gt; -0.5) substances and substances which are semivolatile (log KOA 6.5-10) and relatively hydrophobic (log KAW &gt; -3). Very volatile chemicals with log KOA &lt; 6.5 and log KAW &gt; -0.5 remain in the atmosphere even under Arctic temperature conditions, whereas very involatile chemical with a log KOA &gt; 10 are efficiently and irreversibly deposited with atmospheric particles before reaching the Arctic. The two sets of partitioning characteristics with elevated ACP overlap in the range 6.5 &lt; log KOA &lt; 10 and -0.5 &gt; log KAW &gt; -3, which also corresponds to a log KOW range of 5 to 8, i.e., comprises substances with a potential for bioaccumulation. Organic contaminants known to accumulate in the Arctic, such as hexachlorobenzene and the lighter PCBs, indeed have such partitioning properties. Marine currents contribute significantly to the long-range transport of chemicals with log KAW &lt; -2. Emissions to surface media greatly reduce the ACP, except for chemicals with octanol/water partition coefficients log KOW &lt; 5. The ACP of chemicals with different partitioning properties is sensitive to different sets of environmental parameters, reflecting the different pathways which determine their global transport behavior. The ACP of most chemicals is sensitive to the temperature dependence of the partition coefficients, temperature, atmospheric mixing coefficients, and sea ice cover.","author":[{"dropping-particle":"","family":"Wania","given":"Frank","non-dropping-particle":"","parse-names":false,"suffix":""}],"container-title":"Environmental Science and Technology","id":"ITEM-1","issue":"7","issued":{"date-parts":[["2003"]]},"page":"1344-1351","title":"Assessing the potential of persistent organic chemicals for long-range transport and accumulation in polar regions","type":"article-journal","volume":"37"},"uris":["http://www.mendeley.com/documents/?uuid=e42851c6-8234-4dc5-b87c-f5d2bbc82cb5","http://www.mendeley.com/documents/?uuid=2d03f10d-09ba-4108-93e1-3c78c1a09e9a"]}],"mendeley":{"formattedCitation":"[34]","manualFormatting":"Wania (2003)","plainTextFormattedCitation":"[34]","previouslyFormattedCitation":"&lt;sup&gt;34&lt;/sup&gt;"},"properties":{"noteIndex":0},"schema":"https://github.com/citation-style-language/schema/raw/master/csl-citation.json"}</w:instrText>
      </w:r>
      <w:r w:rsidR="00FC5D8C">
        <w:rPr>
          <w:rFonts w:ascii="Times New Roman" w:eastAsia="Times New Roman" w:hAnsi="Times New Roman" w:cs="Times New Roman"/>
          <w:color w:val="000000"/>
          <w:sz w:val="24"/>
          <w:szCs w:val="24"/>
        </w:rPr>
        <w:fldChar w:fldCharType="separate"/>
      </w:r>
      <w:r w:rsidR="00FC5D8C" w:rsidRPr="00FC5D8C">
        <w:rPr>
          <w:rFonts w:ascii="Times New Roman" w:eastAsia="Times New Roman" w:hAnsi="Times New Roman" w:cs="Times New Roman"/>
          <w:noProof/>
          <w:color w:val="000000"/>
          <w:sz w:val="24"/>
          <w:szCs w:val="24"/>
        </w:rPr>
        <w:t xml:space="preserve">Wania </w:t>
      </w:r>
      <w:r w:rsidR="00FC5D8C">
        <w:rPr>
          <w:rFonts w:ascii="Times New Roman" w:eastAsia="Times New Roman" w:hAnsi="Times New Roman" w:cs="Times New Roman"/>
          <w:noProof/>
          <w:color w:val="000000"/>
          <w:sz w:val="24"/>
          <w:szCs w:val="24"/>
        </w:rPr>
        <w:t>(</w:t>
      </w:r>
      <w:r w:rsidR="00FC5D8C" w:rsidRPr="00FC5D8C">
        <w:rPr>
          <w:rFonts w:ascii="Times New Roman" w:eastAsia="Times New Roman" w:hAnsi="Times New Roman" w:cs="Times New Roman"/>
          <w:noProof/>
          <w:color w:val="000000"/>
          <w:sz w:val="24"/>
          <w:szCs w:val="24"/>
        </w:rPr>
        <w:t>2003)</w:t>
      </w:r>
      <w:r w:rsidR="00FC5D8C">
        <w:rPr>
          <w:rFonts w:ascii="Times New Roman" w:eastAsia="Times New Roman" w:hAnsi="Times New Roman" w:cs="Times New Roman"/>
          <w:color w:val="000000"/>
          <w:sz w:val="24"/>
          <w:szCs w:val="24"/>
        </w:rPr>
        <w:fldChar w:fldCharType="end"/>
      </w:r>
      <w:r w:rsidRPr="00A45FDE">
        <w:rPr>
          <w:rFonts w:ascii="Times New Roman" w:eastAsia="Times New Roman" w:hAnsi="Times New Roman" w:cs="Times New Roman"/>
          <w:color w:val="000000"/>
          <w:sz w:val="24"/>
          <w:szCs w:val="24"/>
        </w:rPr>
        <w:t xml:space="preserve"> to the Antarctic environment and EHMC. To have an elevated ACP, the partitioning characteristics of a substance should overlap in the range</w:t>
      </w:r>
      <w:r w:rsidR="008E47E5">
        <w:rPr>
          <w:rFonts w:ascii="Times New Roman" w:eastAsia="Times New Roman" w:hAnsi="Times New Roman" w:cs="Times New Roman"/>
          <w:color w:val="000000"/>
          <w:sz w:val="24"/>
          <w:szCs w:val="24"/>
        </w:rPr>
        <w:t>s</w:t>
      </w:r>
      <w:r w:rsidRPr="00A45FDE">
        <w:rPr>
          <w:rFonts w:ascii="Times New Roman" w:eastAsia="Times New Roman" w:hAnsi="Times New Roman" w:cs="Times New Roman"/>
          <w:color w:val="000000"/>
          <w:sz w:val="24"/>
          <w:szCs w:val="24"/>
        </w:rPr>
        <w:t xml:space="preserve"> of 6.5 &lt; log K</w:t>
      </w:r>
      <w:r w:rsidRPr="00A45FDE">
        <w:rPr>
          <w:rFonts w:ascii="Times New Roman" w:eastAsia="Times New Roman" w:hAnsi="Times New Roman" w:cs="Times New Roman"/>
          <w:color w:val="000000"/>
          <w:sz w:val="14"/>
          <w:szCs w:val="14"/>
          <w:vertAlign w:val="subscript"/>
        </w:rPr>
        <w:t>OA</w:t>
      </w:r>
      <w:r w:rsidRPr="00A45FDE">
        <w:rPr>
          <w:rFonts w:ascii="Times New Roman" w:eastAsia="Times New Roman" w:hAnsi="Times New Roman" w:cs="Times New Roman"/>
          <w:color w:val="000000"/>
          <w:sz w:val="24"/>
          <w:szCs w:val="24"/>
        </w:rPr>
        <w:t xml:space="preserve"> &lt; 10; -3 &lt; log K</w:t>
      </w:r>
      <w:r w:rsidRPr="00A45FDE">
        <w:rPr>
          <w:rFonts w:ascii="Times New Roman" w:eastAsia="Times New Roman" w:hAnsi="Times New Roman" w:cs="Times New Roman"/>
          <w:color w:val="000000"/>
          <w:sz w:val="14"/>
          <w:szCs w:val="14"/>
          <w:vertAlign w:val="subscript"/>
        </w:rPr>
        <w:t>AW</w:t>
      </w:r>
      <w:r w:rsidRPr="00A45FDE">
        <w:rPr>
          <w:rFonts w:ascii="Times New Roman" w:eastAsia="Times New Roman" w:hAnsi="Times New Roman" w:cs="Times New Roman"/>
          <w:color w:val="000000"/>
          <w:sz w:val="24"/>
          <w:szCs w:val="24"/>
        </w:rPr>
        <w:t xml:space="preserve"> &lt; -0.5; and 5 &lt; log K</w:t>
      </w:r>
      <w:r w:rsidRPr="00A45FDE">
        <w:rPr>
          <w:rFonts w:ascii="Times New Roman" w:eastAsia="Times New Roman" w:hAnsi="Times New Roman" w:cs="Times New Roman"/>
          <w:color w:val="000000"/>
          <w:sz w:val="14"/>
          <w:szCs w:val="14"/>
          <w:vertAlign w:val="subscript"/>
        </w:rPr>
        <w:t>OW</w:t>
      </w:r>
      <w:r w:rsidRPr="00A45FDE">
        <w:rPr>
          <w:rFonts w:ascii="Times New Roman" w:eastAsia="Times New Roman" w:hAnsi="Times New Roman" w:cs="Times New Roman"/>
          <w:color w:val="000000"/>
          <w:sz w:val="24"/>
          <w:szCs w:val="24"/>
        </w:rPr>
        <w:t xml:space="preserve"> &lt; 8 </w:t>
      </w:r>
      <w:r w:rsidR="00FC5D8C">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{"citationItems":[{"id":"ITEM-1","itemData":{"DOI":"10.1021/es026019e","ISSN":"0013936X","abstract":"A zonally averaged global distribution model is used to identify chemical partitioning properties and emission scenarios that favor enrichment in Arctic ecosystems. An immediate and a long-term Arctic Contamination Potential (ACP) are defined as the fraction of the total amount in global surface media that is in the Arctic after 1 and 10 years of steady emissions with a generic zonal distribution. Simulations for a two-dimensional \"space\" of hypothetical chemical property combinations indicate that the ACP of a perfectly persistent organic chemical is determined by a complex set of processes but tends to be higher for two combinations of partitioning properties: relatively volatile (log KOA &lt; 9) and water soluble (4 &gt; log KAW &gt; -0.5) substances and substances which are semivolatile (log KOA 6.5-10) and relatively hydrophobic (log KAW &gt; -3). Very volatile chemicals with log KOA &lt; 6.5 and log KAW &gt; -0.5 remain in the atmosphere even under Arctic temperature conditions, whereas very involatile chemical with a log KOA &gt; 10 are efficiently and irreversibly deposited with atmospheric particles before reaching the Arctic. The two sets of partitioning characteristics with elevated ACP overlap in the range 6.5 &lt; log KOA &lt; 10 and -0.5 &gt; log KAW &gt; -3, which also corresponds to a log KOW range of 5 to 8, i.e., comprises substances with a potential for bioaccumulation. Organic contaminants known to accumulate in the Arctic, such as hexachlorobenzene and the lighter PCBs, indeed have such partitioning properties. Marine currents contribute significantly to the long-range transport of chemicals with log KAW &lt; -2. Emissions to surface media greatly reduce the ACP, except for chemicals with octanol/water partition coefficients log KOW &lt; 5. The ACP of chemicals with different partitioning properties is sensitive to different sets of environmental parameters, reflecting the different pathways which determine their global transport behavior. The ACP of most chemicals is sensitive to the temperature dependence of the partition coefficients, temperature, atmospheric mixing coefficients, and sea ice cover.","author":[{"dropping-particle":"","family":"Wania","given":"Frank","non-dropping-particle":"","parse-names":false,"suffix":""}],"container-title":"Environmental Science and Technology","id":"ITEM-1","issue":"7","issued":{"date-parts":[["2003"]]},"page":"1344-1351","title":"Assessing the potential of persistent organic chemicals for long-range transport and accumulation in polar regions","type":"article-journal","volume":"37"},"uris":["http://www.mendeley.com/documents/?uuid=e42851c6-8234-4dc5-b87c-f5d2bbc82cb5","http://www.mendeley.com/documents/?uuid=2d03f10d-09ba-4108-93e1-3c78c1a09e9a"]}],"mendeley":{"formattedCitation":"[34]","manualFormatting":"Wania (2003)","plainTextFormattedCitation":"[34]","previouslyFormattedCitation":"&lt;sup&gt;34&lt;/sup&gt;"},"properties":{"noteIndex":0},"schema":"https://github.com/citation-style-language/schema/raw/master/csl-citation.json"}</w:instrText>
      </w:r>
      <w:r w:rsidR="00FC5D8C">
        <w:rPr>
          <w:rFonts w:ascii="Times New Roman" w:eastAsia="Times New Roman" w:hAnsi="Times New Roman" w:cs="Times New Roman"/>
          <w:color w:val="000000"/>
          <w:sz w:val="24"/>
          <w:szCs w:val="24"/>
        </w:rPr>
        <w:fldChar w:fldCharType="separate"/>
      </w:r>
      <w:r w:rsidR="00FC5D8C" w:rsidRPr="00FC5D8C">
        <w:rPr>
          <w:rFonts w:ascii="Times New Roman" w:eastAsia="Times New Roman" w:hAnsi="Times New Roman" w:cs="Times New Roman"/>
          <w:noProof/>
          <w:color w:val="000000"/>
          <w:sz w:val="24"/>
          <w:szCs w:val="24"/>
        </w:rPr>
        <w:t xml:space="preserve">Wania </w:t>
      </w:r>
      <w:r w:rsidR="00FC5D8C">
        <w:rPr>
          <w:rFonts w:ascii="Times New Roman" w:eastAsia="Times New Roman" w:hAnsi="Times New Roman" w:cs="Times New Roman"/>
          <w:noProof/>
          <w:color w:val="000000"/>
          <w:sz w:val="24"/>
          <w:szCs w:val="24"/>
        </w:rPr>
        <w:t>(</w:t>
      </w:r>
      <w:r w:rsidR="00FC5D8C" w:rsidRPr="00FC5D8C">
        <w:rPr>
          <w:rFonts w:ascii="Times New Roman" w:eastAsia="Times New Roman" w:hAnsi="Times New Roman" w:cs="Times New Roman"/>
          <w:noProof/>
          <w:color w:val="000000"/>
          <w:sz w:val="24"/>
          <w:szCs w:val="24"/>
        </w:rPr>
        <w:t>2003)</w:t>
      </w:r>
      <w:r w:rsidR="00FC5D8C">
        <w:rPr>
          <w:rFonts w:ascii="Times New Roman" w:eastAsia="Times New Roman" w:hAnsi="Times New Roman" w:cs="Times New Roman"/>
          <w:color w:val="000000"/>
          <w:sz w:val="24"/>
          <w:szCs w:val="24"/>
        </w:rPr>
        <w:fldChar w:fldCharType="end"/>
      </w:r>
      <w:r w:rsidRPr="00A45FDE">
        <w:rPr>
          <w:rFonts w:ascii="Times New Roman" w:eastAsia="Times New Roman" w:hAnsi="Times New Roman" w:cs="Times New Roman"/>
          <w:color w:val="000000"/>
          <w:sz w:val="24"/>
          <w:szCs w:val="24"/>
        </w:rPr>
        <w:t xml:space="preserve">. As </w:t>
      </w:r>
      <w:r w:rsidRPr="0073222F">
        <w:rPr>
          <w:rFonts w:ascii="Times New Roman" w:eastAsia="Times New Roman" w:hAnsi="Times New Roman" w:cs="Times New Roman"/>
          <w:color w:val="000000"/>
          <w:sz w:val="24"/>
          <w:szCs w:val="24"/>
        </w:rPr>
        <w:t xml:space="preserve">shown in </w:t>
      </w:r>
      <w:r w:rsidR="0073222F">
        <w:rPr>
          <w:rFonts w:ascii="Times New Roman" w:eastAsia="Times New Roman" w:hAnsi="Times New Roman" w:cs="Times New Roman"/>
          <w:color w:val="000000"/>
          <w:sz w:val="24"/>
          <w:szCs w:val="24"/>
        </w:rPr>
        <w:t xml:space="preserve">Table </w:t>
      </w:r>
      <w:r w:rsidR="00663EA2">
        <w:rPr>
          <w:rFonts w:ascii="Times New Roman" w:eastAsia="Times New Roman" w:hAnsi="Times New Roman" w:cs="Times New Roman"/>
          <w:color w:val="000000"/>
          <w:sz w:val="24"/>
          <w:szCs w:val="24"/>
        </w:rPr>
        <w:t>1</w:t>
      </w:r>
      <w:r w:rsidRPr="0073222F">
        <w:rPr>
          <w:rFonts w:ascii="Times New Roman" w:eastAsia="Times New Roman" w:hAnsi="Times New Roman" w:cs="Times New Roman"/>
          <w:color w:val="000000"/>
          <w:sz w:val="24"/>
          <w:szCs w:val="24"/>
        </w:rPr>
        <w:t>, the values</w:t>
      </w:r>
      <w:r w:rsidRPr="00A45FDE">
        <w:rPr>
          <w:rFonts w:ascii="Times New Roman" w:eastAsia="Times New Roman" w:hAnsi="Times New Roman" w:cs="Times New Roman"/>
          <w:color w:val="000000"/>
          <w:sz w:val="24"/>
          <w:szCs w:val="24"/>
        </w:rPr>
        <w:t xml:space="preserve"> of log K</w:t>
      </w:r>
      <w:r w:rsidRPr="00A45FDE">
        <w:rPr>
          <w:rFonts w:ascii="Times New Roman" w:eastAsia="Times New Roman" w:hAnsi="Times New Roman" w:cs="Times New Roman"/>
          <w:color w:val="000000"/>
          <w:sz w:val="14"/>
          <w:szCs w:val="14"/>
          <w:vertAlign w:val="subscript"/>
        </w:rPr>
        <w:t>OW</w:t>
      </w:r>
      <w:r w:rsidRPr="00A45FDE">
        <w:rPr>
          <w:rFonts w:ascii="Times New Roman" w:eastAsia="Times New Roman" w:hAnsi="Times New Roman" w:cs="Times New Roman"/>
          <w:color w:val="000000"/>
          <w:sz w:val="24"/>
          <w:szCs w:val="24"/>
        </w:rPr>
        <w:t xml:space="preserve"> and log K</w:t>
      </w:r>
      <w:r w:rsidRPr="00A45FDE">
        <w:rPr>
          <w:rFonts w:ascii="Times New Roman" w:eastAsia="Times New Roman" w:hAnsi="Times New Roman" w:cs="Times New Roman"/>
          <w:color w:val="000000"/>
          <w:sz w:val="14"/>
          <w:szCs w:val="14"/>
          <w:vertAlign w:val="subscript"/>
        </w:rPr>
        <w:t>OA</w:t>
      </w:r>
      <w:r w:rsidRPr="00A45FDE">
        <w:rPr>
          <w:rFonts w:ascii="Times New Roman" w:eastAsia="Times New Roman" w:hAnsi="Times New Roman" w:cs="Times New Roman"/>
          <w:color w:val="000000"/>
          <w:sz w:val="24"/>
          <w:szCs w:val="24"/>
        </w:rPr>
        <w:t xml:space="preserve"> of EHMC fall within these ranges, while K</w:t>
      </w:r>
      <w:r w:rsidRPr="00A45FDE">
        <w:rPr>
          <w:rFonts w:ascii="Times New Roman" w:eastAsia="Times New Roman" w:hAnsi="Times New Roman" w:cs="Times New Roman"/>
          <w:color w:val="000000"/>
          <w:sz w:val="14"/>
          <w:szCs w:val="14"/>
          <w:vertAlign w:val="subscript"/>
        </w:rPr>
        <w:t>AW</w:t>
      </w:r>
      <w:r w:rsidRPr="00A45FDE">
        <w:rPr>
          <w:rFonts w:ascii="Times New Roman" w:eastAsia="Times New Roman" w:hAnsi="Times New Roman" w:cs="Times New Roman"/>
          <w:color w:val="000000"/>
          <w:sz w:val="24"/>
          <w:szCs w:val="24"/>
        </w:rPr>
        <w:t xml:space="preserve"> is lower than the range. Due to the relatively high octanol-air partition coefficient </w:t>
      </w:r>
      <w:r w:rsidRPr="00A45FDE">
        <w:rPr>
          <w:rFonts w:ascii="Times New Roman" w:eastAsia="Times New Roman" w:hAnsi="Times New Roman" w:cs="Times New Roman"/>
          <w:color w:val="000000"/>
          <w:sz w:val="24"/>
          <w:szCs w:val="24"/>
        </w:rPr>
        <w:lastRenderedPageBreak/>
        <w:t>(log K</w:t>
      </w:r>
      <w:r w:rsidRPr="00A45FDE">
        <w:rPr>
          <w:rFonts w:ascii="Times New Roman" w:eastAsia="Times New Roman" w:hAnsi="Times New Roman" w:cs="Times New Roman"/>
          <w:color w:val="000000"/>
          <w:sz w:val="14"/>
          <w:szCs w:val="14"/>
          <w:vertAlign w:val="subscript"/>
        </w:rPr>
        <w:t>OA</w:t>
      </w:r>
      <w:r w:rsidRPr="00A45FDE">
        <w:rPr>
          <w:rFonts w:ascii="Times New Roman" w:eastAsia="Times New Roman" w:hAnsi="Times New Roman" w:cs="Times New Roman"/>
          <w:color w:val="000000"/>
          <w:sz w:val="24"/>
          <w:szCs w:val="24"/>
        </w:rPr>
        <w:t xml:space="preserve"> &gt; 9.5), EHMC can be classified as a ‘single hop’ chemical, according to the classification proposed by</w:t>
      </w:r>
      <w:r w:rsidR="00F5245F">
        <w:rPr>
          <w:rFonts w:ascii="Times New Roman" w:eastAsia="Times New Roman" w:hAnsi="Times New Roman" w:cs="Times New Roman"/>
          <w:color w:val="000000"/>
          <w:sz w:val="24"/>
          <w:szCs w:val="24"/>
        </w:rPr>
        <w:t xml:space="preserve"> </w:t>
      </w:r>
      <w:r w:rsidR="00F5245F">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{"citationItems":[{"id":"ITEM-1","itemData":{"DOI":"10.1021/es026019e","ISSN":"0013936X","abstract":"A zonally averaged global distribution model is used to identify chemical partitioning properties and emission scenarios that favor enrichment in Arctic ecosystems. An immediate and a long-term Arctic Contamination Potential (ACP) are defined as the fraction of the total amount in global surface media that is in the Arctic after 1 and 10 years of steady emissions with a generic zonal distribution. Simulations for a two-dimensional \"space\" of hypothetical chemical property combinations indicate that the ACP of a perfectly persistent organic chemical is determined by a complex set of processes but tends to be higher for two combinations of partitioning properties: relatively volatile (log KOA &lt; 9) and water soluble (4 &gt; log KAW &gt; -0.5) substances and substances which are semivolatile (log KOA 6.5-10) and relatively hydrophobic (log KAW &gt; -3). Very volatile chemicals with log KOA &lt; 6.5 and log KAW &gt; -0.5 remain in the atmosphere even under Arctic temperature conditions, whereas very involatile chemical with a log KOA &gt; 10 are efficiently and irreversibly deposited with atmospheric particles before reaching the Arctic. The two sets of partitioning characteristics with elevated ACP overlap in the range 6.5 &lt; log KOA &lt; 10 and -0.5 &gt; log KAW &gt; -3, which also corresponds to a log KOW range of 5 to 8, i.e., comprises substances with a potential for bioaccumulation. Organic contaminants known to accumulate in the Arctic, such as hexachlorobenzene and the lighter PCBs, indeed have such partitioning properties. Marine currents contribute significantly to the long-range transport of chemicals with log KAW &lt; -2. Emissions to surface media greatly reduce the ACP, except for chemicals with octanol/water partition coefficients log KOW &lt; 5. The ACP of chemicals with different partitioning properties is sensitive to different sets of environmental parameters, reflecting the different pathways which determine their global transport behavior. The ACP of most chemicals is sensitive to the temperature dependence of the partition coefficients, temperature, atmospheric mixing coefficients, and sea ice cover.","author":[{"dropping-particle":"","family":"Wania","given":"Frank","non-dropping-particle":"","parse-names":false,"suffix":""}],"container-title":"Environmental Science and Technology","id":"ITEM-1","issue":"7","issued":{"date-parts":[["2003"]]},"page":"1344-1351","title":"Assessing the potential of persistent organic chemicals for long-range transport and accumulation in polar regions","type":"article-journal","volume":"37"},"uris":["http://www.mendeley.com/documents/?uuid=e42851c6-8234-4dc5-b87c-f5d2bbc82cb5","http://www.mendeley.com/documents/?uuid=2d03f10d-09ba-4108-93e1-3c78c1a09e9a"]}],"mendeley":{"formattedCitation":"[34]","manualFormatting":"Wania (2003)","plainTextFormattedCitation":"[34]","previouslyFormattedCitation":"&lt;sup&gt;34&lt;/sup&gt;"},"properties":{"noteIndex":0},"schema":"https://github.com/citation-style-language/schema/raw/master/csl-citation.json"}</w:instrText>
      </w:r>
      <w:r w:rsidR="00F5245F">
        <w:rPr>
          <w:rFonts w:ascii="Times New Roman" w:eastAsia="Times New Roman" w:hAnsi="Times New Roman" w:cs="Times New Roman"/>
          <w:color w:val="000000"/>
          <w:sz w:val="24"/>
          <w:szCs w:val="24"/>
        </w:rPr>
        <w:fldChar w:fldCharType="separate"/>
      </w:r>
      <w:r w:rsidR="00F5245F" w:rsidRPr="00F5245F">
        <w:rPr>
          <w:rFonts w:ascii="Times New Roman" w:eastAsia="Times New Roman" w:hAnsi="Times New Roman" w:cs="Times New Roman"/>
          <w:noProof/>
          <w:color w:val="000000"/>
          <w:sz w:val="24"/>
          <w:szCs w:val="24"/>
        </w:rPr>
        <w:t xml:space="preserve">Wania </w:t>
      </w:r>
      <w:r w:rsidR="00F5245F">
        <w:rPr>
          <w:rFonts w:ascii="Times New Roman" w:eastAsia="Times New Roman" w:hAnsi="Times New Roman" w:cs="Times New Roman"/>
          <w:noProof/>
          <w:color w:val="000000"/>
          <w:sz w:val="24"/>
          <w:szCs w:val="24"/>
        </w:rPr>
        <w:t>(</w:t>
      </w:r>
      <w:r w:rsidR="00F5245F" w:rsidRPr="00F5245F">
        <w:rPr>
          <w:rFonts w:ascii="Times New Roman" w:eastAsia="Times New Roman" w:hAnsi="Times New Roman" w:cs="Times New Roman"/>
          <w:noProof/>
          <w:color w:val="000000"/>
          <w:sz w:val="24"/>
          <w:szCs w:val="24"/>
        </w:rPr>
        <w:t>2003)</w:t>
      </w:r>
      <w:r w:rsidR="00F5245F">
        <w:rPr>
          <w:rFonts w:ascii="Times New Roman" w:eastAsia="Times New Roman" w:hAnsi="Times New Roman" w:cs="Times New Roman"/>
          <w:color w:val="000000"/>
          <w:sz w:val="24"/>
          <w:szCs w:val="24"/>
        </w:rPr>
        <w:fldChar w:fldCharType="end"/>
      </w:r>
      <w:r w:rsidRPr="00A45FDE">
        <w:rPr>
          <w:rFonts w:ascii="Times New Roman" w:eastAsia="Times New Roman" w:hAnsi="Times New Roman" w:cs="Times New Roman"/>
          <w:color w:val="000000"/>
          <w:sz w:val="24"/>
          <w:szCs w:val="24"/>
        </w:rPr>
        <w:t xml:space="preserve">. This may indicate that it tends to not volatilize after deposition, reaching the polar regions mostly in one single atmospheric long-range transport event </w:t>
      </w:r>
      <w:r w:rsidR="00F5245F">
        <w:rPr>
          <w:rFonts w:ascii="Times New Roman" w:eastAsia="Times New Roman" w:hAnsi="Times New Roman" w:cs="Times New Roman"/>
          <w:color w:val="000000"/>
          <w:sz w:val="24"/>
          <w:szCs w:val="24"/>
        </w:rPr>
        <w:fldChar w:fldCharType="begin" w:fldLock="1"/>
      </w:r>
      <w:r w:rsidR="007A5F81">
        <w:rPr>
          <w:rFonts w:ascii="Times New Roman" w:eastAsia="Times New Roman" w:hAnsi="Times New Roman" w:cs="Times New Roman"/>
          <w:color w:val="000000"/>
          <w:sz w:val="24"/>
          <w:szCs w:val="24"/>
        </w:rPr>
        <w:instrText>ADDIN CSL_CITATION {"citationItems":[{"id":"ITEM-1","itemData":{"DOI":"10.1021/es026019e","ISSN":"0013936X","abstract":"A zonally averaged global distribution model is used to identify chemical partitioning properties and emission scenarios that favor enrichment in Arctic ecosystems. An immediate and a long-term Arctic Contamination Potential (ACP) are defined as the fraction of the total amount in global surface media that is in the Arctic after 1 and 10 years of steady emissions with a generic zonal distribution. Simulations for a two-dimensional \"space\" of hypothetical chemical property combinations indicate that the ACP of a perfectly persistent organic chemical is determined by a complex set of processes but tends to be higher for two combinations of partitioning properties: relatively volatile (log KOA &lt; 9) and water soluble (4 &gt; log KAW &gt; -0.5) substances and substances which are semivolatile (log KOA 6.5-10) and relatively hydrophobic (log KAW &gt; -3). Very volatile chemicals with log KOA &lt; 6.5 and log KAW &gt; -0.5 remain in the atmosphere even under Arctic temperature conditions, whereas very involatile chemical with a log KOA &gt; 10 are efficiently and irreversibly deposited with atmospheric particles before reaching the Arctic. The two sets of partitioning characteristics with elevated ACP overlap in the range 6.5 &lt; log KOA &lt; 10 and -0.5 &gt; log KAW &gt; -3, which also corresponds to a log KOW range of 5 to 8, i.e., comprises substances with a potential for bioaccumulation. Organic contaminants known to accumulate in the Arctic, such as hexachlorobenzene and the lighter PCBs, indeed have such partitioning properties. Marine currents contribute significantly to the long-range transport of chemicals with log KAW &lt; -2. Emissions to surface media greatly reduce the ACP, except for chemicals with octanol/water partition coefficients log KOW &lt; 5. The ACP of chemicals with different partitioning properties is sensitive to different sets of environmental parameters, reflecting the different pathways which determine their global transport behavior. The ACP of most chemicals is sensitive to the temperature dependence of the partition coefficients, temperature, atmospheric mixing coefficients, and sea ice cover.","author":[{"dropping-particle":"","family":"Wania","given":"Frank","non-dropping-particle":"","parse-names":false,"suffix":""}],"container-title":"Environmental Science and Technology","id":"ITEM-1","issue":"7","issued":{"date-parts":[["2003"]]},"page":"1344-1351","title":"Assessing the potential of persistent organic chemicals for long-range transport and accumulation in polar regions","type":"article-journal","volume":"37"},"uris":["http://www.mendeley.com/documents/?uuid=e42851c6-8234-4dc5-b87c-f5d2bbc82cb5","http://www.mendeley.com/documents/?uuid=2d03f10d-09ba-4108-93e1-3c78c1a09e9a"]}],"mendeley":{"formattedCitation":"[34]","plainTextFormattedCitation":"[34]","previouslyFormattedCitation":"&lt;sup&gt;34&lt;/sup&gt;"},"properties":{"noteIndex":0},"schema":"https://github.com/citation-style-language/schema/raw/master/csl-citation.json"}</w:instrText>
      </w:r>
      <w:r w:rsidR="00F5245F">
        <w:rPr>
          <w:rFonts w:ascii="Times New Roman" w:eastAsia="Times New Roman" w:hAnsi="Times New Roman" w:cs="Times New Roman"/>
          <w:color w:val="000000"/>
          <w:sz w:val="24"/>
          <w:szCs w:val="24"/>
        </w:rPr>
        <w:fldChar w:fldCharType="separate"/>
      </w:r>
      <w:r w:rsidR="007A5F81" w:rsidRPr="007A5F81">
        <w:rPr>
          <w:rFonts w:ascii="Times New Roman" w:eastAsia="Times New Roman" w:hAnsi="Times New Roman" w:cs="Times New Roman"/>
          <w:noProof/>
          <w:color w:val="000000"/>
          <w:sz w:val="24"/>
          <w:szCs w:val="24"/>
        </w:rPr>
        <w:t>[34]</w:t>
      </w:r>
      <w:r w:rsidR="00F5245F">
        <w:rPr>
          <w:rFonts w:ascii="Times New Roman" w:eastAsia="Times New Roman" w:hAnsi="Times New Roman" w:cs="Times New Roman"/>
          <w:color w:val="000000"/>
          <w:sz w:val="24"/>
          <w:szCs w:val="24"/>
        </w:rPr>
        <w:fldChar w:fldCharType="end"/>
      </w:r>
      <w:r w:rsidRPr="00A45FDE">
        <w:rPr>
          <w:rFonts w:ascii="Times New Roman" w:eastAsia="Times New Roman" w:hAnsi="Times New Roman" w:cs="Times New Roman"/>
          <w:color w:val="000000"/>
          <w:sz w:val="24"/>
          <w:szCs w:val="24"/>
        </w:rPr>
        <w:t>. According to these indications, we can assume that the presence of EHMC in polar environments can be linked to the use of products within the region or to emissions at lower latitudes and a single atmospheric transport event.</w:t>
      </w:r>
    </w:p>
    <w:p w14:paraId="68EA5D0B" w14:textId="7ABDDECF" w:rsidR="00E06D92" w:rsidRDefault="00A45FDE" w:rsidP="00E06D92">
      <w:pPr>
        <w:pStyle w:val="NormaleWeb"/>
        <w:spacing w:before="240" w:beforeAutospacing="0" w:after="0" w:afterAutospacing="0" w:line="360" w:lineRule="auto"/>
        <w:jc w:val="both"/>
        <w:rPr>
          <w:rFonts w:ascii="Arial" w:hAnsi="Arial" w:cs="Arial"/>
          <w:color w:val="000000"/>
          <w:sz w:val="22"/>
          <w:szCs w:val="22"/>
          <w:lang w:val="en-GB"/>
        </w:rPr>
      </w:pPr>
      <w:r w:rsidRPr="000023A0">
        <w:rPr>
          <w:color w:val="000000"/>
          <w:lang w:val="en-GB"/>
        </w:rPr>
        <w:t>The two considered studies show different conclusions. The results of</w:t>
      </w:r>
      <w:r w:rsidR="00127729">
        <w:rPr>
          <w:color w:val="000000"/>
          <w:lang w:val="en-GB"/>
        </w:rPr>
        <w:t xml:space="preserve"> </w:t>
      </w:r>
      <w:r w:rsidR="00127729">
        <w:rPr>
          <w:color w:val="000000"/>
          <w:lang w:val="en-GB"/>
        </w:rPr>
        <w:fldChar w:fldCharType="begin" w:fldLock="1"/>
      </w:r>
      <w:r w:rsidR="007A5F81">
        <w:rPr>
          <w:color w:val="000000"/>
          <w:lang w:val="en-GB"/>
        </w:rPr>
        <w:instrText>ADDIN CSL_CITATION {"citationItems":[{"id":"ITEM-1","itemData":{"DOI":"10.1007/s11356-018-1796-6","ISSN":"16147499","PMID":"29594898","abstract":"The organic UV filters, commonly used in personal protection products, are of concern because of their potential risk to aquatic ecosystems and living organisms. One of UV filters is ethylhexyl-4-methoxycinnamate (EHMC) acid. Studies have shown that, in the presence of oxidizing and chlorinating factors, EHMC forms a series of products with different properties than the substrate. In this study, the toxicities of EHMC and its transformation/degradation products formed under the influence of NaOCl/UV and H2O2/UV systems in the water medium were tested using Microtox® bioassay and by observation of mortality of juvenile crustaceans Daphnia magna and Artemia Salina. We have observed that oxidation and chlorination products of EHMC show significantly higher toxicity than EHMC alone. The toxicity of chemicals is related to their physicochemical characteristic such as lipophilicity and substituent groups. With the increase in lipophilicity of products, expressed as log KOW, the toxicity (EC50) increases. On the basis of physicochemical properties such as vapour pressure (VP), solubility (S), octanol-water partition coefficient (KOW), bioconcentration factor (BCF) and half-lives, the overall persistence (POV) and long-range transport potential (LRTP) of all the products and EHMC were calculated. It was shown that the most persistent and traveling on the long distances in environment are methoxyphenol chloroderivatives, then methoxybenzene chloroderivatives, EHMC chloroderivatives, methoxybenzaldehyde chloroderivatives and methoxycinnamate acid chloroderivatives. These compounds are also characterised by high toxicity.","author":[{"dropping-particle":"","family":"Gackowska","given":"Alicja","non-dropping-particle":"","parse-names":false,"suffix":""},{"dropping-particle":"","family":"Studziński","given":"Waldemar","non-dropping-particle":"","parse-names":false,"suffix":""},{"dropping-particle":"","family":"Kudlek","given":"Edyta","non-dropping-particle":"","parse-names":false,"suffix":""},{"dropping-particle":"","family":"Dudziak","given":"Mariusz","non-dropping-particle":"","parse-names":false,"suffix":""},{"dropping-particle":"","family":"Gaca","given":"Jerzy","non-dropping-particle":"","parse-names":false,"suffix":""}],"container-title":"Environmental Science and Pollution Research","id":"ITEM-1","issue":"16","issued":{"date-parts":[["2018"]]},"page":"16037-16049","title":"Estimation of physicochemical properties of 2-ethylhexyl-4-methoxycinnamate (EHMC) degradation products and their toxicological evaluation","type":"article-journal","volume":"25"},"uris":["http://www.mendeley.com/documents/?uuid=224ccd5a-274c-4b1e-a0f5-884e21ae3ff7","http://www.mendeley.com/documents/?uuid=ada76b1e-bcf7-4a29-89ab-e556077c4097"]}],"mendeley":{"formattedCitation":"[18]","manualFormatting":"Gackowska et al. (2018)","plainTextFormattedCitation":"[18]","previouslyFormattedCitation":"&lt;sup&gt;18&lt;/sup&gt;"},"properties":{"noteIndex":0},"schema":"https://github.com/citation-style-language/schema/raw/master/csl-citation.json"}</w:instrText>
      </w:r>
      <w:r w:rsidR="00127729">
        <w:rPr>
          <w:color w:val="000000"/>
          <w:lang w:val="en-GB"/>
        </w:rPr>
        <w:fldChar w:fldCharType="separate"/>
      </w:r>
      <w:r w:rsidR="00127729" w:rsidRPr="00127729">
        <w:rPr>
          <w:noProof/>
          <w:color w:val="000000"/>
          <w:lang w:val="en-GB"/>
        </w:rPr>
        <w:t xml:space="preserve">Gackowska et al. </w:t>
      </w:r>
      <w:r w:rsidR="00127729">
        <w:rPr>
          <w:noProof/>
          <w:color w:val="000000"/>
          <w:lang w:val="en-GB"/>
        </w:rPr>
        <w:t>(</w:t>
      </w:r>
      <w:r w:rsidR="00127729" w:rsidRPr="00127729">
        <w:rPr>
          <w:noProof/>
          <w:color w:val="000000"/>
          <w:lang w:val="en-GB"/>
        </w:rPr>
        <w:t>2018)</w:t>
      </w:r>
      <w:r w:rsidR="00127729">
        <w:rPr>
          <w:color w:val="000000"/>
          <w:lang w:val="en-GB"/>
        </w:rPr>
        <w:fldChar w:fldCharType="end"/>
      </w:r>
      <w:r w:rsidRPr="000023A0">
        <w:rPr>
          <w:color w:val="000000"/>
          <w:lang w:val="en-GB"/>
        </w:rPr>
        <w:t>, when applied to polar areas, show discrepancies with the assumptions based on the study of</w:t>
      </w:r>
      <w:r w:rsidR="00127729">
        <w:rPr>
          <w:color w:val="000000"/>
          <w:lang w:val="en-GB"/>
        </w:rPr>
        <w:t xml:space="preserve"> </w:t>
      </w:r>
      <w:r w:rsidR="00127729">
        <w:rPr>
          <w:color w:val="000000"/>
          <w:lang w:val="en-GB"/>
        </w:rPr>
        <w:fldChar w:fldCharType="begin" w:fldLock="1"/>
      </w:r>
      <w:r w:rsidR="007A5F81">
        <w:rPr>
          <w:color w:val="000000"/>
          <w:lang w:val="en-GB"/>
        </w:rPr>
        <w:instrText>ADDIN CSL_CITATION {"citationItems":[{"id":"ITEM-1","itemData":{"DOI":"10.1021/es026019e","ISSN":"0013936X","abstract":"A zonally averaged global distribution model is used to identify chemical partitioning properties and emission scenarios that favor enrichment in Arctic ecosystems. An immediate and a long-term Arctic Contamination Potential (ACP) are defined as the fraction of the total amount in global surface media that is in the Arctic after 1 and 10 years of steady emissions with a generic zonal distribution. Simulations for a two-dimensional \"space\" of hypothetical chemical property combinations indicate that the ACP of a perfectly persistent organic chemical is determined by a complex set of processes but tends to be higher for two combinations of partitioning properties: relatively volatile (log KOA &lt; 9) and water soluble (4 &gt; log KAW &gt; -0.5) substances and substances which are semivolatile (log KOA 6.5-10) and relatively hydrophobic (log KAW &gt; -3). Very volatile chemicals with log KOA &lt; 6.5 and log KAW &gt; -0.5 remain in the atmosphere even under Arctic temperature conditions, whereas very involatile chemical with a log KOA &gt; 10 are efficiently and irreversibly deposited with atmospheric particles before reaching the Arctic. The two sets of partitioning characteristics with elevated ACP overlap in the range 6.5 &lt; log KOA &lt; 10 and -0.5 &gt; log KAW &gt; -3, which also corresponds to a log KOW range of 5 to 8, i.e., comprises substances with a potential for bioaccumulation. Organic contaminants known to accumulate in the Arctic, such as hexachlorobenzene and the lighter PCBs, indeed have such partitioning properties. Marine currents contribute significantly to the long-range transport of chemicals with log KAW &lt; -2. Emissions to surface media greatly reduce the ACP, except for chemicals with octanol/water partition coefficients log KOW &lt; 5. The ACP of chemicals with different partitioning properties is sensitive to different sets of environmental parameters, reflecting the different pathways which determine their global transport behavior. The ACP of most chemicals is sensitive to the temperature dependence of the partition coefficients, temperature, atmospheric mixing coefficients, and sea ice cover.","author":[{"dropping-particle":"","family":"Wania","given":"Frank","non-dropping-particle":"","parse-names":false,"suffix":""}],"container-title":"Environmental Science and Technology","id":"ITEM-1","issue":"7","issued":{"date-parts":[["2003"]]},"page":"1344-1351","title":"Assessing the potential of persistent organic chemicals for long-range transport and accumulation in polar regions","type":"article-journal","volume":"37"},"uris":["http://www.mendeley.com/documents/?uuid=e42851c6-8234-4dc5-b87c-f5d2bbc82cb5","http://www.mendeley.com/documents/?uuid=2d03f10d-09ba-4108-93e1-3c78c1a09e9a"]}],"mendeley":{"formattedCitation":"[34]","manualFormatting":"Wania (2003)","plainTextFormattedCitation":"[34]","previouslyFormattedCitation":"&lt;sup&gt;34&lt;/sup&gt;"},"properties":{"noteIndex":0},"schema":"https://github.com/citation-style-language/schema/raw/master/csl-citation.json"}</w:instrText>
      </w:r>
      <w:r w:rsidR="00127729">
        <w:rPr>
          <w:color w:val="000000"/>
          <w:lang w:val="en-GB"/>
        </w:rPr>
        <w:fldChar w:fldCharType="separate"/>
      </w:r>
      <w:r w:rsidR="00127729" w:rsidRPr="00127729">
        <w:rPr>
          <w:noProof/>
          <w:color w:val="000000"/>
          <w:lang w:val="en-GB"/>
        </w:rPr>
        <w:t xml:space="preserve">Wania </w:t>
      </w:r>
      <w:r w:rsidR="00127729">
        <w:rPr>
          <w:noProof/>
          <w:color w:val="000000"/>
          <w:lang w:val="en-GB"/>
        </w:rPr>
        <w:t>(</w:t>
      </w:r>
      <w:r w:rsidR="00127729" w:rsidRPr="00127729">
        <w:rPr>
          <w:noProof/>
          <w:color w:val="000000"/>
          <w:lang w:val="en-GB"/>
        </w:rPr>
        <w:t>2003)</w:t>
      </w:r>
      <w:r w:rsidR="00127729">
        <w:rPr>
          <w:color w:val="000000"/>
          <w:lang w:val="en-GB"/>
        </w:rPr>
        <w:fldChar w:fldCharType="end"/>
      </w:r>
      <w:r w:rsidRPr="000023A0">
        <w:rPr>
          <w:color w:val="000000"/>
          <w:lang w:val="en-GB"/>
        </w:rPr>
        <w:t>. If we consider the three possible scenarios previously proposed for the presence of EHMC in Antarctica, the approach presented by</w:t>
      </w:r>
      <w:r w:rsidR="00127729">
        <w:rPr>
          <w:color w:val="000000"/>
          <w:lang w:val="en-GB"/>
        </w:rPr>
        <w:t xml:space="preserve"> </w:t>
      </w:r>
      <w:r w:rsidR="00127729">
        <w:rPr>
          <w:color w:val="000000"/>
          <w:lang w:val="en-GB"/>
        </w:rPr>
        <w:fldChar w:fldCharType="begin" w:fldLock="1"/>
      </w:r>
      <w:r w:rsidR="007A5F81">
        <w:rPr>
          <w:color w:val="000000"/>
          <w:lang w:val="en-GB"/>
        </w:rPr>
        <w:instrText>ADDIN CSL_CITATION {"citationItems":[{"id":"ITEM-1","itemData":{"DOI":"10.1021/es026019e","ISSN":"0013936X","abstract":"A zonally averaged global distribution model is used to identify chemical partitioning properties and emission scenarios that favor enrichment in Arctic ecosystems. An immediate and a long-term Arctic Contamination Potential (ACP) are defined as the fraction of the total amount in global surface media that is in the Arctic after 1 and 10 years of steady emissions with a generic zonal distribution. Simulations for a two-dimensional \"space\" of hypothetical chemical property combinations indicate that the ACP of a perfectly persistent organic chemical is determined by a complex set of processes but tends to be higher for two combinations of partitioning properties: relatively volatile (log KOA &lt; 9) and water soluble (4 &gt; log KAW &gt; -0.5) substances and substances which are semivolatile (log KOA 6.5-10) and relatively hydrophobic (log KAW &gt; -3). Very volatile chemicals with log KOA &lt; 6.5 and log KAW &gt; -0.5 remain in the atmosphere even under Arctic temperature conditions, whereas very involatile chemical with a log KOA &gt; 10 are efficiently and irreversibly deposited with atmospheric particles before reaching the Arctic. The two sets of partitioning characteristics with elevated ACP overlap in the range 6.5 &lt; log KOA &lt; 10 and -0.5 &gt; log KAW &gt; -3, which also corresponds to a log KOW range of 5 to 8, i.e., comprises substances with a potential for bioaccumulation. Organic contaminants known to accumulate in the Arctic, such as hexachlorobenzene and the lighter PCBs, indeed have such partitioning properties. Marine currents contribute significantly to the long-range transport of chemicals with log KAW &lt; -2. Emissions to surface media greatly reduce the ACP, except for chemicals with octanol/water partition coefficients log KOW &lt; 5. The ACP of chemicals with different partitioning properties is sensitive to different sets of environmental parameters, reflecting the different pathways which determine their global transport behavior. The ACP of most chemicals is sensitive to the temperature dependence of the partition coefficients, temperature, atmospheric mixing coefficients, and sea ice cover.","author":[{"dropping-particle":"","family":"Wania","given":"Frank","non-dropping-particle":"","parse-names":false,"suffix":""}],"container-title":"Environmental Science and Technology","id":"ITEM-1","issue":"7","issued":{"date-parts":[["2003"]]},"page":"1344-1351","title":"Assessing the potential of persistent organic chemicals for long-range transport and accumulation in polar regions","type":"article-journal","volume":"37"},"uris":["http://www.mendeley.com/documents/?uuid=e42851c6-8234-4dc5-b87c-f5d2bbc82cb5","http://www.mendeley.com/documents/?uuid=2d03f10d-09ba-4108-93e1-3c78c1a09e9a"]}],"mendeley":{"formattedCitation":"[34]","manualFormatting":"Wania (2003)","plainTextFormattedCitation":"[34]","previouslyFormattedCitation":"&lt;sup&gt;34&lt;/sup&gt;"},"properties":{"noteIndex":0},"schema":"https://github.com/citation-style-language/schema/raw/master/csl-citation.json"}</w:instrText>
      </w:r>
      <w:r w:rsidR="00127729">
        <w:rPr>
          <w:color w:val="000000"/>
          <w:lang w:val="en-GB"/>
        </w:rPr>
        <w:fldChar w:fldCharType="separate"/>
      </w:r>
      <w:r w:rsidR="00127729" w:rsidRPr="00127729">
        <w:rPr>
          <w:noProof/>
          <w:color w:val="000000"/>
          <w:lang w:val="en-GB"/>
        </w:rPr>
        <w:t xml:space="preserve">Wania </w:t>
      </w:r>
      <w:r w:rsidR="00127729">
        <w:rPr>
          <w:noProof/>
          <w:color w:val="000000"/>
          <w:lang w:val="en-GB"/>
        </w:rPr>
        <w:t>(</w:t>
      </w:r>
      <w:r w:rsidR="00127729" w:rsidRPr="00127729">
        <w:rPr>
          <w:noProof/>
          <w:color w:val="000000"/>
          <w:lang w:val="en-GB"/>
        </w:rPr>
        <w:t>2003)</w:t>
      </w:r>
      <w:r w:rsidR="00127729">
        <w:rPr>
          <w:color w:val="000000"/>
          <w:lang w:val="en-GB"/>
        </w:rPr>
        <w:fldChar w:fldCharType="end"/>
      </w:r>
      <w:r w:rsidRPr="000023A0">
        <w:rPr>
          <w:color w:val="000000"/>
          <w:lang w:val="en-GB"/>
        </w:rPr>
        <w:t xml:space="preserve"> suggests the scenario C as probable, with a ‘single hop’ long-range atmospheric event; differently, the results presented in</w:t>
      </w:r>
      <w:r w:rsidR="00127729">
        <w:rPr>
          <w:color w:val="000000"/>
          <w:lang w:val="en-GB"/>
        </w:rPr>
        <w:t xml:space="preserve"> </w:t>
      </w:r>
      <w:r w:rsidR="00127729">
        <w:rPr>
          <w:color w:val="000000"/>
          <w:lang w:val="en-GB"/>
        </w:rPr>
        <w:fldChar w:fldCharType="begin" w:fldLock="1"/>
      </w:r>
      <w:r w:rsidR="007A5F81">
        <w:rPr>
          <w:color w:val="000000"/>
          <w:lang w:val="en-GB"/>
        </w:rPr>
        <w:instrText>ADDIN CSL_CITATION {"citationItems":[{"id":"ITEM-1","itemData":{"DOI":"10.1007/s11356-018-1796-6","ISSN":"16147499","PMID":"29594898","abstract":"The organic UV filters, commonly used in personal protection products, are of concern because of their potential risk to aquatic ecosystems and living organisms. One of UV filters is ethylhexyl-4-methoxycinnamate (EHMC) acid. Studies have shown that, in the presence of oxidizing and chlorinating factors, EHMC forms a series of products with different properties than the substrate. In this study, the toxicities of EHMC and its transformation/degradation products formed under the influence of NaOCl/UV and H2O2/UV systems in the water medium were tested using Microtox® bioassay and by observation of mortality of juvenile crustaceans Daphnia magna and Artemia Salina. We have observed that oxidation and chlorination products of EHMC show significantly higher toxicity than EHMC alone. The toxicity of chemicals is related to their physicochemical characteristic such as lipophilicity and substituent groups. With the increase in lipophilicity of products, expressed as log KOW, the toxicity (EC50) increases. On the basis of physicochemical properties such as vapour pressure (VP), solubility (S), octanol-water partition coefficient (KOW), bioconcentration factor (BCF) and half-lives, the overall persistence (POV) and long-range transport potential (LRTP) of all the products and EHMC were calculated. It was shown that the most persistent and traveling on the long distances in environment are methoxyphenol chloroderivatives, then methoxybenzene chloroderivatives, EHMC chloroderivatives, methoxybenzaldehyde chloroderivatives and methoxycinnamate acid chloroderivatives. These compounds are also characterised by high toxicity.","author":[{"dropping-particle":"","family":"Gackowska","given":"Alicja","non-dropping-particle":"","parse-names":false,"suffix":""},{"dropping-particle":"","family":"Studziński","given":"Waldemar","non-dropping-particle":"","parse-names":false,"suffix":""},{"dropping-particle":"","family":"Kudlek","given":"Edyta","non-dropping-particle":"","parse-names":false,"suffix":""},{"dropping-particle":"","family":"Dudziak","given":"Mariusz","non-dropping-particle":"","parse-names":false,"suffix":""},{"dropping-particle":"","family":"Gaca","given":"Jerzy","non-dropping-particle":"","parse-names":false,"suffix":""}],"container-title":"Environmental Science and Pollution Research","id":"ITEM-1","issue":"16","issued":{"date-parts":[["2018"]]},"page":"16037-16049","title":"Estimation of physicochemical properties of 2-ethylhexyl-4-methoxycinnamate (EHMC) degradation products and their toxicological evaluation","type":"article-journal","volume":"25"},"uris":["http://www.mendeley.com/documents/?uuid=224ccd5a-274c-4b1e-a0f5-884e21ae3ff7","http://www.mendeley.com/documents/?uuid=ada76b1e-bcf7-4a29-89ab-e556077c4097"]}],"mendeley":{"formattedCitation":"[18]","manualFormatting":"Gackowska et al., (2018)","plainTextFormattedCitation":"[18]","previouslyFormattedCitation":"&lt;sup&gt;18&lt;/sup&gt;"},"properties":{"noteIndex":0},"schema":"https://github.com/citation-style-language/schema/raw/master/csl-citation.json"}</w:instrText>
      </w:r>
      <w:r w:rsidR="00127729">
        <w:rPr>
          <w:color w:val="000000"/>
          <w:lang w:val="en-GB"/>
        </w:rPr>
        <w:fldChar w:fldCharType="separate"/>
      </w:r>
      <w:r w:rsidR="00127729" w:rsidRPr="00127729">
        <w:rPr>
          <w:noProof/>
          <w:color w:val="000000"/>
          <w:lang w:val="en-GB"/>
        </w:rPr>
        <w:t xml:space="preserve">Gackowska et al., </w:t>
      </w:r>
      <w:r w:rsidR="00127729">
        <w:rPr>
          <w:noProof/>
          <w:color w:val="000000"/>
          <w:lang w:val="en-GB"/>
        </w:rPr>
        <w:t>(</w:t>
      </w:r>
      <w:r w:rsidR="00127729" w:rsidRPr="00127729">
        <w:rPr>
          <w:noProof/>
          <w:color w:val="000000"/>
          <w:lang w:val="en-GB"/>
        </w:rPr>
        <w:t>2018)</w:t>
      </w:r>
      <w:r w:rsidR="00127729">
        <w:rPr>
          <w:color w:val="000000"/>
          <w:lang w:val="en-GB"/>
        </w:rPr>
        <w:fldChar w:fldCharType="end"/>
      </w:r>
      <w:r w:rsidRPr="000023A0">
        <w:rPr>
          <w:color w:val="000000"/>
          <w:lang w:val="en-GB"/>
        </w:rPr>
        <w:t xml:space="preserve"> fit the scenario B suggesting contamination from relatively short-distance hotspots. The reason for these discrepancies is the different types of parameters used, and the environmental conditions considered in the two studies. </w:t>
      </w:r>
      <w:r w:rsidR="00127729">
        <w:rPr>
          <w:color w:val="000000"/>
          <w:lang w:val="en-GB"/>
        </w:rPr>
        <w:fldChar w:fldCharType="begin" w:fldLock="1"/>
      </w:r>
      <w:r w:rsidR="007A5F81">
        <w:rPr>
          <w:color w:val="000000"/>
          <w:lang w:val="en-GB"/>
        </w:rPr>
        <w:instrText>ADDIN CSL_CITATION {"citationItems":[{"id":"ITEM-1","itemData":{"DOI":"10.1007/s11356-018-1796-6","ISSN":"16147499","PMID":"29594898","abstract":"The organic UV filters, commonly used in personal protection products, are of concern because of their potential risk to aquatic ecosystems and living organisms. One of UV filters is ethylhexyl-4-methoxycinnamate (EHMC) acid. Studies have shown that, in the presence of oxidizing and chlorinating factors, EHMC forms a series of products with different properties than the substrate. In this study, the toxicities of EHMC and its transformation/degradation products formed under the influence of NaOCl/UV and H2O2/UV systems in the water medium were tested using Microtox® bioassay and by observation of mortality of juvenile crustaceans Daphnia magna and Artemia Salina. We have observed that oxidation and chlorination products of EHMC show significantly higher toxicity than EHMC alone. The toxicity of chemicals is related to their physicochemical characteristic such as lipophilicity and substituent groups. With the increase in lipophilicity of products, expressed as log KOW, the toxicity (EC50) increases. On the basis of physicochemical properties such as vapour pressure (VP), solubility (S), octanol-water partition coefficient (KOW), bioconcentration factor (BCF) and half-lives, the overall persistence (POV) and long-range transport potential (LRTP) of all the products and EHMC were calculated. It was shown that the most persistent and traveling on the long distances in environment are methoxyphenol chloroderivatives, then methoxybenzene chloroderivatives, EHMC chloroderivatives, methoxybenzaldehyde chloroderivatives and methoxycinnamate acid chloroderivatives. These compounds are also characterised by high toxicity.","author":[{"dropping-particle":"","family":"Gackowska","given":"Alicja","non-dropping-particle":"","parse-names":false,"suffix":""},{"dropping-particle":"","family":"Studziński","given":"Waldemar","non-dropping-particle":"","parse-names":false,"suffix":""},{"dropping-particle":"","family":"Kudlek","given":"Edyta","non-dropping-particle":"","parse-names":false,"suffix":""},{"dropping-particle":"","family":"Dudziak","given":"Mariusz","non-dropping-particle":"","parse-names":false,"suffix":""},{"dropping-particle":"","family":"Gaca","given":"Jerzy","non-dropping-particle":"","parse-names":false,"suffix":""}],"container-title":"Environmental Science and Pollution Research","id":"ITEM-1","issue":"16","issued":{"date-parts":[["2018"]]},"page":"16037-16049","title":"Estimation of physicochemical properties of 2-ethylhexyl-4-methoxycinnamate (EHMC) degradation products and their toxicological evaluation","type":"article-journal","volume":"25"},"uris":["http://www.mendeley.com/documents/?uuid=224ccd5a-274c-4b1e-a0f5-884e21ae3ff7","http://www.mendeley.com/documents/?uuid=ada76b1e-bcf7-4a29-89ab-e556077c4097"]}],"mendeley":{"formattedCitation":"[18]","manualFormatting":"Gackowska et al. (2018)","plainTextFormattedCitation":"[18]","previouslyFormattedCitation":"&lt;sup&gt;18&lt;/sup&gt;"},"properties":{"noteIndex":0},"schema":"https://github.com/citation-style-language/schema/raw/master/csl-citation.json"}</w:instrText>
      </w:r>
      <w:r w:rsidR="00127729">
        <w:rPr>
          <w:color w:val="000000"/>
          <w:lang w:val="en-GB"/>
        </w:rPr>
        <w:fldChar w:fldCharType="separate"/>
      </w:r>
      <w:r w:rsidR="00127729" w:rsidRPr="00127729">
        <w:rPr>
          <w:noProof/>
          <w:color w:val="000000"/>
          <w:lang w:val="en-GB"/>
        </w:rPr>
        <w:t xml:space="preserve">Gackowska et al. </w:t>
      </w:r>
      <w:r w:rsidR="00127729">
        <w:rPr>
          <w:noProof/>
          <w:color w:val="000000"/>
          <w:lang w:val="en-GB"/>
        </w:rPr>
        <w:t>(</w:t>
      </w:r>
      <w:r w:rsidR="00127729" w:rsidRPr="00127729">
        <w:rPr>
          <w:noProof/>
          <w:color w:val="000000"/>
          <w:lang w:val="en-GB"/>
        </w:rPr>
        <w:t>2018)</w:t>
      </w:r>
      <w:r w:rsidR="00127729">
        <w:rPr>
          <w:color w:val="000000"/>
          <w:lang w:val="en-GB"/>
        </w:rPr>
        <w:fldChar w:fldCharType="end"/>
      </w:r>
      <w:r w:rsidRPr="000023A0">
        <w:rPr>
          <w:color w:val="000000"/>
          <w:lang w:val="en-GB"/>
        </w:rPr>
        <w:t xml:space="preserve"> use the physical-chemical parameters of EHMC but only considers midlatitudes environmental conditions, while</w:t>
      </w:r>
      <w:r w:rsidR="00127729">
        <w:rPr>
          <w:color w:val="000000"/>
          <w:lang w:val="en-GB"/>
        </w:rPr>
        <w:t xml:space="preserve"> </w:t>
      </w:r>
      <w:r w:rsidR="00127729">
        <w:rPr>
          <w:color w:val="000000"/>
          <w:lang w:val="en-GB"/>
        </w:rPr>
        <w:fldChar w:fldCharType="begin" w:fldLock="1"/>
      </w:r>
      <w:r w:rsidR="007A5F81">
        <w:rPr>
          <w:color w:val="000000"/>
          <w:lang w:val="en-GB"/>
        </w:rPr>
        <w:instrText>ADDIN CSL_CITATION {"citationItems":[{"id":"ITEM-1","itemData":{"DOI":"10.1021/es026019e","ISSN":"0013936X","abstract":"A zonally averaged global distribution model is used to identify chemical partitioning properties and emission scenarios that favor enrichment in Arctic ecosystems. An immediate and a long-term Arctic Contamination Potential (ACP) are defined as the fraction of the total amount in global surface media that is in the Arctic after 1 and 10 years of steady emissions with a generic zonal distribution. Simulations for a two-dimensional \"space\" of hypothetical chemical property combinations indicate that the ACP of a perfectly persistent organic chemical is determined by a complex set of processes but tends to be higher for two combinations of partitioning properties: relatively volatile (log KOA &lt; 9) and water soluble (4 &gt; log KAW &gt; -0.5) substances and substances which are semivolatile (log KOA 6.5-10) and relatively hydrophobic (log KAW &gt; -3). Very volatile chemicals with log KOA &lt; 6.5 and log KAW &gt; -0.5 remain in the atmosphere even under Arctic temperature conditions, whereas very involatile chemical with a log KOA &gt; 10 are efficiently and irreversibly deposited with atmospheric particles before reaching the Arctic. The two sets of partitioning characteristics with elevated ACP overlap in the range 6.5 &lt; log KOA &lt; 10 and -0.5 &gt; log KAW &gt; -3, which also corresponds to a log KOW range of 5 to 8, i.e., comprises substances with a potential for bioaccumulation. Organic contaminants known to accumulate in the Arctic, such as hexachlorobenzene and the lighter PCBs, indeed have such partitioning properties. Marine currents contribute significantly to the long-range transport of chemicals with log KAW &lt; -2. Emissions to surface media greatly reduce the ACP, except for chemicals with octanol/water partition coefficients log KOW &lt; 5. The ACP of chemicals with different partitioning properties is sensitive to different sets of environmental parameters, reflecting the different pathways which determine their global transport behavior. The ACP of most chemicals is sensitive to the temperature dependence of the partition coefficients, temperature, atmospheric mixing coefficients, and sea ice cover.","author":[{"dropping-particle":"","family":"Wania","given":"Frank","non-dropping-particle":"","parse-names":false,"suffix":""}],"container-title":"Environmental Science and Technology","id":"ITEM-1","issue":"7","issued":{"date-parts":[["2003"]]},"page":"1344-1351","title":"Assessing the potential of persistent organic chemicals for long-range transport and accumulation in polar regions","type":"article-journal","volume":"37"},"uris":["http://www.mendeley.com/documents/?uuid=e42851c6-8234-4dc5-b87c-f5d2bbc82cb5","http://www.mendeley.com/documents/?uuid=2d03f10d-09ba-4108-93e1-3c78c1a09e9a"]}],"mendeley":{"formattedCitation":"[34]","manualFormatting":"Wania (2003)","plainTextFormattedCitation":"[34]","previouslyFormattedCitation":"&lt;sup&gt;34&lt;/sup&gt;"},"properties":{"noteIndex":0},"schema":"https://github.com/citation-style-language/schema/raw/master/csl-citation.json"}</w:instrText>
      </w:r>
      <w:r w:rsidR="00127729">
        <w:rPr>
          <w:color w:val="000000"/>
          <w:lang w:val="en-GB"/>
        </w:rPr>
        <w:fldChar w:fldCharType="separate"/>
      </w:r>
      <w:r w:rsidR="00127729" w:rsidRPr="00127729">
        <w:rPr>
          <w:noProof/>
          <w:color w:val="000000"/>
          <w:lang w:val="en-GB"/>
        </w:rPr>
        <w:t xml:space="preserve">Wania </w:t>
      </w:r>
      <w:r w:rsidR="00127729">
        <w:rPr>
          <w:noProof/>
          <w:color w:val="000000"/>
          <w:lang w:val="en-GB"/>
        </w:rPr>
        <w:t>(</w:t>
      </w:r>
      <w:r w:rsidR="00127729" w:rsidRPr="00127729">
        <w:rPr>
          <w:noProof/>
          <w:color w:val="000000"/>
          <w:lang w:val="en-GB"/>
        </w:rPr>
        <w:t>2003)</w:t>
      </w:r>
      <w:r w:rsidR="00127729">
        <w:rPr>
          <w:color w:val="000000"/>
          <w:lang w:val="en-GB"/>
        </w:rPr>
        <w:fldChar w:fldCharType="end"/>
      </w:r>
      <w:r w:rsidRPr="000023A0">
        <w:rPr>
          <w:color w:val="000000"/>
          <w:lang w:val="en-GB"/>
        </w:rPr>
        <w:t xml:space="preserve"> defined the chemical parameters for persistent chemicals, such as organochlorine compounds, under polar environmental conditions, which may results not perfectly suited for other categories of substances. Insight of this, it appears necessary to adapt the parameters of the model used by</w:t>
      </w:r>
      <w:r w:rsidR="00127729">
        <w:rPr>
          <w:color w:val="000000"/>
          <w:lang w:val="en-GB"/>
        </w:rPr>
        <w:t xml:space="preserve"> </w:t>
      </w:r>
      <w:r w:rsidR="00127729">
        <w:rPr>
          <w:color w:val="000000"/>
          <w:lang w:val="en-GB"/>
        </w:rPr>
        <w:fldChar w:fldCharType="begin" w:fldLock="1"/>
      </w:r>
      <w:r w:rsidR="007A5F81">
        <w:rPr>
          <w:color w:val="000000"/>
          <w:lang w:val="en-GB"/>
        </w:rPr>
        <w:instrText>ADDIN CSL_CITATION {"citationItems":[{"id":"ITEM-1","itemData":{"DOI":"10.1021/es026019e","ISSN":"0013936X","abstract":"A zonally averaged global distribution model is used to identify chemical partitioning properties and emission scenarios that favor enrichment in Arctic ecosystems. An immediate and a long-term Arctic Contamination Potential (ACP) are defined as the fraction of the total amount in global surface media that is in the Arctic after 1 and 10 years of steady emissions with a generic zonal distribution. Simulations for a two-dimensional \"space\" of hypothetical chemical property combinations indicate that the ACP of a perfectly persistent organic chemical is determined by a complex set of processes but tends to be higher for two combinations of partitioning properties: relatively volatile (log KOA &lt; 9) and water soluble (4 &gt; log KAW &gt; -0.5) substances and substances which are semivolatile (log KOA 6.5-10) and relatively hydrophobic (log KAW &gt; -3). Very volatile chemicals with log KOA &lt; 6.5 and log KAW &gt; -0.5 remain in the atmosphere even under Arctic temperature conditions, whereas very involatile chemical with a log KOA &gt; 10 are efficiently and irreversibly deposited with atmospheric particles before reaching the Arctic. The two sets of partitioning characteristics with elevated ACP overlap in the range 6.5 &lt; log KOA &lt; 10 and -0.5 &gt; log KAW &gt; -3, which also corresponds to a log KOW range of 5 to 8, i.e., comprises substances with a potential for bioaccumulation. Organic contaminants known to accumulate in the Arctic, such as hexachlorobenzene and the lighter PCBs, indeed have such partitioning properties. Marine currents contribute significantly to the long-range transport of chemicals with log KAW &lt; -2. Emissions to surface media greatly reduce the ACP, except for chemicals with octanol/water partition coefficients log KOW &lt; 5. The ACP of chemicals with different partitioning properties is sensitive to different sets of environmental parameters, reflecting the different pathways which determine their global transport behavior. The ACP of most chemicals is sensitive to the temperature dependence of the partition coefficients, temperature, atmospheric mixing coefficients, and sea ice cover.","author":[{"dropping-particle":"","family":"Wania","given":"Frank","non-dropping-particle":"","parse-names":false,"suffix":""}],"container-title":"Environmental Science and Technology","id":"ITEM-1","issue":"7","issued":{"date-parts":[["2003"]]},"page":"1344-1351","title":"Assessing the potential of persistent organic chemicals for long-range transport and accumulation in polar regions","type":"article-journal","volume":"37"},"uris":["http://www.mendeley.com/documents/?uuid=e42851c6-8234-4dc5-b87c-f5d2bbc82cb5","http://www.mendeley.com/documents/?uuid=2d03f10d-09ba-4108-93e1-3c78c1a09e9a"]}],"mendeley":{"formattedCitation":"[34]","manualFormatting":"Wania (2003)","plainTextFormattedCitation":"[34]","previouslyFormattedCitation":"&lt;sup&gt;34&lt;/sup&gt;"},"properties":{"noteIndex":0},"schema":"https://github.com/citation-style-language/schema/raw/master/csl-citation.json"}</w:instrText>
      </w:r>
      <w:r w:rsidR="00127729">
        <w:rPr>
          <w:color w:val="000000"/>
          <w:lang w:val="en-GB"/>
        </w:rPr>
        <w:fldChar w:fldCharType="separate"/>
      </w:r>
      <w:r w:rsidR="00127729" w:rsidRPr="00127729">
        <w:rPr>
          <w:noProof/>
          <w:color w:val="000000"/>
          <w:lang w:val="en-GB"/>
        </w:rPr>
        <w:t xml:space="preserve">Wania </w:t>
      </w:r>
      <w:r w:rsidR="00127729">
        <w:rPr>
          <w:noProof/>
          <w:color w:val="000000"/>
          <w:lang w:val="en-GB"/>
        </w:rPr>
        <w:t>(</w:t>
      </w:r>
      <w:r w:rsidR="00127729" w:rsidRPr="00127729">
        <w:rPr>
          <w:noProof/>
          <w:color w:val="000000"/>
          <w:lang w:val="en-GB"/>
        </w:rPr>
        <w:t>2003)</w:t>
      </w:r>
      <w:r w:rsidR="00127729">
        <w:rPr>
          <w:color w:val="000000"/>
          <w:lang w:val="en-GB"/>
        </w:rPr>
        <w:fldChar w:fldCharType="end"/>
      </w:r>
      <w:r w:rsidRPr="000023A0">
        <w:rPr>
          <w:color w:val="000000"/>
          <w:lang w:val="en-GB"/>
        </w:rPr>
        <w:t xml:space="preserve"> to EHMC. In general, to have a comprehensive picture of the environmental fate of CECs in polar regions, the application of the model should be extended to a larger set of contaminants, including emerging contaminants and specifically personal care products. </w:t>
      </w:r>
      <w:r w:rsidRPr="000023A0">
        <w:rPr>
          <w:rFonts w:ascii="Arial" w:hAnsi="Arial" w:cs="Arial"/>
          <w:color w:val="000000"/>
          <w:sz w:val="22"/>
          <w:szCs w:val="22"/>
          <w:lang w:val="en-GB"/>
        </w:rPr>
        <w:t> </w:t>
      </w:r>
    </w:p>
    <w:p w14:paraId="32E528F8" w14:textId="35C96277" w:rsidR="00EA3C39" w:rsidRDefault="00315089" w:rsidP="00E06D92">
      <w:pPr>
        <w:pStyle w:val="NormaleWeb"/>
        <w:spacing w:before="240" w:beforeAutospacing="0" w:after="0" w:afterAutospacing="0" w:line="360" w:lineRule="auto"/>
        <w:jc w:val="both"/>
      </w:pPr>
      <w:r w:rsidRPr="009B6923">
        <w:rPr>
          <w:color w:val="000000"/>
        </w:rPr>
        <w:t xml:space="preserve">To the best of our knowledge, the data reported in this study are the first evidence of EHMC in </w:t>
      </w:r>
      <w:r w:rsidR="009B6923" w:rsidRPr="009B6923">
        <w:rPr>
          <w:color w:val="000000"/>
        </w:rPr>
        <w:t>Antarctic</w:t>
      </w:r>
      <w:r w:rsidRPr="009B6923">
        <w:rPr>
          <w:color w:val="000000"/>
        </w:rPr>
        <w:t xml:space="preserve"> snow samples. </w:t>
      </w:r>
      <w:r w:rsidR="009754FA">
        <w:rPr>
          <w:color w:val="000000"/>
        </w:rPr>
        <w:t>Results</w:t>
      </w:r>
      <w:r w:rsidRPr="009B6923">
        <w:rPr>
          <w:color w:val="000000"/>
        </w:rPr>
        <w:t xml:space="preserve"> suggest the possibility </w:t>
      </w:r>
      <w:r w:rsidR="009B6923" w:rsidRPr="009B6923">
        <w:rPr>
          <w:color w:val="000000"/>
        </w:rPr>
        <w:t>of</w:t>
      </w:r>
      <w:r w:rsidRPr="009B6923">
        <w:rPr>
          <w:color w:val="000000"/>
        </w:rPr>
        <w:t xml:space="preserve"> long-distance sources</w:t>
      </w:r>
      <w:r w:rsidR="00E33EE6">
        <w:rPr>
          <w:color w:val="000000"/>
        </w:rPr>
        <w:t xml:space="preserve"> while,</w:t>
      </w:r>
      <w:r w:rsidR="002A0AEC">
        <w:rPr>
          <w:color w:val="000000"/>
        </w:rPr>
        <w:t xml:space="preserve"> </w:t>
      </w:r>
      <w:r w:rsidR="00E33EE6">
        <w:rPr>
          <w:color w:val="000000"/>
        </w:rPr>
        <w:t>u</w:t>
      </w:r>
      <w:r w:rsidRPr="009B6923">
        <w:rPr>
          <w:color w:val="000000"/>
        </w:rPr>
        <w:t xml:space="preserve">ntil now, literature data proposed local anthropogenic influence as </w:t>
      </w:r>
      <w:r w:rsidR="009B6923" w:rsidRPr="009B6923">
        <w:rPr>
          <w:color w:val="000000"/>
        </w:rPr>
        <w:t>the main</w:t>
      </w:r>
      <w:r w:rsidRPr="009B6923">
        <w:rPr>
          <w:color w:val="000000"/>
        </w:rPr>
        <w:t xml:space="preserve"> possible source of EHMC, both in midlatitudes and in Antarctica. This finding highlights the need for more in-depth research on personal care products in Antarctic matrices, possibly extending the research also to other compounds</w:t>
      </w:r>
      <w:r w:rsidR="009B6923" w:rsidRPr="009B6923">
        <w:rPr>
          <w:color w:val="000000"/>
        </w:rPr>
        <w:t xml:space="preserve"> other than EHMC</w:t>
      </w:r>
      <w:r w:rsidRPr="009B6923">
        <w:rPr>
          <w:color w:val="000000"/>
        </w:rPr>
        <w:t xml:space="preserve">. </w:t>
      </w:r>
      <w:r w:rsidR="009B6923">
        <w:t>S</w:t>
      </w:r>
      <w:r w:rsidRPr="009B6923">
        <w:rPr>
          <w:color w:val="000000"/>
        </w:rPr>
        <w:t xml:space="preserve">ince UV filters are widely used in middle latitudes, further research is needed to better understand the potential of these substances for long-range atmospheric transport and accumulation in polar environments. </w:t>
      </w:r>
      <w:r w:rsidR="009B6923" w:rsidRPr="009B6923">
        <w:rPr>
          <w:color w:val="000000"/>
        </w:rPr>
        <w:t>More</w:t>
      </w:r>
      <w:r w:rsidRPr="009B6923">
        <w:rPr>
          <w:color w:val="000000"/>
        </w:rPr>
        <w:t xml:space="preserve"> data on the environmental distribution of CECs, and the implementation of model simulations for a larger set of emerging contaminants</w:t>
      </w:r>
      <w:r w:rsidR="009B6923" w:rsidRPr="009B6923">
        <w:rPr>
          <w:color w:val="000000"/>
        </w:rPr>
        <w:t xml:space="preserve"> in polar regions</w:t>
      </w:r>
      <w:r w:rsidR="009B6923">
        <w:rPr>
          <w:color w:val="000000"/>
        </w:rPr>
        <w:t xml:space="preserve"> are</w:t>
      </w:r>
      <w:r w:rsidR="009B6923" w:rsidRPr="009B6923">
        <w:rPr>
          <w:color w:val="000000"/>
        </w:rPr>
        <w:t xml:space="preserve"> needed</w:t>
      </w:r>
      <w:r w:rsidRPr="009B6923">
        <w:rPr>
          <w:color w:val="000000"/>
        </w:rPr>
        <w:t xml:space="preserve">.  Human activities in Antarctica are expected to intensify in the future, for this reason, the assessment, and monitoring of CECs are becoming increasingly important. Effective regulations can </w:t>
      </w:r>
      <w:r w:rsidRPr="009B6923">
        <w:rPr>
          <w:color w:val="000000"/>
        </w:rPr>
        <w:lastRenderedPageBreak/>
        <w:t>be encouraged by a more detailed identification and characterization of contamination sources and transport processes of CECs.</w:t>
      </w:r>
    </w:p>
    <w:p w14:paraId="36D6A4DD" w14:textId="77777777" w:rsidR="0024374E" w:rsidRDefault="0024374E" w:rsidP="0024374E">
      <w:pPr>
        <w:spacing w:after="0" w:line="360" w:lineRule="auto"/>
        <w:jc w:val="both"/>
        <w:rPr>
          <w:rFonts w:ascii="Times New Roman" w:eastAsia="Times New Roman" w:hAnsi="Times New Roman" w:cs="Times New Roman"/>
          <w:sz w:val="24"/>
          <w:szCs w:val="24"/>
        </w:rPr>
      </w:pPr>
    </w:p>
    <w:p w14:paraId="6AD2FCA0" w14:textId="4263564D" w:rsidR="00EA3C39" w:rsidRPr="0049254A" w:rsidRDefault="00EA3C39" w:rsidP="0049254A">
      <w:pPr>
        <w:pStyle w:val="Paragrafoelenco"/>
        <w:spacing w:after="0" w:line="360" w:lineRule="auto"/>
        <w:jc w:val="both"/>
        <w:rPr>
          <w:rFonts w:ascii="Times New Roman" w:eastAsia="Times New Roman" w:hAnsi="Times New Roman" w:cs="Times New Roman"/>
          <w:b/>
          <w:sz w:val="24"/>
          <w:szCs w:val="24"/>
        </w:rPr>
      </w:pPr>
      <w:r w:rsidRPr="0049254A">
        <w:rPr>
          <w:rFonts w:ascii="Times New Roman" w:eastAsia="Times New Roman" w:hAnsi="Times New Roman" w:cs="Times New Roman"/>
          <w:b/>
          <w:sz w:val="24"/>
          <w:szCs w:val="24"/>
        </w:rPr>
        <w:t xml:space="preserve">Acknowledgments </w:t>
      </w:r>
    </w:p>
    <w:p w14:paraId="19C01FD3" w14:textId="4EC39C8A" w:rsidR="0049254A" w:rsidRDefault="00EA3C39" w:rsidP="00EA3C39">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sidRPr="0049254A">
        <w:rPr>
          <w:rFonts w:ascii="Times New Roman" w:eastAsia="Times New Roman" w:hAnsi="Times New Roman" w:cs="Times New Roman"/>
          <w:sz w:val="24"/>
          <w:szCs w:val="24"/>
        </w:rPr>
        <w:t>Funds were provided by the Italian National Program for Research in Antarctica (</w:t>
      </w:r>
      <w:r w:rsidR="0049254A" w:rsidRPr="0049254A">
        <w:rPr>
          <w:rFonts w:ascii="Times New Roman" w:eastAsia="Times New Roman" w:hAnsi="Times New Roman" w:cs="Times New Roman"/>
          <w:sz w:val="24"/>
          <w:szCs w:val="24"/>
        </w:rPr>
        <w:t xml:space="preserve">PNRA18_00229 ECO </w:t>
      </w:r>
      <w:proofErr w:type="gramStart"/>
      <w:r w:rsidR="0049254A" w:rsidRPr="0049254A">
        <w:rPr>
          <w:rFonts w:ascii="Times New Roman" w:eastAsia="Times New Roman" w:hAnsi="Times New Roman" w:cs="Times New Roman"/>
          <w:sz w:val="24"/>
          <w:szCs w:val="24"/>
        </w:rPr>
        <w:t>AS:TRA</w:t>
      </w:r>
      <w:proofErr w:type="gramEnd"/>
      <w:r w:rsidR="0049254A">
        <w:rPr>
          <w:rFonts w:ascii="Times New Roman" w:eastAsia="Times New Roman" w:hAnsi="Times New Roman" w:cs="Times New Roman"/>
          <w:sz w:val="24"/>
          <w:szCs w:val="24"/>
        </w:rPr>
        <w:t xml:space="preserve"> project</w:t>
      </w:r>
      <w:r w:rsidRPr="0049254A">
        <w:rPr>
          <w:rFonts w:ascii="Times New Roman" w:eastAsia="Times New Roman" w:hAnsi="Times New Roman" w:cs="Times New Roman"/>
          <w:sz w:val="24"/>
          <w:szCs w:val="24"/>
        </w:rPr>
        <w:t>)</w:t>
      </w:r>
      <w:r w:rsidR="0049254A">
        <w:rPr>
          <w:rFonts w:ascii="Times New Roman" w:eastAsia="Times New Roman" w:hAnsi="Times New Roman" w:cs="Times New Roman"/>
          <w:sz w:val="24"/>
          <w:szCs w:val="24"/>
        </w:rPr>
        <w:t>.</w:t>
      </w:r>
      <w:r w:rsidR="00DA01D5">
        <w:rPr>
          <w:rFonts w:ascii="Times New Roman" w:eastAsia="Times New Roman" w:hAnsi="Times New Roman" w:cs="Times New Roman"/>
          <w:sz w:val="24"/>
          <w:szCs w:val="24"/>
        </w:rPr>
        <w:t xml:space="preserve"> We wish to thank Silvia Illuminati for </w:t>
      </w:r>
      <w:r w:rsidR="002026BB">
        <w:rPr>
          <w:rFonts w:ascii="Times New Roman" w:eastAsia="Times New Roman" w:hAnsi="Times New Roman" w:cs="Times New Roman"/>
          <w:sz w:val="24"/>
          <w:szCs w:val="24"/>
        </w:rPr>
        <w:t>her</w:t>
      </w:r>
      <w:r w:rsidR="00DA01D5">
        <w:rPr>
          <w:rFonts w:ascii="Times New Roman" w:eastAsia="Times New Roman" w:hAnsi="Times New Roman" w:cs="Times New Roman"/>
          <w:sz w:val="24"/>
          <w:szCs w:val="24"/>
        </w:rPr>
        <w:t xml:space="preserve"> help</w:t>
      </w:r>
      <w:r w:rsidR="002026BB">
        <w:rPr>
          <w:rFonts w:ascii="Times New Roman" w:eastAsia="Times New Roman" w:hAnsi="Times New Roman" w:cs="Times New Roman"/>
          <w:sz w:val="24"/>
          <w:szCs w:val="24"/>
        </w:rPr>
        <w:t xml:space="preserve"> during sampling</w:t>
      </w:r>
      <w:r w:rsidR="00DA01D5">
        <w:rPr>
          <w:rFonts w:ascii="Times New Roman" w:eastAsia="Times New Roman" w:hAnsi="Times New Roman" w:cs="Times New Roman"/>
          <w:sz w:val="24"/>
          <w:szCs w:val="24"/>
        </w:rPr>
        <w:t xml:space="preserve">. </w:t>
      </w:r>
      <w:r w:rsidR="00211454" w:rsidRPr="00211454">
        <w:rPr>
          <w:rFonts w:ascii="Times New Roman" w:eastAsia="Times New Roman" w:hAnsi="Times New Roman" w:cs="Times New Roman"/>
          <w:sz w:val="24"/>
          <w:szCs w:val="24"/>
        </w:rPr>
        <w:t xml:space="preserve">The authors thank </w:t>
      </w:r>
      <w:proofErr w:type="spellStart"/>
      <w:r w:rsidR="00211454" w:rsidRPr="00211454">
        <w:rPr>
          <w:rFonts w:ascii="Times New Roman" w:eastAsia="Times New Roman" w:hAnsi="Times New Roman" w:cs="Times New Roman"/>
          <w:sz w:val="24"/>
          <w:szCs w:val="24"/>
        </w:rPr>
        <w:t>Elga</w:t>
      </w:r>
      <w:proofErr w:type="spellEnd"/>
      <w:r w:rsidR="00211454" w:rsidRPr="00211454">
        <w:rPr>
          <w:rFonts w:ascii="Times New Roman" w:eastAsia="Times New Roman" w:hAnsi="Times New Roman" w:cs="Times New Roman"/>
          <w:sz w:val="24"/>
          <w:szCs w:val="24"/>
        </w:rPr>
        <w:t xml:space="preserve"> Lab water, High Wycombe UK for supplying the pure water systems used in this study.</w:t>
      </w:r>
    </w:p>
    <w:p w14:paraId="7429312F" w14:textId="77777777" w:rsidR="0049254A" w:rsidRPr="00755B99" w:rsidRDefault="0049254A" w:rsidP="00EA3C39">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14:paraId="2925CED9" w14:textId="18CE21FD" w:rsidR="006962A3" w:rsidRPr="0049254A" w:rsidRDefault="00832152" w:rsidP="0049254A">
      <w:pPr>
        <w:pStyle w:val="Paragrafoelenco"/>
        <w:spacing w:after="0" w:line="360" w:lineRule="auto"/>
        <w:jc w:val="both"/>
        <w:rPr>
          <w:rFonts w:ascii="Times New Roman" w:eastAsia="Times New Roman" w:hAnsi="Times New Roman" w:cs="Times New Roman"/>
          <w:b/>
          <w:sz w:val="24"/>
          <w:szCs w:val="24"/>
        </w:rPr>
      </w:pPr>
      <w:r w:rsidRPr="0049254A">
        <w:rPr>
          <w:rFonts w:ascii="Times New Roman" w:eastAsia="Times New Roman" w:hAnsi="Times New Roman" w:cs="Times New Roman"/>
          <w:b/>
          <w:sz w:val="24"/>
          <w:szCs w:val="24"/>
        </w:rPr>
        <w:t>References</w:t>
      </w:r>
    </w:p>
    <w:p w14:paraId="37384DB8" w14:textId="00C62ABE" w:rsidR="007A5F81" w:rsidRPr="007A5F81" w:rsidRDefault="00E84F7B"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Pr>
          <w:rFonts w:ascii="Times New Roman" w:eastAsia="Times New Roman" w:hAnsi="Times New Roman" w:cs="Times New Roman"/>
          <w:color w:val="000000"/>
          <w:sz w:val="24"/>
          <w:szCs w:val="24"/>
        </w:rPr>
        <w:fldChar w:fldCharType="begin" w:fldLock="1"/>
      </w:r>
      <w:r>
        <w:rPr>
          <w:rFonts w:ascii="Times New Roman" w:eastAsia="Times New Roman" w:hAnsi="Times New Roman" w:cs="Times New Roman"/>
          <w:color w:val="000000"/>
          <w:sz w:val="24"/>
          <w:szCs w:val="24"/>
        </w:rPr>
        <w:instrText xml:space="preserve">ADDIN Mendeley Bibliography CSL_BIBLIOGRAPHY </w:instrText>
      </w:r>
      <w:r>
        <w:rPr>
          <w:rFonts w:ascii="Times New Roman" w:eastAsia="Times New Roman" w:hAnsi="Times New Roman" w:cs="Times New Roman"/>
          <w:color w:val="000000"/>
          <w:sz w:val="24"/>
          <w:szCs w:val="24"/>
        </w:rPr>
        <w:fldChar w:fldCharType="separate"/>
      </w:r>
      <w:r w:rsidR="007A5F81" w:rsidRPr="007A5F81">
        <w:rPr>
          <w:rFonts w:ascii="Times New Roman" w:hAnsi="Times New Roman" w:cs="Times New Roman"/>
          <w:noProof/>
          <w:sz w:val="24"/>
          <w:szCs w:val="24"/>
        </w:rPr>
        <w:t>[1]</w:t>
      </w:r>
      <w:r w:rsidR="007A5F81" w:rsidRPr="007A5F81">
        <w:rPr>
          <w:rFonts w:ascii="Times New Roman" w:hAnsi="Times New Roman" w:cs="Times New Roman"/>
          <w:noProof/>
          <w:sz w:val="24"/>
          <w:szCs w:val="24"/>
        </w:rPr>
        <w:tab/>
        <w:t>P. Emnet, S. Gaw, G. Northcott, B. Storey, L. Graham, Personal care products and steroid hormones in the Antarctic coastal environment associated with two Antarctic research stations, McMurdo Station and Scott Base, Environ. Res. 136 (2015) 331–342. https://doi.org/10.1016/j.envres.2014.10.019.</w:t>
      </w:r>
    </w:p>
    <w:p w14:paraId="060A5FD8"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[2]</w:t>
      </w:r>
      <w:r w:rsidRPr="007A5F81">
        <w:rPr>
          <w:rFonts w:ascii="Times New Roman" w:hAnsi="Times New Roman" w:cs="Times New Roman"/>
          <w:noProof/>
          <w:sz w:val="24"/>
          <w:szCs w:val="24"/>
        </w:rPr>
        <w:tab/>
        <w:t>J.S. Stark, P.A. Corbett, G. Dunshea, G. Johnstone, C. King, J.A. Mondon, M.L. Power, A. Samuel, I. Snape, M. Riddle, The environmental impact of sewage and wastewater outfalls in Antarctica: An example from Davis station, East Antarctica, Water Res. 105 (2016) 602–614. https://doi.org/10.1016/j.watres.2016.09.026.</w:t>
      </w:r>
    </w:p>
    <w:p w14:paraId="570B8655"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[3]</w:t>
      </w:r>
      <w:r w:rsidRPr="007A5F81">
        <w:rPr>
          <w:rFonts w:ascii="Times New Roman" w:hAnsi="Times New Roman" w:cs="Times New Roman"/>
          <w:noProof/>
          <w:sz w:val="24"/>
          <w:szCs w:val="24"/>
        </w:rPr>
        <w:tab/>
        <w:t>T. Tin, Z.L. Fleming, K.A. Hughes, D.G. Ainley, P. Convey, C.A. Moreno, S. Pfeiffer, J. Scott, I. Snape, Impacts of local human activities on the Antarctic environment, Antarct. Sci. 21 (2009) 3–33. https://doi.org/10.1017/S0954102009001722.</w:t>
      </w:r>
    </w:p>
    <w:p w14:paraId="702D52CD"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[4]</w:t>
      </w:r>
      <w:r w:rsidRPr="007A5F81">
        <w:rPr>
          <w:rFonts w:ascii="Times New Roman" w:hAnsi="Times New Roman" w:cs="Times New Roman"/>
          <w:noProof/>
          <w:sz w:val="24"/>
          <w:szCs w:val="24"/>
        </w:rPr>
        <w:tab/>
        <w:t>T.A. Palmer, A.G. Klein, S.T. Sweet, P.A. Montagna, L.J. Hyde, J. Sericano, T.L. Wade, M.C. Kennicutt, J. Beseres Pollack, Long-term changes in contamination and macrobenthic communities adjacent to McMurdo Station, Antarctica, Sci. Total Environ. 764 (2021) 142798. https://doi.org/10.1016/j.scitotenv.2020.142798.</w:t>
      </w:r>
    </w:p>
    <w:p w14:paraId="15CE8035"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[5]</w:t>
      </w:r>
      <w:r w:rsidRPr="007A5F81">
        <w:rPr>
          <w:rFonts w:ascii="Times New Roman" w:hAnsi="Times New Roman" w:cs="Times New Roman"/>
          <w:noProof/>
          <w:sz w:val="24"/>
          <w:szCs w:val="24"/>
        </w:rPr>
        <w:tab/>
        <w:t>M. Vecchiato, E. Argiriadis, S. Zambon, C. Barbante, G. Toscano, A. Gambaro, R. Piazza, Persistent Organic Pollutants ( POPs ) in Antarctica: Occurrence in continental and coastal surface snow, Microchem. J. 119 (2015) 75–82. https://doi.org/10.1016/j.microc.2014.10.010.</w:t>
      </w:r>
    </w:p>
    <w:p w14:paraId="2E191CF0"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[6]</w:t>
      </w:r>
      <w:r w:rsidRPr="007A5F81">
        <w:rPr>
          <w:rFonts w:ascii="Times New Roman" w:hAnsi="Times New Roman" w:cs="Times New Roman"/>
          <w:noProof/>
          <w:sz w:val="24"/>
          <w:szCs w:val="24"/>
        </w:rPr>
        <w:tab/>
        <w:t>Z. Xie, Z. Wang, O. Magand, A. Thollot, R. Ebinghaus, W. Mi, A. Dommergue, Occurrence of legacy and emerging organic contaminants in snow at Dome C in the Antarctic, Sci. Total Environ. 741 (2020) 140200. https://doi.org/10.1016/j.scitotenv.2020.140200.</w:t>
      </w:r>
    </w:p>
    <w:p w14:paraId="1477F90F" w14:textId="77777777" w:rsidR="007A5F81" w:rsidRPr="00160A88"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lang w:val="it-IT"/>
        </w:rPr>
      </w:pPr>
      <w:r w:rsidRPr="007A5F81">
        <w:rPr>
          <w:rFonts w:ascii="Times New Roman" w:hAnsi="Times New Roman" w:cs="Times New Roman"/>
          <w:noProof/>
          <w:sz w:val="24"/>
          <w:szCs w:val="24"/>
        </w:rPr>
        <w:t>[7]</w:t>
      </w:r>
      <w:r w:rsidRPr="007A5F81">
        <w:rPr>
          <w:rFonts w:ascii="Times New Roman" w:hAnsi="Times New Roman" w:cs="Times New Roman"/>
          <w:noProof/>
          <w:sz w:val="24"/>
          <w:szCs w:val="24"/>
        </w:rPr>
        <w:tab/>
        <w:t xml:space="preserve">R. Piazza, A. Gambaro, E. Argiriadis, M. Vecchiato, S. Zambon, P. Cescon, C. Barbante, Development of a method for simultaneous analysis of PCDDs, PCDFs, PCBs, PBDEs, PCNs and PAHs in Antarctic air., Anal. </w:t>
      </w:r>
      <w:r w:rsidRPr="00160A88">
        <w:rPr>
          <w:rFonts w:ascii="Times New Roman" w:hAnsi="Times New Roman" w:cs="Times New Roman"/>
          <w:noProof/>
          <w:sz w:val="24"/>
          <w:szCs w:val="24"/>
          <w:lang w:val="it-IT"/>
        </w:rPr>
        <w:t xml:space="preserve">Bioanal. Chem. 405 (2013) 917–932. </w:t>
      </w:r>
      <w:r w:rsidRPr="00160A88">
        <w:rPr>
          <w:rFonts w:ascii="Times New Roman" w:hAnsi="Times New Roman" w:cs="Times New Roman"/>
          <w:noProof/>
          <w:sz w:val="24"/>
          <w:szCs w:val="24"/>
          <w:lang w:val="it-IT"/>
        </w:rPr>
        <w:lastRenderedPageBreak/>
        <w:t>https://doi.org/10.1007/s00216-012-6464-y.</w:t>
      </w:r>
    </w:p>
    <w:p w14:paraId="599A6E11"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160A88">
        <w:rPr>
          <w:rFonts w:ascii="Times New Roman" w:hAnsi="Times New Roman" w:cs="Times New Roman"/>
          <w:noProof/>
          <w:sz w:val="24"/>
          <w:szCs w:val="24"/>
          <w:lang w:val="it-IT"/>
        </w:rPr>
        <w:t>[8]</w:t>
      </w:r>
      <w:r w:rsidRPr="00160A88">
        <w:rPr>
          <w:rFonts w:ascii="Times New Roman" w:hAnsi="Times New Roman" w:cs="Times New Roman"/>
          <w:noProof/>
          <w:sz w:val="24"/>
          <w:szCs w:val="24"/>
          <w:lang w:val="it-IT"/>
        </w:rPr>
        <w:tab/>
        <w:t xml:space="preserve">M. Vecchiato, E. Gregoris, E. Barbaro, C. Barbante, R. Piazza, A. Gambaro, Fragrances in the seawater of Terra Nova Bay, Antarctica, Sci. </w:t>
      </w:r>
      <w:r w:rsidRPr="007A5F81">
        <w:rPr>
          <w:rFonts w:ascii="Times New Roman" w:hAnsi="Times New Roman" w:cs="Times New Roman"/>
          <w:noProof/>
          <w:sz w:val="24"/>
          <w:szCs w:val="24"/>
        </w:rPr>
        <w:t>Total Environ. 593–594 (2017) 375–379. https://doi.org/10.1016/j.scitotenv.2017.03.197.</w:t>
      </w:r>
    </w:p>
    <w:p w14:paraId="147D762B"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[9]</w:t>
      </w:r>
      <w:r w:rsidRPr="007A5F81">
        <w:rPr>
          <w:rFonts w:ascii="Times New Roman" w:hAnsi="Times New Roman" w:cs="Times New Roman"/>
          <w:noProof/>
          <w:sz w:val="24"/>
          <w:szCs w:val="24"/>
        </w:rPr>
        <w:tab/>
        <w:t>AMAP, AMAP Assessment 2016: Chemicals of Emerging Arctic Concern, 2017.</w:t>
      </w:r>
    </w:p>
    <w:p w14:paraId="2C2B09FE"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[10]</w:t>
      </w:r>
      <w:r w:rsidRPr="007A5F81">
        <w:rPr>
          <w:rFonts w:ascii="Times New Roman" w:hAnsi="Times New Roman" w:cs="Times New Roman"/>
          <w:noProof/>
          <w:sz w:val="24"/>
          <w:szCs w:val="24"/>
        </w:rPr>
        <w:tab/>
        <w:t>D. Montes-Grajales, M. Fennix-Agudelo, W. Miranda-Castro, Occurrence of personal care products as emerging chemicals of concern in water resources: A review, Sci. Total Environ. 595 (2017) 601–614. https://doi.org/10.1016/j.scitotenv.2017.03.286.</w:t>
      </w:r>
    </w:p>
    <w:p w14:paraId="0A2B1BDC"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[11]</w:t>
      </w:r>
      <w:r w:rsidRPr="007A5F81">
        <w:rPr>
          <w:rFonts w:ascii="Times New Roman" w:hAnsi="Times New Roman" w:cs="Times New Roman"/>
          <w:noProof/>
          <w:sz w:val="24"/>
          <w:szCs w:val="24"/>
        </w:rPr>
        <w:tab/>
        <w:t>D. Vuckovic, A.I. Tinoco, L. Ling, C. Renicke, J.R. Pringle, W.A. Mitch, Conversion of oxybenzone sunscreen to phototoxic glucoside conjugates by sea anemones and corals, 648 (2022) 644–648.</w:t>
      </w:r>
    </w:p>
    <w:p w14:paraId="32D87E72"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[12]</w:t>
      </w:r>
      <w:r w:rsidRPr="007A5F81">
        <w:rPr>
          <w:rFonts w:ascii="Times New Roman" w:hAnsi="Times New Roman" w:cs="Times New Roman"/>
          <w:noProof/>
          <w:sz w:val="24"/>
          <w:szCs w:val="24"/>
        </w:rPr>
        <w:tab/>
        <w:t>M. Kennicutt, S. Chown, J. Cassano, D. Liggett, R. Massom, L. Peck, S. Rintoul, J. Storey, D. Vaughan, T. Wilson, W. Sutherland, I. Allison, J. Ayton, R. Badhe, J. Baeseman, P. Barrett, R. Bell, N. Bertler, B. Sun, H. Yang, Six priorities for Antarctic science &amp; Supplementary information, Nature. 512 (2014) 23–25.</w:t>
      </w:r>
    </w:p>
    <w:p w14:paraId="3677A5BE"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[13]</w:t>
      </w:r>
      <w:r w:rsidRPr="007A5F81">
        <w:rPr>
          <w:rFonts w:ascii="Times New Roman" w:hAnsi="Times New Roman" w:cs="Times New Roman"/>
          <w:noProof/>
          <w:sz w:val="24"/>
          <w:szCs w:val="24"/>
        </w:rPr>
        <w:tab/>
        <w:t>N. Domínguez-Morueco, L. Moreno-Merino, D. Molins-Delgado, M.S. Díaz-Cruz, Ò. Aznar-Alemany, E. Eljarrat, M. Farré, J. López-Martínez, M. López de Alda, A. Silva, J.J. Durán Valsero, Y. Valcárcel, Anthropogenic contaminants in freshwater from the northern Antarctic Peninsula region, Ambio. 50 (2021) 544–559. https://doi.org/10.1007/s13280-020-01404-x.</w:t>
      </w:r>
    </w:p>
    <w:p w14:paraId="271E4B0F"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[14]</w:t>
      </w:r>
      <w:r w:rsidRPr="007A5F81">
        <w:rPr>
          <w:rFonts w:ascii="Times New Roman" w:hAnsi="Times New Roman" w:cs="Times New Roman"/>
          <w:noProof/>
          <w:sz w:val="24"/>
          <w:szCs w:val="24"/>
        </w:rPr>
        <w:tab/>
        <w:t>R. Negrao de Carvalho, L. Ceriani, A. Ippolito, T. Lettieri, JRC Technical report: Development of the first Watch List under the Environmental Quality Standards Directive, 2015. https://doi.org/10.2788/101376.</w:t>
      </w:r>
    </w:p>
    <w:p w14:paraId="50323A8B"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[15]</w:t>
      </w:r>
      <w:r w:rsidRPr="007A5F81">
        <w:rPr>
          <w:rFonts w:ascii="Times New Roman" w:hAnsi="Times New Roman" w:cs="Times New Roman"/>
          <w:noProof/>
          <w:sz w:val="24"/>
          <w:szCs w:val="24"/>
        </w:rPr>
        <w:tab/>
        <w:t>C.N. Pegoraro, T. Harner, K. Su, L. Ahrens, Occurrence and Gas-Particle Partitioning of Organic UV-Filters in Urban Air, Environ. Sci. Technol. 54 (2020) 12881–12889. https://doi.org/10.1021/acs.est.0c02665.</w:t>
      </w:r>
    </w:p>
    <w:p w14:paraId="31FCB3E6"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[16]</w:t>
      </w:r>
      <w:r w:rsidRPr="007A5F81">
        <w:rPr>
          <w:rFonts w:ascii="Times New Roman" w:hAnsi="Times New Roman" w:cs="Times New Roman"/>
          <w:noProof/>
          <w:sz w:val="24"/>
          <w:szCs w:val="24"/>
        </w:rPr>
        <w:tab/>
        <w:t>A. Zenker, H. Schmutz, K. Fent, Simultaneous trace determination of nine organic UV-absorbing compounds (UV filters) in environmental samples, J. Chromatogr. A. 1202 (2008) 64–74. https://doi.org/10.1016/j.chroma.2008.06.041.</w:t>
      </w:r>
    </w:p>
    <w:p w14:paraId="468E4A62"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[17]</w:t>
      </w:r>
      <w:r w:rsidRPr="007A5F81">
        <w:rPr>
          <w:rFonts w:ascii="Times New Roman" w:hAnsi="Times New Roman" w:cs="Times New Roman"/>
          <w:noProof/>
          <w:sz w:val="24"/>
          <w:szCs w:val="24"/>
        </w:rPr>
        <w:tab/>
        <w:t>D.N. Brooke, J.S. Burns, M.J. Crookes, UV-filters in cosmetics – prioritisation for environmental assessment, 2008.</w:t>
      </w:r>
    </w:p>
    <w:p w14:paraId="5BC8648C"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[18]</w:t>
      </w:r>
      <w:r w:rsidRPr="007A5F81">
        <w:rPr>
          <w:rFonts w:ascii="Times New Roman" w:hAnsi="Times New Roman" w:cs="Times New Roman"/>
          <w:noProof/>
          <w:sz w:val="24"/>
          <w:szCs w:val="24"/>
        </w:rPr>
        <w:tab/>
        <w:t>A. Gackowska, W. Studziński, E. Kudlek, M. Dudziak, J. Gaca, Estimation of physicochemical properties of 2-ethylhexyl-4-methoxycinnamate (EHMC) degradation products and their toxicological evaluation, Environ. Sci. Pollut. Res. 25 (2018) 16037–</w:t>
      </w:r>
      <w:r w:rsidRPr="007A5F81">
        <w:rPr>
          <w:rFonts w:ascii="Times New Roman" w:hAnsi="Times New Roman" w:cs="Times New Roman"/>
          <w:noProof/>
          <w:sz w:val="24"/>
          <w:szCs w:val="24"/>
        </w:rPr>
        <w:lastRenderedPageBreak/>
        <w:t>16049. https://doi.org/10.1007/s11356-018-1796-6.</w:t>
      </w:r>
    </w:p>
    <w:p w14:paraId="31C62B9F"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[19]</w:t>
      </w:r>
      <w:r w:rsidRPr="007A5F81">
        <w:rPr>
          <w:rFonts w:ascii="Times New Roman" w:hAnsi="Times New Roman" w:cs="Times New Roman"/>
          <w:noProof/>
          <w:sz w:val="24"/>
          <w:szCs w:val="24"/>
        </w:rPr>
        <w:tab/>
        <w:t>L.G. Cortes, D. Marinov, I. Sanseverino, A.N. Cuenca, M. Niegowska, E.P. Rodriguez, T. Lettieri, JRC Technical Report: Selection of substances for the 3rd Watch List under WFD, 2020. https://doi.org/10.2760/194067.</w:t>
      </w:r>
    </w:p>
    <w:p w14:paraId="1A8447A8"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[20]</w:t>
      </w:r>
      <w:r w:rsidRPr="007A5F81">
        <w:rPr>
          <w:rFonts w:ascii="Times New Roman" w:hAnsi="Times New Roman" w:cs="Times New Roman"/>
          <w:noProof/>
          <w:sz w:val="24"/>
          <w:szCs w:val="24"/>
        </w:rPr>
        <w:tab/>
        <w:t>D. Kaiser, A. Sieratowicz, H. Zielke, M. Oetken, H. Hollert, J. Oehlmann, Ecotoxicological effect characterisation of widely used organic UV filters, Environ. Pollut. 163 (2012) 84–90. https://doi.org/10.1016/j.envpol.2011.12.014.</w:t>
      </w:r>
    </w:p>
    <w:p w14:paraId="5FBDCA27"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[21]</w:t>
      </w:r>
      <w:r w:rsidRPr="007A5F81">
        <w:rPr>
          <w:rFonts w:ascii="Times New Roman" w:hAnsi="Times New Roman" w:cs="Times New Roman"/>
          <w:noProof/>
          <w:sz w:val="24"/>
          <w:szCs w:val="24"/>
        </w:rPr>
        <w:tab/>
        <w:t>S. Chu, B.R. Kwon, Y.M. Lee, K.D. Zoh, K. Choi, Effects of 2-ethylhexyl-4-methoxycinnamate (EHMC) on thyroid hormones and genes associated with thyroid, neurotoxic, and nephrotoxic responses in adult and larval zebrafish (Danio rerio), Chemosphere. 263 (2021) 128176. https://doi.org/10.1016/j.chemosphere.2020.128176.</w:t>
      </w:r>
    </w:p>
    <w:p w14:paraId="0F011702"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[22]</w:t>
      </w:r>
      <w:r w:rsidRPr="007A5F81">
        <w:rPr>
          <w:rFonts w:ascii="Times New Roman" w:hAnsi="Times New Roman" w:cs="Times New Roman"/>
          <w:noProof/>
          <w:sz w:val="24"/>
          <w:szCs w:val="24"/>
        </w:rPr>
        <w:tab/>
        <w:t>A.B.A. Boxall, M.A. Rudd, B.W. Brooks, D.J. Caldwell, K. Choi, S. Hickmann, E. Innes, K. Ostapyk, J.P. Staveley, T. Verslycke, G.T. Ankley, K.F. Beazley, S.E. Belanger, J.P. Berninger, P. Carriquiriborde, A. Coors, P.C. DeLeo, S.D. Dyer, J.F. Ericson, F. Gagné, J.P. Giesy, T. Gouin, L. Hallstrom, M. V. Karlsson, D.G. Joakim Larsson, J.M. Lazorchak, F. Mastrocco, A. McLaughlin, M.E. McMaster, R.D. Meyerhoff, R. Moore, J.L. Parrott, J.R. Snape, R. Murray-Smith, M.R. Servos, P.K. Sibley, J.O. Straub, N.D. Szabo, E. Topp, G.R. Tetreault, V.L. Trudeau, G. Van Der Kraak, Pharmaceuticals and personal care products in the environment: What are the big questions?, Environ. Health Perspect. 120 (2012) 1221–1229. https://doi.org/10.1289/ehp.1104477.</w:t>
      </w:r>
    </w:p>
    <w:p w14:paraId="37DC5D3A"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[23]</w:t>
      </w:r>
      <w:r w:rsidRPr="007A5F81">
        <w:rPr>
          <w:rFonts w:ascii="Times New Roman" w:hAnsi="Times New Roman" w:cs="Times New Roman"/>
          <w:noProof/>
          <w:sz w:val="24"/>
          <w:szCs w:val="24"/>
        </w:rPr>
        <w:tab/>
        <w:t>M. Vecchiato, T. Bonato, C. Barbante, A. Gambaro, R. Piazza, Organic pollutants in protected plain areas: The occurrence of PAHs, musks, UV-filters, flame retardants and hydrocarbons in woodland soils, Sci. Total Environ. 796 (2021) 149003. https://doi.org/10.1016/j.scitotenv.2021.149003.</w:t>
      </w:r>
    </w:p>
    <w:p w14:paraId="1BF14813"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[24]</w:t>
      </w:r>
      <w:r w:rsidRPr="007A5F81">
        <w:rPr>
          <w:rFonts w:ascii="Times New Roman" w:hAnsi="Times New Roman" w:cs="Times New Roman"/>
          <w:noProof/>
          <w:sz w:val="24"/>
          <w:szCs w:val="24"/>
        </w:rPr>
        <w:tab/>
        <w:t>C. Apel, H. Joerss, R. Ebinghaus, Environmental occurrence and hazard of organic UV stabilizers and UV filters in the sediment of European North and Baltic Seas, Chemosphere. 212 (2018) 254–261. https://doi.org/10.1016/j.chemosphere.2018.08.105.</w:t>
      </w:r>
    </w:p>
    <w:p w14:paraId="1266B7C1"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[25]</w:t>
      </w:r>
      <w:r w:rsidRPr="007A5F81">
        <w:rPr>
          <w:rFonts w:ascii="Times New Roman" w:hAnsi="Times New Roman" w:cs="Times New Roman"/>
          <w:noProof/>
          <w:sz w:val="24"/>
          <w:szCs w:val="24"/>
        </w:rPr>
        <w:tab/>
        <w:t>E. O’Malley, M.S. McLachlan, J.W. O’Brien, R. Verhagen, J.F. Mueller, The presence of selected UV filters in a freshwater recreational reservoir and fate in controlled experiments, Sci. Total Environ. 754 (2021) 142373. https://doi.org/10.1016/j.scitotenv.2020.142373.</w:t>
      </w:r>
    </w:p>
    <w:p w14:paraId="09A41918"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[26]</w:t>
      </w:r>
      <w:r w:rsidRPr="007A5F81">
        <w:rPr>
          <w:rFonts w:ascii="Times New Roman" w:hAnsi="Times New Roman" w:cs="Times New Roman"/>
          <w:noProof/>
          <w:sz w:val="24"/>
          <w:szCs w:val="24"/>
        </w:rPr>
        <w:tab/>
        <w:t>R. Nagorka, A. Duffek, Under the influence of regulations: spatio-temporal trends of the UV filter 2-Ethylhexyl-4-methoxycinnamate (EHMC) in German rivers, Environ. Sci. Eur. 33 (2021). https://doi.org/10.1186/s12302-020-00448-w.</w:t>
      </w:r>
    </w:p>
    <w:p w14:paraId="7763671C"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[27]</w:t>
      </w:r>
      <w:r w:rsidRPr="007A5F81">
        <w:rPr>
          <w:rFonts w:ascii="Times New Roman" w:hAnsi="Times New Roman" w:cs="Times New Roman"/>
          <w:noProof/>
          <w:sz w:val="24"/>
          <w:szCs w:val="24"/>
        </w:rPr>
        <w:tab/>
        <w:t xml:space="preserve">M.M.P. Tsui, H.W. Leung, T.C. Wai, N. Yamashita, S. Taniyasu, W. Liu, P.K.S. Lam, M.B. </w:t>
      </w:r>
      <w:r w:rsidRPr="007A5F81">
        <w:rPr>
          <w:rFonts w:ascii="Times New Roman" w:hAnsi="Times New Roman" w:cs="Times New Roman"/>
          <w:noProof/>
          <w:sz w:val="24"/>
          <w:szCs w:val="24"/>
        </w:rPr>
        <w:lastRenderedPageBreak/>
        <w:t>Murphy, Occurrence, distribution and ecological risk assessment of multiple classes of UV filters in surface waters from different countries, Water Res. 67 (2014) 55–65. https://doi.org/10.1016/j.watres.2014.09.013.</w:t>
      </w:r>
    </w:p>
    <w:p w14:paraId="3B77A29F"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[28]</w:t>
      </w:r>
      <w:r w:rsidRPr="007A5F81">
        <w:rPr>
          <w:rFonts w:ascii="Times New Roman" w:hAnsi="Times New Roman" w:cs="Times New Roman"/>
          <w:noProof/>
          <w:sz w:val="24"/>
          <w:szCs w:val="24"/>
        </w:rPr>
        <w:tab/>
        <w:t>A. Sánchez Rodríguez, M. Rodrigo Sanz, J.R. Betancort Rodríguez, Occurrence of eight UV filters in beaches of Gran Canaria (Canary Islands). An approach to environmental risk assessment, Chemosphere. 131 (2015) 85–90. https://doi.org/10.1016/j.chemosphere.2015.02.054.</w:t>
      </w:r>
    </w:p>
    <w:p w14:paraId="77A67491"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[29]</w:t>
      </w:r>
      <w:r w:rsidRPr="007A5F81">
        <w:rPr>
          <w:rFonts w:ascii="Times New Roman" w:hAnsi="Times New Roman" w:cs="Times New Roman"/>
          <w:noProof/>
          <w:sz w:val="24"/>
          <w:szCs w:val="24"/>
        </w:rPr>
        <w:tab/>
        <w:t>C.N. Pegoraro, H.A. Montejano, M.S. Chiappero, Atmospheric gas-particle partitioning of E-EHMC and Z-EHMC estimated from their liquid vapour pressures at 298.15 K, in: Int. J. Environ. Heal., 2018: pp. 66–83. https://doi.org/10.1504/IJENVH.2018.090865.</w:t>
      </w:r>
    </w:p>
    <w:p w14:paraId="47D2D177"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[30]</w:t>
      </w:r>
      <w:r w:rsidRPr="007A5F81">
        <w:rPr>
          <w:rFonts w:ascii="Times New Roman" w:hAnsi="Times New Roman" w:cs="Times New Roman"/>
          <w:noProof/>
          <w:sz w:val="24"/>
          <w:szCs w:val="24"/>
        </w:rPr>
        <w:tab/>
        <w:t>C.N. Pegoraro, M.S. Chiappero, H.A. Montejano, Measurements of octanol-air partition coefficients, vapor pressures and vaporization enthalpies of the (E) and (Z) isomers of the 2-ethylhexyl 4-methoxycinnamate as parameters of environmental impact assessment, Chemosphere. 138 (2015) 546–552. https://doi.org/10.1016/j.chemosphere.2015.07.035.</w:t>
      </w:r>
    </w:p>
    <w:p w14:paraId="7DBAA68E"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[31]</w:t>
      </w:r>
      <w:r w:rsidRPr="007A5F81">
        <w:rPr>
          <w:rFonts w:ascii="Times New Roman" w:hAnsi="Times New Roman" w:cs="Times New Roman"/>
          <w:noProof/>
          <w:sz w:val="24"/>
          <w:szCs w:val="24"/>
        </w:rPr>
        <w:tab/>
        <w:t>Y.D. Lei, F. Wania, Is rain or snow a more efficient scavenger of organic chemicals?, Atmos. Environ. 38 (2004) 3557–3571. https://doi.org/10.1016/j.atmosenv.2004.03.039.</w:t>
      </w:r>
    </w:p>
    <w:p w14:paraId="7C949E1A"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[32]</w:t>
      </w:r>
      <w:r w:rsidRPr="007A5F81">
        <w:rPr>
          <w:rFonts w:ascii="Times New Roman" w:hAnsi="Times New Roman" w:cs="Times New Roman"/>
          <w:noProof/>
          <w:sz w:val="24"/>
          <w:szCs w:val="24"/>
        </w:rPr>
        <w:tab/>
        <w:t>F. Wegmann, L. Cavin, M. MacLeod, M. Scheringer, K. Hungerbühler, The OECD software tool for screening chemicals for persistence and long-range transport potential, Environ. Model. Softw. 24 (2009) 228–237. https://doi.org/10.1016/j.envsoft.2008.06.014.</w:t>
      </w:r>
    </w:p>
    <w:p w14:paraId="6C8249D9"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7A5F81">
        <w:rPr>
          <w:rFonts w:ascii="Times New Roman" w:hAnsi="Times New Roman" w:cs="Times New Roman"/>
          <w:noProof/>
          <w:sz w:val="24"/>
          <w:szCs w:val="24"/>
        </w:rPr>
        <w:t>[33]</w:t>
      </w:r>
      <w:r w:rsidRPr="007A5F81">
        <w:rPr>
          <w:rFonts w:ascii="Times New Roman" w:hAnsi="Times New Roman" w:cs="Times New Roman"/>
          <w:noProof/>
          <w:sz w:val="24"/>
          <w:szCs w:val="24"/>
        </w:rPr>
        <w:tab/>
        <w:t>S. Illuminati, A. Annibaldi, S. Bau, C. Scarchilli, V. Ciardini, P. Grigioni, F. Girolametti, F. Vagnoni, G. Scarponi, C. Truzzi, Seasonal Evolution of Size-Segregated Particulate Mercury in the Atmospheric Aerosol over Terra Nova Bay, Antarctica, Molecules. 25 (2020). https://doi.org/10.3390/molecules25173971.</w:t>
      </w:r>
    </w:p>
    <w:p w14:paraId="5D57F427" w14:textId="77777777" w:rsidR="007A5F81" w:rsidRPr="007A5F81" w:rsidRDefault="007A5F81" w:rsidP="007A5F81">
      <w:pPr>
        <w:widowControl w:val="0"/>
        <w:autoSpaceDE w:val="0"/>
        <w:autoSpaceDN w:val="0"/>
        <w:adjustRightInd w:val="0"/>
        <w:spacing w:after="0" w:line="360" w:lineRule="auto"/>
        <w:ind w:left="640" w:hanging="640"/>
        <w:rPr>
          <w:rFonts w:ascii="Times New Roman" w:hAnsi="Times New Roman" w:cs="Times New Roman"/>
          <w:noProof/>
          <w:sz w:val="24"/>
        </w:rPr>
      </w:pPr>
      <w:r w:rsidRPr="007A5F81">
        <w:rPr>
          <w:rFonts w:ascii="Times New Roman" w:hAnsi="Times New Roman" w:cs="Times New Roman"/>
          <w:noProof/>
          <w:sz w:val="24"/>
          <w:szCs w:val="24"/>
        </w:rPr>
        <w:t>[34]</w:t>
      </w:r>
      <w:r w:rsidRPr="007A5F81">
        <w:rPr>
          <w:rFonts w:ascii="Times New Roman" w:hAnsi="Times New Roman" w:cs="Times New Roman"/>
          <w:noProof/>
          <w:sz w:val="24"/>
          <w:szCs w:val="24"/>
        </w:rPr>
        <w:tab/>
        <w:t>F. Wania, Assessing the potential of persistent organic chemicals for long-range transport and accumulation in polar regions, Environ. Sci. Technol. 37 (2003) 1344–1351. https://doi.org/10.1021/es026019e.</w:t>
      </w:r>
    </w:p>
    <w:p w14:paraId="2784E611" w14:textId="7E935BC3" w:rsidR="006962A3" w:rsidRPr="00B62F0F" w:rsidRDefault="00E84F7B" w:rsidP="00F9363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end"/>
      </w:r>
    </w:p>
    <w:sectPr w:rsidR="006962A3" w:rsidRPr="00B62F0F" w:rsidSect="00E60504">
      <w:footerReference w:type="default" r:id="rId11"/>
      <w:pgSz w:w="11906" w:h="16838"/>
      <w:pgMar w:top="1417" w:right="1134" w:bottom="1134" w:left="1134" w:header="708" w:footer="708" w:gutter="0"/>
      <w:lnNumType w:countBy="1" w:restart="continuous"/>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48CEB6" w14:textId="77777777" w:rsidR="00046C6A" w:rsidRDefault="00046C6A" w:rsidP="0049254A">
      <w:pPr>
        <w:spacing w:after="0" w:line="240" w:lineRule="auto"/>
      </w:pPr>
      <w:r>
        <w:separator/>
      </w:r>
    </w:p>
  </w:endnote>
  <w:endnote w:type="continuationSeparator" w:id="0">
    <w:p w14:paraId="66CC0539" w14:textId="77777777" w:rsidR="00046C6A" w:rsidRDefault="00046C6A" w:rsidP="004925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7826262"/>
      <w:docPartObj>
        <w:docPartGallery w:val="Page Numbers (Bottom of Page)"/>
        <w:docPartUnique/>
      </w:docPartObj>
    </w:sdtPr>
    <w:sdtContent>
      <w:p w14:paraId="082F1C0A" w14:textId="24CD7754" w:rsidR="0049254A" w:rsidRDefault="0049254A">
        <w:pPr>
          <w:pStyle w:val="Pidipagina"/>
          <w:jc w:val="right"/>
        </w:pPr>
        <w:r>
          <w:fldChar w:fldCharType="begin"/>
        </w:r>
        <w:r>
          <w:instrText>PAGE   \* MERGEFORMAT</w:instrText>
        </w:r>
        <w:r>
          <w:fldChar w:fldCharType="separate"/>
        </w:r>
        <w:r>
          <w:rPr>
            <w:lang w:val="it-IT"/>
          </w:rPr>
          <w:t>2</w:t>
        </w:r>
        <w:r>
          <w:fldChar w:fldCharType="end"/>
        </w:r>
      </w:p>
    </w:sdtContent>
  </w:sdt>
  <w:p w14:paraId="62923B33" w14:textId="77777777" w:rsidR="0049254A" w:rsidRDefault="0049254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198ADA" w14:textId="77777777" w:rsidR="00046C6A" w:rsidRDefault="00046C6A" w:rsidP="0049254A">
      <w:pPr>
        <w:spacing w:after="0" w:line="240" w:lineRule="auto"/>
      </w:pPr>
      <w:r>
        <w:separator/>
      </w:r>
    </w:p>
  </w:footnote>
  <w:footnote w:type="continuationSeparator" w:id="0">
    <w:p w14:paraId="5CB46E71" w14:textId="77777777" w:rsidR="00046C6A" w:rsidRDefault="00046C6A" w:rsidP="004925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44B7A38"/>
    <w:multiLevelType w:val="hybridMultilevel"/>
    <w:tmpl w:val="AF446EC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20962000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2A3"/>
    <w:rsid w:val="000009DE"/>
    <w:rsid w:val="000023A0"/>
    <w:rsid w:val="00002748"/>
    <w:rsid w:val="0000379D"/>
    <w:rsid w:val="000064BD"/>
    <w:rsid w:val="00007DEF"/>
    <w:rsid w:val="0002738C"/>
    <w:rsid w:val="00031135"/>
    <w:rsid w:val="00033ED1"/>
    <w:rsid w:val="00036CF6"/>
    <w:rsid w:val="0004320A"/>
    <w:rsid w:val="00044E8E"/>
    <w:rsid w:val="00046C6A"/>
    <w:rsid w:val="00046C80"/>
    <w:rsid w:val="00052F2A"/>
    <w:rsid w:val="00056635"/>
    <w:rsid w:val="000619AC"/>
    <w:rsid w:val="00066E0F"/>
    <w:rsid w:val="00077792"/>
    <w:rsid w:val="000821F5"/>
    <w:rsid w:val="00085196"/>
    <w:rsid w:val="000878AC"/>
    <w:rsid w:val="00093D47"/>
    <w:rsid w:val="00094159"/>
    <w:rsid w:val="000942FB"/>
    <w:rsid w:val="000A0A79"/>
    <w:rsid w:val="000A2046"/>
    <w:rsid w:val="000A2532"/>
    <w:rsid w:val="000A75EE"/>
    <w:rsid w:val="000C503B"/>
    <w:rsid w:val="000D0242"/>
    <w:rsid w:val="000D2830"/>
    <w:rsid w:val="000D32A2"/>
    <w:rsid w:val="000E27EE"/>
    <w:rsid w:val="000E7B3C"/>
    <w:rsid w:val="000F0EDF"/>
    <w:rsid w:val="000F6BE8"/>
    <w:rsid w:val="00106966"/>
    <w:rsid w:val="001222A9"/>
    <w:rsid w:val="00122B9E"/>
    <w:rsid w:val="00124D18"/>
    <w:rsid w:val="00125F6A"/>
    <w:rsid w:val="0012674D"/>
    <w:rsid w:val="00127729"/>
    <w:rsid w:val="00127E94"/>
    <w:rsid w:val="0014444F"/>
    <w:rsid w:val="0014491A"/>
    <w:rsid w:val="0014500F"/>
    <w:rsid w:val="0014558B"/>
    <w:rsid w:val="00145A63"/>
    <w:rsid w:val="001576FC"/>
    <w:rsid w:val="00160A88"/>
    <w:rsid w:val="00160C72"/>
    <w:rsid w:val="00165113"/>
    <w:rsid w:val="00167249"/>
    <w:rsid w:val="00171C3C"/>
    <w:rsid w:val="00191619"/>
    <w:rsid w:val="00192DA8"/>
    <w:rsid w:val="001A0281"/>
    <w:rsid w:val="001A06CC"/>
    <w:rsid w:val="001A0A39"/>
    <w:rsid w:val="001B1D6B"/>
    <w:rsid w:val="001B3C24"/>
    <w:rsid w:val="001B47F0"/>
    <w:rsid w:val="001C46C0"/>
    <w:rsid w:val="001C5BFC"/>
    <w:rsid w:val="001E0A97"/>
    <w:rsid w:val="001E6103"/>
    <w:rsid w:val="002026BB"/>
    <w:rsid w:val="00205719"/>
    <w:rsid w:val="00211454"/>
    <w:rsid w:val="0021390E"/>
    <w:rsid w:val="0022450B"/>
    <w:rsid w:val="00226845"/>
    <w:rsid w:val="00227EEB"/>
    <w:rsid w:val="00242B9C"/>
    <w:rsid w:val="0024374E"/>
    <w:rsid w:val="002474C1"/>
    <w:rsid w:val="00250A40"/>
    <w:rsid w:val="0025408E"/>
    <w:rsid w:val="002570F7"/>
    <w:rsid w:val="0026478E"/>
    <w:rsid w:val="002738B4"/>
    <w:rsid w:val="0027488C"/>
    <w:rsid w:val="002749F3"/>
    <w:rsid w:val="00280ED9"/>
    <w:rsid w:val="00282755"/>
    <w:rsid w:val="00291477"/>
    <w:rsid w:val="00296CA4"/>
    <w:rsid w:val="002A0AEC"/>
    <w:rsid w:val="002A0B8A"/>
    <w:rsid w:val="002A2316"/>
    <w:rsid w:val="002A6F93"/>
    <w:rsid w:val="002B36AE"/>
    <w:rsid w:val="002B3F3E"/>
    <w:rsid w:val="002B6B14"/>
    <w:rsid w:val="002B6D32"/>
    <w:rsid w:val="002C33D3"/>
    <w:rsid w:val="002D1F60"/>
    <w:rsid w:val="002D27EA"/>
    <w:rsid w:val="002D584F"/>
    <w:rsid w:val="002D6F4A"/>
    <w:rsid w:val="002E051A"/>
    <w:rsid w:val="002E2C2F"/>
    <w:rsid w:val="002E2ED0"/>
    <w:rsid w:val="002E43C4"/>
    <w:rsid w:val="002F141E"/>
    <w:rsid w:val="002F1769"/>
    <w:rsid w:val="002F429A"/>
    <w:rsid w:val="002F5205"/>
    <w:rsid w:val="00310DD7"/>
    <w:rsid w:val="00313A0F"/>
    <w:rsid w:val="00314735"/>
    <w:rsid w:val="00315089"/>
    <w:rsid w:val="003214EE"/>
    <w:rsid w:val="00335869"/>
    <w:rsid w:val="00337D8A"/>
    <w:rsid w:val="00343D77"/>
    <w:rsid w:val="00350849"/>
    <w:rsid w:val="00355199"/>
    <w:rsid w:val="00361A6D"/>
    <w:rsid w:val="00363A68"/>
    <w:rsid w:val="003648F1"/>
    <w:rsid w:val="00364F57"/>
    <w:rsid w:val="0037390A"/>
    <w:rsid w:val="003772DE"/>
    <w:rsid w:val="003841D1"/>
    <w:rsid w:val="0038768B"/>
    <w:rsid w:val="00394C1B"/>
    <w:rsid w:val="003A02FB"/>
    <w:rsid w:val="003A1BF9"/>
    <w:rsid w:val="003A42CC"/>
    <w:rsid w:val="003A60CD"/>
    <w:rsid w:val="003A7991"/>
    <w:rsid w:val="003B1591"/>
    <w:rsid w:val="003B4ED9"/>
    <w:rsid w:val="003B5801"/>
    <w:rsid w:val="003C57D0"/>
    <w:rsid w:val="003C599D"/>
    <w:rsid w:val="003D00F9"/>
    <w:rsid w:val="003D06E2"/>
    <w:rsid w:val="003E635E"/>
    <w:rsid w:val="003E6FC8"/>
    <w:rsid w:val="003F26CD"/>
    <w:rsid w:val="00403DAE"/>
    <w:rsid w:val="00414682"/>
    <w:rsid w:val="00424A8B"/>
    <w:rsid w:val="00430B88"/>
    <w:rsid w:val="00433204"/>
    <w:rsid w:val="004362BD"/>
    <w:rsid w:val="00441921"/>
    <w:rsid w:val="00441CC6"/>
    <w:rsid w:val="00441F06"/>
    <w:rsid w:val="004450EA"/>
    <w:rsid w:val="00451914"/>
    <w:rsid w:val="00456E39"/>
    <w:rsid w:val="0048292F"/>
    <w:rsid w:val="00486F7B"/>
    <w:rsid w:val="0049254A"/>
    <w:rsid w:val="004A0C33"/>
    <w:rsid w:val="004A4A64"/>
    <w:rsid w:val="004A6996"/>
    <w:rsid w:val="004C14A3"/>
    <w:rsid w:val="004C3FB4"/>
    <w:rsid w:val="004C51CE"/>
    <w:rsid w:val="004F5ADB"/>
    <w:rsid w:val="00502C33"/>
    <w:rsid w:val="0051192E"/>
    <w:rsid w:val="00513DD3"/>
    <w:rsid w:val="00514AD1"/>
    <w:rsid w:val="005233F3"/>
    <w:rsid w:val="0052400D"/>
    <w:rsid w:val="00530B5C"/>
    <w:rsid w:val="0053731A"/>
    <w:rsid w:val="00545233"/>
    <w:rsid w:val="00545CB6"/>
    <w:rsid w:val="005523E9"/>
    <w:rsid w:val="005557BB"/>
    <w:rsid w:val="005639EB"/>
    <w:rsid w:val="005674AE"/>
    <w:rsid w:val="00572F53"/>
    <w:rsid w:val="005861FF"/>
    <w:rsid w:val="005947BF"/>
    <w:rsid w:val="00594F7D"/>
    <w:rsid w:val="005B1724"/>
    <w:rsid w:val="005B4C17"/>
    <w:rsid w:val="005B7324"/>
    <w:rsid w:val="005C3FD9"/>
    <w:rsid w:val="005C4CEF"/>
    <w:rsid w:val="005C6485"/>
    <w:rsid w:val="005C7801"/>
    <w:rsid w:val="005D17A3"/>
    <w:rsid w:val="005E5666"/>
    <w:rsid w:val="005F4307"/>
    <w:rsid w:val="005F77A1"/>
    <w:rsid w:val="006034BD"/>
    <w:rsid w:val="0060569E"/>
    <w:rsid w:val="006107D4"/>
    <w:rsid w:val="00613540"/>
    <w:rsid w:val="00621646"/>
    <w:rsid w:val="0062332B"/>
    <w:rsid w:val="00627167"/>
    <w:rsid w:val="00630F13"/>
    <w:rsid w:val="00637ECD"/>
    <w:rsid w:val="0065099B"/>
    <w:rsid w:val="006516BB"/>
    <w:rsid w:val="006543F9"/>
    <w:rsid w:val="006552EB"/>
    <w:rsid w:val="006562E1"/>
    <w:rsid w:val="00662C06"/>
    <w:rsid w:val="006634CA"/>
    <w:rsid w:val="00663EA2"/>
    <w:rsid w:val="00666228"/>
    <w:rsid w:val="006802FF"/>
    <w:rsid w:val="0068234E"/>
    <w:rsid w:val="00686451"/>
    <w:rsid w:val="00693F0B"/>
    <w:rsid w:val="006962A3"/>
    <w:rsid w:val="006A13E6"/>
    <w:rsid w:val="006A298B"/>
    <w:rsid w:val="006A3989"/>
    <w:rsid w:val="006C37D6"/>
    <w:rsid w:val="006C44DA"/>
    <w:rsid w:val="006D0D9A"/>
    <w:rsid w:val="006D399C"/>
    <w:rsid w:val="006D5157"/>
    <w:rsid w:val="006E1303"/>
    <w:rsid w:val="006E23F2"/>
    <w:rsid w:val="006F3BED"/>
    <w:rsid w:val="007022F3"/>
    <w:rsid w:val="00711CD2"/>
    <w:rsid w:val="00721A55"/>
    <w:rsid w:val="00727683"/>
    <w:rsid w:val="0073222F"/>
    <w:rsid w:val="00735A0C"/>
    <w:rsid w:val="00736577"/>
    <w:rsid w:val="00744518"/>
    <w:rsid w:val="0075056D"/>
    <w:rsid w:val="007549DD"/>
    <w:rsid w:val="00755B99"/>
    <w:rsid w:val="007574ED"/>
    <w:rsid w:val="00767913"/>
    <w:rsid w:val="0077380F"/>
    <w:rsid w:val="00774F9B"/>
    <w:rsid w:val="00775F74"/>
    <w:rsid w:val="007767CA"/>
    <w:rsid w:val="00784F84"/>
    <w:rsid w:val="0078701E"/>
    <w:rsid w:val="00787340"/>
    <w:rsid w:val="007946C6"/>
    <w:rsid w:val="007A2683"/>
    <w:rsid w:val="007A4DAD"/>
    <w:rsid w:val="007A5C52"/>
    <w:rsid w:val="007A5F81"/>
    <w:rsid w:val="007B0ED8"/>
    <w:rsid w:val="007B11ED"/>
    <w:rsid w:val="007B7BE1"/>
    <w:rsid w:val="007C43DD"/>
    <w:rsid w:val="007C6437"/>
    <w:rsid w:val="007D08F6"/>
    <w:rsid w:val="007D3B5D"/>
    <w:rsid w:val="007E0923"/>
    <w:rsid w:val="007E4EA4"/>
    <w:rsid w:val="007E53DD"/>
    <w:rsid w:val="007E7E8B"/>
    <w:rsid w:val="007F4918"/>
    <w:rsid w:val="007F691D"/>
    <w:rsid w:val="00802784"/>
    <w:rsid w:val="008036C2"/>
    <w:rsid w:val="008174AF"/>
    <w:rsid w:val="008176FC"/>
    <w:rsid w:val="0082127D"/>
    <w:rsid w:val="00826D15"/>
    <w:rsid w:val="00832152"/>
    <w:rsid w:val="0083699A"/>
    <w:rsid w:val="00837322"/>
    <w:rsid w:val="00841B93"/>
    <w:rsid w:val="00843EE7"/>
    <w:rsid w:val="00846C3C"/>
    <w:rsid w:val="0085025A"/>
    <w:rsid w:val="00850482"/>
    <w:rsid w:val="008562BE"/>
    <w:rsid w:val="00856728"/>
    <w:rsid w:val="008569FF"/>
    <w:rsid w:val="00862DE2"/>
    <w:rsid w:val="00874C34"/>
    <w:rsid w:val="0087693A"/>
    <w:rsid w:val="0088131E"/>
    <w:rsid w:val="008828E2"/>
    <w:rsid w:val="0089087B"/>
    <w:rsid w:val="00892080"/>
    <w:rsid w:val="00892846"/>
    <w:rsid w:val="00895FA2"/>
    <w:rsid w:val="008B1A23"/>
    <w:rsid w:val="008B20E6"/>
    <w:rsid w:val="008D0C64"/>
    <w:rsid w:val="008D1F9C"/>
    <w:rsid w:val="008D3C42"/>
    <w:rsid w:val="008D4F4E"/>
    <w:rsid w:val="008D6E60"/>
    <w:rsid w:val="008E0518"/>
    <w:rsid w:val="008E47E5"/>
    <w:rsid w:val="008E5722"/>
    <w:rsid w:val="008E74B7"/>
    <w:rsid w:val="008E77DB"/>
    <w:rsid w:val="008F6BE8"/>
    <w:rsid w:val="008F70D5"/>
    <w:rsid w:val="0090555F"/>
    <w:rsid w:val="009107E3"/>
    <w:rsid w:val="00910F9A"/>
    <w:rsid w:val="009127FF"/>
    <w:rsid w:val="009128ED"/>
    <w:rsid w:val="00915CE4"/>
    <w:rsid w:val="00921CFB"/>
    <w:rsid w:val="00936451"/>
    <w:rsid w:val="00941CA6"/>
    <w:rsid w:val="00943EBF"/>
    <w:rsid w:val="00944075"/>
    <w:rsid w:val="00951410"/>
    <w:rsid w:val="0095321B"/>
    <w:rsid w:val="00967DEF"/>
    <w:rsid w:val="009754FA"/>
    <w:rsid w:val="00977167"/>
    <w:rsid w:val="00981920"/>
    <w:rsid w:val="0098299E"/>
    <w:rsid w:val="009846CB"/>
    <w:rsid w:val="00992EDE"/>
    <w:rsid w:val="009B0C33"/>
    <w:rsid w:val="009B6923"/>
    <w:rsid w:val="009C07CB"/>
    <w:rsid w:val="009C6944"/>
    <w:rsid w:val="009D6FBD"/>
    <w:rsid w:val="009E2591"/>
    <w:rsid w:val="009E65D2"/>
    <w:rsid w:val="009F381E"/>
    <w:rsid w:val="00A02C0E"/>
    <w:rsid w:val="00A03240"/>
    <w:rsid w:val="00A074DF"/>
    <w:rsid w:val="00A07523"/>
    <w:rsid w:val="00A127D6"/>
    <w:rsid w:val="00A14009"/>
    <w:rsid w:val="00A20785"/>
    <w:rsid w:val="00A25385"/>
    <w:rsid w:val="00A3359D"/>
    <w:rsid w:val="00A34348"/>
    <w:rsid w:val="00A36DF6"/>
    <w:rsid w:val="00A3789B"/>
    <w:rsid w:val="00A45B36"/>
    <w:rsid w:val="00A45FDE"/>
    <w:rsid w:val="00A46A25"/>
    <w:rsid w:val="00A7219E"/>
    <w:rsid w:val="00A72772"/>
    <w:rsid w:val="00AA064D"/>
    <w:rsid w:val="00AA0FFE"/>
    <w:rsid w:val="00AB02DB"/>
    <w:rsid w:val="00AD1ABC"/>
    <w:rsid w:val="00AD1AED"/>
    <w:rsid w:val="00AD1F8A"/>
    <w:rsid w:val="00AD36D7"/>
    <w:rsid w:val="00AD76E6"/>
    <w:rsid w:val="00AD7C47"/>
    <w:rsid w:val="00AD7D7F"/>
    <w:rsid w:val="00AE516E"/>
    <w:rsid w:val="00AF3FF7"/>
    <w:rsid w:val="00AF64E5"/>
    <w:rsid w:val="00AF69CC"/>
    <w:rsid w:val="00AF6A65"/>
    <w:rsid w:val="00AF7BDE"/>
    <w:rsid w:val="00B021AF"/>
    <w:rsid w:val="00B02B19"/>
    <w:rsid w:val="00B05327"/>
    <w:rsid w:val="00B12303"/>
    <w:rsid w:val="00B14C1D"/>
    <w:rsid w:val="00B14D8E"/>
    <w:rsid w:val="00B1553D"/>
    <w:rsid w:val="00B162BA"/>
    <w:rsid w:val="00B17702"/>
    <w:rsid w:val="00B2713B"/>
    <w:rsid w:val="00B30E26"/>
    <w:rsid w:val="00B32C4A"/>
    <w:rsid w:val="00B35FA8"/>
    <w:rsid w:val="00B45568"/>
    <w:rsid w:val="00B46848"/>
    <w:rsid w:val="00B51144"/>
    <w:rsid w:val="00B51170"/>
    <w:rsid w:val="00B56342"/>
    <w:rsid w:val="00B62F0F"/>
    <w:rsid w:val="00B67660"/>
    <w:rsid w:val="00B828DE"/>
    <w:rsid w:val="00B84FF6"/>
    <w:rsid w:val="00B85275"/>
    <w:rsid w:val="00B8594F"/>
    <w:rsid w:val="00B87D81"/>
    <w:rsid w:val="00B9221A"/>
    <w:rsid w:val="00BA57F9"/>
    <w:rsid w:val="00BA6BEF"/>
    <w:rsid w:val="00BA707D"/>
    <w:rsid w:val="00BB0685"/>
    <w:rsid w:val="00BD039F"/>
    <w:rsid w:val="00BD3411"/>
    <w:rsid w:val="00BF0EB1"/>
    <w:rsid w:val="00BF5235"/>
    <w:rsid w:val="00BF72C5"/>
    <w:rsid w:val="00C02ACD"/>
    <w:rsid w:val="00C02EB8"/>
    <w:rsid w:val="00C07A92"/>
    <w:rsid w:val="00C20582"/>
    <w:rsid w:val="00C2167E"/>
    <w:rsid w:val="00C2432E"/>
    <w:rsid w:val="00C24EC0"/>
    <w:rsid w:val="00C267E6"/>
    <w:rsid w:val="00C31499"/>
    <w:rsid w:val="00C31F79"/>
    <w:rsid w:val="00C33312"/>
    <w:rsid w:val="00C36491"/>
    <w:rsid w:val="00C37E8A"/>
    <w:rsid w:val="00C411D2"/>
    <w:rsid w:val="00C50F89"/>
    <w:rsid w:val="00C53DE5"/>
    <w:rsid w:val="00C547D8"/>
    <w:rsid w:val="00C61AD3"/>
    <w:rsid w:val="00C6799E"/>
    <w:rsid w:val="00C70CCF"/>
    <w:rsid w:val="00C725D6"/>
    <w:rsid w:val="00C8161C"/>
    <w:rsid w:val="00C8212F"/>
    <w:rsid w:val="00C87D70"/>
    <w:rsid w:val="00C9172D"/>
    <w:rsid w:val="00C91754"/>
    <w:rsid w:val="00C926B0"/>
    <w:rsid w:val="00C96BEE"/>
    <w:rsid w:val="00CA3169"/>
    <w:rsid w:val="00CB486A"/>
    <w:rsid w:val="00CB55F3"/>
    <w:rsid w:val="00CD2B80"/>
    <w:rsid w:val="00CD3B71"/>
    <w:rsid w:val="00CE2B4B"/>
    <w:rsid w:val="00CE5116"/>
    <w:rsid w:val="00CE64BF"/>
    <w:rsid w:val="00CE69D1"/>
    <w:rsid w:val="00CE7E30"/>
    <w:rsid w:val="00CF1210"/>
    <w:rsid w:val="00CF4229"/>
    <w:rsid w:val="00CF7049"/>
    <w:rsid w:val="00D05E0B"/>
    <w:rsid w:val="00D14427"/>
    <w:rsid w:val="00D277AE"/>
    <w:rsid w:val="00D304BF"/>
    <w:rsid w:val="00D33609"/>
    <w:rsid w:val="00D460E8"/>
    <w:rsid w:val="00D46CF2"/>
    <w:rsid w:val="00D4711D"/>
    <w:rsid w:val="00D62D67"/>
    <w:rsid w:val="00D64D17"/>
    <w:rsid w:val="00D666DF"/>
    <w:rsid w:val="00D729C0"/>
    <w:rsid w:val="00D82103"/>
    <w:rsid w:val="00D83194"/>
    <w:rsid w:val="00D8615C"/>
    <w:rsid w:val="00D8757C"/>
    <w:rsid w:val="00DA01D5"/>
    <w:rsid w:val="00DA2D50"/>
    <w:rsid w:val="00DA3664"/>
    <w:rsid w:val="00DA3C15"/>
    <w:rsid w:val="00DA3C58"/>
    <w:rsid w:val="00DA61D8"/>
    <w:rsid w:val="00DB1F89"/>
    <w:rsid w:val="00DD1993"/>
    <w:rsid w:val="00DD39CB"/>
    <w:rsid w:val="00DE01A5"/>
    <w:rsid w:val="00DE04A2"/>
    <w:rsid w:val="00DE11D6"/>
    <w:rsid w:val="00DF5313"/>
    <w:rsid w:val="00DF5FD1"/>
    <w:rsid w:val="00E031CA"/>
    <w:rsid w:val="00E06D92"/>
    <w:rsid w:val="00E211FB"/>
    <w:rsid w:val="00E242F6"/>
    <w:rsid w:val="00E32CE2"/>
    <w:rsid w:val="00E33EE6"/>
    <w:rsid w:val="00E43FA5"/>
    <w:rsid w:val="00E60504"/>
    <w:rsid w:val="00E6109C"/>
    <w:rsid w:val="00E61E9B"/>
    <w:rsid w:val="00E649BA"/>
    <w:rsid w:val="00E71C58"/>
    <w:rsid w:val="00E82CC3"/>
    <w:rsid w:val="00E84848"/>
    <w:rsid w:val="00E84F7B"/>
    <w:rsid w:val="00E85448"/>
    <w:rsid w:val="00E8659A"/>
    <w:rsid w:val="00EA0E3F"/>
    <w:rsid w:val="00EA3A8B"/>
    <w:rsid w:val="00EA3C39"/>
    <w:rsid w:val="00EA53F6"/>
    <w:rsid w:val="00EB2F68"/>
    <w:rsid w:val="00EB44E5"/>
    <w:rsid w:val="00EB4FF4"/>
    <w:rsid w:val="00EB55D7"/>
    <w:rsid w:val="00EC6AD9"/>
    <w:rsid w:val="00ED3693"/>
    <w:rsid w:val="00EE4F33"/>
    <w:rsid w:val="00EF4199"/>
    <w:rsid w:val="00F06BAC"/>
    <w:rsid w:val="00F12967"/>
    <w:rsid w:val="00F15792"/>
    <w:rsid w:val="00F21905"/>
    <w:rsid w:val="00F2350C"/>
    <w:rsid w:val="00F2675F"/>
    <w:rsid w:val="00F30F33"/>
    <w:rsid w:val="00F32BF8"/>
    <w:rsid w:val="00F34D70"/>
    <w:rsid w:val="00F406F1"/>
    <w:rsid w:val="00F51423"/>
    <w:rsid w:val="00F51EF3"/>
    <w:rsid w:val="00F5245F"/>
    <w:rsid w:val="00F608BE"/>
    <w:rsid w:val="00F77629"/>
    <w:rsid w:val="00F80160"/>
    <w:rsid w:val="00F803B7"/>
    <w:rsid w:val="00F86933"/>
    <w:rsid w:val="00F93639"/>
    <w:rsid w:val="00FA1B50"/>
    <w:rsid w:val="00FA2CE5"/>
    <w:rsid w:val="00FA51E7"/>
    <w:rsid w:val="00FB1392"/>
    <w:rsid w:val="00FB23AD"/>
    <w:rsid w:val="00FB34B8"/>
    <w:rsid w:val="00FB6F39"/>
    <w:rsid w:val="00FC10D6"/>
    <w:rsid w:val="00FC3219"/>
    <w:rsid w:val="00FC5D8C"/>
    <w:rsid w:val="00FC6000"/>
    <w:rsid w:val="00FC622B"/>
    <w:rsid w:val="00FD375F"/>
    <w:rsid w:val="00FD7A17"/>
    <w:rsid w:val="00FE64A9"/>
    <w:rsid w:val="00FE79CE"/>
    <w:rsid w:val="00FF1AE5"/>
    <w:rsid w:val="00FF2014"/>
    <w:rsid w:val="00FF279C"/>
    <w:rsid w:val="00FF2945"/>
    <w:rsid w:val="00FF58D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C59F1A"/>
  <w15:docId w15:val="{847AD701-41B0-49AC-8287-E3F5794070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GB"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link w:val="Titolo5Carattere"/>
    <w:uiPriority w:val="9"/>
    <w:semiHidden/>
    <w:unhideWhenUsed/>
    <w:qFormat/>
    <w:rsid w:val="000B6ECC"/>
    <w:pPr>
      <w:spacing w:before="100" w:beforeAutospacing="1" w:after="100" w:afterAutospacing="1" w:line="240" w:lineRule="auto"/>
      <w:outlineLvl w:val="4"/>
    </w:pPr>
    <w:rPr>
      <w:rFonts w:ascii="Times New Roman" w:eastAsia="Times New Roman" w:hAnsi="Times New Roman" w:cs="Times New Roman"/>
      <w:b/>
      <w:bCs/>
      <w:sz w:val="20"/>
      <w:szCs w:val="20"/>
      <w:lang w:val="es-ES"/>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character" w:styleId="Numeroriga">
    <w:name w:val="line number"/>
    <w:basedOn w:val="Carpredefinitoparagrafo"/>
    <w:uiPriority w:val="99"/>
    <w:semiHidden/>
    <w:unhideWhenUsed/>
    <w:rsid w:val="00040238"/>
  </w:style>
  <w:style w:type="paragraph" w:customStyle="1" w:styleId="Default">
    <w:name w:val="Default"/>
    <w:rsid w:val="00E20F9E"/>
    <w:pPr>
      <w:autoSpaceDE w:val="0"/>
      <w:autoSpaceDN w:val="0"/>
      <w:adjustRightInd w:val="0"/>
      <w:spacing w:after="0" w:line="240" w:lineRule="auto"/>
    </w:pPr>
    <w:rPr>
      <w:color w:val="000000"/>
      <w:sz w:val="24"/>
      <w:szCs w:val="24"/>
    </w:rPr>
  </w:style>
  <w:style w:type="character" w:styleId="Rimandocommento">
    <w:name w:val="annotation reference"/>
    <w:basedOn w:val="Carpredefinitoparagrafo"/>
    <w:uiPriority w:val="99"/>
    <w:semiHidden/>
    <w:unhideWhenUsed/>
    <w:rsid w:val="00280D8F"/>
    <w:rPr>
      <w:sz w:val="16"/>
      <w:szCs w:val="16"/>
    </w:rPr>
  </w:style>
  <w:style w:type="paragraph" w:styleId="Testocommento">
    <w:name w:val="annotation text"/>
    <w:basedOn w:val="Normale"/>
    <w:link w:val="TestocommentoCarattere"/>
    <w:uiPriority w:val="99"/>
    <w:unhideWhenUsed/>
    <w:rsid w:val="00280D8F"/>
    <w:pPr>
      <w:spacing w:line="240" w:lineRule="auto"/>
    </w:pPr>
    <w:rPr>
      <w:sz w:val="20"/>
      <w:szCs w:val="20"/>
    </w:rPr>
  </w:style>
  <w:style w:type="character" w:customStyle="1" w:styleId="TestocommentoCarattere">
    <w:name w:val="Testo commento Carattere"/>
    <w:basedOn w:val="Carpredefinitoparagrafo"/>
    <w:link w:val="Testocommento"/>
    <w:uiPriority w:val="99"/>
    <w:rsid w:val="00280D8F"/>
    <w:rPr>
      <w:sz w:val="20"/>
      <w:szCs w:val="20"/>
      <w:lang w:val="en-GB"/>
    </w:rPr>
  </w:style>
  <w:style w:type="character" w:styleId="Enfasigrassetto">
    <w:name w:val="Strong"/>
    <w:basedOn w:val="Carpredefinitoparagrafo"/>
    <w:uiPriority w:val="22"/>
    <w:qFormat/>
    <w:rsid w:val="00164C43"/>
    <w:rPr>
      <w:b/>
      <w:bCs/>
    </w:rPr>
  </w:style>
  <w:style w:type="table" w:styleId="Grigliatabella">
    <w:name w:val="Table Grid"/>
    <w:basedOn w:val="Tabellanormale"/>
    <w:uiPriority w:val="39"/>
    <w:rsid w:val="006B3A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oggettocommento">
    <w:name w:val="annotation subject"/>
    <w:basedOn w:val="Testocommento"/>
    <w:next w:val="Testocommento"/>
    <w:link w:val="SoggettocommentoCarattere"/>
    <w:uiPriority w:val="99"/>
    <w:semiHidden/>
    <w:unhideWhenUsed/>
    <w:rsid w:val="008B616C"/>
    <w:rPr>
      <w:b/>
      <w:bCs/>
    </w:rPr>
  </w:style>
  <w:style w:type="character" w:customStyle="1" w:styleId="SoggettocommentoCarattere">
    <w:name w:val="Soggetto commento Carattere"/>
    <w:basedOn w:val="TestocommentoCarattere"/>
    <w:link w:val="Soggettocommento"/>
    <w:uiPriority w:val="99"/>
    <w:semiHidden/>
    <w:rsid w:val="008B616C"/>
    <w:rPr>
      <w:b/>
      <w:bCs/>
      <w:sz w:val="20"/>
      <w:szCs w:val="20"/>
      <w:lang w:val="en-GB"/>
    </w:rPr>
  </w:style>
  <w:style w:type="paragraph" w:styleId="Paragrafoelenco">
    <w:name w:val="List Paragraph"/>
    <w:basedOn w:val="Normale"/>
    <w:uiPriority w:val="34"/>
    <w:qFormat/>
    <w:rsid w:val="001C21CD"/>
    <w:pPr>
      <w:ind w:left="720"/>
      <w:contextualSpacing/>
    </w:pPr>
  </w:style>
  <w:style w:type="character" w:customStyle="1" w:styleId="Titolo5Carattere">
    <w:name w:val="Titolo 5 Carattere"/>
    <w:basedOn w:val="Carpredefinitoparagrafo"/>
    <w:link w:val="Titolo5"/>
    <w:uiPriority w:val="9"/>
    <w:rsid w:val="000B6ECC"/>
    <w:rPr>
      <w:rFonts w:ascii="Times New Roman" w:eastAsia="Times New Roman" w:hAnsi="Times New Roman" w:cs="Times New Roman"/>
      <w:b/>
      <w:bCs/>
      <w:sz w:val="20"/>
      <w:szCs w:val="20"/>
      <w:lang w:eastAsia="es-ES"/>
    </w:rPr>
  </w:style>
  <w:style w:type="paragraph" w:styleId="NormaleWeb">
    <w:name w:val="Normal (Web)"/>
    <w:basedOn w:val="Normale"/>
    <w:uiPriority w:val="99"/>
    <w:unhideWhenUsed/>
    <w:rsid w:val="00B12A89"/>
    <w:pPr>
      <w:spacing w:before="100" w:beforeAutospacing="1" w:after="100" w:afterAutospacing="1" w:line="240" w:lineRule="auto"/>
    </w:pPr>
    <w:rPr>
      <w:rFonts w:ascii="Times New Roman" w:eastAsia="Times New Roman" w:hAnsi="Times New Roman" w:cs="Times New Roman"/>
      <w:sz w:val="24"/>
      <w:szCs w:val="24"/>
      <w:lang w:val="es-ES"/>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paragraph" w:styleId="Revisione">
    <w:name w:val="Revision"/>
    <w:hidden/>
    <w:uiPriority w:val="99"/>
    <w:semiHidden/>
    <w:rsid w:val="00145A63"/>
    <w:pPr>
      <w:spacing w:after="0" w:line="240" w:lineRule="auto"/>
    </w:pPr>
  </w:style>
  <w:style w:type="character" w:styleId="Collegamentoipertestuale">
    <w:name w:val="Hyperlink"/>
    <w:unhideWhenUsed/>
    <w:rsid w:val="00F2675F"/>
    <w:rPr>
      <w:color w:val="0000FF"/>
      <w:u w:val="single"/>
    </w:rPr>
  </w:style>
  <w:style w:type="paragraph" w:styleId="Intestazione">
    <w:name w:val="header"/>
    <w:basedOn w:val="Normale"/>
    <w:link w:val="IntestazioneCarattere"/>
    <w:uiPriority w:val="99"/>
    <w:unhideWhenUsed/>
    <w:rsid w:val="0049254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9254A"/>
  </w:style>
  <w:style w:type="paragraph" w:styleId="Pidipagina">
    <w:name w:val="footer"/>
    <w:basedOn w:val="Normale"/>
    <w:link w:val="PidipaginaCarattere"/>
    <w:uiPriority w:val="99"/>
    <w:unhideWhenUsed/>
    <w:rsid w:val="0049254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925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207944">
      <w:bodyDiv w:val="1"/>
      <w:marLeft w:val="0"/>
      <w:marRight w:val="0"/>
      <w:marTop w:val="0"/>
      <w:marBottom w:val="0"/>
      <w:divBdr>
        <w:top w:val="none" w:sz="0" w:space="0" w:color="auto"/>
        <w:left w:val="none" w:sz="0" w:space="0" w:color="auto"/>
        <w:bottom w:val="none" w:sz="0" w:space="0" w:color="auto"/>
        <w:right w:val="none" w:sz="0" w:space="0" w:color="auto"/>
      </w:divBdr>
    </w:div>
    <w:div w:id="173423865">
      <w:bodyDiv w:val="1"/>
      <w:marLeft w:val="0"/>
      <w:marRight w:val="0"/>
      <w:marTop w:val="0"/>
      <w:marBottom w:val="0"/>
      <w:divBdr>
        <w:top w:val="none" w:sz="0" w:space="0" w:color="auto"/>
        <w:left w:val="none" w:sz="0" w:space="0" w:color="auto"/>
        <w:bottom w:val="none" w:sz="0" w:space="0" w:color="auto"/>
        <w:right w:val="none" w:sz="0" w:space="0" w:color="auto"/>
      </w:divBdr>
    </w:div>
    <w:div w:id="185292401">
      <w:bodyDiv w:val="1"/>
      <w:marLeft w:val="0"/>
      <w:marRight w:val="0"/>
      <w:marTop w:val="0"/>
      <w:marBottom w:val="0"/>
      <w:divBdr>
        <w:top w:val="none" w:sz="0" w:space="0" w:color="auto"/>
        <w:left w:val="none" w:sz="0" w:space="0" w:color="auto"/>
        <w:bottom w:val="none" w:sz="0" w:space="0" w:color="auto"/>
        <w:right w:val="none" w:sz="0" w:space="0" w:color="auto"/>
      </w:divBdr>
    </w:div>
    <w:div w:id="373890440">
      <w:bodyDiv w:val="1"/>
      <w:marLeft w:val="0"/>
      <w:marRight w:val="0"/>
      <w:marTop w:val="0"/>
      <w:marBottom w:val="0"/>
      <w:divBdr>
        <w:top w:val="none" w:sz="0" w:space="0" w:color="auto"/>
        <w:left w:val="none" w:sz="0" w:space="0" w:color="auto"/>
        <w:bottom w:val="none" w:sz="0" w:space="0" w:color="auto"/>
        <w:right w:val="none" w:sz="0" w:space="0" w:color="auto"/>
      </w:divBdr>
    </w:div>
    <w:div w:id="478158074">
      <w:bodyDiv w:val="1"/>
      <w:marLeft w:val="0"/>
      <w:marRight w:val="0"/>
      <w:marTop w:val="0"/>
      <w:marBottom w:val="0"/>
      <w:divBdr>
        <w:top w:val="none" w:sz="0" w:space="0" w:color="auto"/>
        <w:left w:val="none" w:sz="0" w:space="0" w:color="auto"/>
        <w:bottom w:val="none" w:sz="0" w:space="0" w:color="auto"/>
        <w:right w:val="none" w:sz="0" w:space="0" w:color="auto"/>
      </w:divBdr>
    </w:div>
    <w:div w:id="774592789">
      <w:bodyDiv w:val="1"/>
      <w:marLeft w:val="0"/>
      <w:marRight w:val="0"/>
      <w:marTop w:val="0"/>
      <w:marBottom w:val="0"/>
      <w:divBdr>
        <w:top w:val="none" w:sz="0" w:space="0" w:color="auto"/>
        <w:left w:val="none" w:sz="0" w:space="0" w:color="auto"/>
        <w:bottom w:val="none" w:sz="0" w:space="0" w:color="auto"/>
        <w:right w:val="none" w:sz="0" w:space="0" w:color="auto"/>
      </w:divBdr>
    </w:div>
    <w:div w:id="1109087101">
      <w:bodyDiv w:val="1"/>
      <w:marLeft w:val="0"/>
      <w:marRight w:val="0"/>
      <w:marTop w:val="0"/>
      <w:marBottom w:val="0"/>
      <w:divBdr>
        <w:top w:val="none" w:sz="0" w:space="0" w:color="auto"/>
        <w:left w:val="none" w:sz="0" w:space="0" w:color="auto"/>
        <w:bottom w:val="none" w:sz="0" w:space="0" w:color="auto"/>
        <w:right w:val="none" w:sz="0" w:space="0" w:color="auto"/>
      </w:divBdr>
    </w:div>
    <w:div w:id="1510220592">
      <w:bodyDiv w:val="1"/>
      <w:marLeft w:val="0"/>
      <w:marRight w:val="0"/>
      <w:marTop w:val="0"/>
      <w:marBottom w:val="0"/>
      <w:divBdr>
        <w:top w:val="none" w:sz="0" w:space="0" w:color="auto"/>
        <w:left w:val="none" w:sz="0" w:space="0" w:color="auto"/>
        <w:bottom w:val="none" w:sz="0" w:space="0" w:color="auto"/>
        <w:right w:val="none" w:sz="0" w:space="0" w:color="auto"/>
      </w:divBdr>
    </w:div>
    <w:div w:id="1658610316">
      <w:bodyDiv w:val="1"/>
      <w:marLeft w:val="0"/>
      <w:marRight w:val="0"/>
      <w:marTop w:val="0"/>
      <w:marBottom w:val="0"/>
      <w:divBdr>
        <w:top w:val="none" w:sz="0" w:space="0" w:color="auto"/>
        <w:left w:val="none" w:sz="0" w:space="0" w:color="auto"/>
        <w:bottom w:val="none" w:sz="0" w:space="0" w:color="auto"/>
        <w:right w:val="none" w:sz="0" w:space="0" w:color="auto"/>
      </w:divBdr>
    </w:div>
    <w:div w:id="1823037453">
      <w:bodyDiv w:val="1"/>
      <w:marLeft w:val="0"/>
      <w:marRight w:val="0"/>
      <w:marTop w:val="0"/>
      <w:marBottom w:val="0"/>
      <w:divBdr>
        <w:top w:val="none" w:sz="0" w:space="0" w:color="auto"/>
        <w:left w:val="none" w:sz="0" w:space="0" w:color="auto"/>
        <w:bottom w:val="none" w:sz="0" w:space="0" w:color="auto"/>
        <w:right w:val="none" w:sz="0" w:space="0" w:color="auto"/>
      </w:divBdr>
    </w:div>
    <w:div w:id="1853297115">
      <w:bodyDiv w:val="1"/>
      <w:marLeft w:val="0"/>
      <w:marRight w:val="0"/>
      <w:marTop w:val="0"/>
      <w:marBottom w:val="0"/>
      <w:divBdr>
        <w:top w:val="none" w:sz="0" w:space="0" w:color="auto"/>
        <w:left w:val="none" w:sz="0" w:space="0" w:color="auto"/>
        <w:bottom w:val="none" w:sz="0" w:space="0" w:color="auto"/>
        <w:right w:val="none" w:sz="0" w:space="0" w:color="auto"/>
      </w:divBdr>
    </w:div>
    <w:div w:id="1910996642">
      <w:bodyDiv w:val="1"/>
      <w:marLeft w:val="0"/>
      <w:marRight w:val="0"/>
      <w:marTop w:val="0"/>
      <w:marBottom w:val="0"/>
      <w:divBdr>
        <w:top w:val="none" w:sz="0" w:space="0" w:color="auto"/>
        <w:left w:val="none" w:sz="0" w:space="0" w:color="auto"/>
        <w:bottom w:val="none" w:sz="0" w:space="0" w:color="auto"/>
        <w:right w:val="none" w:sz="0" w:space="0" w:color="auto"/>
      </w:divBdr>
    </w:div>
    <w:div w:id="2021003355">
      <w:bodyDiv w:val="1"/>
      <w:marLeft w:val="0"/>
      <w:marRight w:val="0"/>
      <w:marTop w:val="0"/>
      <w:marBottom w:val="0"/>
      <w:divBdr>
        <w:top w:val="none" w:sz="0" w:space="0" w:color="auto"/>
        <w:left w:val="none" w:sz="0" w:space="0" w:color="auto"/>
        <w:bottom w:val="none" w:sz="0" w:space="0" w:color="auto"/>
        <w:right w:val="none" w:sz="0" w:space="0" w:color="auto"/>
      </w:divBdr>
    </w:div>
    <w:div w:id="21316273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1.tiff"/><Relationship Id="rId4" Type="http://schemas.openxmlformats.org/officeDocument/2006/relationships/styles" Target="styles.xml"/><Relationship Id="rId9" Type="http://schemas.openxmlformats.org/officeDocument/2006/relationships/hyperlink" Target="mailto:vecchiato@unive.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685D9A4-2ADD-413E-B59C-78C3EBE00355}">
  <we:reference id="f78a3046-9e99-4300-aa2b-5814002b01a2" version="1.35.0.0" store="EXCatalog" storeType="EXCatalog"/>
  <we:alternateReferences>
    <we:reference id="WA104382081" version="1.35.0.0" store="en-US" storeType="OMEX"/>
  </we:alternateReferences>
  <we:properties>
    <we:property name="MENDELEY_CITATIONS" val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gqN2wtthrcpGimI6i5xYb3U71+3Q==">AMUW2mVRzCht0dxjTVrz5lFh5cbDtckcPRVoUQZVhgyLOmCC1Rvd0JH9/AoN353UmpQZgBfhKccTdD5HGcxrvY/GQRXVCXhdFZsJnqrZFPQIh5QrVkx4yiTkJC0nlnHV4QlyfyyLWRUXyb5Sws+gPYE+LdqzVeLPO647Tx9txTo0O8HWkeWzsOiDDwVPIN/tQRZaM5VJUUsJ2G3zIQ9R258yjOk+RDfRXkNJCApe5pJdTQuvvzuOSa2zYrYJr4rXb58Eg1ythmS5</go:docsCustomData>
</go:gDocsCustomXmlDataStorage>
</file>

<file path=customXml/itemProps1.xml><?xml version="1.0" encoding="utf-8"?>
<ds:datastoreItem xmlns:ds="http://schemas.openxmlformats.org/officeDocument/2006/customXml" ds:itemID="{F2D05DD0-9305-4800-871D-CEBFFA56C877}">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14</Pages>
  <Words>32724</Words>
  <Characters>186528</Characters>
  <Application>Microsoft Office Word</Application>
  <DocSecurity>0</DocSecurity>
  <Lines>1554</Lines>
  <Paragraphs>437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218815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Marianna</dc:creator>
  <cp:lastModifiedBy>Marco Vecchiato</cp:lastModifiedBy>
  <cp:revision>11</cp:revision>
  <dcterms:created xsi:type="dcterms:W3CDTF">2022-06-29T13:41:00Z</dcterms:created>
  <dcterms:modified xsi:type="dcterms:W3CDTF">2022-07-04T10:28:00Z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9b93ed11-eef5-3dce-af9e-5e4e38edf7df</vt:lpwstr>
  </property>
  <property fmtid="{D5CDD505-2E9C-101B-9397-08002B2CF9AE}" pid="4" name="Mendeley Citation Style_1">
    <vt:lpwstr>http://www.zotero.org/styles/microchemical-journal</vt:lpwstr>
  </property>
  <property fmtid="{D5CDD505-2E9C-101B-9397-08002B2CF9AE}" pid="5" name="Mendeley Recent Style Id 0_1">
    <vt:lpwstr>http://www.zotero.org/styles/atmospheric-chemistry-and-physics</vt:lpwstr>
  </property>
  <property fmtid="{D5CDD505-2E9C-101B-9397-08002B2CF9AE}" pid="6" name="Mendeley Recent Style Name 0_1">
    <vt:lpwstr>Atmospheric Chemistry and Physics</vt:lpwstr>
  </property>
  <property fmtid="{D5CDD505-2E9C-101B-9397-08002B2CF9AE}" pid="7" name="Mendeley Recent Style Id 1_1">
    <vt:lpwstr>http://www.zotero.org/styles/chicago-author-date</vt:lpwstr>
  </property>
  <property fmtid="{D5CDD505-2E9C-101B-9397-08002B2CF9AE}" pid="8" name="Mendeley Recent Style Name 1_1">
    <vt:lpwstr>Chicago Manual of Style 17th edition (author-date)</vt:lpwstr>
  </property>
  <property fmtid="{D5CDD505-2E9C-101B-9397-08002B2CF9AE}" pid="9" name="Mendeley Recent Style Id 2_1">
    <vt:lpwstr>http://www.zotero.org/styles/harvard-cite-them-right</vt:lpwstr>
  </property>
  <property fmtid="{D5CDD505-2E9C-101B-9397-08002B2CF9AE}" pid="10" name="Mendeley Recent Style Name 2_1">
    <vt:lpwstr>Cite Them Right 10th edition - Harvard</vt:lpwstr>
  </property>
  <property fmtid="{D5CDD505-2E9C-101B-9397-08002B2CF9AE}" pid="11" name="Mendeley Recent Style Id 3_1">
    <vt:lpwstr>http://www.zotero.org/styles/elsevier-harvard</vt:lpwstr>
  </property>
  <property fmtid="{D5CDD505-2E9C-101B-9397-08002B2CF9AE}" pid="12" name="Mendeley Recent Style Name 3_1">
    <vt:lpwstr>Elsevier - Harvard (with titles)</vt:lpwstr>
  </property>
  <property fmtid="{D5CDD505-2E9C-101B-9397-08002B2CF9AE}" pid="13" name="Mendeley Recent Style Id 4_1">
    <vt:lpwstr>http://www.zotero.org/styles/environmental-science-and-technology-letters</vt:lpwstr>
  </property>
  <property fmtid="{D5CDD505-2E9C-101B-9397-08002B2CF9AE}" pid="14" name="Mendeley Recent Style Name 4_1">
    <vt:lpwstr>Environmental Science &amp; Technology Letters</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(deprecated)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http://www.zotero.org/styles/microchemical-journal</vt:lpwstr>
  </property>
  <property fmtid="{D5CDD505-2E9C-101B-9397-08002B2CF9AE}" pid="20" name="Mendeley Recent Style Name 7_1">
    <vt:lpwstr>Microchemical Journal</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http://www.zotero.org/styles/science-of-the-total-environment</vt:lpwstr>
  </property>
  <property fmtid="{D5CDD505-2E9C-101B-9397-08002B2CF9AE}" pid="24" name="Mendeley Recent Style Name 9_1">
    <vt:lpwstr>Science of the Total Environment</vt:lpwstr>
  </property>
</Properties>
</file>