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324" w:rsidRDefault="00710324" w:rsidP="003E5C4B">
      <w:pPr>
        <w:spacing w:line="360" w:lineRule="auto"/>
        <w:ind w:right="1134"/>
        <w:jc w:val="center"/>
      </w:pPr>
    </w:p>
    <w:p w:rsidR="00875CEE" w:rsidRPr="00106AE1" w:rsidRDefault="00856463" w:rsidP="00F219CF">
      <w:pPr>
        <w:spacing w:line="360" w:lineRule="auto"/>
        <w:ind w:right="1134"/>
        <w:jc w:val="center"/>
        <w:rPr>
          <w:bCs/>
          <w:i/>
        </w:rPr>
      </w:pPr>
      <w:r>
        <w:rPr>
          <w:bCs/>
          <w:i/>
        </w:rPr>
        <w:t>La concezione realistica del datore d</w:t>
      </w:r>
      <w:r w:rsidR="00C31FB6">
        <w:rPr>
          <w:bCs/>
          <w:i/>
        </w:rPr>
        <w:t xml:space="preserve">i lavoro nei gruppi di imprese ed il principio di </w:t>
      </w:r>
      <w:bookmarkStart w:id="0" w:name="_GoBack"/>
      <w:bookmarkEnd w:id="0"/>
      <w:r>
        <w:rPr>
          <w:bCs/>
          <w:i/>
        </w:rPr>
        <w:t xml:space="preserve">prevalenza del datore di lavoro “effettivo” </w:t>
      </w:r>
      <w:r w:rsidR="00D408F8">
        <w:rPr>
          <w:bCs/>
          <w:i/>
        </w:rPr>
        <w:t>sul datore di lavoro “apparente”</w:t>
      </w:r>
      <w:r w:rsidR="002C6FEA">
        <w:rPr>
          <w:bCs/>
          <w:i/>
        </w:rPr>
        <w:t xml:space="preserve"> </w:t>
      </w:r>
      <w:r w:rsidR="00A4470D">
        <w:rPr>
          <w:bCs/>
          <w:i/>
        </w:rPr>
        <w:t xml:space="preserve"> </w:t>
      </w:r>
    </w:p>
    <w:p w:rsidR="00875CEE" w:rsidRDefault="00875CEE" w:rsidP="00F219CF">
      <w:pPr>
        <w:spacing w:line="360" w:lineRule="auto"/>
        <w:ind w:right="1134"/>
        <w:jc w:val="both"/>
        <w:rPr>
          <w:bCs/>
        </w:rPr>
      </w:pPr>
    </w:p>
    <w:p w:rsidR="00250E57" w:rsidRPr="00266CEF" w:rsidRDefault="00250E57" w:rsidP="00F219CF">
      <w:pPr>
        <w:spacing w:line="360" w:lineRule="auto"/>
        <w:ind w:right="1134"/>
        <w:jc w:val="both"/>
        <w:rPr>
          <w:b/>
          <w:bCs/>
        </w:rPr>
      </w:pPr>
      <w:r w:rsidRPr="00266CEF">
        <w:rPr>
          <w:b/>
          <w:bCs/>
        </w:rPr>
        <w:t>1.</w:t>
      </w:r>
      <w:r w:rsidR="00FE6D85" w:rsidRPr="00266CEF">
        <w:rPr>
          <w:b/>
          <w:bCs/>
        </w:rPr>
        <w:t xml:space="preserve"> </w:t>
      </w:r>
      <w:r w:rsidR="00266CEF" w:rsidRPr="00266CEF">
        <w:rPr>
          <w:b/>
          <w:bCs/>
        </w:rPr>
        <w:t>La fattispecie</w:t>
      </w:r>
    </w:p>
    <w:p w:rsidR="00181829" w:rsidRDefault="003220A8" w:rsidP="00F219CF">
      <w:pPr>
        <w:spacing w:line="360" w:lineRule="auto"/>
        <w:ind w:right="1134"/>
        <w:jc w:val="both"/>
        <w:rPr>
          <w:bCs/>
        </w:rPr>
      </w:pPr>
      <w:r>
        <w:rPr>
          <w:bCs/>
        </w:rPr>
        <w:t xml:space="preserve">La sentenza </w:t>
      </w:r>
      <w:r w:rsidR="00C10C33">
        <w:rPr>
          <w:bCs/>
        </w:rPr>
        <w:t>d</w:t>
      </w:r>
      <w:r w:rsidR="00AD7EAA">
        <w:rPr>
          <w:bCs/>
        </w:rPr>
        <w:t>ella Cassazione che si annota</w:t>
      </w:r>
      <w:r>
        <w:rPr>
          <w:bCs/>
        </w:rPr>
        <w:t xml:space="preserve"> </w:t>
      </w:r>
      <w:r w:rsidR="00AD7EAA">
        <w:rPr>
          <w:bCs/>
        </w:rPr>
        <w:t xml:space="preserve">interessa </w:t>
      </w:r>
      <w:r w:rsidR="00266CEF">
        <w:rPr>
          <w:bCs/>
        </w:rPr>
        <w:t>il</w:t>
      </w:r>
      <w:r w:rsidR="00181829">
        <w:rPr>
          <w:bCs/>
        </w:rPr>
        <w:t xml:space="preserve"> rapporto di lavoro subordinato formalmente intercorso </w:t>
      </w:r>
      <w:r w:rsidR="0034465E">
        <w:rPr>
          <w:bCs/>
        </w:rPr>
        <w:t xml:space="preserve">tra un lavoratore </w:t>
      </w:r>
      <w:r>
        <w:rPr>
          <w:bCs/>
        </w:rPr>
        <w:t xml:space="preserve">ed una società estera appartenente al Gruppo Fiat, ovvero </w:t>
      </w:r>
      <w:r w:rsidR="0034465E">
        <w:rPr>
          <w:bCs/>
        </w:rPr>
        <w:t xml:space="preserve">FIAT of Australia, nel periodo dall’1.8.1982 al 31.3.1987. </w:t>
      </w:r>
    </w:p>
    <w:p w:rsidR="008E558D" w:rsidRDefault="00266CEF" w:rsidP="00F219CF">
      <w:pPr>
        <w:spacing w:line="360" w:lineRule="auto"/>
        <w:ind w:right="1134"/>
        <w:jc w:val="both"/>
        <w:rPr>
          <w:bCs/>
        </w:rPr>
      </w:pPr>
      <w:r>
        <w:rPr>
          <w:bCs/>
        </w:rPr>
        <w:t>S</w:t>
      </w:r>
      <w:r w:rsidR="00181829">
        <w:rPr>
          <w:bCs/>
        </w:rPr>
        <w:t xml:space="preserve">ulla base dell’accertamento </w:t>
      </w:r>
      <w:r w:rsidR="0034465E">
        <w:rPr>
          <w:bCs/>
        </w:rPr>
        <w:t xml:space="preserve">compiuto </w:t>
      </w:r>
      <w:r w:rsidR="00181829">
        <w:rPr>
          <w:bCs/>
        </w:rPr>
        <w:t>d</w:t>
      </w:r>
      <w:r w:rsidR="0034465E">
        <w:rPr>
          <w:bCs/>
        </w:rPr>
        <w:t>a</w:t>
      </w:r>
      <w:r w:rsidR="00181829">
        <w:rPr>
          <w:bCs/>
        </w:rPr>
        <w:t>lla Corte di Appello di Torino</w:t>
      </w:r>
      <w:r>
        <w:rPr>
          <w:rStyle w:val="Rimandonotaapidipagina"/>
          <w:bCs/>
        </w:rPr>
        <w:footnoteReference w:id="1"/>
      </w:r>
      <w:r w:rsidR="00181829">
        <w:rPr>
          <w:bCs/>
        </w:rPr>
        <w:t xml:space="preserve">, </w:t>
      </w:r>
      <w:r w:rsidR="004E74CD">
        <w:rPr>
          <w:bCs/>
        </w:rPr>
        <w:t xml:space="preserve">emergeva </w:t>
      </w:r>
      <w:r>
        <w:rPr>
          <w:bCs/>
        </w:rPr>
        <w:t>che</w:t>
      </w:r>
      <w:r w:rsidR="003220A8">
        <w:rPr>
          <w:bCs/>
        </w:rPr>
        <w:t>,</w:t>
      </w:r>
      <w:r>
        <w:rPr>
          <w:bCs/>
        </w:rPr>
        <w:t xml:space="preserve"> nel corso di tale periodo</w:t>
      </w:r>
      <w:r w:rsidR="003220A8">
        <w:rPr>
          <w:bCs/>
        </w:rPr>
        <w:t>,</w:t>
      </w:r>
      <w:r>
        <w:rPr>
          <w:bCs/>
        </w:rPr>
        <w:t xml:space="preserve"> </w:t>
      </w:r>
      <w:r w:rsidR="003220A8">
        <w:rPr>
          <w:bCs/>
        </w:rPr>
        <w:t xml:space="preserve">la sua </w:t>
      </w:r>
      <w:r>
        <w:rPr>
          <w:bCs/>
        </w:rPr>
        <w:t>attività lavorativa</w:t>
      </w:r>
      <w:r w:rsidR="00474CCE">
        <w:rPr>
          <w:bCs/>
        </w:rPr>
        <w:t>, che consisteva nello svolgimento di mansioni di “</w:t>
      </w:r>
      <w:r w:rsidR="00474CCE" w:rsidRPr="00C8528D">
        <w:rPr>
          <w:bCs/>
          <w:i/>
        </w:rPr>
        <w:t>direttore generale dell’area Sud Est Asia</w:t>
      </w:r>
      <w:r w:rsidR="00474CCE">
        <w:rPr>
          <w:bCs/>
        </w:rPr>
        <w:t>”,</w:t>
      </w:r>
      <w:r>
        <w:rPr>
          <w:bCs/>
        </w:rPr>
        <w:t xml:space="preserve"> era </w:t>
      </w:r>
      <w:r w:rsidR="0034465E">
        <w:rPr>
          <w:bCs/>
        </w:rPr>
        <w:t xml:space="preserve">stata in concreto gestita, sotto l’aspetto organizzativo, gerarchico ed economico, </w:t>
      </w:r>
      <w:r>
        <w:rPr>
          <w:bCs/>
        </w:rPr>
        <w:t xml:space="preserve">dalla capogruppo del Gruppo FIAT, ossia </w:t>
      </w:r>
      <w:r w:rsidR="0034465E">
        <w:rPr>
          <w:bCs/>
        </w:rPr>
        <w:t xml:space="preserve">FIAT Group </w:t>
      </w:r>
      <w:proofErr w:type="spellStart"/>
      <w:r w:rsidR="0034465E">
        <w:rPr>
          <w:bCs/>
        </w:rPr>
        <w:t>Automobiles</w:t>
      </w:r>
      <w:proofErr w:type="spellEnd"/>
      <w:r w:rsidR="0034465E">
        <w:rPr>
          <w:bCs/>
        </w:rPr>
        <w:t xml:space="preserve"> S.p.A. (già FIAT Auto S.p.A.</w:t>
      </w:r>
      <w:r>
        <w:rPr>
          <w:bCs/>
        </w:rPr>
        <w:t>)</w:t>
      </w:r>
      <w:r w:rsidR="008E558D">
        <w:rPr>
          <w:bCs/>
        </w:rPr>
        <w:t>.</w:t>
      </w:r>
    </w:p>
    <w:p w:rsidR="00386658" w:rsidRDefault="008E558D" w:rsidP="00F219CF">
      <w:pPr>
        <w:spacing w:line="360" w:lineRule="auto"/>
        <w:ind w:right="1134"/>
        <w:jc w:val="both"/>
        <w:rPr>
          <w:bCs/>
        </w:rPr>
      </w:pPr>
      <w:r>
        <w:rPr>
          <w:bCs/>
        </w:rPr>
        <w:t>A</w:t>
      </w:r>
      <w:r w:rsidR="00386658">
        <w:rPr>
          <w:bCs/>
        </w:rPr>
        <w:t xml:space="preserve"> t</w:t>
      </w:r>
      <w:r w:rsidR="00266CEF">
        <w:rPr>
          <w:bCs/>
        </w:rPr>
        <w:t xml:space="preserve">ale conclusione </w:t>
      </w:r>
      <w:r w:rsidR="004E74CD">
        <w:rPr>
          <w:bCs/>
        </w:rPr>
        <w:t>giungeva</w:t>
      </w:r>
      <w:r w:rsidR="00386658">
        <w:rPr>
          <w:bCs/>
        </w:rPr>
        <w:t xml:space="preserve"> </w:t>
      </w:r>
      <w:smartTag w:uri="urn:schemas-microsoft-com:office:smarttags" w:element="PersonName">
        <w:smartTagPr>
          <w:attr w:name="ProductID" w:val="la Corte"/>
        </w:smartTagPr>
        <w:r w:rsidR="00266CEF">
          <w:rPr>
            <w:bCs/>
          </w:rPr>
          <w:t>la Corte</w:t>
        </w:r>
      </w:smartTag>
      <w:r w:rsidR="00266CEF">
        <w:rPr>
          <w:bCs/>
        </w:rPr>
        <w:t xml:space="preserve"> territoriale </w:t>
      </w:r>
      <w:r w:rsidR="00386658">
        <w:rPr>
          <w:bCs/>
        </w:rPr>
        <w:t xml:space="preserve">sulla scorta di una serie di elementi di fatto, ovvero: </w:t>
      </w:r>
    </w:p>
    <w:p w:rsidR="00386658" w:rsidRDefault="00386658" w:rsidP="00F219CF">
      <w:pPr>
        <w:spacing w:line="360" w:lineRule="auto"/>
        <w:ind w:right="1134"/>
        <w:jc w:val="both"/>
        <w:rPr>
          <w:bCs/>
        </w:rPr>
      </w:pPr>
      <w:r>
        <w:rPr>
          <w:bCs/>
        </w:rPr>
        <w:t>a) la retribuzione del lavoratore era stata, dapprima, determinata e, in seguito, sempre corrisposta da FIAT Auto, che ne aveva curato anche i relativi adeguamenti (</w:t>
      </w:r>
      <w:r w:rsidR="00C8528D">
        <w:rPr>
          <w:bCs/>
        </w:rPr>
        <w:t>così come per i propri dipendenti</w:t>
      </w:r>
      <w:r>
        <w:rPr>
          <w:bCs/>
        </w:rPr>
        <w:t>), e non da Fiat of Australia;</w:t>
      </w:r>
    </w:p>
    <w:p w:rsidR="00386658" w:rsidRDefault="00386658" w:rsidP="00F219CF">
      <w:pPr>
        <w:spacing w:line="360" w:lineRule="auto"/>
        <w:ind w:right="1134"/>
        <w:jc w:val="both"/>
        <w:rPr>
          <w:bCs/>
        </w:rPr>
      </w:pPr>
      <w:r>
        <w:rPr>
          <w:bCs/>
        </w:rPr>
        <w:t>b) era stata FIAT Auto a determinare gli “</w:t>
      </w:r>
      <w:r w:rsidRPr="00386658">
        <w:rPr>
          <w:bCs/>
          <w:i/>
        </w:rPr>
        <w:t>obiettivi fondamentali della posizione del dipendente</w:t>
      </w:r>
      <w:r>
        <w:rPr>
          <w:bCs/>
        </w:rPr>
        <w:t>” e si era altresì fatta carico della sua posizione contributiva;</w:t>
      </w:r>
    </w:p>
    <w:p w:rsidR="00386658" w:rsidRDefault="00386658" w:rsidP="00F219CF">
      <w:pPr>
        <w:spacing w:line="360" w:lineRule="auto"/>
        <w:ind w:right="1134"/>
        <w:jc w:val="both"/>
        <w:rPr>
          <w:bCs/>
        </w:rPr>
      </w:pPr>
      <w:r>
        <w:rPr>
          <w:bCs/>
        </w:rPr>
        <w:t>c) mentre Fiat</w:t>
      </w:r>
      <w:r w:rsidR="008E7B75">
        <w:rPr>
          <w:bCs/>
        </w:rPr>
        <w:t xml:space="preserve"> of</w:t>
      </w:r>
      <w:r>
        <w:rPr>
          <w:bCs/>
        </w:rPr>
        <w:t xml:space="preserve"> Australia si occupava di trattori e macchine agricole, l’attività di promozione svolta dal lavoratore aveva ad oggetto unicamente automobili della linea FIAT, ovvero “</w:t>
      </w:r>
      <w:r w:rsidRPr="00CA02AD">
        <w:rPr>
          <w:bCs/>
          <w:i/>
        </w:rPr>
        <w:t>una tipologia merceologica affatto distinta da quella dell’impresa che lo aveva assunto</w:t>
      </w:r>
      <w:r>
        <w:rPr>
          <w:bCs/>
        </w:rPr>
        <w:t xml:space="preserve">”. </w:t>
      </w:r>
    </w:p>
    <w:p w:rsidR="008E558D" w:rsidRDefault="008E558D" w:rsidP="00F219CF">
      <w:pPr>
        <w:spacing w:line="360" w:lineRule="auto"/>
        <w:ind w:right="1134"/>
        <w:jc w:val="both"/>
        <w:rPr>
          <w:bCs/>
        </w:rPr>
      </w:pPr>
      <w:r>
        <w:rPr>
          <w:bCs/>
        </w:rPr>
        <w:t xml:space="preserve">Dal complesso di tali dati di fatto, </w:t>
      </w:r>
      <w:smartTag w:uri="urn:schemas-microsoft-com:office:smarttags" w:element="PersonName">
        <w:smartTagPr>
          <w:attr w:name="ProductID" w:val="la Corte"/>
        </w:smartTagPr>
        <w:r>
          <w:rPr>
            <w:bCs/>
          </w:rPr>
          <w:t>la Corte</w:t>
        </w:r>
      </w:smartTag>
      <w:r>
        <w:rPr>
          <w:bCs/>
        </w:rPr>
        <w:t xml:space="preserve"> d’Appello torinese </w:t>
      </w:r>
      <w:r w:rsidR="004E74CD">
        <w:rPr>
          <w:bCs/>
        </w:rPr>
        <w:t xml:space="preserve">concludeva </w:t>
      </w:r>
      <w:r>
        <w:rPr>
          <w:bCs/>
        </w:rPr>
        <w:t xml:space="preserve">quindi che, </w:t>
      </w:r>
      <w:r w:rsidR="00BD7678">
        <w:rPr>
          <w:bCs/>
        </w:rPr>
        <w:t>avendo</w:t>
      </w:r>
      <w:r w:rsidR="00495BDE">
        <w:rPr>
          <w:bCs/>
        </w:rPr>
        <w:t xml:space="preserve"> la capogruppo Fiat Auto </w:t>
      </w:r>
      <w:r w:rsidR="00BD7678">
        <w:rPr>
          <w:bCs/>
        </w:rPr>
        <w:t xml:space="preserve">coordinato e gestito il rapporto di lavoro del lavoratore, </w:t>
      </w:r>
      <w:r>
        <w:rPr>
          <w:bCs/>
        </w:rPr>
        <w:t xml:space="preserve">utilizzandone la </w:t>
      </w:r>
      <w:r w:rsidR="00BD7678">
        <w:rPr>
          <w:bCs/>
        </w:rPr>
        <w:t>prestazion</w:t>
      </w:r>
      <w:r>
        <w:rPr>
          <w:bCs/>
        </w:rPr>
        <w:t>e</w:t>
      </w:r>
      <w:r w:rsidR="00BD7678">
        <w:rPr>
          <w:bCs/>
        </w:rPr>
        <w:t xml:space="preserve">, </w:t>
      </w:r>
      <w:r>
        <w:rPr>
          <w:bCs/>
        </w:rPr>
        <w:t xml:space="preserve">la stessa avesse </w:t>
      </w:r>
      <w:r w:rsidR="00BD7678">
        <w:rPr>
          <w:bCs/>
        </w:rPr>
        <w:t>assunto nei confronti di quest’ultimo la veste di effettivo datore di lavoro, i</w:t>
      </w:r>
      <w:r>
        <w:rPr>
          <w:bCs/>
        </w:rPr>
        <w:t>n</w:t>
      </w:r>
      <w:r w:rsidR="008E7B75">
        <w:rPr>
          <w:bCs/>
        </w:rPr>
        <w:t xml:space="preserve"> luogo della consociata estera, che aveva assunto il ruolo di </w:t>
      </w:r>
      <w:r>
        <w:rPr>
          <w:bCs/>
        </w:rPr>
        <w:t>datore di</w:t>
      </w:r>
      <w:r w:rsidR="008E7B75">
        <w:rPr>
          <w:bCs/>
        </w:rPr>
        <w:t xml:space="preserve"> lavoro</w:t>
      </w:r>
      <w:r w:rsidR="006279B3" w:rsidRPr="006279B3">
        <w:rPr>
          <w:bCs/>
        </w:rPr>
        <w:t xml:space="preserve"> </w:t>
      </w:r>
      <w:r w:rsidR="006279B3">
        <w:rPr>
          <w:bCs/>
        </w:rPr>
        <w:t>solo formalmente</w:t>
      </w:r>
      <w:r>
        <w:rPr>
          <w:bCs/>
        </w:rPr>
        <w:t>.</w:t>
      </w:r>
    </w:p>
    <w:p w:rsidR="00703808" w:rsidRDefault="00703808" w:rsidP="00F219CF">
      <w:pPr>
        <w:spacing w:line="360" w:lineRule="auto"/>
        <w:ind w:right="1134"/>
        <w:jc w:val="both"/>
        <w:rPr>
          <w:bCs/>
        </w:rPr>
      </w:pPr>
      <w:r>
        <w:rPr>
          <w:bCs/>
        </w:rPr>
        <w:t xml:space="preserve">Avverso tale decisione </w:t>
      </w:r>
      <w:r w:rsidR="004E74CD">
        <w:rPr>
          <w:bCs/>
        </w:rPr>
        <w:t xml:space="preserve">proponeva </w:t>
      </w:r>
      <w:r>
        <w:rPr>
          <w:bCs/>
        </w:rPr>
        <w:t>quindi</w:t>
      </w:r>
      <w:r w:rsidR="00DA33C3">
        <w:rPr>
          <w:bCs/>
        </w:rPr>
        <w:t xml:space="preserve"> ricorso per cassazione FIAT</w:t>
      </w:r>
      <w:r w:rsidR="00F2166C">
        <w:rPr>
          <w:bCs/>
        </w:rPr>
        <w:t xml:space="preserve"> Auto, </w:t>
      </w:r>
      <w:r w:rsidR="009F061A">
        <w:rPr>
          <w:bCs/>
        </w:rPr>
        <w:t>censurando,</w:t>
      </w:r>
      <w:r>
        <w:rPr>
          <w:bCs/>
        </w:rPr>
        <w:t xml:space="preserve"> </w:t>
      </w:r>
      <w:r w:rsidR="006279B3">
        <w:rPr>
          <w:bCs/>
        </w:rPr>
        <w:t>come si legge n</w:t>
      </w:r>
      <w:r w:rsidR="00495BDE">
        <w:rPr>
          <w:bCs/>
        </w:rPr>
        <w:t xml:space="preserve">ella </w:t>
      </w:r>
      <w:r w:rsidR="00F2166C">
        <w:rPr>
          <w:bCs/>
        </w:rPr>
        <w:t xml:space="preserve">sentenza in commento, l’inadeguatezza </w:t>
      </w:r>
      <w:r>
        <w:rPr>
          <w:bCs/>
        </w:rPr>
        <w:t xml:space="preserve">degli elementi sintomatici presi in considerazione dal Giudice di secondo grado ai fini della </w:t>
      </w:r>
      <w:r>
        <w:rPr>
          <w:bCs/>
        </w:rPr>
        <w:lastRenderedPageBreak/>
        <w:t>ricostruzione de</w:t>
      </w:r>
      <w:r w:rsidR="003F3A7D">
        <w:rPr>
          <w:bCs/>
        </w:rPr>
        <w:t xml:space="preserve">lla fattispecie </w:t>
      </w:r>
      <w:proofErr w:type="spellStart"/>
      <w:r w:rsidR="003F3A7D">
        <w:rPr>
          <w:bCs/>
        </w:rPr>
        <w:t>interpositoria</w:t>
      </w:r>
      <w:proofErr w:type="spellEnd"/>
      <w:r w:rsidR="003F3A7D">
        <w:rPr>
          <w:bCs/>
        </w:rPr>
        <w:t xml:space="preserve">, </w:t>
      </w:r>
      <w:r w:rsidR="006279B3">
        <w:rPr>
          <w:bCs/>
        </w:rPr>
        <w:t>posto</w:t>
      </w:r>
      <w:r w:rsidR="003F3A7D">
        <w:rPr>
          <w:bCs/>
        </w:rPr>
        <w:t xml:space="preserve"> che, ad avviso della stessa, </w:t>
      </w:r>
      <w:r>
        <w:rPr>
          <w:bCs/>
        </w:rPr>
        <w:t>“</w:t>
      </w:r>
      <w:r w:rsidR="00495BDE">
        <w:rPr>
          <w:bCs/>
          <w:i/>
        </w:rPr>
        <w:t xml:space="preserve">il suo interessamento e la sua </w:t>
      </w:r>
      <w:r w:rsidRPr="00AF7EC2">
        <w:rPr>
          <w:bCs/>
          <w:i/>
        </w:rPr>
        <w:t>ingerenza nella vita delle società controllate e consociate</w:t>
      </w:r>
      <w:r>
        <w:rPr>
          <w:bCs/>
        </w:rPr>
        <w:t xml:space="preserve">” </w:t>
      </w:r>
      <w:r w:rsidR="003F3A7D">
        <w:rPr>
          <w:bCs/>
        </w:rPr>
        <w:t xml:space="preserve">avrebbe invece dovuto essere considerato </w:t>
      </w:r>
      <w:r>
        <w:rPr>
          <w:bCs/>
        </w:rPr>
        <w:t>“</w:t>
      </w:r>
      <w:r w:rsidRPr="00AF7EC2">
        <w:rPr>
          <w:bCs/>
          <w:i/>
        </w:rPr>
        <w:t>del tutto fisiologic</w:t>
      </w:r>
      <w:r w:rsidR="003F3A7D">
        <w:rPr>
          <w:bCs/>
          <w:i/>
        </w:rPr>
        <w:t>o</w:t>
      </w:r>
      <w:r>
        <w:rPr>
          <w:bCs/>
        </w:rPr>
        <w:t>”, stante il suo “</w:t>
      </w:r>
      <w:r w:rsidRPr="00AF7EC2">
        <w:rPr>
          <w:bCs/>
          <w:i/>
        </w:rPr>
        <w:t>ruolo di direzione strategica unitaria nell’ambito dell’assetto strutturale del gruppo</w:t>
      </w:r>
      <w:r>
        <w:rPr>
          <w:bCs/>
        </w:rPr>
        <w:t>”</w:t>
      </w:r>
      <w:r w:rsidR="00844CAC">
        <w:rPr>
          <w:rStyle w:val="Rimandonotaapidipagina"/>
          <w:bCs/>
        </w:rPr>
        <w:footnoteReference w:id="2"/>
      </w:r>
      <w:r>
        <w:rPr>
          <w:bCs/>
        </w:rPr>
        <w:t>.</w:t>
      </w:r>
    </w:p>
    <w:p w:rsidR="00C64BA1" w:rsidRDefault="00C64BA1" w:rsidP="00F219CF">
      <w:pPr>
        <w:spacing w:line="360" w:lineRule="auto"/>
        <w:ind w:right="1134"/>
        <w:jc w:val="both"/>
        <w:rPr>
          <w:bCs/>
        </w:rPr>
      </w:pPr>
    </w:p>
    <w:p w:rsidR="00A35210" w:rsidRPr="00BF6980" w:rsidRDefault="00AF7EC2" w:rsidP="0090641A">
      <w:pPr>
        <w:tabs>
          <w:tab w:val="left" w:pos="5730"/>
        </w:tabs>
        <w:spacing w:line="360" w:lineRule="auto"/>
        <w:ind w:right="1134"/>
        <w:jc w:val="both"/>
        <w:rPr>
          <w:b/>
          <w:bCs/>
        </w:rPr>
      </w:pPr>
      <w:r>
        <w:rPr>
          <w:b/>
          <w:bCs/>
        </w:rPr>
        <w:t>2. L</w:t>
      </w:r>
      <w:r w:rsidR="00B1469A">
        <w:rPr>
          <w:b/>
          <w:bCs/>
        </w:rPr>
        <w:t>a</w:t>
      </w:r>
      <w:r w:rsidR="0090641A">
        <w:rPr>
          <w:b/>
          <w:bCs/>
        </w:rPr>
        <w:t xml:space="preserve"> “concezione realistica” del datore di lavoro (anche) nei</w:t>
      </w:r>
      <w:r w:rsidR="0090641A" w:rsidRPr="00610B3E">
        <w:rPr>
          <w:b/>
          <w:bCs/>
        </w:rPr>
        <w:t xml:space="preserve"> grupp</w:t>
      </w:r>
      <w:r w:rsidR="0090641A">
        <w:rPr>
          <w:b/>
          <w:bCs/>
        </w:rPr>
        <w:t>i di imprese</w:t>
      </w:r>
      <w:r w:rsidR="0090641A">
        <w:rPr>
          <w:b/>
          <w:bCs/>
        </w:rPr>
        <w:tab/>
        <w:t xml:space="preserve"> </w:t>
      </w:r>
    </w:p>
    <w:p w:rsidR="00B867A0" w:rsidRDefault="0090641A" w:rsidP="00B867A0">
      <w:pPr>
        <w:spacing w:line="360" w:lineRule="auto"/>
        <w:ind w:right="1134"/>
        <w:jc w:val="both"/>
        <w:rPr>
          <w:bCs/>
        </w:rPr>
      </w:pPr>
      <w:r>
        <w:rPr>
          <w:bCs/>
        </w:rPr>
        <w:t xml:space="preserve">Nella sua articolata motivazione, </w:t>
      </w:r>
      <w:r w:rsidR="005B02F3">
        <w:rPr>
          <w:bCs/>
        </w:rPr>
        <w:t>il provvedimento in commento</w:t>
      </w:r>
      <w:r>
        <w:rPr>
          <w:bCs/>
        </w:rPr>
        <w:t xml:space="preserve"> non affronta da subito il tema de</w:t>
      </w:r>
      <w:r w:rsidR="00AF7EC2">
        <w:rPr>
          <w:bCs/>
        </w:rPr>
        <w:t xml:space="preserve">l collegamento societario, </w:t>
      </w:r>
      <w:r w:rsidR="00BF6980">
        <w:rPr>
          <w:bCs/>
        </w:rPr>
        <w:t>scegliendo</w:t>
      </w:r>
      <w:r w:rsidR="00797E13">
        <w:rPr>
          <w:bCs/>
        </w:rPr>
        <w:t>,</w:t>
      </w:r>
      <w:r w:rsidR="00AF7EC2">
        <w:rPr>
          <w:bCs/>
        </w:rPr>
        <w:t xml:space="preserve"> in linea con il ragionamento seguito dalla Corte territoriale, </w:t>
      </w:r>
      <w:r w:rsidR="00BF6980">
        <w:rPr>
          <w:bCs/>
        </w:rPr>
        <w:t xml:space="preserve">di prendere i rapporti tra le società del gruppo come </w:t>
      </w:r>
      <w:r w:rsidR="00B867A0">
        <w:rPr>
          <w:bCs/>
        </w:rPr>
        <w:t>“</w:t>
      </w:r>
      <w:r w:rsidR="00B867A0" w:rsidRPr="00AF7EC2">
        <w:rPr>
          <w:bCs/>
          <w:i/>
        </w:rPr>
        <w:t>dato di fatto</w:t>
      </w:r>
      <w:r w:rsidR="00B867A0">
        <w:rPr>
          <w:bCs/>
        </w:rPr>
        <w:t>”</w:t>
      </w:r>
      <w:r w:rsidR="00B867A0">
        <w:rPr>
          <w:rStyle w:val="Rimandonotaapidipagina"/>
          <w:bCs/>
        </w:rPr>
        <w:footnoteReference w:id="3"/>
      </w:r>
      <w:r w:rsidR="00BF6980">
        <w:rPr>
          <w:bCs/>
        </w:rPr>
        <w:t xml:space="preserve">, </w:t>
      </w:r>
      <w:r w:rsidR="001E1813">
        <w:rPr>
          <w:bCs/>
        </w:rPr>
        <w:t>o</w:t>
      </w:r>
      <w:r w:rsidR="00AF7EC2">
        <w:rPr>
          <w:bCs/>
        </w:rPr>
        <w:t>vvero</w:t>
      </w:r>
      <w:r w:rsidR="001E1813">
        <w:rPr>
          <w:bCs/>
        </w:rPr>
        <w:t xml:space="preserve"> </w:t>
      </w:r>
      <w:r w:rsidR="00164F17">
        <w:rPr>
          <w:bCs/>
        </w:rPr>
        <w:t xml:space="preserve">considerando il gruppo </w:t>
      </w:r>
      <w:r w:rsidR="001E1813">
        <w:rPr>
          <w:bCs/>
        </w:rPr>
        <w:t xml:space="preserve">come </w:t>
      </w:r>
      <w:r w:rsidR="00797E13">
        <w:rPr>
          <w:bCs/>
        </w:rPr>
        <w:t>uno “spazio”</w:t>
      </w:r>
      <w:r w:rsidR="00AF7EC2">
        <w:rPr>
          <w:bCs/>
        </w:rPr>
        <w:t xml:space="preserve"> </w:t>
      </w:r>
      <w:r w:rsidR="001E1813">
        <w:rPr>
          <w:bCs/>
        </w:rPr>
        <w:t xml:space="preserve">all’interno del quale </w:t>
      </w:r>
      <w:r w:rsidR="00DC79A1">
        <w:rPr>
          <w:bCs/>
        </w:rPr>
        <w:t>conc</w:t>
      </w:r>
      <w:r w:rsidR="006279B3">
        <w:rPr>
          <w:bCs/>
        </w:rPr>
        <w:t>entrare</w:t>
      </w:r>
      <w:r w:rsidR="00DC79A1">
        <w:rPr>
          <w:bCs/>
        </w:rPr>
        <w:t xml:space="preserve"> </w:t>
      </w:r>
      <w:r w:rsidR="001E1813">
        <w:rPr>
          <w:bCs/>
        </w:rPr>
        <w:t xml:space="preserve">l’attenzione </w:t>
      </w:r>
      <w:r w:rsidR="00AF7EC2">
        <w:rPr>
          <w:bCs/>
        </w:rPr>
        <w:t>sul</w:t>
      </w:r>
      <w:r w:rsidR="006279B3">
        <w:rPr>
          <w:bCs/>
        </w:rPr>
        <w:t>la singola società</w:t>
      </w:r>
      <w:r w:rsidR="00AF7EC2">
        <w:rPr>
          <w:bCs/>
        </w:rPr>
        <w:t xml:space="preserve"> </w:t>
      </w:r>
      <w:r w:rsidR="006279B3">
        <w:rPr>
          <w:bCs/>
        </w:rPr>
        <w:t>che effettivamente utilizzi</w:t>
      </w:r>
      <w:r w:rsidR="00AF7EC2">
        <w:rPr>
          <w:bCs/>
        </w:rPr>
        <w:t xml:space="preserve"> la prestazione dei </w:t>
      </w:r>
      <w:r w:rsidR="006279B3">
        <w:rPr>
          <w:bCs/>
        </w:rPr>
        <w:t xml:space="preserve">lavoratori </w:t>
      </w:r>
      <w:r w:rsidR="00164F17">
        <w:rPr>
          <w:bCs/>
        </w:rPr>
        <w:t>operanti nel suo ambito</w:t>
      </w:r>
      <w:r w:rsidR="006279B3">
        <w:rPr>
          <w:bCs/>
        </w:rPr>
        <w:t>.</w:t>
      </w:r>
    </w:p>
    <w:p w:rsidR="007A3546" w:rsidRDefault="00797E13" w:rsidP="000C3547">
      <w:pPr>
        <w:spacing w:line="360" w:lineRule="auto"/>
        <w:ind w:right="1134"/>
        <w:jc w:val="both"/>
        <w:rPr>
          <w:bCs/>
        </w:rPr>
      </w:pPr>
      <w:r>
        <w:rPr>
          <w:bCs/>
        </w:rPr>
        <w:t>Tale premessa si pone in linea con quanto g</w:t>
      </w:r>
      <w:r w:rsidR="006A1115">
        <w:rPr>
          <w:bCs/>
        </w:rPr>
        <w:t>ià rilevato in altre occasioni dall’estensore della sentenza in commento</w:t>
      </w:r>
      <w:r w:rsidR="006A1115">
        <w:rPr>
          <w:rStyle w:val="Rimandonotaapidipagina"/>
          <w:bCs/>
        </w:rPr>
        <w:footnoteReference w:id="4"/>
      </w:r>
      <w:r w:rsidR="006A1115">
        <w:rPr>
          <w:bCs/>
        </w:rPr>
        <w:t xml:space="preserve">, </w:t>
      </w:r>
      <w:r>
        <w:rPr>
          <w:bCs/>
        </w:rPr>
        <w:t xml:space="preserve">ossia che, </w:t>
      </w:r>
      <w:r w:rsidR="006A1115">
        <w:rPr>
          <w:bCs/>
        </w:rPr>
        <w:t>a</w:t>
      </w:r>
      <w:r w:rsidR="0015757E">
        <w:t xml:space="preserve"> fronte della soluzione “agnostica” adottata dal legislatore con riferimento al gruppo di imprese</w:t>
      </w:r>
      <w:r w:rsidR="0015757E">
        <w:rPr>
          <w:rStyle w:val="Rimandonotaapidipagina"/>
        </w:rPr>
        <w:footnoteReference w:id="5"/>
      </w:r>
      <w:r w:rsidR="0015757E">
        <w:t xml:space="preserve">, </w:t>
      </w:r>
      <w:r w:rsidR="007A3546">
        <w:t>caratterizzata</w:t>
      </w:r>
      <w:r w:rsidR="006A1115">
        <w:t xml:space="preserve"> da un susseguirsi di disposizioni eterogenee</w:t>
      </w:r>
      <w:r w:rsidR="006A121C">
        <w:rPr>
          <w:rStyle w:val="Rimandonotaapidipagina"/>
        </w:rPr>
        <w:footnoteReference w:id="6"/>
      </w:r>
      <w:r w:rsidR="006A1115">
        <w:t xml:space="preserve"> </w:t>
      </w:r>
      <w:r w:rsidR="006279B3">
        <w:t>(</w:t>
      </w:r>
      <w:r w:rsidR="00A971A1">
        <w:t xml:space="preserve">tanto </w:t>
      </w:r>
      <w:r w:rsidR="006A1115">
        <w:t xml:space="preserve">in ambito </w:t>
      </w:r>
      <w:proofErr w:type="spellStart"/>
      <w:r w:rsidR="006A1115">
        <w:t>giuscommercialistico</w:t>
      </w:r>
      <w:proofErr w:type="spellEnd"/>
      <w:r w:rsidR="006A1115">
        <w:rPr>
          <w:rStyle w:val="Rimandonotaapidipagina"/>
        </w:rPr>
        <w:footnoteReference w:id="7"/>
      </w:r>
      <w:r w:rsidR="006A1115">
        <w:t xml:space="preserve">, quanto </w:t>
      </w:r>
      <w:proofErr w:type="spellStart"/>
      <w:r w:rsidR="00A971A1">
        <w:lastRenderedPageBreak/>
        <w:t>gius</w:t>
      </w:r>
      <w:r w:rsidR="006A1115">
        <w:t>lavoristico</w:t>
      </w:r>
      <w:proofErr w:type="spellEnd"/>
      <w:r w:rsidR="006A1115">
        <w:rPr>
          <w:rStyle w:val="Rimandonotaapidipagina"/>
        </w:rPr>
        <w:footnoteReference w:id="8"/>
      </w:r>
      <w:r w:rsidR="006279B3">
        <w:t>)</w:t>
      </w:r>
      <w:r w:rsidR="006A1115">
        <w:t>,</w:t>
      </w:r>
      <w:r w:rsidR="00B662EA">
        <w:t xml:space="preserve"> </w:t>
      </w:r>
      <w:r w:rsidR="0090641A">
        <w:rPr>
          <w:bCs/>
        </w:rPr>
        <w:t xml:space="preserve">il gruppo </w:t>
      </w:r>
      <w:r w:rsidR="009354E4">
        <w:rPr>
          <w:bCs/>
        </w:rPr>
        <w:t xml:space="preserve">di imprese </w:t>
      </w:r>
      <w:r w:rsidR="0010696E">
        <w:rPr>
          <w:bCs/>
        </w:rPr>
        <w:t xml:space="preserve">si presenta </w:t>
      </w:r>
      <w:r w:rsidR="00137606">
        <w:rPr>
          <w:bCs/>
        </w:rPr>
        <w:t xml:space="preserve">come un </w:t>
      </w:r>
      <w:r w:rsidR="007A3546">
        <w:rPr>
          <w:bCs/>
        </w:rPr>
        <w:t>fenomeno</w:t>
      </w:r>
      <w:r w:rsidR="000A6265">
        <w:rPr>
          <w:bCs/>
        </w:rPr>
        <w:t xml:space="preserve"> </w:t>
      </w:r>
      <w:r w:rsidR="00B31FDE">
        <w:rPr>
          <w:bCs/>
        </w:rPr>
        <w:t>caratterizzato</w:t>
      </w:r>
      <w:r w:rsidR="000A6265">
        <w:rPr>
          <w:bCs/>
        </w:rPr>
        <w:t>, non solo in ambito nazionale</w:t>
      </w:r>
      <w:r w:rsidR="000A6265">
        <w:rPr>
          <w:rStyle w:val="Rimandonotaapidipagina"/>
          <w:bCs/>
        </w:rPr>
        <w:footnoteReference w:id="9"/>
      </w:r>
      <w:r w:rsidR="000A6265">
        <w:rPr>
          <w:bCs/>
        </w:rPr>
        <w:t xml:space="preserve">, </w:t>
      </w:r>
      <w:r w:rsidR="00B31FDE">
        <w:rPr>
          <w:bCs/>
        </w:rPr>
        <w:t xml:space="preserve">dalla presenza di una sostanziale </w:t>
      </w:r>
      <w:r w:rsidR="00B31FDE" w:rsidRPr="004965F5">
        <w:rPr>
          <w:bCs/>
        </w:rPr>
        <w:t>unità economica combinat</w:t>
      </w:r>
      <w:r w:rsidR="00B31FDE">
        <w:rPr>
          <w:bCs/>
        </w:rPr>
        <w:t xml:space="preserve">a </w:t>
      </w:r>
      <w:r w:rsidR="00EB4450">
        <w:rPr>
          <w:bCs/>
        </w:rPr>
        <w:lastRenderedPageBreak/>
        <w:t xml:space="preserve">con </w:t>
      </w:r>
      <w:r w:rsidR="002C221A">
        <w:rPr>
          <w:bCs/>
        </w:rPr>
        <w:t xml:space="preserve">una </w:t>
      </w:r>
      <w:r w:rsidR="00B31FDE" w:rsidRPr="004965F5">
        <w:rPr>
          <w:bCs/>
        </w:rPr>
        <w:t>pluralità giuridica</w:t>
      </w:r>
      <w:r w:rsidR="00B31FDE">
        <w:rPr>
          <w:bCs/>
        </w:rPr>
        <w:t xml:space="preserve"> dei soggetti </w:t>
      </w:r>
      <w:r w:rsidR="002C221A">
        <w:rPr>
          <w:bCs/>
        </w:rPr>
        <w:t>al suo interno</w:t>
      </w:r>
      <w:r w:rsidR="00B31FDE">
        <w:rPr>
          <w:rStyle w:val="Rimandonotaapidipagina"/>
          <w:bCs/>
        </w:rPr>
        <w:footnoteReference w:id="10"/>
      </w:r>
      <w:r w:rsidR="001B1575">
        <w:rPr>
          <w:bCs/>
        </w:rPr>
        <w:t>;</w:t>
      </w:r>
      <w:r w:rsidR="00CF58F2">
        <w:rPr>
          <w:bCs/>
        </w:rPr>
        <w:t xml:space="preserve"> </w:t>
      </w:r>
      <w:r w:rsidR="00EB4450">
        <w:rPr>
          <w:bCs/>
        </w:rPr>
        <w:t xml:space="preserve">sicché, </w:t>
      </w:r>
      <w:r w:rsidR="00137606">
        <w:rPr>
          <w:bCs/>
        </w:rPr>
        <w:t xml:space="preserve">in </w:t>
      </w:r>
      <w:r w:rsidR="00CF58F2">
        <w:rPr>
          <w:bCs/>
        </w:rPr>
        <w:t>mancanza di indicazioni di segno contrario da parte del Legislatore, la conclusione è che</w:t>
      </w:r>
      <w:r w:rsidR="006C5BBC">
        <w:rPr>
          <w:bCs/>
        </w:rPr>
        <w:t xml:space="preserve"> </w:t>
      </w:r>
      <w:r w:rsidR="002C221A">
        <w:rPr>
          <w:bCs/>
        </w:rPr>
        <w:t>tale realtà</w:t>
      </w:r>
      <w:r w:rsidR="00B31FDE">
        <w:rPr>
          <w:bCs/>
        </w:rPr>
        <w:t xml:space="preserve"> non </w:t>
      </w:r>
      <w:r w:rsidR="002C221A">
        <w:rPr>
          <w:bCs/>
        </w:rPr>
        <w:t>cos</w:t>
      </w:r>
      <w:r w:rsidR="003E0172">
        <w:rPr>
          <w:bCs/>
        </w:rPr>
        <w:t>tituisca</w:t>
      </w:r>
      <w:r w:rsidR="002C221A">
        <w:rPr>
          <w:bCs/>
        </w:rPr>
        <w:t xml:space="preserve"> in sé </w:t>
      </w:r>
      <w:r w:rsidR="0090641A">
        <w:rPr>
          <w:bCs/>
        </w:rPr>
        <w:t>nulla di diverso da un lecito “</w:t>
      </w:r>
      <w:r w:rsidR="0090641A">
        <w:rPr>
          <w:bCs/>
          <w:i/>
        </w:rPr>
        <w:t xml:space="preserve">strumento </w:t>
      </w:r>
      <w:r w:rsidR="0090641A" w:rsidRPr="00800CF2">
        <w:rPr>
          <w:bCs/>
          <w:i/>
        </w:rPr>
        <w:t>di organizzazione dell’attività imprenditoriale</w:t>
      </w:r>
      <w:r w:rsidR="0090641A">
        <w:rPr>
          <w:bCs/>
        </w:rPr>
        <w:t>”</w:t>
      </w:r>
      <w:r w:rsidR="007D4B94">
        <w:rPr>
          <w:rStyle w:val="Rimandonotaapidipagina"/>
          <w:bCs/>
        </w:rPr>
        <w:footnoteReference w:id="11"/>
      </w:r>
      <w:r w:rsidR="00B31FDE">
        <w:rPr>
          <w:bCs/>
        </w:rPr>
        <w:t>.</w:t>
      </w:r>
      <w:r w:rsidR="004965F5">
        <w:rPr>
          <w:bCs/>
        </w:rPr>
        <w:t xml:space="preserve"> </w:t>
      </w:r>
    </w:p>
    <w:p w:rsidR="001D78E0" w:rsidRDefault="00AA2A71" w:rsidP="000C3547">
      <w:pPr>
        <w:spacing w:line="360" w:lineRule="auto"/>
        <w:ind w:right="1134"/>
        <w:jc w:val="both"/>
        <w:rPr>
          <w:bCs/>
        </w:rPr>
      </w:pPr>
      <w:r>
        <w:rPr>
          <w:bCs/>
        </w:rPr>
        <w:t>Di conseguenza</w:t>
      </w:r>
      <w:r w:rsidR="007A3546">
        <w:rPr>
          <w:bCs/>
        </w:rPr>
        <w:t>,</w:t>
      </w:r>
      <w:r w:rsidR="00B662EA">
        <w:rPr>
          <w:bCs/>
        </w:rPr>
        <w:t xml:space="preserve"> a fronte delle rivendicazioni avanzate da un lavoratore nei confronti di una società </w:t>
      </w:r>
      <w:r w:rsidR="00EB4450">
        <w:rPr>
          <w:bCs/>
        </w:rPr>
        <w:t>del</w:t>
      </w:r>
      <w:r>
        <w:rPr>
          <w:bCs/>
        </w:rPr>
        <w:t xml:space="preserve"> gruppo </w:t>
      </w:r>
      <w:r w:rsidR="00EB4450">
        <w:rPr>
          <w:bCs/>
        </w:rPr>
        <w:t>diversa dal s</w:t>
      </w:r>
      <w:r>
        <w:rPr>
          <w:bCs/>
        </w:rPr>
        <w:t>uo datore di lavoro formale</w:t>
      </w:r>
      <w:r w:rsidR="00CF58F2">
        <w:rPr>
          <w:bCs/>
        </w:rPr>
        <w:t>, l’indagine</w:t>
      </w:r>
      <w:r w:rsidR="00B662EA">
        <w:rPr>
          <w:bCs/>
        </w:rPr>
        <w:t xml:space="preserve"> volta a</w:t>
      </w:r>
      <w:r>
        <w:rPr>
          <w:bCs/>
        </w:rPr>
        <w:t>d individuare</w:t>
      </w:r>
      <w:r w:rsidR="00B662EA">
        <w:rPr>
          <w:bCs/>
        </w:rPr>
        <w:t xml:space="preserve"> l’effet</w:t>
      </w:r>
      <w:r w:rsidR="002C221A">
        <w:rPr>
          <w:bCs/>
        </w:rPr>
        <w:t>t</w:t>
      </w:r>
      <w:r w:rsidR="00FC13AD">
        <w:rPr>
          <w:bCs/>
        </w:rPr>
        <w:t>ivo datore di lavoro</w:t>
      </w:r>
      <w:r w:rsidR="00CF58F2">
        <w:rPr>
          <w:bCs/>
        </w:rPr>
        <w:t xml:space="preserve"> non può</w:t>
      </w:r>
      <w:r w:rsidR="00B662EA">
        <w:rPr>
          <w:bCs/>
        </w:rPr>
        <w:t xml:space="preserve"> essere condotta</w:t>
      </w:r>
      <w:r w:rsidR="002C221A">
        <w:rPr>
          <w:bCs/>
        </w:rPr>
        <w:t>, come parrebbero</w:t>
      </w:r>
      <w:r w:rsidR="007A3546">
        <w:rPr>
          <w:bCs/>
        </w:rPr>
        <w:t xml:space="preserve"> suggerire le censure mosse da FIAT Auto alla sentenza di secondo grado, </w:t>
      </w:r>
      <w:r w:rsidR="000C3547">
        <w:rPr>
          <w:bCs/>
        </w:rPr>
        <w:t>“</w:t>
      </w:r>
      <w:r w:rsidR="000C3547" w:rsidRPr="00D57195">
        <w:rPr>
          <w:bCs/>
          <w:i/>
        </w:rPr>
        <w:t>dall’alto</w:t>
      </w:r>
      <w:r w:rsidR="000C3547">
        <w:rPr>
          <w:bCs/>
        </w:rPr>
        <w:t xml:space="preserve">”, </w:t>
      </w:r>
      <w:r w:rsidR="00B662EA">
        <w:rPr>
          <w:bCs/>
        </w:rPr>
        <w:t>ossia sulla base dei rapporti tra le società del gruppo</w:t>
      </w:r>
      <w:r w:rsidR="007A3546">
        <w:rPr>
          <w:bCs/>
        </w:rPr>
        <w:t xml:space="preserve">, </w:t>
      </w:r>
      <w:r w:rsidR="000C3547">
        <w:rPr>
          <w:bCs/>
        </w:rPr>
        <w:t>bensì “</w:t>
      </w:r>
      <w:r w:rsidR="000C3547" w:rsidRPr="00D57195">
        <w:rPr>
          <w:bCs/>
          <w:i/>
        </w:rPr>
        <w:t>dal basso</w:t>
      </w:r>
      <w:r w:rsidR="000C3547">
        <w:rPr>
          <w:bCs/>
        </w:rPr>
        <w:t>”</w:t>
      </w:r>
      <w:r w:rsidR="000C3547">
        <w:rPr>
          <w:rStyle w:val="Rimandonotaapidipagina"/>
          <w:bCs/>
        </w:rPr>
        <w:footnoteReference w:id="12"/>
      </w:r>
      <w:r w:rsidR="000C3547">
        <w:rPr>
          <w:bCs/>
        </w:rPr>
        <w:t>, andando cioè ad individuare a favore di chi viene</w:t>
      </w:r>
      <w:r w:rsidR="00B662EA">
        <w:rPr>
          <w:bCs/>
        </w:rPr>
        <w:t xml:space="preserve"> </w:t>
      </w:r>
      <w:r w:rsidR="00FC13AD">
        <w:rPr>
          <w:bCs/>
        </w:rPr>
        <w:t xml:space="preserve">concretamente </w:t>
      </w:r>
      <w:r w:rsidR="00B662EA">
        <w:rPr>
          <w:bCs/>
        </w:rPr>
        <w:t xml:space="preserve">resa la prestazione </w:t>
      </w:r>
      <w:r w:rsidR="000C3547">
        <w:rPr>
          <w:bCs/>
        </w:rPr>
        <w:t>del lavoratore</w:t>
      </w:r>
      <w:r w:rsidR="00FF6927">
        <w:rPr>
          <w:bCs/>
        </w:rPr>
        <w:t>; i</w:t>
      </w:r>
      <w:r w:rsidR="00B662EA">
        <w:rPr>
          <w:bCs/>
        </w:rPr>
        <w:t xml:space="preserve">n altre parole, </w:t>
      </w:r>
      <w:r w:rsidR="004530CF">
        <w:rPr>
          <w:bCs/>
        </w:rPr>
        <w:t xml:space="preserve">la </w:t>
      </w:r>
      <w:r w:rsidR="00B662EA">
        <w:rPr>
          <w:bCs/>
        </w:rPr>
        <w:t>“</w:t>
      </w:r>
      <w:r w:rsidR="00B662EA" w:rsidRPr="00FF6927">
        <w:rPr>
          <w:bCs/>
          <w:i/>
        </w:rPr>
        <w:t xml:space="preserve">ricostruzione della fattispecie </w:t>
      </w:r>
      <w:proofErr w:type="spellStart"/>
      <w:r w:rsidR="00B662EA" w:rsidRPr="00FF6927">
        <w:rPr>
          <w:bCs/>
          <w:i/>
        </w:rPr>
        <w:t>interpositoria</w:t>
      </w:r>
      <w:proofErr w:type="spellEnd"/>
      <w:r w:rsidR="00B662EA">
        <w:rPr>
          <w:bCs/>
        </w:rPr>
        <w:t xml:space="preserve">” </w:t>
      </w:r>
      <w:r w:rsidR="00EB5019">
        <w:rPr>
          <w:bCs/>
        </w:rPr>
        <w:t>si d</w:t>
      </w:r>
      <w:r w:rsidR="00CF58F2">
        <w:rPr>
          <w:bCs/>
        </w:rPr>
        <w:t>eve</w:t>
      </w:r>
      <w:r w:rsidR="001D78E0">
        <w:rPr>
          <w:bCs/>
        </w:rPr>
        <w:t xml:space="preserve"> basare </w:t>
      </w:r>
      <w:r w:rsidR="00B662EA">
        <w:rPr>
          <w:bCs/>
        </w:rPr>
        <w:t>sul</w:t>
      </w:r>
      <w:r w:rsidR="002C7D94">
        <w:rPr>
          <w:bCs/>
        </w:rPr>
        <w:t xml:space="preserve"> concreto eserci</w:t>
      </w:r>
      <w:r w:rsidR="00B662EA">
        <w:rPr>
          <w:bCs/>
        </w:rPr>
        <w:t>zio de</w:t>
      </w:r>
      <w:r w:rsidR="002C7D94">
        <w:rPr>
          <w:bCs/>
        </w:rPr>
        <w:t>i pot</w:t>
      </w:r>
      <w:r w:rsidR="00B662EA">
        <w:rPr>
          <w:bCs/>
        </w:rPr>
        <w:t>eri propri del datore di lavoro e non sull</w:t>
      </w:r>
      <w:r w:rsidR="001D78E0">
        <w:rPr>
          <w:bCs/>
        </w:rPr>
        <w:t xml:space="preserve">a base dei ruoli e del </w:t>
      </w:r>
      <w:r w:rsidR="00337B89">
        <w:rPr>
          <w:bCs/>
        </w:rPr>
        <w:t xml:space="preserve">– più o meno intenso – </w:t>
      </w:r>
      <w:r w:rsidR="001D78E0">
        <w:rPr>
          <w:bCs/>
        </w:rPr>
        <w:t>collegamento tra le società del gruppo.</w:t>
      </w:r>
    </w:p>
    <w:p w:rsidR="00701A5E" w:rsidRDefault="006C32BD" w:rsidP="006C32BD">
      <w:pPr>
        <w:spacing w:line="360" w:lineRule="auto"/>
        <w:ind w:right="1134"/>
        <w:jc w:val="both"/>
        <w:rPr>
          <w:bCs/>
        </w:rPr>
      </w:pPr>
      <w:r>
        <w:rPr>
          <w:bCs/>
        </w:rPr>
        <w:t>Proprio partendo,</w:t>
      </w:r>
      <w:r w:rsidR="007C6B61">
        <w:rPr>
          <w:bCs/>
        </w:rPr>
        <w:t xml:space="preserve"> come detto, dal basso, </w:t>
      </w:r>
      <w:smartTag w:uri="urn:schemas-microsoft-com:office:smarttags" w:element="PersonName">
        <w:smartTagPr>
          <w:attr w:name="ProductID" w:val="La Cassazione"/>
        </w:smartTagPr>
        <w:r w:rsidR="007C6B61">
          <w:rPr>
            <w:bCs/>
          </w:rPr>
          <w:t>la Cassazione</w:t>
        </w:r>
      </w:smartTag>
      <w:r w:rsidR="007C6B61">
        <w:rPr>
          <w:bCs/>
        </w:rPr>
        <w:t xml:space="preserve"> </w:t>
      </w:r>
      <w:r w:rsidR="00337B89">
        <w:rPr>
          <w:bCs/>
        </w:rPr>
        <w:t xml:space="preserve">basa </w:t>
      </w:r>
      <w:r>
        <w:rPr>
          <w:bCs/>
        </w:rPr>
        <w:t>correttamente il proprio ragionamento su un dato fondamentale, ossia sul principio, cristallizzato dalla nota senten</w:t>
      </w:r>
      <w:r w:rsidR="00404D68">
        <w:rPr>
          <w:bCs/>
        </w:rPr>
        <w:t>za delle Sezioni Unite n. 22910/</w:t>
      </w:r>
      <w:r>
        <w:rPr>
          <w:bCs/>
        </w:rPr>
        <w:t>2006</w:t>
      </w:r>
      <w:r>
        <w:rPr>
          <w:rStyle w:val="Rimandonotaapidipagina"/>
          <w:bCs/>
        </w:rPr>
        <w:footnoteReference w:id="13"/>
      </w:r>
      <w:r>
        <w:rPr>
          <w:bCs/>
        </w:rPr>
        <w:t xml:space="preserve">, </w:t>
      </w:r>
      <w:r w:rsidR="00A46FEE">
        <w:rPr>
          <w:bCs/>
        </w:rPr>
        <w:t xml:space="preserve">per </w:t>
      </w:r>
      <w:r>
        <w:rPr>
          <w:bCs/>
        </w:rPr>
        <w:t xml:space="preserve">cui il vero datore di lavoro </w:t>
      </w:r>
      <w:r w:rsidR="00404D68">
        <w:rPr>
          <w:bCs/>
        </w:rPr>
        <w:t>deve essere individuato nel soggetto</w:t>
      </w:r>
      <w:r>
        <w:rPr>
          <w:bCs/>
        </w:rPr>
        <w:t xml:space="preserve"> che effettivamente utilizza le prestazioni lavorative, </w:t>
      </w:r>
      <w:r w:rsidR="00404D68">
        <w:rPr>
          <w:bCs/>
        </w:rPr>
        <w:t>“</w:t>
      </w:r>
      <w:r w:rsidRPr="00CC52E0">
        <w:rPr>
          <w:bCs/>
          <w:i/>
        </w:rPr>
        <w:t xml:space="preserve">anche se i lavoratori siano stati formalmente assunti da un altro (datore di lavoro apparente) e prescindendosi da ogni esame (che tra l’altro risulterebbe </w:t>
      </w:r>
      <w:r w:rsidR="00B1469A" w:rsidRPr="00CC52E0">
        <w:rPr>
          <w:bCs/>
          <w:i/>
        </w:rPr>
        <w:t>particolarmente difficoltoso)</w:t>
      </w:r>
      <w:r w:rsidR="00404D68" w:rsidRPr="00CC52E0">
        <w:rPr>
          <w:bCs/>
          <w:i/>
        </w:rPr>
        <w:t xml:space="preserve"> sull’esistenza di accordi fraudolenti (fra interponente ed interposto)</w:t>
      </w:r>
      <w:r w:rsidR="00701A5E">
        <w:rPr>
          <w:bCs/>
        </w:rPr>
        <w:t>”.</w:t>
      </w:r>
    </w:p>
    <w:p w:rsidR="006C32BD" w:rsidRDefault="00701A5E" w:rsidP="006C32BD">
      <w:pPr>
        <w:spacing w:line="360" w:lineRule="auto"/>
        <w:ind w:right="1134"/>
        <w:jc w:val="both"/>
        <w:rPr>
          <w:bCs/>
        </w:rPr>
      </w:pPr>
      <w:r>
        <w:rPr>
          <w:bCs/>
        </w:rPr>
        <w:t>T</w:t>
      </w:r>
      <w:r w:rsidR="00B860A6">
        <w:rPr>
          <w:bCs/>
        </w:rPr>
        <w:t>ale regola</w:t>
      </w:r>
      <w:r w:rsidR="00A46FEE">
        <w:rPr>
          <w:bCs/>
        </w:rPr>
        <w:t>,</w:t>
      </w:r>
      <w:r w:rsidR="00B860A6">
        <w:rPr>
          <w:bCs/>
        </w:rPr>
        <w:t xml:space="preserve"> </w:t>
      </w:r>
      <w:r w:rsidR="00CC52E0">
        <w:rPr>
          <w:bCs/>
        </w:rPr>
        <w:t>propria di u</w:t>
      </w:r>
      <w:r w:rsidR="006C32BD">
        <w:rPr>
          <w:bCs/>
        </w:rPr>
        <w:t>na “</w:t>
      </w:r>
      <w:r w:rsidR="006C32BD" w:rsidRPr="00736460">
        <w:rPr>
          <w:bCs/>
          <w:i/>
        </w:rPr>
        <w:t>concezione realistica</w:t>
      </w:r>
      <w:r w:rsidR="006C32BD">
        <w:rPr>
          <w:bCs/>
        </w:rPr>
        <w:t>”</w:t>
      </w:r>
      <w:r w:rsidR="006C32BD">
        <w:rPr>
          <w:rStyle w:val="Rimandonotaapidipagina"/>
          <w:bCs/>
        </w:rPr>
        <w:footnoteReference w:id="14"/>
      </w:r>
      <w:r w:rsidR="00CC52E0">
        <w:rPr>
          <w:bCs/>
        </w:rPr>
        <w:t xml:space="preserve"> del datore di lavoro</w:t>
      </w:r>
      <w:r w:rsidR="006C32BD">
        <w:rPr>
          <w:bCs/>
        </w:rPr>
        <w:t>, non avrebbe “</w:t>
      </w:r>
      <w:r w:rsidR="006C32BD" w:rsidRPr="007C6B61">
        <w:rPr>
          <w:bCs/>
          <w:i/>
        </w:rPr>
        <w:t xml:space="preserve">perso consistenza neppure a seguito dell’entrata in vigore del </w:t>
      </w:r>
      <w:proofErr w:type="spellStart"/>
      <w:r w:rsidR="006C32BD" w:rsidRPr="007C6B61">
        <w:rPr>
          <w:bCs/>
          <w:i/>
        </w:rPr>
        <w:t>D.Lgs.</w:t>
      </w:r>
      <w:proofErr w:type="spellEnd"/>
      <w:r w:rsidR="006C32BD" w:rsidRPr="007C6B61">
        <w:rPr>
          <w:bCs/>
          <w:i/>
        </w:rPr>
        <w:t xml:space="preserve"> 276/2003</w:t>
      </w:r>
      <w:r w:rsidR="00CC52E0">
        <w:rPr>
          <w:bCs/>
        </w:rPr>
        <w:t>”</w:t>
      </w:r>
      <w:r w:rsidR="00B860A6">
        <w:rPr>
          <w:bCs/>
        </w:rPr>
        <w:t>,</w:t>
      </w:r>
      <w:r w:rsidR="006C32BD">
        <w:rPr>
          <w:bCs/>
        </w:rPr>
        <w:t xml:space="preserve"> che, </w:t>
      </w:r>
      <w:r w:rsidR="00CC52E0">
        <w:rPr>
          <w:bCs/>
        </w:rPr>
        <w:t xml:space="preserve">nell’introdurre </w:t>
      </w:r>
      <w:r w:rsidR="006C32BD">
        <w:rPr>
          <w:bCs/>
        </w:rPr>
        <w:t>nuove possibili forme di dissociazione tra datore di lavoro ed utilizzato</w:t>
      </w:r>
      <w:r w:rsidR="00CC52E0">
        <w:rPr>
          <w:bCs/>
        </w:rPr>
        <w:t>re della prestazione lavorativa</w:t>
      </w:r>
      <w:r w:rsidR="006C32BD">
        <w:rPr>
          <w:bCs/>
        </w:rPr>
        <w:t xml:space="preserve">, </w:t>
      </w:r>
      <w:r w:rsidR="00B860A6">
        <w:rPr>
          <w:bCs/>
        </w:rPr>
        <w:t xml:space="preserve">aveva inizialmente </w:t>
      </w:r>
      <w:r w:rsidR="006C32BD">
        <w:rPr>
          <w:bCs/>
        </w:rPr>
        <w:t>posto all’attenzione degli interpreti il problema della permanenza o meno del principio generale del divieto di intermediazione di manodopera, cardine dell’abrogata L. 1369/1960</w:t>
      </w:r>
      <w:r w:rsidR="006C32BD">
        <w:rPr>
          <w:rStyle w:val="Rimandonotaapidipagina"/>
          <w:bCs/>
        </w:rPr>
        <w:footnoteReference w:id="15"/>
      </w:r>
      <w:r w:rsidR="00A46FEE">
        <w:rPr>
          <w:bCs/>
        </w:rPr>
        <w:t>; i</w:t>
      </w:r>
      <w:r w:rsidR="00B860A6">
        <w:rPr>
          <w:bCs/>
        </w:rPr>
        <w:t>nfatti, p</w:t>
      </w:r>
      <w:r w:rsidR="006C32BD">
        <w:rPr>
          <w:bCs/>
        </w:rPr>
        <w:t>ur riconoscendo “</w:t>
      </w:r>
      <w:r w:rsidR="006C32BD" w:rsidRPr="00D97D98">
        <w:rPr>
          <w:bCs/>
          <w:i/>
        </w:rPr>
        <w:t>con la somministrazione di lavoro e, in certa misura, con il distacco</w:t>
      </w:r>
      <w:r w:rsidR="008751AC">
        <w:rPr>
          <w:bCs/>
        </w:rPr>
        <w:t>”, la possibilità di “</w:t>
      </w:r>
      <w:r w:rsidR="006C32BD" w:rsidRPr="00D97D98">
        <w:rPr>
          <w:bCs/>
          <w:i/>
        </w:rPr>
        <w:t>una dissociazione</w:t>
      </w:r>
      <w:r w:rsidR="006C32BD">
        <w:rPr>
          <w:rStyle w:val="Rimandonotaapidipagina"/>
          <w:bCs/>
        </w:rPr>
        <w:footnoteReference w:id="16"/>
      </w:r>
      <w:r w:rsidR="006C32BD" w:rsidRPr="00D97D98">
        <w:rPr>
          <w:bCs/>
          <w:i/>
        </w:rPr>
        <w:t xml:space="preserve"> tra titolare ed utilizzatore della prestazione di lavoro</w:t>
      </w:r>
      <w:r w:rsidR="006C32BD">
        <w:rPr>
          <w:bCs/>
        </w:rPr>
        <w:t xml:space="preserve">”, </w:t>
      </w:r>
      <w:r w:rsidR="00B860A6">
        <w:rPr>
          <w:bCs/>
        </w:rPr>
        <w:t xml:space="preserve">il </w:t>
      </w:r>
      <w:proofErr w:type="spellStart"/>
      <w:r w:rsidR="00B860A6">
        <w:rPr>
          <w:bCs/>
        </w:rPr>
        <w:t>D.Lgs.</w:t>
      </w:r>
      <w:proofErr w:type="spellEnd"/>
      <w:r w:rsidR="00B860A6">
        <w:rPr>
          <w:bCs/>
        </w:rPr>
        <w:t xml:space="preserve"> </w:t>
      </w:r>
      <w:r w:rsidR="00882D91">
        <w:rPr>
          <w:bCs/>
        </w:rPr>
        <w:t>2</w:t>
      </w:r>
      <w:r w:rsidR="00B860A6">
        <w:rPr>
          <w:bCs/>
        </w:rPr>
        <w:t xml:space="preserve">76/2003 avrebbe comunque configurato </w:t>
      </w:r>
      <w:r w:rsidR="008751AC">
        <w:rPr>
          <w:bCs/>
        </w:rPr>
        <w:t xml:space="preserve">tali ipotesi </w:t>
      </w:r>
      <w:r w:rsidR="00B860A6">
        <w:rPr>
          <w:bCs/>
        </w:rPr>
        <w:t>come</w:t>
      </w:r>
      <w:r w:rsidR="008751AC">
        <w:rPr>
          <w:bCs/>
        </w:rPr>
        <w:t xml:space="preserve"> </w:t>
      </w:r>
      <w:r w:rsidR="006C32BD">
        <w:rPr>
          <w:bCs/>
        </w:rPr>
        <w:t>“</w:t>
      </w:r>
      <w:r w:rsidR="006C32BD">
        <w:rPr>
          <w:bCs/>
          <w:i/>
        </w:rPr>
        <w:t>eccezionali</w:t>
      </w:r>
      <w:r w:rsidR="006C32BD" w:rsidRPr="00D97D98">
        <w:rPr>
          <w:bCs/>
          <w:i/>
        </w:rPr>
        <w:t>, non suscettibili né di applicazione analogica, né di interpretazione estensiva</w:t>
      </w:r>
      <w:r w:rsidR="008751AC">
        <w:rPr>
          <w:bCs/>
        </w:rPr>
        <w:t>”, sempre sulla scorta del principio di coincidenza tra datore di lavoro ed utilizzatore della prestazione, in quanto “</w:t>
      </w:r>
      <w:r w:rsidR="008751AC" w:rsidRPr="007C6B61">
        <w:rPr>
          <w:bCs/>
          <w:i/>
        </w:rPr>
        <w:t xml:space="preserve">regola generale </w:t>
      </w:r>
      <w:proofErr w:type="spellStart"/>
      <w:r w:rsidR="008751AC" w:rsidRPr="007C6B61">
        <w:rPr>
          <w:bCs/>
          <w:i/>
        </w:rPr>
        <w:t>giuslavoristica</w:t>
      </w:r>
      <w:proofErr w:type="spellEnd"/>
      <w:r w:rsidR="008751AC">
        <w:rPr>
          <w:bCs/>
        </w:rPr>
        <w:t>”.</w:t>
      </w:r>
    </w:p>
    <w:p w:rsidR="00D2246F" w:rsidRDefault="00CD7941" w:rsidP="000C3547">
      <w:pPr>
        <w:spacing w:line="360" w:lineRule="auto"/>
        <w:ind w:right="1134"/>
        <w:jc w:val="both"/>
        <w:rPr>
          <w:bCs/>
        </w:rPr>
      </w:pPr>
      <w:r>
        <w:rPr>
          <w:bCs/>
        </w:rPr>
        <w:t xml:space="preserve">Applicando tali principi al caso sottopostole, </w:t>
      </w:r>
      <w:smartTag w:uri="urn:schemas-microsoft-com:office:smarttags" w:element="PersonName">
        <w:smartTagPr>
          <w:attr w:name="ProductID" w:val="La Cassazione"/>
        </w:smartTagPr>
        <w:r>
          <w:rPr>
            <w:bCs/>
          </w:rPr>
          <w:t>l</w:t>
        </w:r>
        <w:r w:rsidR="007365B1">
          <w:rPr>
            <w:bCs/>
          </w:rPr>
          <w:t>a Cassazione</w:t>
        </w:r>
      </w:smartTag>
      <w:r w:rsidR="007365B1">
        <w:rPr>
          <w:bCs/>
        </w:rPr>
        <w:t xml:space="preserve"> </w:t>
      </w:r>
      <w:r w:rsidR="001A218B">
        <w:rPr>
          <w:bCs/>
        </w:rPr>
        <w:t>conferma la validità di quanto statuito dalla decisione di appello, nella parte in cui, accertando</w:t>
      </w:r>
      <w:r w:rsidR="007365B1">
        <w:rPr>
          <w:bCs/>
        </w:rPr>
        <w:t xml:space="preserve"> che, nel periodo di causa, la società capogruppo aveva “</w:t>
      </w:r>
      <w:r w:rsidR="007365B1" w:rsidRPr="00EC7226">
        <w:rPr>
          <w:bCs/>
          <w:i/>
        </w:rPr>
        <w:t>in concreto gestito l’attività del lavoratore, sia sotto l’aspetto organizzativo, che gerarchico ed economico, ed aveva usufruito delle relative prestazioni</w:t>
      </w:r>
      <w:r w:rsidR="001A218B">
        <w:rPr>
          <w:bCs/>
        </w:rPr>
        <w:t xml:space="preserve">”, la stessa ne aveva così assunto </w:t>
      </w:r>
      <w:r w:rsidR="00D2246F">
        <w:rPr>
          <w:bCs/>
        </w:rPr>
        <w:t xml:space="preserve">la veste di </w:t>
      </w:r>
      <w:r w:rsidR="007365B1">
        <w:rPr>
          <w:bCs/>
        </w:rPr>
        <w:t>datore di lavoro</w:t>
      </w:r>
      <w:r w:rsidR="00D2246F">
        <w:rPr>
          <w:bCs/>
        </w:rPr>
        <w:t xml:space="preserve"> reale</w:t>
      </w:r>
      <w:r w:rsidR="007365B1">
        <w:rPr>
          <w:bCs/>
        </w:rPr>
        <w:t xml:space="preserve">, in luogo della società che lo </w:t>
      </w:r>
      <w:r w:rsidR="00D2246F">
        <w:rPr>
          <w:bCs/>
        </w:rPr>
        <w:t xml:space="preserve">aveva </w:t>
      </w:r>
      <w:r w:rsidR="00226C02">
        <w:rPr>
          <w:bCs/>
        </w:rPr>
        <w:t xml:space="preserve">formalmente </w:t>
      </w:r>
      <w:r w:rsidR="007365B1">
        <w:rPr>
          <w:bCs/>
        </w:rPr>
        <w:t>assunto</w:t>
      </w:r>
      <w:r w:rsidR="00D2246F">
        <w:rPr>
          <w:bCs/>
        </w:rPr>
        <w:t>.</w:t>
      </w:r>
    </w:p>
    <w:p w:rsidR="00A901D0" w:rsidRDefault="00D25784" w:rsidP="00C92264">
      <w:pPr>
        <w:spacing w:line="360" w:lineRule="auto"/>
        <w:ind w:right="1134"/>
        <w:jc w:val="both"/>
        <w:rPr>
          <w:bCs/>
        </w:rPr>
      </w:pPr>
      <w:r>
        <w:rPr>
          <w:bCs/>
        </w:rPr>
        <w:t xml:space="preserve">Per di più, </w:t>
      </w:r>
      <w:r w:rsidR="001B5191">
        <w:rPr>
          <w:bCs/>
        </w:rPr>
        <w:t>un</w:t>
      </w:r>
      <w:r w:rsidR="003B239B">
        <w:rPr>
          <w:bCs/>
        </w:rPr>
        <w:t xml:space="preserve"> analogo</w:t>
      </w:r>
      <w:r w:rsidR="00186EFD">
        <w:rPr>
          <w:bCs/>
        </w:rPr>
        <w:t xml:space="preserve"> </w:t>
      </w:r>
      <w:r w:rsidR="001B5191">
        <w:rPr>
          <w:bCs/>
        </w:rPr>
        <w:t xml:space="preserve">caso di divergenza tra </w:t>
      </w:r>
      <w:r w:rsidR="00186EFD">
        <w:rPr>
          <w:bCs/>
        </w:rPr>
        <w:t>datore di lavoro “</w:t>
      </w:r>
      <w:r w:rsidR="00186EFD" w:rsidRPr="003B239B">
        <w:rPr>
          <w:bCs/>
          <w:i/>
        </w:rPr>
        <w:t>reale</w:t>
      </w:r>
      <w:r w:rsidR="00186EFD">
        <w:rPr>
          <w:bCs/>
        </w:rPr>
        <w:t>” ed “</w:t>
      </w:r>
      <w:r w:rsidR="00186EFD" w:rsidRPr="003B239B">
        <w:rPr>
          <w:bCs/>
          <w:i/>
        </w:rPr>
        <w:t>apparente</w:t>
      </w:r>
      <w:r w:rsidR="00186EFD">
        <w:rPr>
          <w:bCs/>
        </w:rPr>
        <w:t xml:space="preserve">” </w:t>
      </w:r>
      <w:r w:rsidR="001B5191">
        <w:rPr>
          <w:bCs/>
        </w:rPr>
        <w:t xml:space="preserve">era stato di recente deciso </w:t>
      </w:r>
      <w:r w:rsidR="00FE4034">
        <w:rPr>
          <w:bCs/>
        </w:rPr>
        <w:t>in modo conforme da un’altra sentenza di legittimità, la n</w:t>
      </w:r>
      <w:r w:rsidR="00EC7226">
        <w:rPr>
          <w:bCs/>
        </w:rPr>
        <w:t xml:space="preserve">. </w:t>
      </w:r>
      <w:r w:rsidR="0023498D">
        <w:rPr>
          <w:bCs/>
        </w:rPr>
        <w:t>19931/</w:t>
      </w:r>
      <w:r w:rsidR="00C92264">
        <w:rPr>
          <w:bCs/>
        </w:rPr>
        <w:t>2010</w:t>
      </w:r>
      <w:r w:rsidR="00C92264">
        <w:rPr>
          <w:rStyle w:val="Rimandonotaapidipagina"/>
          <w:bCs/>
        </w:rPr>
        <w:footnoteReference w:id="17"/>
      </w:r>
      <w:r w:rsidR="00191438">
        <w:rPr>
          <w:bCs/>
        </w:rPr>
        <w:t xml:space="preserve">; </w:t>
      </w:r>
      <w:r w:rsidR="0027443D">
        <w:rPr>
          <w:bCs/>
        </w:rPr>
        <w:t xml:space="preserve">anche </w:t>
      </w:r>
      <w:r w:rsidR="00191438">
        <w:rPr>
          <w:bCs/>
        </w:rPr>
        <w:t>ne</w:t>
      </w:r>
      <w:r w:rsidR="003B239B">
        <w:rPr>
          <w:bCs/>
        </w:rPr>
        <w:t xml:space="preserve">ll’ambito di tale giudizio, caratterizzato da un </w:t>
      </w:r>
      <w:r w:rsidR="004B014C">
        <w:rPr>
          <w:bCs/>
        </w:rPr>
        <w:t>“</w:t>
      </w:r>
      <w:r w:rsidR="004B014C" w:rsidRPr="003B239B">
        <w:rPr>
          <w:bCs/>
          <w:i/>
        </w:rPr>
        <w:t>frazionamento</w:t>
      </w:r>
      <w:r w:rsidR="004B014C">
        <w:rPr>
          <w:bCs/>
        </w:rPr>
        <w:t>”</w:t>
      </w:r>
      <w:r w:rsidR="006C6840">
        <w:rPr>
          <w:bCs/>
        </w:rPr>
        <w:t xml:space="preserve"> </w:t>
      </w:r>
      <w:r w:rsidR="004B014C">
        <w:rPr>
          <w:bCs/>
        </w:rPr>
        <w:t>dei</w:t>
      </w:r>
      <w:r w:rsidR="00C92264">
        <w:rPr>
          <w:bCs/>
        </w:rPr>
        <w:t xml:space="preserve"> pote</w:t>
      </w:r>
      <w:r w:rsidR="0027443D">
        <w:rPr>
          <w:bCs/>
        </w:rPr>
        <w:t xml:space="preserve">ri datoriali tipici in capo a due società </w:t>
      </w:r>
      <w:r w:rsidR="00A901D0">
        <w:rPr>
          <w:bCs/>
        </w:rPr>
        <w:t>dello stesso gruppo</w:t>
      </w:r>
      <w:r w:rsidR="00E87E94">
        <w:rPr>
          <w:rStyle w:val="Rimandonotaapidipagina"/>
          <w:bCs/>
        </w:rPr>
        <w:footnoteReference w:id="18"/>
      </w:r>
      <w:r w:rsidR="0027443D">
        <w:rPr>
          <w:bCs/>
        </w:rPr>
        <w:t xml:space="preserve">, è stato riconosciuto il diritto del lavoratore di essere reintegrato alle dipendenze della società che aveva agito come </w:t>
      </w:r>
      <w:r w:rsidR="0027443D" w:rsidRPr="0027443D">
        <w:rPr>
          <w:bCs/>
        </w:rPr>
        <w:t>“</w:t>
      </w:r>
      <w:r w:rsidR="0027443D" w:rsidRPr="00A901D0">
        <w:rPr>
          <w:bCs/>
          <w:i/>
        </w:rPr>
        <w:t>gestore di fatto del rapporto di lavoro</w:t>
      </w:r>
      <w:r w:rsidR="0027443D" w:rsidRPr="0027443D">
        <w:rPr>
          <w:bCs/>
        </w:rPr>
        <w:t>”</w:t>
      </w:r>
      <w:r w:rsidR="0027443D">
        <w:rPr>
          <w:bCs/>
        </w:rPr>
        <w:t xml:space="preserve">, </w:t>
      </w:r>
      <w:r w:rsidR="004547E6">
        <w:rPr>
          <w:bCs/>
        </w:rPr>
        <w:t>ovvero</w:t>
      </w:r>
      <w:r w:rsidR="0027443D" w:rsidRPr="0027443D">
        <w:rPr>
          <w:bCs/>
        </w:rPr>
        <w:t xml:space="preserve"> </w:t>
      </w:r>
      <w:r w:rsidR="0027443D">
        <w:rPr>
          <w:bCs/>
        </w:rPr>
        <w:t>di “</w:t>
      </w:r>
      <w:r w:rsidR="0027443D" w:rsidRPr="00A901D0">
        <w:rPr>
          <w:bCs/>
          <w:i/>
        </w:rPr>
        <w:t>effettivo dominus</w:t>
      </w:r>
      <w:r w:rsidR="003B239B">
        <w:rPr>
          <w:bCs/>
        </w:rPr>
        <w:t>”</w:t>
      </w:r>
      <w:r w:rsidR="00FA695F">
        <w:rPr>
          <w:bCs/>
        </w:rPr>
        <w:t>, disconoscendo così il ruolo del datore di lavoro formale.</w:t>
      </w:r>
    </w:p>
    <w:p w:rsidR="0059443B" w:rsidRDefault="00A901D0" w:rsidP="00C92264">
      <w:pPr>
        <w:spacing w:line="360" w:lineRule="auto"/>
        <w:ind w:right="1134"/>
        <w:jc w:val="both"/>
        <w:rPr>
          <w:bCs/>
        </w:rPr>
      </w:pPr>
      <w:r>
        <w:rPr>
          <w:bCs/>
        </w:rPr>
        <w:t xml:space="preserve">E’ interessante notare come, nel negare la rilevanza del ruolo della controllata quale </w:t>
      </w:r>
      <w:r w:rsidR="0027443D" w:rsidRPr="0027443D">
        <w:rPr>
          <w:bCs/>
        </w:rPr>
        <w:t xml:space="preserve">datore di lavoro </w:t>
      </w:r>
      <w:r w:rsidR="0027443D">
        <w:rPr>
          <w:bCs/>
        </w:rPr>
        <w:t>formale, definito</w:t>
      </w:r>
      <w:r>
        <w:rPr>
          <w:bCs/>
        </w:rPr>
        <w:t xml:space="preserve"> perciò</w:t>
      </w:r>
      <w:r w:rsidR="0027443D">
        <w:rPr>
          <w:bCs/>
        </w:rPr>
        <w:t xml:space="preserve"> “</w:t>
      </w:r>
      <w:r w:rsidR="0027443D" w:rsidRPr="00A901D0">
        <w:rPr>
          <w:bCs/>
          <w:i/>
        </w:rPr>
        <w:t>fittizio</w:t>
      </w:r>
      <w:r w:rsidR="0027443D" w:rsidRPr="0027443D">
        <w:rPr>
          <w:bCs/>
        </w:rPr>
        <w:t xml:space="preserve">”, </w:t>
      </w:r>
      <w:smartTag w:uri="urn:schemas-microsoft-com:office:smarttags" w:element="PersonName">
        <w:smartTagPr>
          <w:attr w:name="ProductID" w:val="la Corte"/>
        </w:smartTagPr>
        <w:r>
          <w:rPr>
            <w:bCs/>
          </w:rPr>
          <w:t>la Corte</w:t>
        </w:r>
      </w:smartTag>
      <w:r w:rsidR="00C70BF6">
        <w:rPr>
          <w:bCs/>
        </w:rPr>
        <w:t xml:space="preserve">, </w:t>
      </w:r>
      <w:r w:rsidR="00A46FEE">
        <w:rPr>
          <w:bCs/>
        </w:rPr>
        <w:t xml:space="preserve">tanto </w:t>
      </w:r>
      <w:r w:rsidR="00C70BF6">
        <w:rPr>
          <w:bCs/>
        </w:rPr>
        <w:t>nella sentenza in commento</w:t>
      </w:r>
      <w:r w:rsidR="00A46FEE">
        <w:rPr>
          <w:bCs/>
        </w:rPr>
        <w:t>,</w:t>
      </w:r>
      <w:r w:rsidR="00C70BF6">
        <w:rPr>
          <w:bCs/>
        </w:rPr>
        <w:t xml:space="preserve"> quanto nel precedente appena richiamato,</w:t>
      </w:r>
      <w:r>
        <w:rPr>
          <w:bCs/>
        </w:rPr>
        <w:t xml:space="preserve"> non ha ritenuto meritevoli di pregio le difese delle società</w:t>
      </w:r>
      <w:r w:rsidR="0027443D">
        <w:rPr>
          <w:bCs/>
        </w:rPr>
        <w:t xml:space="preserve"> </w:t>
      </w:r>
      <w:r>
        <w:rPr>
          <w:bCs/>
        </w:rPr>
        <w:t xml:space="preserve">dirette </w:t>
      </w:r>
      <w:r w:rsidR="0027443D">
        <w:rPr>
          <w:bCs/>
        </w:rPr>
        <w:t xml:space="preserve">a dimostrare </w:t>
      </w:r>
      <w:r w:rsidR="0027443D" w:rsidRPr="0027443D">
        <w:rPr>
          <w:bCs/>
        </w:rPr>
        <w:t>come risultasse fisiologica una certa ingerenza “</w:t>
      </w:r>
      <w:r w:rsidR="0027443D" w:rsidRPr="00A901D0">
        <w:rPr>
          <w:bCs/>
          <w:i/>
        </w:rPr>
        <w:t>nella vita della società collegata e consociata da parte della controllante</w:t>
      </w:r>
      <w:r w:rsidR="0027443D" w:rsidRPr="0027443D">
        <w:rPr>
          <w:bCs/>
        </w:rPr>
        <w:t>”, in quanto “</w:t>
      </w:r>
      <w:r w:rsidR="0027443D" w:rsidRPr="00A901D0">
        <w:rPr>
          <w:bCs/>
          <w:i/>
        </w:rPr>
        <w:t>coerente con il ruolo di direzione strategica u</w:t>
      </w:r>
      <w:r w:rsidR="00754498" w:rsidRPr="00A901D0">
        <w:rPr>
          <w:bCs/>
          <w:i/>
        </w:rPr>
        <w:t>nitaria</w:t>
      </w:r>
      <w:r w:rsidR="00754498">
        <w:rPr>
          <w:bCs/>
        </w:rPr>
        <w:t>” all’interno del g</w:t>
      </w:r>
      <w:r w:rsidR="00C70BF6">
        <w:rPr>
          <w:bCs/>
        </w:rPr>
        <w:t>ruppo</w:t>
      </w:r>
      <w:r w:rsidR="0059443B">
        <w:rPr>
          <w:bCs/>
        </w:rPr>
        <w:t>.</w:t>
      </w:r>
    </w:p>
    <w:p w:rsidR="005E6F3A" w:rsidRDefault="0059443B" w:rsidP="00C92264">
      <w:pPr>
        <w:spacing w:line="360" w:lineRule="auto"/>
        <w:ind w:right="1134"/>
        <w:jc w:val="both"/>
        <w:rPr>
          <w:bCs/>
        </w:rPr>
      </w:pPr>
      <w:r>
        <w:rPr>
          <w:bCs/>
        </w:rPr>
        <w:t>C</w:t>
      </w:r>
      <w:r w:rsidR="00A901D0">
        <w:rPr>
          <w:bCs/>
        </w:rPr>
        <w:t xml:space="preserve">iò </w:t>
      </w:r>
      <w:r w:rsidR="000A1A91">
        <w:rPr>
          <w:bCs/>
        </w:rPr>
        <w:t>può costituire un’</w:t>
      </w:r>
      <w:r w:rsidR="00A901D0">
        <w:rPr>
          <w:bCs/>
        </w:rPr>
        <w:t>ulteriore conferma dell’irrilevanza de</w:t>
      </w:r>
      <w:r w:rsidR="000A1A91">
        <w:rPr>
          <w:bCs/>
        </w:rPr>
        <w:t>l collegamento societario in sé</w:t>
      </w:r>
      <w:r w:rsidR="00A901D0">
        <w:rPr>
          <w:bCs/>
        </w:rPr>
        <w:t xml:space="preserve"> </w:t>
      </w:r>
      <w:r w:rsidR="00A46FEE">
        <w:rPr>
          <w:bCs/>
        </w:rPr>
        <w:t xml:space="preserve">ai fini dell’indagine volta ad individuare l’effettivo datore di lavoro </w:t>
      </w:r>
      <w:r w:rsidR="00FA695F">
        <w:rPr>
          <w:bCs/>
        </w:rPr>
        <w:t>all’interno</w:t>
      </w:r>
      <w:r w:rsidR="00A46FEE">
        <w:rPr>
          <w:bCs/>
        </w:rPr>
        <w:t xml:space="preserve"> di un gruppo di imprese, </w:t>
      </w:r>
      <w:r w:rsidR="00A901D0">
        <w:rPr>
          <w:bCs/>
        </w:rPr>
        <w:t xml:space="preserve">e della conseguente necessità di risolvere la questione </w:t>
      </w:r>
      <w:r w:rsidR="005E6F3A">
        <w:rPr>
          <w:bCs/>
        </w:rPr>
        <w:t>basandosi sul concreto esercizio dei poteri datoriali nei c</w:t>
      </w:r>
      <w:r w:rsidR="00A46FEE">
        <w:rPr>
          <w:bCs/>
        </w:rPr>
        <w:t>onfronti del singolo lavoratore (</w:t>
      </w:r>
      <w:r w:rsidR="005E6F3A">
        <w:rPr>
          <w:bCs/>
        </w:rPr>
        <w:t xml:space="preserve">o, in altri termini, </w:t>
      </w:r>
      <w:r w:rsidR="00A901D0">
        <w:rPr>
          <w:bCs/>
        </w:rPr>
        <w:t xml:space="preserve">mediante </w:t>
      </w:r>
      <w:r w:rsidR="005E6F3A">
        <w:rPr>
          <w:bCs/>
        </w:rPr>
        <w:t xml:space="preserve">un’indagine </w:t>
      </w:r>
      <w:r w:rsidR="00A901D0">
        <w:rPr>
          <w:bCs/>
        </w:rPr>
        <w:t>“dal basso”</w:t>
      </w:r>
      <w:r w:rsidR="005E6F3A">
        <w:rPr>
          <w:bCs/>
        </w:rPr>
        <w:t xml:space="preserve"> e non “dall’alto”</w:t>
      </w:r>
      <w:r w:rsidR="00A46FEE">
        <w:rPr>
          <w:bCs/>
        </w:rPr>
        <w:t>)</w:t>
      </w:r>
      <w:r w:rsidR="005E6F3A">
        <w:rPr>
          <w:bCs/>
        </w:rPr>
        <w:t>.</w:t>
      </w:r>
    </w:p>
    <w:p w:rsidR="00C70BF6" w:rsidRDefault="00C70BF6" w:rsidP="00C92264">
      <w:pPr>
        <w:spacing w:line="360" w:lineRule="auto"/>
        <w:ind w:right="1134"/>
        <w:jc w:val="both"/>
        <w:rPr>
          <w:bCs/>
        </w:rPr>
      </w:pPr>
    </w:p>
    <w:p w:rsidR="00BB5CF1" w:rsidRPr="000E1376" w:rsidRDefault="009A6FA9" w:rsidP="00BB5CF1">
      <w:pPr>
        <w:spacing w:line="360" w:lineRule="auto"/>
        <w:ind w:right="1134"/>
        <w:jc w:val="both"/>
        <w:rPr>
          <w:b/>
          <w:bCs/>
        </w:rPr>
      </w:pPr>
      <w:r>
        <w:rPr>
          <w:bCs/>
        </w:rPr>
        <w:t xml:space="preserve"> </w:t>
      </w:r>
      <w:r w:rsidR="00C65421">
        <w:rPr>
          <w:b/>
          <w:bCs/>
        </w:rPr>
        <w:t>3</w:t>
      </w:r>
      <w:r w:rsidR="00BB5CF1" w:rsidRPr="000E1376">
        <w:rPr>
          <w:b/>
          <w:bCs/>
        </w:rPr>
        <w:t xml:space="preserve">. </w:t>
      </w:r>
      <w:r w:rsidR="00BB5CF1">
        <w:rPr>
          <w:b/>
          <w:bCs/>
        </w:rPr>
        <w:t xml:space="preserve">La rilevanza del </w:t>
      </w:r>
      <w:r w:rsidR="00BB5CF1" w:rsidRPr="000E1376">
        <w:rPr>
          <w:b/>
          <w:bCs/>
        </w:rPr>
        <w:t>“</w:t>
      </w:r>
      <w:r w:rsidR="00BB5CF1" w:rsidRPr="00C65421">
        <w:rPr>
          <w:b/>
          <w:bCs/>
          <w:i/>
        </w:rPr>
        <w:t>datore di lavoro non contrattuale</w:t>
      </w:r>
      <w:r w:rsidR="00BB5CF1" w:rsidRPr="000E1376">
        <w:rPr>
          <w:b/>
          <w:bCs/>
        </w:rPr>
        <w:t>” nella giurisprudenza della Corte di Giustizia</w:t>
      </w:r>
    </w:p>
    <w:p w:rsidR="00BB5CF1" w:rsidRDefault="00C65421" w:rsidP="00BB5CF1">
      <w:pPr>
        <w:spacing w:line="360" w:lineRule="auto"/>
        <w:ind w:right="1134"/>
        <w:jc w:val="both"/>
        <w:rPr>
          <w:bCs/>
        </w:rPr>
      </w:pPr>
      <w:r>
        <w:rPr>
          <w:bCs/>
        </w:rPr>
        <w:t xml:space="preserve">Aggiunge </w:t>
      </w:r>
      <w:smartTag w:uri="urn:schemas-microsoft-com:office:smarttags" w:element="PersonName">
        <w:smartTagPr>
          <w:attr w:name="ProductID" w:val="la Corte"/>
        </w:smartTagPr>
        <w:r>
          <w:rPr>
            <w:bCs/>
          </w:rPr>
          <w:t>la Corte</w:t>
        </w:r>
      </w:smartTag>
      <w:r>
        <w:rPr>
          <w:bCs/>
        </w:rPr>
        <w:t xml:space="preserve"> che </w:t>
      </w:r>
      <w:r w:rsidR="00BB5CF1">
        <w:rPr>
          <w:bCs/>
        </w:rPr>
        <w:t xml:space="preserve">la </w:t>
      </w:r>
      <w:r>
        <w:rPr>
          <w:bCs/>
        </w:rPr>
        <w:t>regola per cui “</w:t>
      </w:r>
      <w:r w:rsidRPr="009E1947">
        <w:rPr>
          <w:bCs/>
          <w:i/>
        </w:rPr>
        <w:t xml:space="preserve">chi utilizza le prestazioni del lavoratore deve adempiere tutte </w:t>
      </w:r>
      <w:r w:rsidR="00FD71CE">
        <w:rPr>
          <w:bCs/>
          <w:i/>
        </w:rPr>
        <w:t xml:space="preserve">le obbligazioni </w:t>
      </w:r>
      <w:r w:rsidRPr="009E1947">
        <w:rPr>
          <w:bCs/>
          <w:i/>
        </w:rPr>
        <w:t>nascenti dal rapporto di lavoro</w:t>
      </w:r>
      <w:r>
        <w:rPr>
          <w:bCs/>
        </w:rPr>
        <w:t>” risulterebbe</w:t>
      </w:r>
      <w:r w:rsidR="00BB5CF1">
        <w:rPr>
          <w:bCs/>
        </w:rPr>
        <w:t xml:space="preserve"> coerente con la posizione assunta dalla Corte di Giustizia dell’Unione Europea “</w:t>
      </w:r>
      <w:r w:rsidR="00BB5CF1" w:rsidRPr="009E1947">
        <w:rPr>
          <w:bCs/>
          <w:i/>
        </w:rPr>
        <w:t>con riferimento alla disciplina dei licenziamenti collettivi</w:t>
      </w:r>
      <w:r w:rsidR="00BB5CF1">
        <w:rPr>
          <w:bCs/>
        </w:rPr>
        <w:t xml:space="preserve">”, laddove quest’ultima </w:t>
      </w:r>
      <w:r>
        <w:rPr>
          <w:bCs/>
        </w:rPr>
        <w:t xml:space="preserve">ha </w:t>
      </w:r>
      <w:r w:rsidR="00BB5CF1">
        <w:rPr>
          <w:bCs/>
        </w:rPr>
        <w:t>affermato che, “</w:t>
      </w:r>
      <w:r w:rsidR="00BB5CF1" w:rsidRPr="009E1947">
        <w:rPr>
          <w:bCs/>
          <w:i/>
        </w:rPr>
        <w:t>per la realizzazione dell’effetto utile dei diritti collettivi di tipo procedimentale, il Gruppo non rileva al fine di escludere la responsabilità del</w:t>
      </w:r>
      <w:r w:rsidR="00E96E31">
        <w:rPr>
          <w:bCs/>
          <w:i/>
        </w:rPr>
        <w:t xml:space="preserve"> dire</w:t>
      </w:r>
      <w:r w:rsidR="00BB5CF1" w:rsidRPr="009E1947">
        <w:rPr>
          <w:bCs/>
          <w:i/>
        </w:rPr>
        <w:t>tto datore di lavoro</w:t>
      </w:r>
      <w:r w:rsidR="00BB5CF1">
        <w:rPr>
          <w:bCs/>
        </w:rPr>
        <w:t>”.</w:t>
      </w:r>
    </w:p>
    <w:p w:rsidR="00BB5CF1" w:rsidRDefault="00BB5CF1" w:rsidP="00BB5CF1">
      <w:pPr>
        <w:spacing w:line="360" w:lineRule="auto"/>
        <w:ind w:right="1134"/>
        <w:jc w:val="both"/>
        <w:rPr>
          <w:bCs/>
        </w:rPr>
      </w:pPr>
      <w:r>
        <w:rPr>
          <w:bCs/>
        </w:rPr>
        <w:t>Tale argomentazione, però, merita un approfondimento.</w:t>
      </w:r>
    </w:p>
    <w:p w:rsidR="00BB5CF1" w:rsidRDefault="00BB5CF1" w:rsidP="00BB5CF1">
      <w:pPr>
        <w:spacing w:line="360" w:lineRule="auto"/>
        <w:ind w:right="1134"/>
        <w:jc w:val="both"/>
        <w:rPr>
          <w:bCs/>
        </w:rPr>
      </w:pPr>
      <w:r>
        <w:rPr>
          <w:bCs/>
        </w:rPr>
        <w:t>Da un lato, è indubbio che il diritto comunitario ha da tempo</w:t>
      </w:r>
      <w:r>
        <w:rPr>
          <w:rStyle w:val="Rimandonotaapidipagina"/>
          <w:bCs/>
        </w:rPr>
        <w:footnoteReference w:id="19"/>
      </w:r>
      <w:r>
        <w:rPr>
          <w:bCs/>
        </w:rPr>
        <w:t xml:space="preserve"> guarda</w:t>
      </w:r>
      <w:r w:rsidR="00C65421">
        <w:rPr>
          <w:bCs/>
        </w:rPr>
        <w:t xml:space="preserve">to ai gruppi di imprese, in particolare “transfrontalieri”, come spazio all’interno del quale </w:t>
      </w:r>
      <w:r w:rsidR="00954E2D">
        <w:rPr>
          <w:bCs/>
        </w:rPr>
        <w:t xml:space="preserve">sarebbe </w:t>
      </w:r>
      <w:r w:rsidR="00D95448">
        <w:rPr>
          <w:bCs/>
        </w:rPr>
        <w:t xml:space="preserve">significativamente avvertita </w:t>
      </w:r>
      <w:r w:rsidR="009E1947">
        <w:rPr>
          <w:bCs/>
        </w:rPr>
        <w:t xml:space="preserve">l’esigenza </w:t>
      </w:r>
      <w:r w:rsidR="00D95448">
        <w:rPr>
          <w:bCs/>
        </w:rPr>
        <w:t xml:space="preserve">di </w:t>
      </w:r>
      <w:r>
        <w:rPr>
          <w:bCs/>
        </w:rPr>
        <w:t xml:space="preserve">garantire il passaggio </w:t>
      </w:r>
      <w:r w:rsidR="006021BC">
        <w:rPr>
          <w:bCs/>
        </w:rPr>
        <w:t xml:space="preserve">e lo scambio </w:t>
      </w:r>
      <w:r>
        <w:rPr>
          <w:bCs/>
        </w:rPr>
        <w:t>di informazioni</w:t>
      </w:r>
      <w:r w:rsidR="00E96E31">
        <w:rPr>
          <w:bCs/>
        </w:rPr>
        <w:t xml:space="preserve">, </w:t>
      </w:r>
      <w:r w:rsidR="006021BC">
        <w:rPr>
          <w:bCs/>
        </w:rPr>
        <w:t>nonché la consultazione, tra la “</w:t>
      </w:r>
      <w:r w:rsidR="006021BC" w:rsidRPr="005A07BA">
        <w:rPr>
          <w:bCs/>
          <w:i/>
        </w:rPr>
        <w:t>direzione centrale</w:t>
      </w:r>
      <w:r w:rsidR="006021BC">
        <w:rPr>
          <w:bCs/>
        </w:rPr>
        <w:t>” e i rappresentanti dei lavoratori</w:t>
      </w:r>
      <w:r w:rsidR="00954E2D">
        <w:rPr>
          <w:bCs/>
        </w:rPr>
        <w:t>, come dimostrerebbe</w:t>
      </w:r>
      <w:r w:rsidR="00D95448">
        <w:rPr>
          <w:bCs/>
        </w:rPr>
        <w:t xml:space="preserve"> il fatto che </w:t>
      </w:r>
      <w:r>
        <w:rPr>
          <w:bCs/>
        </w:rPr>
        <w:t xml:space="preserve">proprio il </w:t>
      </w:r>
      <w:r w:rsidR="00D95448">
        <w:rPr>
          <w:bCs/>
        </w:rPr>
        <w:t>“</w:t>
      </w:r>
      <w:r w:rsidR="00D95448" w:rsidRPr="00D95448">
        <w:rPr>
          <w:bCs/>
          <w:i/>
        </w:rPr>
        <w:t>g</w:t>
      </w:r>
      <w:r w:rsidRPr="00D95448">
        <w:rPr>
          <w:bCs/>
          <w:i/>
        </w:rPr>
        <w:t>ruppo di imprese di dimensioni comunitarie</w:t>
      </w:r>
      <w:r w:rsidR="00D95448">
        <w:rPr>
          <w:bCs/>
        </w:rPr>
        <w:t>”</w:t>
      </w:r>
      <w:r>
        <w:rPr>
          <w:bCs/>
        </w:rPr>
        <w:t xml:space="preserve"> è</w:t>
      </w:r>
      <w:r w:rsidR="00D95448">
        <w:rPr>
          <w:bCs/>
        </w:rPr>
        <w:t xml:space="preserve"> poi divenuto</w:t>
      </w:r>
      <w:r>
        <w:rPr>
          <w:bCs/>
        </w:rPr>
        <w:t>, insieme all’</w:t>
      </w:r>
      <w:r w:rsidR="00D95448">
        <w:rPr>
          <w:bCs/>
        </w:rPr>
        <w:t>“</w:t>
      </w:r>
      <w:r w:rsidRPr="006021BC">
        <w:rPr>
          <w:bCs/>
          <w:i/>
        </w:rPr>
        <w:t>impresa di dimensione comunitaria</w:t>
      </w:r>
      <w:r w:rsidR="00D95448">
        <w:rPr>
          <w:bCs/>
        </w:rPr>
        <w:t>”</w:t>
      </w:r>
      <w:r>
        <w:rPr>
          <w:bCs/>
        </w:rPr>
        <w:t>, l’ambito di applicazione della Direttiva sull’istituzion</w:t>
      </w:r>
      <w:r w:rsidR="00BF257D">
        <w:rPr>
          <w:bCs/>
        </w:rPr>
        <w:t>e del Comitato Aziendale Europeo</w:t>
      </w:r>
      <w:r w:rsidR="008556E6">
        <w:rPr>
          <w:bCs/>
        </w:rPr>
        <w:t>, la n. 94/45/CE</w:t>
      </w:r>
      <w:r w:rsidR="00D95448">
        <w:rPr>
          <w:rStyle w:val="Rimandonotaapidipagina"/>
          <w:bCs/>
        </w:rPr>
        <w:footnoteReference w:id="20"/>
      </w:r>
      <w:r>
        <w:rPr>
          <w:bCs/>
        </w:rPr>
        <w:t>.</w:t>
      </w:r>
    </w:p>
    <w:p w:rsidR="00BB5CF1" w:rsidRDefault="008556E6" w:rsidP="00BB5CF1">
      <w:pPr>
        <w:spacing w:line="360" w:lineRule="auto"/>
        <w:ind w:right="1134"/>
        <w:jc w:val="both"/>
        <w:rPr>
          <w:bCs/>
        </w:rPr>
      </w:pPr>
      <w:r>
        <w:rPr>
          <w:bCs/>
        </w:rPr>
        <w:t xml:space="preserve">Tuttavia, </w:t>
      </w:r>
      <w:smartTag w:uri="urn:schemas-microsoft-com:office:smarttags" w:element="PersonName">
        <w:smartTagPr>
          <w:attr w:name="ProductID" w:val="la Direttiva"/>
        </w:smartTagPr>
        <w:r>
          <w:rPr>
            <w:bCs/>
          </w:rPr>
          <w:t>la Direttiva</w:t>
        </w:r>
      </w:smartTag>
      <w:r>
        <w:rPr>
          <w:bCs/>
        </w:rPr>
        <w:t>,</w:t>
      </w:r>
      <w:r w:rsidR="00BB5CF1">
        <w:rPr>
          <w:bCs/>
        </w:rPr>
        <w:t xml:space="preserve"> come chiarito </w:t>
      </w:r>
      <w:r>
        <w:rPr>
          <w:bCs/>
        </w:rPr>
        <w:t>dal</w:t>
      </w:r>
      <w:r w:rsidR="00E96E31">
        <w:rPr>
          <w:bCs/>
        </w:rPr>
        <w:t>la giurisprudenza della Corte di G</w:t>
      </w:r>
      <w:r w:rsidR="00BB5CF1">
        <w:rPr>
          <w:bCs/>
        </w:rPr>
        <w:t>iustizia in tre fondamentali decisioni</w:t>
      </w:r>
      <w:r w:rsidR="0038570E">
        <w:rPr>
          <w:rStyle w:val="Rimandonotaapidipagina"/>
          <w:bCs/>
        </w:rPr>
        <w:footnoteReference w:id="21"/>
      </w:r>
      <w:r w:rsidR="00954E2D">
        <w:rPr>
          <w:bCs/>
        </w:rPr>
        <w:t>,</w:t>
      </w:r>
      <w:r w:rsidR="00E96E31">
        <w:rPr>
          <w:bCs/>
        </w:rPr>
        <w:t xml:space="preserve"> che hanno significativamente influenzato </w:t>
      </w:r>
      <w:r w:rsidR="00954E2D">
        <w:rPr>
          <w:bCs/>
        </w:rPr>
        <w:t xml:space="preserve">il contenuto </w:t>
      </w:r>
      <w:r w:rsidR="00E96E31">
        <w:rPr>
          <w:bCs/>
        </w:rPr>
        <w:t xml:space="preserve">della successiva </w:t>
      </w:r>
      <w:r>
        <w:t>Direttiva 2009/38/CE del 6.5.2009</w:t>
      </w:r>
      <w:r>
        <w:rPr>
          <w:rStyle w:val="Rimandonotaapidipagina"/>
        </w:rPr>
        <w:footnoteReference w:id="22"/>
      </w:r>
      <w:r w:rsidR="00E13534">
        <w:t xml:space="preserve"> (che ha </w:t>
      </w:r>
      <w:r>
        <w:t xml:space="preserve">sostituito, pur conservandone lo schema e l’impianto di fondo, l’originaria Direttiva 94/45/CE), </w:t>
      </w:r>
      <w:r>
        <w:rPr>
          <w:bCs/>
        </w:rPr>
        <w:t xml:space="preserve">aveva il preciso scopo di assicurare la </w:t>
      </w:r>
      <w:r w:rsidR="00BB5CF1">
        <w:rPr>
          <w:bCs/>
        </w:rPr>
        <w:t>tempestività e l’adeguatezza delle informazioni</w:t>
      </w:r>
      <w:r w:rsidR="0038570E">
        <w:rPr>
          <w:rStyle w:val="Rimandonotaapidipagina"/>
          <w:bCs/>
        </w:rPr>
        <w:footnoteReference w:id="23"/>
      </w:r>
      <w:r w:rsidR="00BB5CF1">
        <w:rPr>
          <w:bCs/>
        </w:rPr>
        <w:t>,</w:t>
      </w:r>
      <w:r>
        <w:rPr>
          <w:bCs/>
        </w:rPr>
        <w:t xml:space="preserve"> </w:t>
      </w:r>
      <w:r w:rsidR="007B7328">
        <w:rPr>
          <w:bCs/>
        </w:rPr>
        <w:t xml:space="preserve">tra cui </w:t>
      </w:r>
      <w:r w:rsidR="00E96E31">
        <w:rPr>
          <w:bCs/>
        </w:rPr>
        <w:t xml:space="preserve">in particolare </w:t>
      </w:r>
      <w:r w:rsidR="007B7328">
        <w:rPr>
          <w:bCs/>
        </w:rPr>
        <w:t>quelle preliminari alla costituzione del CAE</w:t>
      </w:r>
      <w:r w:rsidR="00873DD1">
        <w:rPr>
          <w:rStyle w:val="Rimandonotaapidipagina"/>
          <w:bCs/>
        </w:rPr>
        <w:footnoteReference w:id="24"/>
      </w:r>
      <w:r w:rsidR="007B7328">
        <w:rPr>
          <w:bCs/>
        </w:rPr>
        <w:t xml:space="preserve">, </w:t>
      </w:r>
      <w:r>
        <w:rPr>
          <w:bCs/>
        </w:rPr>
        <w:t>senza però mai giungere al punto di ritenere la società controllante</w:t>
      </w:r>
      <w:r w:rsidR="008B35F5">
        <w:rPr>
          <w:bCs/>
        </w:rPr>
        <w:t>, né tanto meno il gruppo in sé,</w:t>
      </w:r>
      <w:r>
        <w:rPr>
          <w:bCs/>
        </w:rPr>
        <w:t xml:space="preserve"> responsabile in caso di </w:t>
      </w:r>
      <w:r w:rsidR="00A76163">
        <w:rPr>
          <w:bCs/>
        </w:rPr>
        <w:t>violazione degli</w:t>
      </w:r>
      <w:r>
        <w:rPr>
          <w:bCs/>
        </w:rPr>
        <w:t xml:space="preserve"> obblighi informativi da parte delle società controllate.</w:t>
      </w:r>
    </w:p>
    <w:p w:rsidR="00F841B9" w:rsidRDefault="00C13661" w:rsidP="00BB5CF1">
      <w:pPr>
        <w:spacing w:line="360" w:lineRule="auto"/>
        <w:ind w:right="1134"/>
        <w:jc w:val="both"/>
      </w:pPr>
      <w:r>
        <w:rPr>
          <w:bCs/>
        </w:rPr>
        <w:t xml:space="preserve">Lo stesso principio si trova espresso </w:t>
      </w:r>
      <w:r w:rsidR="00BB5CF1">
        <w:rPr>
          <w:bCs/>
        </w:rPr>
        <w:t xml:space="preserve">nella sentenza </w:t>
      </w:r>
      <w:r>
        <w:rPr>
          <w:bCs/>
        </w:rPr>
        <w:t xml:space="preserve">della Corte di Giustizia </w:t>
      </w:r>
      <w:r w:rsidR="00C155E0">
        <w:rPr>
          <w:bCs/>
        </w:rPr>
        <w:t>del 10.</w:t>
      </w:r>
      <w:r w:rsidR="0038078B">
        <w:rPr>
          <w:bCs/>
        </w:rPr>
        <w:t>9.2009,</w:t>
      </w:r>
      <w:r w:rsidR="00C155E0">
        <w:rPr>
          <w:bCs/>
        </w:rPr>
        <w:t xml:space="preserve"> C-44/08</w:t>
      </w:r>
      <w:r w:rsidR="00C155E0">
        <w:rPr>
          <w:rStyle w:val="Rimandonotaapidipagina"/>
          <w:bCs/>
        </w:rPr>
        <w:footnoteReference w:id="25"/>
      </w:r>
      <w:r w:rsidR="00C155E0">
        <w:rPr>
          <w:bCs/>
        </w:rPr>
        <w:t xml:space="preserve">, </w:t>
      </w:r>
      <w:r w:rsidR="00BB5CF1">
        <w:rPr>
          <w:bCs/>
        </w:rPr>
        <w:t xml:space="preserve">richiamata dalla decisione in commento, </w:t>
      </w:r>
      <w:r w:rsidR="00742BA9">
        <w:rPr>
          <w:bCs/>
        </w:rPr>
        <w:t>relativa agli obbligh</w:t>
      </w:r>
      <w:r w:rsidR="00334DA3">
        <w:rPr>
          <w:bCs/>
        </w:rPr>
        <w:t xml:space="preserve">i informativi da rispettare </w:t>
      </w:r>
      <w:r w:rsidR="00742BA9">
        <w:rPr>
          <w:bCs/>
        </w:rPr>
        <w:t xml:space="preserve">nell’ambito di una procedura di </w:t>
      </w:r>
      <w:r w:rsidR="00BB5CF1">
        <w:rPr>
          <w:bCs/>
        </w:rPr>
        <w:t>licenziament</w:t>
      </w:r>
      <w:r w:rsidR="00742BA9">
        <w:rPr>
          <w:bCs/>
        </w:rPr>
        <w:t>o</w:t>
      </w:r>
      <w:r w:rsidR="00BB5CF1">
        <w:rPr>
          <w:bCs/>
        </w:rPr>
        <w:t xml:space="preserve"> collettiv</w:t>
      </w:r>
      <w:r w:rsidR="00742BA9">
        <w:rPr>
          <w:bCs/>
        </w:rPr>
        <w:t>o</w:t>
      </w:r>
      <w:r w:rsidR="003D3AC8">
        <w:rPr>
          <w:rStyle w:val="Rimandonotaapidipagina"/>
          <w:bCs/>
        </w:rPr>
        <w:footnoteReference w:id="26"/>
      </w:r>
      <w:r w:rsidR="00F841B9">
        <w:rPr>
          <w:bCs/>
        </w:rPr>
        <w:t>, avviata da parte di una società controllata su decisione – vincolante – della controllante</w:t>
      </w:r>
      <w:r w:rsidR="00BB5CF1">
        <w:rPr>
          <w:bCs/>
        </w:rPr>
        <w:t xml:space="preserve">; </w:t>
      </w:r>
      <w:r w:rsidR="00F841B9">
        <w:rPr>
          <w:bCs/>
        </w:rPr>
        <w:t xml:space="preserve">anche </w:t>
      </w:r>
      <w:r w:rsidR="00BB5CF1">
        <w:rPr>
          <w:bCs/>
        </w:rPr>
        <w:t xml:space="preserve">in tale occasione, </w:t>
      </w:r>
      <w:smartTag w:uri="urn:schemas-microsoft-com:office:smarttags" w:element="PersonName">
        <w:smartTagPr>
          <w:attr w:name="ProductID" w:val="la Corte"/>
        </w:smartTagPr>
        <w:r w:rsidR="00BB5CF1">
          <w:t>la C</w:t>
        </w:r>
        <w:r w:rsidR="00F841B9">
          <w:t>orte</w:t>
        </w:r>
      </w:smartTag>
      <w:r w:rsidR="00F841B9">
        <w:t>, pur sottolineando che gli obblighi informativi</w:t>
      </w:r>
      <w:r w:rsidR="0038078B">
        <w:t>,</w:t>
      </w:r>
      <w:r w:rsidR="00E92218" w:rsidRPr="00E92218">
        <w:t xml:space="preserve"> </w:t>
      </w:r>
      <w:r w:rsidR="00E92218">
        <w:t>in un caso simile, al fine di consentire di realizzare “</w:t>
      </w:r>
      <w:r w:rsidR="00E92218" w:rsidRPr="00E92218">
        <w:rPr>
          <w:i/>
        </w:rPr>
        <w:t>l’effetto utile</w:t>
      </w:r>
      <w:r w:rsidR="00E92218">
        <w:t>” del possibile raggiungimento di un accordo, scattino già al momento in cui la controllante prenda la decisione vincolante in ordine al licenziamento collettivo</w:t>
      </w:r>
      <w:r w:rsidR="007023E1">
        <w:t xml:space="preserve"> adottato dalla controllata</w:t>
      </w:r>
      <w:r w:rsidR="00E92218">
        <w:t>,</w:t>
      </w:r>
      <w:r w:rsidR="00F841B9">
        <w:t xml:space="preserve"> ha ribadito che </w:t>
      </w:r>
      <w:r w:rsidR="00BB5CF1">
        <w:t>“</w:t>
      </w:r>
      <w:r w:rsidR="00BB5CF1" w:rsidRPr="007023E1">
        <w:rPr>
          <w:i/>
        </w:rPr>
        <w:t>il solo destinatario degli obblighi in materia di informazione e consultazione e di notifica è il datore di lavoro</w:t>
      </w:r>
      <w:r w:rsidR="00E92218">
        <w:t>”</w:t>
      </w:r>
      <w:r w:rsidR="00BB5CF1">
        <w:t xml:space="preserve">, </w:t>
      </w:r>
      <w:r w:rsidR="00E92218">
        <w:t xml:space="preserve">ossia la </w:t>
      </w:r>
      <w:r w:rsidR="007023E1">
        <w:t xml:space="preserve">società </w:t>
      </w:r>
      <w:r w:rsidR="00E92218">
        <w:t xml:space="preserve">controllata, </w:t>
      </w:r>
      <w:r w:rsidR="00BB5CF1">
        <w:t>escludendo</w:t>
      </w:r>
      <w:r w:rsidR="00E92218">
        <w:t xml:space="preserve">, </w:t>
      </w:r>
      <w:r w:rsidR="00BB5CF1">
        <w:t xml:space="preserve">quindi, </w:t>
      </w:r>
      <w:r w:rsidR="001C07C7">
        <w:t>in linea con un suo prece</w:t>
      </w:r>
      <w:r w:rsidR="00BB7F57">
        <w:t>dente</w:t>
      </w:r>
      <w:r w:rsidR="00BB5CF1">
        <w:rPr>
          <w:rStyle w:val="Rimandonotaapidipagina"/>
        </w:rPr>
        <w:footnoteReference w:id="27"/>
      </w:r>
      <w:r w:rsidR="007023E1">
        <w:t>, che chi prende le decisioni, o</w:t>
      </w:r>
      <w:r w:rsidR="00334DA3">
        <w:t>ssia la controllante, sia tenuto</w:t>
      </w:r>
      <w:r w:rsidR="007023E1">
        <w:t xml:space="preserve"> ad </w:t>
      </w:r>
      <w:r w:rsidR="00334DA3">
        <w:t>adempiere ai doveri di</w:t>
      </w:r>
      <w:r w:rsidR="00F841B9">
        <w:t xml:space="preserve"> informazione </w:t>
      </w:r>
      <w:r w:rsidR="00334DA3">
        <w:t xml:space="preserve">rispetto al licenziamento collettivo </w:t>
      </w:r>
      <w:r w:rsidR="007023E1">
        <w:t>dei dipendenti della controllata.</w:t>
      </w:r>
    </w:p>
    <w:p w:rsidR="00BB5CF1" w:rsidRDefault="00BB5CF1" w:rsidP="00BB5CF1">
      <w:pPr>
        <w:spacing w:line="360" w:lineRule="auto"/>
        <w:ind w:right="1134"/>
        <w:jc w:val="both"/>
      </w:pPr>
      <w:r>
        <w:t>T</w:t>
      </w:r>
      <w:r w:rsidRPr="00370E71">
        <w:t xml:space="preserve">uttavia, </w:t>
      </w:r>
      <w:r w:rsidR="0038078B">
        <w:t xml:space="preserve">se </w:t>
      </w:r>
      <w:r w:rsidR="00AC6B7F">
        <w:t xml:space="preserve">nella legislazione comunitaria e nella giurisprudenza comunitaria sopra richiamata, anche </w:t>
      </w:r>
      <w:r w:rsidR="00D3759A">
        <w:t xml:space="preserve">laddove </w:t>
      </w:r>
      <w:r w:rsidR="00AC6B7F">
        <w:t xml:space="preserve">è </w:t>
      </w:r>
      <w:r w:rsidR="00D3759A">
        <w:t xml:space="preserve">stata </w:t>
      </w:r>
      <w:r w:rsidR="00AC6B7F">
        <w:t xml:space="preserve">data rilevanza </w:t>
      </w:r>
      <w:r w:rsidR="00D3759A">
        <w:t>al gruppo</w:t>
      </w:r>
      <w:r w:rsidR="00AC6B7F">
        <w:t>, non si è mai superato il principio di separazione formale tra società diverse dello stesso gruppo, un passo in tale direzione</w:t>
      </w:r>
      <w:r w:rsidRPr="00370E71">
        <w:t xml:space="preserve"> </w:t>
      </w:r>
      <w:r w:rsidR="00AC6B7F">
        <w:t xml:space="preserve">è stato probabilmente compiuto di recente, </w:t>
      </w:r>
      <w:r>
        <w:t>sia pure con riferimento alla specifica ipotesi di trasferimento d’azienda</w:t>
      </w:r>
      <w:r w:rsidR="002442EC">
        <w:rPr>
          <w:rStyle w:val="Rimandonotaapidipagina"/>
        </w:rPr>
        <w:footnoteReference w:id="28"/>
      </w:r>
      <w:r w:rsidR="00EF002D">
        <w:t>,</w:t>
      </w:r>
      <w:r>
        <w:t xml:space="preserve"> </w:t>
      </w:r>
      <w:r w:rsidR="002442EC">
        <w:t>ne</w:t>
      </w:r>
      <w:r w:rsidR="00EF002D">
        <w:t xml:space="preserve">lla nota sentenza </w:t>
      </w:r>
      <w:r w:rsidR="002442EC">
        <w:t>“</w:t>
      </w:r>
      <w:r w:rsidR="00EF002D" w:rsidRPr="000F3683">
        <w:rPr>
          <w:i/>
        </w:rPr>
        <w:t>Heineken</w:t>
      </w:r>
      <w:r w:rsidR="002442EC">
        <w:t>”</w:t>
      </w:r>
      <w:r w:rsidR="00EF002D">
        <w:rPr>
          <w:rStyle w:val="Rimandonotaapidipagina"/>
        </w:rPr>
        <w:footnoteReference w:id="29"/>
      </w:r>
      <w:r w:rsidR="00EF002D">
        <w:t xml:space="preserve"> della Corte di Giustizia.</w:t>
      </w:r>
    </w:p>
    <w:p w:rsidR="00BB5CF1" w:rsidRDefault="00BB7F57" w:rsidP="00BB5CF1">
      <w:pPr>
        <w:spacing w:line="360" w:lineRule="auto"/>
        <w:ind w:right="1134"/>
        <w:jc w:val="both"/>
      </w:pPr>
      <w:r>
        <w:t>Il caso traeva origine dalla forma</w:t>
      </w:r>
      <w:r w:rsidR="00D3759A">
        <w:t xml:space="preserve"> di gestione del personale del g</w:t>
      </w:r>
      <w:r>
        <w:t xml:space="preserve">ruppo multinazionale </w:t>
      </w:r>
      <w:r w:rsidR="00BB5CF1">
        <w:t xml:space="preserve">Heineken, </w:t>
      </w:r>
      <w:r>
        <w:t xml:space="preserve">al cui interno i </w:t>
      </w:r>
      <w:r w:rsidR="00BB5CF1">
        <w:t xml:space="preserve">lavoratori </w:t>
      </w:r>
      <w:r>
        <w:t xml:space="preserve">erano tutti </w:t>
      </w:r>
      <w:r w:rsidR="00BB5CF1">
        <w:t>formalmente assunti da</w:t>
      </w:r>
      <w:r>
        <w:t>lla</w:t>
      </w:r>
      <w:r w:rsidR="00BB5CF1">
        <w:t xml:space="preserve"> società olandese Heineken </w:t>
      </w:r>
      <w:proofErr w:type="spellStart"/>
      <w:r w:rsidR="00BB5CF1">
        <w:t>Nederland</w:t>
      </w:r>
      <w:proofErr w:type="spellEnd"/>
      <w:r w:rsidR="00BB5CF1">
        <w:t xml:space="preserve"> </w:t>
      </w:r>
      <w:proofErr w:type="spellStart"/>
      <w:r w:rsidR="00BB5CF1">
        <w:t>Beheer</w:t>
      </w:r>
      <w:proofErr w:type="spellEnd"/>
      <w:r w:rsidR="00BB5CF1">
        <w:t xml:space="preserve"> BV, che poi li distacca</w:t>
      </w:r>
      <w:r>
        <w:t>va</w:t>
      </w:r>
      <w:r w:rsidR="00BB5CF1">
        <w:t xml:space="preserve"> presso le varie consociate del gruppo</w:t>
      </w:r>
      <w:r w:rsidR="004F2279">
        <w:t>,</w:t>
      </w:r>
      <w:r w:rsidR="007E3D14">
        <w:t xml:space="preserve"> dove costoro</w:t>
      </w:r>
      <w:r w:rsidR="00BB5CF1">
        <w:t xml:space="preserve"> si </w:t>
      </w:r>
      <w:r w:rsidR="004F2279">
        <w:t>trovano ad operare</w:t>
      </w:r>
      <w:r w:rsidR="00BB5CF1">
        <w:t xml:space="preserve"> in modo tendenzialmente st</w:t>
      </w:r>
      <w:r>
        <w:t>abile.</w:t>
      </w:r>
    </w:p>
    <w:p w:rsidR="00BB5CF1" w:rsidRDefault="001A4831" w:rsidP="00BB5CF1">
      <w:pPr>
        <w:spacing w:line="360" w:lineRule="auto"/>
        <w:ind w:right="1134"/>
        <w:jc w:val="both"/>
      </w:pPr>
      <w:r>
        <w:t>A</w:t>
      </w:r>
      <w:r w:rsidR="00BB5CF1">
        <w:t xml:space="preserve"> seguito dell’esternalizzazione, avvenuta in </w:t>
      </w:r>
      <w:r w:rsidR="004F2279">
        <w:t xml:space="preserve">favore di </w:t>
      </w:r>
      <w:r w:rsidR="00FD2066">
        <w:t xml:space="preserve">una </w:t>
      </w:r>
      <w:r w:rsidR="004F2279">
        <w:t>società esterna al g</w:t>
      </w:r>
      <w:r>
        <w:t xml:space="preserve">ruppo Heineken (ossia </w:t>
      </w:r>
      <w:smartTag w:uri="urn:schemas-microsoft-com:office:smarttags" w:element="PersonName">
        <w:smartTagPr>
          <w:attr w:name="ProductID" w:val="la Albron"/>
        </w:smartTagPr>
        <w:r>
          <w:t xml:space="preserve">la </w:t>
        </w:r>
        <w:proofErr w:type="spellStart"/>
        <w:r>
          <w:t>A</w:t>
        </w:r>
        <w:r w:rsidR="00BB5CF1">
          <w:t>lbron</w:t>
        </w:r>
      </w:smartTag>
      <w:proofErr w:type="spellEnd"/>
      <w:r w:rsidR="00BB5CF1">
        <w:t>)</w:t>
      </w:r>
      <w:r w:rsidR="000577B4">
        <w:t>,</w:t>
      </w:r>
      <w:r w:rsidR="00BB5CF1">
        <w:t xml:space="preserve"> dei servizi cui era assegnato </w:t>
      </w:r>
      <w:r w:rsidR="000577B4">
        <w:t xml:space="preserve">stabilmente un lavoratore distaccato </w:t>
      </w:r>
      <w:r w:rsidR="00BB5CF1">
        <w:t>presso la cons</w:t>
      </w:r>
      <w:r w:rsidR="000577B4">
        <w:t xml:space="preserve">ociata olandese Heineken BV, alla Corte di Giustizia era stato posto il quesito se, ai sensi della Direttiva, potesse essere </w:t>
      </w:r>
      <w:r w:rsidR="00BB5CF1">
        <w:t>considerat</w:t>
      </w:r>
      <w:r w:rsidR="000577B4">
        <w:t>a</w:t>
      </w:r>
      <w:r w:rsidR="00BB5CF1">
        <w:t xml:space="preserve"> “</w:t>
      </w:r>
      <w:r w:rsidR="00BB5CF1" w:rsidRPr="002442EC">
        <w:rPr>
          <w:i/>
        </w:rPr>
        <w:t>cedente</w:t>
      </w:r>
      <w:r w:rsidR="00BB5CF1">
        <w:t xml:space="preserve">” </w:t>
      </w:r>
      <w:r w:rsidR="000577B4">
        <w:t>anche quest’ultima società, in qualità di “</w:t>
      </w:r>
      <w:r w:rsidR="000577B4" w:rsidRPr="002442EC">
        <w:rPr>
          <w:i/>
        </w:rPr>
        <w:t>datore di lavoro non contrattuale</w:t>
      </w:r>
      <w:r w:rsidR="004F2279">
        <w:t xml:space="preserve">”; </w:t>
      </w:r>
      <w:r w:rsidR="00FD2066">
        <w:t xml:space="preserve">la questione risultava, infatti, decisiva ai fini della risoluzione della controversia “a valle”, in quanto </w:t>
      </w:r>
      <w:r w:rsidR="004F2279">
        <w:t>l’eventuale r</w:t>
      </w:r>
      <w:r w:rsidR="00324DF3">
        <w:t>isposta affermativa della Corte</w:t>
      </w:r>
      <w:r w:rsidR="004F2279">
        <w:t xml:space="preserve"> avrebbe </w:t>
      </w:r>
      <w:r w:rsidR="00FD2066">
        <w:t xml:space="preserve">infatti </w:t>
      </w:r>
      <w:r w:rsidR="004F2279">
        <w:t xml:space="preserve">consentito </w:t>
      </w:r>
      <w:r w:rsidR="000577B4">
        <w:t>di accertare il diritto del dipendente di essere</w:t>
      </w:r>
      <w:r w:rsidR="00BB5CF1">
        <w:t xml:space="preserve"> trasferi</w:t>
      </w:r>
      <w:r w:rsidR="000577B4">
        <w:t xml:space="preserve">to </w:t>
      </w:r>
      <w:r w:rsidR="00BB5CF1" w:rsidRPr="002442EC">
        <w:rPr>
          <w:i/>
        </w:rPr>
        <w:t>ipso iure</w:t>
      </w:r>
      <w:r w:rsidR="00BB5CF1">
        <w:t xml:space="preserve"> alle dipendenze della </w:t>
      </w:r>
      <w:proofErr w:type="spellStart"/>
      <w:r w:rsidR="00BB5CF1">
        <w:t>Albron</w:t>
      </w:r>
      <w:proofErr w:type="spellEnd"/>
      <w:r w:rsidR="000577B4">
        <w:t>, così come previsto, per i casi di trasferimento d’azienda, da</w:t>
      </w:r>
      <w:r w:rsidR="00BB5CF1">
        <w:t>ll’art. 663 del codice civile olandese</w:t>
      </w:r>
      <w:r w:rsidR="00BB5CF1">
        <w:rPr>
          <w:rStyle w:val="Rimandonotaapidipagina"/>
        </w:rPr>
        <w:footnoteReference w:id="30"/>
      </w:r>
      <w:r w:rsidR="00BB5CF1">
        <w:t>.</w:t>
      </w:r>
    </w:p>
    <w:p w:rsidR="00A41ABC" w:rsidRDefault="008829BB" w:rsidP="00BB5CF1">
      <w:pPr>
        <w:spacing w:line="360" w:lineRule="auto"/>
        <w:ind w:right="1134"/>
        <w:jc w:val="both"/>
      </w:pPr>
      <w:r>
        <w:t>Ebbene, pur essendo</w:t>
      </w:r>
      <w:r w:rsidR="00BB5CF1">
        <w:t xml:space="preserve">, nel caso di specie, il quesito sottoposto alla Corte di Giustizia decisamente </w:t>
      </w:r>
      <w:r>
        <w:t xml:space="preserve">orientato verso una </w:t>
      </w:r>
      <w:r w:rsidR="00BB5CF1">
        <w:t>risoluzione del peculiare caso sottopostole</w:t>
      </w:r>
      <w:r w:rsidR="00BB5CF1">
        <w:rPr>
          <w:rStyle w:val="Rimandonotaapidipagina"/>
        </w:rPr>
        <w:footnoteReference w:id="31"/>
      </w:r>
      <w:r w:rsidR="00BB5CF1">
        <w:t xml:space="preserve">, piuttosto che </w:t>
      </w:r>
      <w:r>
        <w:t xml:space="preserve">diretto ad </w:t>
      </w:r>
      <w:r w:rsidR="00BB5CF1">
        <w:t>individua</w:t>
      </w:r>
      <w:r>
        <w:t>re</w:t>
      </w:r>
      <w:r w:rsidR="00BB5CF1">
        <w:t xml:space="preserve"> una regola generale</w:t>
      </w:r>
      <w:r w:rsidR="00A41ABC">
        <w:t xml:space="preserve"> in tema di individuazione del datore di lavoro “effettivo” nei gruppi di imprese</w:t>
      </w:r>
      <w:r w:rsidR="00BB5CF1">
        <w:t xml:space="preserve">, </w:t>
      </w:r>
      <w:smartTag w:uri="urn:schemas-microsoft-com:office:smarttags" w:element="PersonName">
        <w:smartTagPr>
          <w:attr w:name="ProductID" w:val="la Corte"/>
        </w:smartTagPr>
        <w:r w:rsidR="00BB5CF1">
          <w:t>la Corte</w:t>
        </w:r>
      </w:smartTag>
      <w:r w:rsidR="00BB5CF1">
        <w:t xml:space="preserve"> ha svolto alcune </w:t>
      </w:r>
      <w:r w:rsidR="002442EC">
        <w:t xml:space="preserve">interessanti </w:t>
      </w:r>
      <w:r w:rsidR="00BB5CF1">
        <w:t>riflessioni circa la nozione di “</w:t>
      </w:r>
      <w:r w:rsidR="00BB5CF1" w:rsidRPr="002442EC">
        <w:rPr>
          <w:i/>
        </w:rPr>
        <w:t>cambiamento di imprenditore</w:t>
      </w:r>
      <w:r w:rsidR="00BB5CF1">
        <w:t>”</w:t>
      </w:r>
      <w:r w:rsidR="00BB5CF1">
        <w:rPr>
          <w:rStyle w:val="Rimandonotaapidipagina"/>
        </w:rPr>
        <w:footnoteReference w:id="32"/>
      </w:r>
      <w:r w:rsidR="00A41ABC">
        <w:t>,</w:t>
      </w:r>
      <w:r w:rsidR="00BB5CF1">
        <w:t xml:space="preserve"> </w:t>
      </w:r>
      <w:r w:rsidR="00A41ABC">
        <w:t xml:space="preserve">ovvero la </w:t>
      </w:r>
      <w:r w:rsidR="00BB5CF1">
        <w:t>condizione per l’</w:t>
      </w:r>
      <w:r w:rsidR="00A41ABC">
        <w:t xml:space="preserve">operatività delle </w:t>
      </w:r>
      <w:r w:rsidR="00BB5CF1">
        <w:t>garan</w:t>
      </w:r>
      <w:r w:rsidR="00A41ABC">
        <w:t xml:space="preserve">zie previste dalla direttiva in </w:t>
      </w:r>
      <w:r>
        <w:t>tema di trasferimento d’azienda.</w:t>
      </w:r>
      <w:r w:rsidR="00A41ABC">
        <w:t xml:space="preserve"> </w:t>
      </w:r>
    </w:p>
    <w:p w:rsidR="00F85030" w:rsidRDefault="00A41ABC" w:rsidP="00BB5CF1">
      <w:pPr>
        <w:spacing w:line="360" w:lineRule="auto"/>
        <w:ind w:right="1134"/>
        <w:jc w:val="both"/>
      </w:pPr>
      <w:r>
        <w:t xml:space="preserve">Nel </w:t>
      </w:r>
      <w:r w:rsidR="00BB5CF1">
        <w:t>riconosce</w:t>
      </w:r>
      <w:r>
        <w:t>re</w:t>
      </w:r>
      <w:r w:rsidR="00BB5CF1">
        <w:t xml:space="preserve"> come in tale nozione possa rientrare, ai sensi dell’art. 2 direttiva, </w:t>
      </w:r>
      <w:r w:rsidR="00BB5CF1" w:rsidRPr="00A41ABC">
        <w:rPr>
          <w:i/>
        </w:rPr>
        <w:t>anche</w:t>
      </w:r>
      <w:r w:rsidR="00BB5CF1">
        <w:t xml:space="preserve"> l’impresa del gruppo alla quale i lavoratori erano permanentemente assegnati</w:t>
      </w:r>
      <w:r w:rsidR="00966800">
        <w:t>,</w:t>
      </w:r>
      <w:r w:rsidR="00BB5CF1">
        <w:t xml:space="preserve"> </w:t>
      </w:r>
      <w:r w:rsidR="00F85030">
        <w:t xml:space="preserve">pur </w:t>
      </w:r>
      <w:r w:rsidR="00BB5CF1">
        <w:t>senza essere collegati a quest’ultima da un contratto di lavoro (</w:t>
      </w:r>
      <w:r w:rsidR="00966800">
        <w:t>donde la definizione di</w:t>
      </w:r>
      <w:r w:rsidR="00BB5CF1">
        <w:t xml:space="preserve"> “</w:t>
      </w:r>
      <w:r w:rsidR="00BB5CF1" w:rsidRPr="002442EC">
        <w:rPr>
          <w:i/>
        </w:rPr>
        <w:t>datore di lavoro non contrattuale</w:t>
      </w:r>
      <w:r w:rsidR="00BB5CF1">
        <w:t>”)</w:t>
      </w:r>
      <w:r>
        <w:t xml:space="preserve">, con conseguente assunzione da parte di quest’ultima del ruolo di </w:t>
      </w:r>
      <w:r w:rsidR="00BB5CF1">
        <w:t>“</w:t>
      </w:r>
      <w:r w:rsidR="00BB5CF1" w:rsidRPr="005536DD">
        <w:rPr>
          <w:i/>
        </w:rPr>
        <w:t>cedente</w:t>
      </w:r>
      <w:r w:rsidR="00BB5CF1">
        <w:t>”</w:t>
      </w:r>
      <w:r>
        <w:t xml:space="preserve">, </w:t>
      </w:r>
      <w:smartTag w:uri="urn:schemas-microsoft-com:office:smarttags" w:element="PersonName">
        <w:smartTagPr>
          <w:attr w:name="ProductID" w:val="la Corte"/>
        </w:smartTagPr>
        <w:r>
          <w:t>la Corte</w:t>
        </w:r>
      </w:smartTag>
      <w:r>
        <w:t xml:space="preserve"> </w:t>
      </w:r>
      <w:r w:rsidR="001869CA">
        <w:t>sembrerebbe</w:t>
      </w:r>
      <w:r w:rsidR="005536DD">
        <w:t xml:space="preserve"> </w:t>
      </w:r>
      <w:r>
        <w:t>aprire (</w:t>
      </w:r>
      <w:r w:rsidR="001869CA">
        <w:t>tramite</w:t>
      </w:r>
      <w:r w:rsidR="005536DD">
        <w:t xml:space="preserve"> l</w:t>
      </w:r>
      <w:r>
        <w:t>’inserimento della congi</w:t>
      </w:r>
      <w:r w:rsidR="00676E40">
        <w:t>u</w:t>
      </w:r>
      <w:r>
        <w:t xml:space="preserve">nzione copulativa </w:t>
      </w:r>
      <w:r w:rsidR="00676E40">
        <w:t>“</w:t>
      </w:r>
      <w:r w:rsidR="00676E40" w:rsidRPr="00A41ABC">
        <w:rPr>
          <w:i/>
        </w:rPr>
        <w:t>anche</w:t>
      </w:r>
      <w:r w:rsidR="00676E40">
        <w:t xml:space="preserve">”), </w:t>
      </w:r>
      <w:r w:rsidR="00BB5CF1">
        <w:t xml:space="preserve">ad un </w:t>
      </w:r>
      <w:r>
        <w:t xml:space="preserve">contemporaneo </w:t>
      </w:r>
      <w:r w:rsidR="00BB5CF1">
        <w:t>rapporto</w:t>
      </w:r>
      <w:r>
        <w:t xml:space="preserve"> del lavoratore</w:t>
      </w:r>
      <w:r w:rsidR="001869CA">
        <w:t xml:space="preserve"> con entrambi i “datori di lavoro”</w:t>
      </w:r>
      <w:r w:rsidR="00676E40">
        <w:rPr>
          <w:rStyle w:val="Rimandonotaapidipagina"/>
        </w:rPr>
        <w:footnoteReference w:id="33"/>
      </w:r>
      <w:r w:rsidR="00F85030">
        <w:t>.</w:t>
      </w:r>
    </w:p>
    <w:p w:rsidR="00DA3C87" w:rsidRDefault="00F85030" w:rsidP="00BB5CF1">
      <w:pPr>
        <w:spacing w:line="360" w:lineRule="auto"/>
        <w:ind w:right="1134"/>
        <w:jc w:val="both"/>
      </w:pPr>
      <w:r>
        <w:t>I</w:t>
      </w:r>
      <w:r w:rsidR="00BB5CF1">
        <w:t>n real</w:t>
      </w:r>
      <w:r w:rsidR="00676E40">
        <w:t>tà</w:t>
      </w:r>
      <w:r w:rsidR="00A41ABC">
        <w:t xml:space="preserve">, </w:t>
      </w:r>
      <w:r w:rsidR="001869CA">
        <w:t xml:space="preserve">parrebbe forse </w:t>
      </w:r>
      <w:r w:rsidR="00A41ABC">
        <w:t xml:space="preserve">più corretto ritenere che </w:t>
      </w:r>
      <w:smartTag w:uri="urn:schemas-microsoft-com:office:smarttags" w:element="PersonName">
        <w:smartTagPr>
          <w:attr w:name="ProductID" w:val="la Corte"/>
        </w:smartTagPr>
        <w:r w:rsidR="00A41ABC">
          <w:t>la Corte</w:t>
        </w:r>
      </w:smartTag>
      <w:r w:rsidR="00A41ABC">
        <w:t xml:space="preserve"> lasci intendere,</w:t>
      </w:r>
      <w:r w:rsidR="00BB5CF1">
        <w:t xml:space="preserve"> seppure </w:t>
      </w:r>
      <w:r w:rsidR="00BB5CF1" w:rsidRPr="001F18A8">
        <w:rPr>
          <w:i/>
        </w:rPr>
        <w:t>a contrario</w:t>
      </w:r>
      <w:r w:rsidR="00BB5CF1">
        <w:rPr>
          <w:rStyle w:val="Rimandonotaapidipagina"/>
        </w:rPr>
        <w:footnoteReference w:id="34"/>
      </w:r>
      <w:r w:rsidR="00BB5CF1">
        <w:t xml:space="preserve">, </w:t>
      </w:r>
      <w:r w:rsidR="00A41ABC">
        <w:t>una prevalenza del datore di lavoro “</w:t>
      </w:r>
      <w:r w:rsidR="00A41ABC" w:rsidRPr="001869CA">
        <w:rPr>
          <w:i/>
        </w:rPr>
        <w:t>non contrattuale</w:t>
      </w:r>
      <w:r w:rsidR="00A41ABC">
        <w:t xml:space="preserve">” rispetto a quello formale, </w:t>
      </w:r>
      <w:r w:rsidR="001869CA">
        <w:t xml:space="preserve">desumibile dal </w:t>
      </w:r>
      <w:r w:rsidR="00A41ABC">
        <w:t xml:space="preserve">fatto che sia comunque stato riconosciuto il </w:t>
      </w:r>
      <w:r w:rsidR="00676E40">
        <w:t xml:space="preserve">diritto del lavoratore di essere </w:t>
      </w:r>
      <w:r w:rsidR="0070264D">
        <w:t>coinvolto nel trasferimento d’azienda del “</w:t>
      </w:r>
      <w:r w:rsidR="0070264D" w:rsidRPr="0070264D">
        <w:rPr>
          <w:i/>
        </w:rPr>
        <w:t>datore di lavoro non contrattuale</w:t>
      </w:r>
      <w:r w:rsidR="0070264D">
        <w:t xml:space="preserve">” </w:t>
      </w:r>
      <w:r w:rsidR="00B932B7" w:rsidRPr="00B932B7">
        <w:t>Heineken BV</w:t>
      </w:r>
      <w:r w:rsidR="0070264D">
        <w:t>.</w:t>
      </w:r>
    </w:p>
    <w:p w:rsidR="00BB5CF1" w:rsidRDefault="00C473D9" w:rsidP="00BB5CF1">
      <w:pPr>
        <w:spacing w:line="360" w:lineRule="auto"/>
        <w:ind w:right="1134"/>
        <w:jc w:val="both"/>
      </w:pPr>
      <w:r>
        <w:t>Del resto</w:t>
      </w:r>
      <w:r w:rsidR="00DA3C87">
        <w:t xml:space="preserve">, </w:t>
      </w:r>
      <w:r w:rsidR="008C6FEF">
        <w:t xml:space="preserve">ove </w:t>
      </w:r>
      <w:r w:rsidR="00BB5CF1">
        <w:t xml:space="preserve">il </w:t>
      </w:r>
      <w:r w:rsidR="00DA3C87">
        <w:t>“</w:t>
      </w:r>
      <w:r w:rsidR="00BB5CF1" w:rsidRPr="00DA3C87">
        <w:rPr>
          <w:i/>
        </w:rPr>
        <w:t>cedente</w:t>
      </w:r>
      <w:r w:rsidR="00DA3C87">
        <w:t xml:space="preserve">”, </w:t>
      </w:r>
      <w:r w:rsidR="00D67DEA">
        <w:t xml:space="preserve">ovvero chi </w:t>
      </w:r>
      <w:r w:rsidR="00DA3C87">
        <w:t>svolge le funzioni effettive di “</w:t>
      </w:r>
      <w:r w:rsidR="00DA3C87" w:rsidRPr="00D67DEA">
        <w:rPr>
          <w:i/>
        </w:rPr>
        <w:t>imprenditore responsabile dell’attività ceduta</w:t>
      </w:r>
      <w:r w:rsidR="008C6FEF">
        <w:t>”, risulti</w:t>
      </w:r>
      <w:r w:rsidR="00DA3C87">
        <w:t xml:space="preserve"> essere uno</w:t>
      </w:r>
      <w:r w:rsidR="00BB5CF1">
        <w:t xml:space="preserve"> solo</w:t>
      </w:r>
      <w:r w:rsidR="00DA3C87">
        <w:t xml:space="preserve">, </w:t>
      </w:r>
      <w:r w:rsidR="00D67DEA">
        <w:t xml:space="preserve">ne </w:t>
      </w:r>
      <w:r w:rsidR="00DA3C87">
        <w:t>deriva che anche l’imp</w:t>
      </w:r>
      <w:r w:rsidR="00D67DEA">
        <w:t xml:space="preserve">renditore/datore di lavoro non </w:t>
      </w:r>
      <w:r w:rsidR="008C6FEF">
        <w:t xml:space="preserve">possa </w:t>
      </w:r>
      <w:r w:rsidR="00D67DEA">
        <w:t>che</w:t>
      </w:r>
      <w:r w:rsidR="00DA3C87">
        <w:t xml:space="preserve"> essere uno</w:t>
      </w:r>
      <w:r w:rsidR="00D67DEA">
        <w:t xml:space="preserve"> solo</w:t>
      </w:r>
      <w:r w:rsidR="00DA3C87">
        <w:rPr>
          <w:rStyle w:val="Rimandonotaapidipagina"/>
        </w:rPr>
        <w:footnoteReference w:id="35"/>
      </w:r>
      <w:r w:rsidR="00DA3C87">
        <w:t xml:space="preserve">, </w:t>
      </w:r>
      <w:r w:rsidR="00AD0893">
        <w:t xml:space="preserve">risultando pacifico che </w:t>
      </w:r>
      <w:r w:rsidR="00D67DEA">
        <w:t>il lavoratore presta</w:t>
      </w:r>
      <w:r w:rsidR="00AD0893">
        <w:t>sse</w:t>
      </w:r>
      <w:r w:rsidR="00D67DEA">
        <w:t xml:space="preserve"> la propria attività unicamente nell’ambito dell’</w:t>
      </w:r>
      <w:r w:rsidR="00AD0893">
        <w:t xml:space="preserve">impresa controllata, che ne utilizzava stabilmente la prestazione, rendendo sostanzialmente irrilevante il ruolo svolto dalla </w:t>
      </w:r>
      <w:r w:rsidR="00D67DEA">
        <w:t xml:space="preserve">controllante </w:t>
      </w:r>
      <w:r w:rsidR="008C6FEF">
        <w:t>(</w:t>
      </w:r>
      <w:r w:rsidR="00D67DEA">
        <w:t>datore di lavoro</w:t>
      </w:r>
      <w:r w:rsidR="008C6FEF">
        <w:t xml:space="preserve"> formale)</w:t>
      </w:r>
      <w:r w:rsidR="00D67DEA">
        <w:t xml:space="preserve">, </w:t>
      </w:r>
      <w:r w:rsidR="00AD0893">
        <w:t xml:space="preserve">ovvero, a maggior ragione, del </w:t>
      </w:r>
      <w:r w:rsidR="00DA3C87">
        <w:t xml:space="preserve">gruppo di imprese </w:t>
      </w:r>
      <w:r w:rsidR="008C6FEF">
        <w:t>come soggetto unitario</w:t>
      </w:r>
      <w:r w:rsidR="00DA3C87">
        <w:rPr>
          <w:rStyle w:val="Rimandonotaapidipagina"/>
        </w:rPr>
        <w:footnoteReference w:id="36"/>
      </w:r>
      <w:r w:rsidR="00D67DEA">
        <w:t>.</w:t>
      </w:r>
    </w:p>
    <w:p w:rsidR="00BB5CF1" w:rsidRDefault="00495EEB" w:rsidP="00BB5CF1">
      <w:pPr>
        <w:spacing w:line="360" w:lineRule="auto"/>
        <w:ind w:right="1134"/>
        <w:jc w:val="both"/>
      </w:pPr>
      <w:r>
        <w:t xml:space="preserve">Risulta, allora, chiaro il punto di contatto tra la sentenza annotata e la decisione della Corte di Giustizia nel caso “Heineken”, </w:t>
      </w:r>
      <w:r w:rsidR="004D53DC">
        <w:t>avendo entrambe riconosciuto, sia pure in ambiti diversi</w:t>
      </w:r>
      <w:r w:rsidR="00D975CE">
        <w:rPr>
          <w:rStyle w:val="Rimandonotaapidipagina"/>
        </w:rPr>
        <w:footnoteReference w:id="37"/>
      </w:r>
      <w:r w:rsidR="00DB7C70">
        <w:t xml:space="preserve">, </w:t>
      </w:r>
      <w:r w:rsidR="004D53DC">
        <w:t xml:space="preserve">la prevalenza del </w:t>
      </w:r>
      <w:r w:rsidR="00DB7C70">
        <w:t>“</w:t>
      </w:r>
      <w:r w:rsidR="00DB7C70" w:rsidRPr="00DB7C70">
        <w:rPr>
          <w:i/>
        </w:rPr>
        <w:t>vero</w:t>
      </w:r>
      <w:r w:rsidR="00DB7C70">
        <w:t xml:space="preserve">” </w:t>
      </w:r>
      <w:r w:rsidR="004D53DC">
        <w:t xml:space="preserve">datore di lavoro </w:t>
      </w:r>
      <w:r w:rsidR="00EA11D1">
        <w:t>su quello “</w:t>
      </w:r>
      <w:r w:rsidR="00EA11D1" w:rsidRPr="00517DCA">
        <w:rPr>
          <w:i/>
        </w:rPr>
        <w:t>apparente</w:t>
      </w:r>
      <w:r w:rsidR="00EA11D1">
        <w:t xml:space="preserve">” </w:t>
      </w:r>
      <w:r w:rsidR="00BB5CF1">
        <w:t>o “</w:t>
      </w:r>
      <w:r w:rsidR="00BB5CF1" w:rsidRPr="0012627C">
        <w:rPr>
          <w:i/>
        </w:rPr>
        <w:t>non c</w:t>
      </w:r>
      <w:r w:rsidR="00BB5CF1" w:rsidRPr="00517DCA">
        <w:rPr>
          <w:i/>
        </w:rPr>
        <w:t>ontrattuale</w:t>
      </w:r>
      <w:r w:rsidR="00BB5CF1">
        <w:t xml:space="preserve">”, secondo la terminologia </w:t>
      </w:r>
      <w:r w:rsidR="00517DCA">
        <w:t xml:space="preserve">rispettivamente della Cassazione e </w:t>
      </w:r>
      <w:r w:rsidR="00BB5CF1">
        <w:t>della Corte di Giustizia</w:t>
      </w:r>
      <w:r w:rsidR="00D67DEA">
        <w:rPr>
          <w:rStyle w:val="Rimandonotaapidipagina"/>
        </w:rPr>
        <w:footnoteReference w:id="38"/>
      </w:r>
      <w:r w:rsidR="00BB5CF1">
        <w:t xml:space="preserve">. </w:t>
      </w:r>
    </w:p>
    <w:p w:rsidR="00BB5CF1" w:rsidRDefault="00BB5CF1" w:rsidP="00BB5CF1">
      <w:pPr>
        <w:spacing w:line="360" w:lineRule="auto"/>
        <w:ind w:right="1134"/>
        <w:jc w:val="both"/>
        <w:rPr>
          <w:bCs/>
        </w:rPr>
      </w:pPr>
    </w:p>
    <w:p w:rsidR="00BA5889" w:rsidRPr="006C32BD" w:rsidRDefault="003D60E8" w:rsidP="00F219CF">
      <w:pPr>
        <w:spacing w:line="360" w:lineRule="auto"/>
        <w:ind w:right="1134"/>
        <w:jc w:val="both"/>
        <w:rPr>
          <w:b/>
          <w:bCs/>
        </w:rPr>
      </w:pPr>
      <w:r w:rsidRPr="006C32BD">
        <w:rPr>
          <w:b/>
          <w:bCs/>
        </w:rPr>
        <w:t xml:space="preserve">4. </w:t>
      </w:r>
      <w:r w:rsidR="006B5CF6">
        <w:rPr>
          <w:b/>
          <w:bCs/>
        </w:rPr>
        <w:t>La distinzione tra patologia</w:t>
      </w:r>
      <w:r w:rsidR="00A6534C">
        <w:rPr>
          <w:b/>
          <w:bCs/>
        </w:rPr>
        <w:t>, fisiologia</w:t>
      </w:r>
      <w:r w:rsidR="006B5CF6">
        <w:rPr>
          <w:b/>
          <w:bCs/>
        </w:rPr>
        <w:t xml:space="preserve"> ed irrilevanza del g</w:t>
      </w:r>
      <w:r w:rsidR="00F05E6D" w:rsidRPr="006C32BD">
        <w:rPr>
          <w:b/>
          <w:bCs/>
        </w:rPr>
        <w:t>rupp</w:t>
      </w:r>
      <w:r w:rsidR="006B5CF6">
        <w:rPr>
          <w:b/>
          <w:bCs/>
        </w:rPr>
        <w:t>o</w:t>
      </w:r>
    </w:p>
    <w:p w:rsidR="00B3624F" w:rsidRDefault="00570E8D" w:rsidP="00F219CF">
      <w:pPr>
        <w:spacing w:line="360" w:lineRule="auto"/>
        <w:ind w:right="1134"/>
        <w:jc w:val="both"/>
        <w:rPr>
          <w:bCs/>
        </w:rPr>
      </w:pPr>
      <w:r>
        <w:rPr>
          <w:bCs/>
        </w:rPr>
        <w:t xml:space="preserve">Nonostante il caso </w:t>
      </w:r>
      <w:r w:rsidR="002111FD">
        <w:rPr>
          <w:bCs/>
        </w:rPr>
        <w:t>sottoposto all’</w:t>
      </w:r>
      <w:r w:rsidR="00B27F06">
        <w:rPr>
          <w:bCs/>
        </w:rPr>
        <w:t xml:space="preserve">attenzione </w:t>
      </w:r>
      <w:r w:rsidR="00FC68F0">
        <w:rPr>
          <w:bCs/>
        </w:rPr>
        <w:t>della Cassazione</w:t>
      </w:r>
      <w:r w:rsidR="007B4AEA">
        <w:rPr>
          <w:bCs/>
        </w:rPr>
        <w:t xml:space="preserve">, risolto con una coerente ricostruzione della fattispecie </w:t>
      </w:r>
      <w:proofErr w:type="spellStart"/>
      <w:r w:rsidR="007B4AEA">
        <w:rPr>
          <w:bCs/>
        </w:rPr>
        <w:t>interpositoria</w:t>
      </w:r>
      <w:proofErr w:type="spellEnd"/>
      <w:r w:rsidR="007B4AEA">
        <w:rPr>
          <w:bCs/>
        </w:rPr>
        <w:t xml:space="preserve"> realizzatasi nell’ambito del gruppo, </w:t>
      </w:r>
      <w:r w:rsidR="002111FD">
        <w:rPr>
          <w:bCs/>
        </w:rPr>
        <w:t xml:space="preserve">non richiedesse </w:t>
      </w:r>
      <w:r w:rsidR="007B4AEA">
        <w:rPr>
          <w:bCs/>
        </w:rPr>
        <w:t xml:space="preserve">probabilmente </w:t>
      </w:r>
      <w:r w:rsidR="00DA3AFE">
        <w:rPr>
          <w:bCs/>
        </w:rPr>
        <w:t xml:space="preserve">ulteriori </w:t>
      </w:r>
      <w:r w:rsidR="003220A8">
        <w:rPr>
          <w:bCs/>
        </w:rPr>
        <w:t>approfondimen</w:t>
      </w:r>
      <w:r w:rsidR="00DA3AFE">
        <w:rPr>
          <w:bCs/>
        </w:rPr>
        <w:t xml:space="preserve">ti dedicati al gruppo, </w:t>
      </w:r>
      <w:smartTag w:uri="urn:schemas-microsoft-com:office:smarttags" w:element="PersonName">
        <w:smartTagPr>
          <w:attr w:name="ProductID" w:val="la Corte"/>
        </w:smartTagPr>
        <w:r w:rsidR="00B3624F">
          <w:rPr>
            <w:bCs/>
          </w:rPr>
          <w:t>l</w:t>
        </w:r>
        <w:r w:rsidR="00936930">
          <w:rPr>
            <w:bCs/>
          </w:rPr>
          <w:t>a Corte</w:t>
        </w:r>
      </w:smartTag>
      <w:r w:rsidR="00936930">
        <w:rPr>
          <w:bCs/>
        </w:rPr>
        <w:t xml:space="preserve"> </w:t>
      </w:r>
      <w:r w:rsidR="000D45C2">
        <w:rPr>
          <w:bCs/>
        </w:rPr>
        <w:t xml:space="preserve">ha </w:t>
      </w:r>
      <w:r w:rsidR="009C121E">
        <w:rPr>
          <w:bCs/>
        </w:rPr>
        <w:t>tuttavia</w:t>
      </w:r>
      <w:r w:rsidR="007A79B9">
        <w:rPr>
          <w:bCs/>
        </w:rPr>
        <w:t xml:space="preserve"> </w:t>
      </w:r>
      <w:r w:rsidR="003220A8">
        <w:rPr>
          <w:bCs/>
        </w:rPr>
        <w:t xml:space="preserve">ritenuto opportuno svolgere </w:t>
      </w:r>
      <w:r w:rsidR="00DA3AFE">
        <w:rPr>
          <w:bCs/>
        </w:rPr>
        <w:t>alcune precisazioni</w:t>
      </w:r>
      <w:r w:rsidR="003220A8">
        <w:rPr>
          <w:bCs/>
        </w:rPr>
        <w:t xml:space="preserve"> sul</w:t>
      </w:r>
      <w:r w:rsidR="00B3624F">
        <w:rPr>
          <w:bCs/>
        </w:rPr>
        <w:t xml:space="preserve">le varie forme in cui può evolversi </w:t>
      </w:r>
      <w:r w:rsidR="003220A8">
        <w:rPr>
          <w:bCs/>
        </w:rPr>
        <w:t>“</w:t>
      </w:r>
      <w:r w:rsidR="00B3624F" w:rsidRPr="007B4AEA">
        <w:rPr>
          <w:bCs/>
          <w:i/>
        </w:rPr>
        <w:t>il fenomeno dell’integrazione societaria</w:t>
      </w:r>
      <w:r w:rsidR="003220A8">
        <w:rPr>
          <w:bCs/>
        </w:rPr>
        <w:t>”</w:t>
      </w:r>
      <w:r w:rsidR="00B3624F">
        <w:rPr>
          <w:bCs/>
        </w:rPr>
        <w:t>.</w:t>
      </w:r>
    </w:p>
    <w:p w:rsidR="007A79B9" w:rsidRDefault="007A79B9" w:rsidP="00F219CF">
      <w:pPr>
        <w:spacing w:line="360" w:lineRule="auto"/>
        <w:ind w:right="1134"/>
        <w:jc w:val="both"/>
        <w:rPr>
          <w:bCs/>
        </w:rPr>
      </w:pPr>
      <w:r>
        <w:rPr>
          <w:bCs/>
        </w:rPr>
        <w:t xml:space="preserve">In particolare, ad avviso della Corte, andrebbero </w:t>
      </w:r>
      <w:r w:rsidR="004F02E7">
        <w:rPr>
          <w:bCs/>
        </w:rPr>
        <w:t xml:space="preserve">sostanzialmente </w:t>
      </w:r>
      <w:r w:rsidR="00B3624F">
        <w:rPr>
          <w:bCs/>
        </w:rPr>
        <w:t>distinte tre ipotesi</w:t>
      </w:r>
      <w:r w:rsidR="0055161A">
        <w:rPr>
          <w:bCs/>
        </w:rPr>
        <w:t>, ovvero:</w:t>
      </w:r>
      <w:r w:rsidR="00B3624F">
        <w:rPr>
          <w:bCs/>
        </w:rPr>
        <w:t xml:space="preserve"> </w:t>
      </w:r>
    </w:p>
    <w:p w:rsidR="0055161A" w:rsidRDefault="0055161A" w:rsidP="0055161A">
      <w:pPr>
        <w:numPr>
          <w:ilvl w:val="0"/>
          <w:numId w:val="6"/>
        </w:numPr>
        <w:spacing w:line="360" w:lineRule="auto"/>
        <w:ind w:right="1134"/>
        <w:jc w:val="both"/>
        <w:rPr>
          <w:bCs/>
        </w:rPr>
      </w:pPr>
      <w:proofErr w:type="gramStart"/>
      <w:r>
        <w:rPr>
          <w:bCs/>
        </w:rPr>
        <w:t>i</w:t>
      </w:r>
      <w:proofErr w:type="gramEnd"/>
      <w:r>
        <w:rPr>
          <w:bCs/>
        </w:rPr>
        <w:t xml:space="preserve"> casi “</w:t>
      </w:r>
      <w:r w:rsidRPr="00C80FAD">
        <w:rPr>
          <w:bCs/>
          <w:i/>
        </w:rPr>
        <w:t>patologici</w:t>
      </w:r>
      <w:r>
        <w:rPr>
          <w:bCs/>
        </w:rPr>
        <w:t>”, ovvero di uso “</w:t>
      </w:r>
      <w:r w:rsidRPr="002909C5">
        <w:rPr>
          <w:bCs/>
          <w:i/>
        </w:rPr>
        <w:t>strumentale</w:t>
      </w:r>
      <w:r>
        <w:rPr>
          <w:bCs/>
        </w:rPr>
        <w:t>” o “</w:t>
      </w:r>
      <w:r w:rsidRPr="002909C5">
        <w:rPr>
          <w:bCs/>
          <w:i/>
        </w:rPr>
        <w:t>opportunistico</w:t>
      </w:r>
      <w:r>
        <w:rPr>
          <w:bCs/>
        </w:rPr>
        <w:t xml:space="preserve">” del gruppo, </w:t>
      </w:r>
      <w:r w:rsidR="002909C5">
        <w:rPr>
          <w:bCs/>
        </w:rPr>
        <w:t xml:space="preserve">in cui </w:t>
      </w:r>
      <w:r>
        <w:rPr>
          <w:bCs/>
        </w:rPr>
        <w:t>“</w:t>
      </w:r>
      <w:r w:rsidR="00063598" w:rsidRPr="00F2266D">
        <w:rPr>
          <w:bCs/>
          <w:i/>
        </w:rPr>
        <w:t>la direzione ed  il coordinamento che compete alla società capogruppo</w:t>
      </w:r>
      <w:r w:rsidR="00C80FAD" w:rsidRPr="00F2266D">
        <w:rPr>
          <w:bCs/>
          <w:i/>
        </w:rPr>
        <w:t xml:space="preserve"> </w:t>
      </w:r>
      <w:r w:rsidR="00063598" w:rsidRPr="00F2266D">
        <w:rPr>
          <w:bCs/>
          <w:i/>
        </w:rPr>
        <w:t>riflette una ingerenza talmente pervasiva da annullare l’autonomia organizzativa delle singole società operative</w:t>
      </w:r>
      <w:r>
        <w:rPr>
          <w:bCs/>
        </w:rPr>
        <w:t>;</w:t>
      </w:r>
    </w:p>
    <w:p w:rsidR="00C80FAD" w:rsidRDefault="002909C5" w:rsidP="0055161A">
      <w:pPr>
        <w:numPr>
          <w:ilvl w:val="0"/>
          <w:numId w:val="6"/>
        </w:numPr>
        <w:spacing w:line="360" w:lineRule="auto"/>
        <w:ind w:right="1134"/>
        <w:jc w:val="both"/>
        <w:rPr>
          <w:bCs/>
        </w:rPr>
      </w:pPr>
      <w:proofErr w:type="gramStart"/>
      <w:r>
        <w:rPr>
          <w:bCs/>
        </w:rPr>
        <w:t>le</w:t>
      </w:r>
      <w:proofErr w:type="gramEnd"/>
      <w:r>
        <w:rPr>
          <w:bCs/>
        </w:rPr>
        <w:t xml:space="preserve"> ipotesi di</w:t>
      </w:r>
      <w:r w:rsidR="00C80FAD">
        <w:rPr>
          <w:bCs/>
        </w:rPr>
        <w:t xml:space="preserve"> gruppi “</w:t>
      </w:r>
      <w:r w:rsidR="00C80FAD" w:rsidRPr="00C80FAD">
        <w:rPr>
          <w:bCs/>
          <w:i/>
        </w:rPr>
        <w:t>genuini</w:t>
      </w:r>
      <w:r w:rsidR="00C80FAD">
        <w:rPr>
          <w:bCs/>
        </w:rPr>
        <w:t>”, ma fortemente integrati, in cui può acquisire rilevanza un “</w:t>
      </w:r>
      <w:r w:rsidR="00C80FAD" w:rsidRPr="00F2266D">
        <w:rPr>
          <w:bCs/>
          <w:i/>
        </w:rPr>
        <w:t>interesse unitario di gruppo</w:t>
      </w:r>
      <w:r w:rsidR="00C80FAD">
        <w:rPr>
          <w:bCs/>
        </w:rPr>
        <w:t xml:space="preserve">”, </w:t>
      </w:r>
      <w:r w:rsidR="00F2266D">
        <w:rPr>
          <w:bCs/>
        </w:rPr>
        <w:t>eventuale “</w:t>
      </w:r>
      <w:r w:rsidR="00C8036F" w:rsidRPr="00F2266D">
        <w:rPr>
          <w:bCs/>
          <w:i/>
        </w:rPr>
        <w:t>presupposto per una valutazione differenziata che la rilevanza dell’interesse unitario di gruppo manifesta rispetto all’adempimento delle obbligazioni che risultano funzionali alla r</w:t>
      </w:r>
      <w:r w:rsidR="000D45C2" w:rsidRPr="00F2266D">
        <w:rPr>
          <w:bCs/>
          <w:i/>
        </w:rPr>
        <w:t>ealizzazione di tal</w:t>
      </w:r>
      <w:r w:rsidRPr="00F2266D">
        <w:rPr>
          <w:bCs/>
          <w:i/>
        </w:rPr>
        <w:t>e interesse</w:t>
      </w:r>
      <w:r>
        <w:rPr>
          <w:bCs/>
        </w:rPr>
        <w:t>”;</w:t>
      </w:r>
      <w:r w:rsidR="000D45C2">
        <w:rPr>
          <w:bCs/>
        </w:rPr>
        <w:t xml:space="preserve"> </w:t>
      </w:r>
    </w:p>
    <w:p w:rsidR="00F2266D" w:rsidRDefault="002909C5" w:rsidP="0055161A">
      <w:pPr>
        <w:numPr>
          <w:ilvl w:val="0"/>
          <w:numId w:val="6"/>
        </w:numPr>
        <w:spacing w:line="360" w:lineRule="auto"/>
        <w:ind w:right="1134"/>
        <w:jc w:val="both"/>
        <w:rPr>
          <w:bCs/>
        </w:rPr>
      </w:pPr>
      <w:proofErr w:type="gramStart"/>
      <w:r>
        <w:rPr>
          <w:bCs/>
        </w:rPr>
        <w:t>i</w:t>
      </w:r>
      <w:proofErr w:type="gramEnd"/>
      <w:r>
        <w:rPr>
          <w:bCs/>
        </w:rPr>
        <w:t xml:space="preserve"> casi </w:t>
      </w:r>
      <w:r w:rsidR="000D45C2">
        <w:rPr>
          <w:bCs/>
        </w:rPr>
        <w:t>di sostanziale irrilevanza</w:t>
      </w:r>
      <w:r>
        <w:rPr>
          <w:bCs/>
        </w:rPr>
        <w:t xml:space="preserve"> del gruppo, </w:t>
      </w:r>
      <w:r w:rsidR="00B143E6">
        <w:rPr>
          <w:bCs/>
        </w:rPr>
        <w:t>in cui vi è una “</w:t>
      </w:r>
      <w:r w:rsidR="00B143E6" w:rsidRPr="00B143E6">
        <w:rPr>
          <w:bCs/>
          <w:i/>
        </w:rPr>
        <w:t xml:space="preserve">determinazione generale degli obiettivi </w:t>
      </w:r>
      <w:r w:rsidR="00B143E6" w:rsidRPr="00B143E6">
        <w:rPr>
          <w:bCs/>
        </w:rPr>
        <w:t>strategici</w:t>
      </w:r>
      <w:r w:rsidR="00B143E6">
        <w:rPr>
          <w:bCs/>
        </w:rPr>
        <w:t xml:space="preserve">, </w:t>
      </w:r>
      <w:r w:rsidR="00B143E6" w:rsidRPr="00B143E6">
        <w:rPr>
          <w:bCs/>
        </w:rPr>
        <w:t>anche</w:t>
      </w:r>
      <w:r w:rsidR="00B143E6">
        <w:rPr>
          <w:bCs/>
        </w:rPr>
        <w:t xml:space="preserve"> in tema di “</w:t>
      </w:r>
      <w:r w:rsidR="00B143E6" w:rsidRPr="00B143E6">
        <w:rPr>
          <w:bCs/>
          <w:i/>
        </w:rPr>
        <w:t>politiche del personale, ma senza alcuna incidenza sulla concreta gestione del personale e sulla destinazione della prestazione alla società che assume la veste di datore di lavoro</w:t>
      </w:r>
      <w:r w:rsidR="00B143E6">
        <w:rPr>
          <w:bCs/>
        </w:rPr>
        <w:t>”;</w:t>
      </w:r>
    </w:p>
    <w:p w:rsidR="00F2266D" w:rsidRDefault="00635070" w:rsidP="00F2266D">
      <w:pPr>
        <w:spacing w:line="360" w:lineRule="auto"/>
        <w:ind w:left="60" w:right="1134"/>
        <w:jc w:val="both"/>
        <w:rPr>
          <w:bCs/>
        </w:rPr>
      </w:pPr>
      <w:r>
        <w:rPr>
          <w:bCs/>
        </w:rPr>
        <w:t xml:space="preserve">Se </w:t>
      </w:r>
      <w:r w:rsidR="00F2266D">
        <w:rPr>
          <w:bCs/>
        </w:rPr>
        <w:t>all</w:t>
      </w:r>
      <w:r>
        <w:rPr>
          <w:bCs/>
        </w:rPr>
        <w:t xml:space="preserve">’interno dell’ipotesi </w:t>
      </w:r>
      <w:r w:rsidR="008C7068" w:rsidRPr="008C7068">
        <w:rPr>
          <w:bCs/>
          <w:i/>
        </w:rPr>
        <w:t>sub</w:t>
      </w:r>
      <w:r w:rsidR="008C7068">
        <w:rPr>
          <w:bCs/>
        </w:rPr>
        <w:t xml:space="preserve"> </w:t>
      </w:r>
      <w:r>
        <w:rPr>
          <w:bCs/>
        </w:rPr>
        <w:t xml:space="preserve">c) </w:t>
      </w:r>
      <w:r w:rsidR="00F2266D">
        <w:rPr>
          <w:bCs/>
        </w:rPr>
        <w:t xml:space="preserve">pare potersi </w:t>
      </w:r>
      <w:r>
        <w:rPr>
          <w:bCs/>
        </w:rPr>
        <w:t xml:space="preserve">ragionevolmente affermare rientrino i casi di rilevanza soltanto interna del gruppo, </w:t>
      </w:r>
      <w:r w:rsidR="008C7068">
        <w:rPr>
          <w:bCs/>
        </w:rPr>
        <w:t xml:space="preserve">dovuta ad un utilizzo </w:t>
      </w:r>
      <w:r>
        <w:rPr>
          <w:bCs/>
        </w:rPr>
        <w:t xml:space="preserve">distinto </w:t>
      </w:r>
      <w:r w:rsidR="00742756">
        <w:rPr>
          <w:bCs/>
        </w:rPr>
        <w:t>(</w:t>
      </w:r>
      <w:r w:rsidR="0032625D">
        <w:rPr>
          <w:bCs/>
        </w:rPr>
        <w:t xml:space="preserve">ossia </w:t>
      </w:r>
      <w:r w:rsidR="00742756">
        <w:rPr>
          <w:bCs/>
        </w:rPr>
        <w:t xml:space="preserve">non promiscuo) </w:t>
      </w:r>
      <w:r>
        <w:rPr>
          <w:bCs/>
        </w:rPr>
        <w:t xml:space="preserve">del personale tra le varie società, </w:t>
      </w:r>
      <w:r w:rsidR="008C7068">
        <w:rPr>
          <w:bCs/>
        </w:rPr>
        <w:t>ovvero all’</w:t>
      </w:r>
      <w:r w:rsidR="00C80FAD">
        <w:rPr>
          <w:bCs/>
        </w:rPr>
        <w:t xml:space="preserve">accentramento dei poteri nel limite dell’art. 31 </w:t>
      </w:r>
      <w:proofErr w:type="spellStart"/>
      <w:r w:rsidR="00C80FAD">
        <w:rPr>
          <w:bCs/>
        </w:rPr>
        <w:t>D.Lgs.</w:t>
      </w:r>
      <w:proofErr w:type="spellEnd"/>
      <w:r w:rsidR="00C80FAD">
        <w:rPr>
          <w:bCs/>
        </w:rPr>
        <w:t xml:space="preserve"> 276/2003</w:t>
      </w:r>
      <w:r w:rsidR="00C80FAD">
        <w:rPr>
          <w:rStyle w:val="Rimandonotaapidipagina"/>
          <w:bCs/>
        </w:rPr>
        <w:footnoteReference w:id="39"/>
      </w:r>
      <w:r>
        <w:rPr>
          <w:bCs/>
        </w:rPr>
        <w:t>, m</w:t>
      </w:r>
      <w:r w:rsidR="00F2266D">
        <w:rPr>
          <w:bCs/>
        </w:rPr>
        <w:t xml:space="preserve">eno agevole risulta </w:t>
      </w:r>
      <w:r>
        <w:rPr>
          <w:bCs/>
        </w:rPr>
        <w:t xml:space="preserve">in concreto </w:t>
      </w:r>
      <w:r w:rsidR="00F2266D">
        <w:rPr>
          <w:bCs/>
        </w:rPr>
        <w:t xml:space="preserve">la differenziazione tra </w:t>
      </w:r>
      <w:r w:rsidR="008C7068">
        <w:rPr>
          <w:bCs/>
        </w:rPr>
        <w:t>le ipotesi a</w:t>
      </w:r>
      <w:r w:rsidR="00F2266D">
        <w:rPr>
          <w:bCs/>
        </w:rPr>
        <w:t>) e b)</w:t>
      </w:r>
      <w:r w:rsidR="008C7068">
        <w:rPr>
          <w:bCs/>
        </w:rPr>
        <w:t xml:space="preserve"> </w:t>
      </w:r>
      <w:r w:rsidR="003A5F0D">
        <w:rPr>
          <w:bCs/>
        </w:rPr>
        <w:t>di cui sopra.</w:t>
      </w:r>
    </w:p>
    <w:p w:rsidR="002A5511" w:rsidRDefault="00C80FAD" w:rsidP="00521AAE">
      <w:pPr>
        <w:spacing w:line="360" w:lineRule="auto"/>
        <w:ind w:right="1134"/>
        <w:jc w:val="both"/>
        <w:rPr>
          <w:bCs/>
        </w:rPr>
      </w:pPr>
      <w:r>
        <w:rPr>
          <w:bCs/>
        </w:rPr>
        <w:t>Ai fini della comprensione d</w:t>
      </w:r>
      <w:r w:rsidR="003A5F0D">
        <w:rPr>
          <w:bCs/>
        </w:rPr>
        <w:t xml:space="preserve">i tale distinzione, </w:t>
      </w:r>
      <w:r>
        <w:rPr>
          <w:bCs/>
        </w:rPr>
        <w:t>risulta utile ricordare come, a</w:t>
      </w:r>
      <w:r w:rsidR="0090641A">
        <w:rPr>
          <w:bCs/>
        </w:rPr>
        <w:t xml:space="preserve"> fronte del frequente ricorso da parte delle imprese ad articolazioni</w:t>
      </w:r>
      <w:r w:rsidR="0032625D">
        <w:rPr>
          <w:bCs/>
        </w:rPr>
        <w:t xml:space="preserve"> sempre più complesse</w:t>
      </w:r>
      <w:r w:rsidR="003A5F0D">
        <w:rPr>
          <w:bCs/>
        </w:rPr>
        <w:t xml:space="preserve">, </w:t>
      </w:r>
      <w:r w:rsidR="000A25D7">
        <w:rPr>
          <w:bCs/>
        </w:rPr>
        <w:t>la giurisprudenza, sin dagli fine degli anni settanta del secolo scorso</w:t>
      </w:r>
      <w:r w:rsidR="000A25D7">
        <w:rPr>
          <w:rStyle w:val="Rimandonotaapidipagina"/>
          <w:bCs/>
        </w:rPr>
        <w:footnoteReference w:id="40"/>
      </w:r>
      <w:r w:rsidR="003A5F0D">
        <w:rPr>
          <w:bCs/>
        </w:rPr>
        <w:t xml:space="preserve"> ed </w:t>
      </w:r>
      <w:r w:rsidR="000A25D7">
        <w:rPr>
          <w:bCs/>
        </w:rPr>
        <w:t>in coincidenza con una fase storica di disaggregazione dell’impresa</w:t>
      </w:r>
      <w:r w:rsidR="00EE1296">
        <w:rPr>
          <w:rStyle w:val="Rimandonotaapidipagina"/>
          <w:bCs/>
        </w:rPr>
        <w:footnoteReference w:id="41"/>
      </w:r>
      <w:r w:rsidR="000A25D7">
        <w:rPr>
          <w:bCs/>
        </w:rPr>
        <w:t xml:space="preserve">, si è posta il problema </w:t>
      </w:r>
      <w:r w:rsidR="0090641A">
        <w:rPr>
          <w:bCs/>
        </w:rPr>
        <w:t xml:space="preserve">di valutare se e a quali condizioni l’impiego di un lavoratore nell’ambito di un gruppo di imprese </w:t>
      </w:r>
      <w:r w:rsidR="000A25D7">
        <w:rPr>
          <w:bCs/>
        </w:rPr>
        <w:t>meritasse una tutela differenziata rispetto a</w:t>
      </w:r>
      <w:r w:rsidR="003A5F0D">
        <w:rPr>
          <w:bCs/>
        </w:rPr>
        <w:t xml:space="preserve">lla posizione </w:t>
      </w:r>
      <w:r w:rsidR="000A25D7">
        <w:rPr>
          <w:bCs/>
        </w:rPr>
        <w:t xml:space="preserve">del lavoratore </w:t>
      </w:r>
      <w:r w:rsidR="003A5F0D">
        <w:rPr>
          <w:bCs/>
        </w:rPr>
        <w:t xml:space="preserve">impiegato </w:t>
      </w:r>
      <w:r w:rsidR="000A25D7">
        <w:rPr>
          <w:bCs/>
        </w:rPr>
        <w:t>alle dipendenze d</w:t>
      </w:r>
      <w:r w:rsidR="003A5F0D">
        <w:rPr>
          <w:bCs/>
        </w:rPr>
        <w:t>i un’impresa di tipo “atomistico</w:t>
      </w:r>
      <w:r w:rsidR="000A25D7">
        <w:rPr>
          <w:bCs/>
        </w:rPr>
        <w:t xml:space="preserve">”, </w:t>
      </w:r>
      <w:r w:rsidR="003A5F0D">
        <w:rPr>
          <w:bCs/>
        </w:rPr>
        <w:t xml:space="preserve">nutrendo il timore </w:t>
      </w:r>
      <w:r w:rsidR="000A25D7">
        <w:rPr>
          <w:bCs/>
        </w:rPr>
        <w:t xml:space="preserve">che </w:t>
      </w:r>
      <w:r w:rsidR="003A5F0D">
        <w:rPr>
          <w:bCs/>
        </w:rPr>
        <w:t xml:space="preserve">l’articolazione in gruppo </w:t>
      </w:r>
      <w:r w:rsidR="000A25D7">
        <w:rPr>
          <w:bCs/>
        </w:rPr>
        <w:t xml:space="preserve">potesse essere utilizzata con finalità elusive </w:t>
      </w:r>
      <w:r w:rsidR="003A5F0D">
        <w:rPr>
          <w:bCs/>
        </w:rPr>
        <w:t>delle tutele previste in ma</w:t>
      </w:r>
      <w:r w:rsidR="00326BDF">
        <w:rPr>
          <w:bCs/>
        </w:rPr>
        <w:t>teria di lavoro; così ragionando, la giurisprudenza ha c</w:t>
      </w:r>
      <w:r w:rsidR="005E14FA">
        <w:rPr>
          <w:bCs/>
        </w:rPr>
        <w:t xml:space="preserve">ercato di </w:t>
      </w:r>
      <w:r w:rsidR="00BF765E">
        <w:rPr>
          <w:bCs/>
        </w:rPr>
        <w:t xml:space="preserve">isolare, </w:t>
      </w:r>
      <w:r w:rsidR="00412474">
        <w:rPr>
          <w:bCs/>
        </w:rPr>
        <w:t xml:space="preserve">mediante </w:t>
      </w:r>
      <w:r w:rsidR="000564E7">
        <w:rPr>
          <w:bCs/>
        </w:rPr>
        <w:t xml:space="preserve">alcuni </w:t>
      </w:r>
      <w:r w:rsidR="00412474">
        <w:rPr>
          <w:bCs/>
        </w:rPr>
        <w:t>indici</w:t>
      </w:r>
      <w:r w:rsidR="000564E7">
        <w:rPr>
          <w:bCs/>
        </w:rPr>
        <w:t>,</w:t>
      </w:r>
      <w:r w:rsidR="00412474">
        <w:rPr>
          <w:bCs/>
        </w:rPr>
        <w:t xml:space="preserve"> </w:t>
      </w:r>
      <w:r w:rsidR="00BF765E">
        <w:rPr>
          <w:bCs/>
        </w:rPr>
        <w:t xml:space="preserve">contenuti in una massima </w:t>
      </w:r>
      <w:r w:rsidR="00412474">
        <w:rPr>
          <w:bCs/>
        </w:rPr>
        <w:t xml:space="preserve">tutt’ora </w:t>
      </w:r>
      <w:r w:rsidR="007E5DBB">
        <w:rPr>
          <w:bCs/>
        </w:rPr>
        <w:t xml:space="preserve">richiamata </w:t>
      </w:r>
      <w:r w:rsidR="00412474">
        <w:rPr>
          <w:bCs/>
        </w:rPr>
        <w:t>dal</w:t>
      </w:r>
      <w:r w:rsidR="007E5DBB">
        <w:rPr>
          <w:bCs/>
        </w:rPr>
        <w:t>le pronunce in tema</w:t>
      </w:r>
      <w:r w:rsidR="00832027">
        <w:rPr>
          <w:rStyle w:val="Rimandonotaapidipagina"/>
          <w:bCs/>
        </w:rPr>
        <w:footnoteReference w:id="42"/>
      </w:r>
      <w:r w:rsidR="00ED4436">
        <w:rPr>
          <w:bCs/>
        </w:rPr>
        <w:t xml:space="preserve">, </w:t>
      </w:r>
      <w:r w:rsidR="005E14FA">
        <w:rPr>
          <w:bCs/>
        </w:rPr>
        <w:t xml:space="preserve">le ipotesi in cui </w:t>
      </w:r>
      <w:r w:rsidR="00ED4436">
        <w:rPr>
          <w:bCs/>
        </w:rPr>
        <w:t xml:space="preserve">il collegamento societario </w:t>
      </w:r>
      <w:r w:rsidR="00326BDF">
        <w:rPr>
          <w:bCs/>
        </w:rPr>
        <w:t>celava</w:t>
      </w:r>
      <w:r w:rsidR="002A5511">
        <w:rPr>
          <w:bCs/>
        </w:rPr>
        <w:t xml:space="preserve"> </w:t>
      </w:r>
      <w:r w:rsidR="007E5DBB">
        <w:rPr>
          <w:bCs/>
        </w:rPr>
        <w:t>“</w:t>
      </w:r>
      <w:r w:rsidR="00C173DC" w:rsidRPr="003A40B9">
        <w:rPr>
          <w:bCs/>
          <w:i/>
        </w:rPr>
        <w:t xml:space="preserve">una simulazione o una preordinazione </w:t>
      </w:r>
      <w:r w:rsidR="003A40B9" w:rsidRPr="003A40B9">
        <w:rPr>
          <w:bCs/>
          <w:i/>
        </w:rPr>
        <w:t>in frode alla legge</w:t>
      </w:r>
      <w:r w:rsidR="006B5CF6">
        <w:rPr>
          <w:bCs/>
          <w:i/>
        </w:rPr>
        <w:t>, mediante il</w:t>
      </w:r>
      <w:r w:rsidR="003A40B9" w:rsidRPr="003A40B9">
        <w:rPr>
          <w:bCs/>
          <w:i/>
        </w:rPr>
        <w:t xml:space="preserve"> frazionamento di un’unica attività tra i vari soggetti del collegamento economico-funzionale</w:t>
      </w:r>
      <w:r w:rsidR="003A40B9">
        <w:rPr>
          <w:bCs/>
        </w:rPr>
        <w:t>”</w:t>
      </w:r>
      <w:r w:rsidR="007E6557">
        <w:rPr>
          <w:rStyle w:val="Rimandonotaapidipagina"/>
          <w:bCs/>
        </w:rPr>
        <w:footnoteReference w:id="43"/>
      </w:r>
      <w:r w:rsidR="003A40B9">
        <w:rPr>
          <w:bCs/>
        </w:rPr>
        <w:t>.</w:t>
      </w:r>
      <w:r w:rsidR="002A5511">
        <w:rPr>
          <w:bCs/>
        </w:rPr>
        <w:t xml:space="preserve"> </w:t>
      </w:r>
    </w:p>
    <w:p w:rsidR="0022639D" w:rsidRDefault="002A5511" w:rsidP="00521AAE">
      <w:pPr>
        <w:spacing w:line="360" w:lineRule="auto"/>
        <w:ind w:right="1134"/>
        <w:jc w:val="both"/>
        <w:rPr>
          <w:bCs/>
        </w:rPr>
      </w:pPr>
      <w:r>
        <w:rPr>
          <w:bCs/>
        </w:rPr>
        <w:t>Tuttavia, se</w:t>
      </w:r>
      <w:r w:rsidR="002C2816">
        <w:rPr>
          <w:bCs/>
        </w:rPr>
        <w:t>,</w:t>
      </w:r>
      <w:r w:rsidR="00ED4436">
        <w:rPr>
          <w:bCs/>
        </w:rPr>
        <w:t xml:space="preserve"> d</w:t>
      </w:r>
      <w:r w:rsidR="002C2816">
        <w:rPr>
          <w:bCs/>
        </w:rPr>
        <w:t>a un lato,</w:t>
      </w:r>
      <w:r w:rsidR="00F9385C">
        <w:rPr>
          <w:bCs/>
        </w:rPr>
        <w:t xml:space="preserve"> alcune pronunce si sono espresse nel senso che “</w:t>
      </w:r>
      <w:r w:rsidR="00F9385C" w:rsidRPr="00B015F3">
        <w:rPr>
          <w:bCs/>
          <w:i/>
        </w:rPr>
        <w:t>la finalità fraudolenta deve risultare</w:t>
      </w:r>
      <w:r w:rsidR="00341D96" w:rsidRPr="00B015F3">
        <w:rPr>
          <w:bCs/>
          <w:i/>
        </w:rPr>
        <w:t xml:space="preserve"> dagli </w:t>
      </w:r>
      <w:r w:rsidR="00F9385C" w:rsidRPr="00B015F3">
        <w:rPr>
          <w:bCs/>
          <w:i/>
        </w:rPr>
        <w:t>atti costitutivi della società</w:t>
      </w:r>
      <w:r w:rsidR="00F9385C">
        <w:rPr>
          <w:bCs/>
        </w:rPr>
        <w:t>”</w:t>
      </w:r>
      <w:r w:rsidR="00F40875">
        <w:rPr>
          <w:rStyle w:val="Rimandonotaapidipagina"/>
          <w:bCs/>
        </w:rPr>
        <w:footnoteReference w:id="44"/>
      </w:r>
      <w:r w:rsidR="00F9385C">
        <w:rPr>
          <w:bCs/>
        </w:rPr>
        <w:t xml:space="preserve">, </w:t>
      </w:r>
      <w:r w:rsidR="00326BDF">
        <w:rPr>
          <w:bCs/>
        </w:rPr>
        <w:t>ovvero</w:t>
      </w:r>
      <w:r w:rsidR="00F40875">
        <w:rPr>
          <w:bCs/>
        </w:rPr>
        <w:t xml:space="preserve"> “</w:t>
      </w:r>
      <w:r w:rsidR="00F40875" w:rsidRPr="00B015F3">
        <w:rPr>
          <w:bCs/>
          <w:i/>
        </w:rPr>
        <w:t>dall’</w:t>
      </w:r>
      <w:r w:rsidR="00F9385C" w:rsidRPr="00B015F3">
        <w:rPr>
          <w:bCs/>
          <w:i/>
        </w:rPr>
        <w:t xml:space="preserve">inequivocabile volontà di eludere le disposizioni di cui all’art. 1 della </w:t>
      </w:r>
      <w:r w:rsidR="00341D96" w:rsidRPr="00B015F3">
        <w:rPr>
          <w:bCs/>
          <w:i/>
        </w:rPr>
        <w:t xml:space="preserve">L. 23.10.1960, n. </w:t>
      </w:r>
      <w:smartTag w:uri="urn:schemas-microsoft-com:office:smarttags" w:element="metricconverter">
        <w:smartTagPr>
          <w:attr w:name="ProductID" w:val="1369, in"/>
        </w:smartTagPr>
        <w:r w:rsidR="00341D96" w:rsidRPr="00B015F3">
          <w:rPr>
            <w:bCs/>
            <w:i/>
          </w:rPr>
          <w:t xml:space="preserve">1369, </w:t>
        </w:r>
        <w:r w:rsidR="00F9385C" w:rsidRPr="00B015F3">
          <w:rPr>
            <w:bCs/>
            <w:i/>
          </w:rPr>
          <w:t>in</w:t>
        </w:r>
      </w:smartTag>
      <w:r w:rsidR="00F9385C" w:rsidRPr="00B015F3">
        <w:rPr>
          <w:bCs/>
          <w:i/>
        </w:rPr>
        <w:t xml:space="preserve"> tema di illecita interposizione di manodopera</w:t>
      </w:r>
      <w:r w:rsidR="00F9385C">
        <w:rPr>
          <w:bCs/>
        </w:rPr>
        <w:t>”</w:t>
      </w:r>
      <w:r w:rsidR="00B015F3">
        <w:rPr>
          <w:rStyle w:val="Rimandonotaapidipagina"/>
          <w:bCs/>
        </w:rPr>
        <w:footnoteReference w:id="45"/>
      </w:r>
      <w:r w:rsidR="00ED4436">
        <w:rPr>
          <w:bCs/>
        </w:rPr>
        <w:t>, d</w:t>
      </w:r>
      <w:r w:rsidR="00B015F3">
        <w:rPr>
          <w:bCs/>
        </w:rPr>
        <w:t>all’altro</w:t>
      </w:r>
      <w:r w:rsidR="009C789F">
        <w:rPr>
          <w:bCs/>
        </w:rPr>
        <w:t xml:space="preserve"> lato</w:t>
      </w:r>
      <w:r w:rsidR="00B015F3">
        <w:rPr>
          <w:bCs/>
        </w:rPr>
        <w:t xml:space="preserve">, </w:t>
      </w:r>
      <w:r w:rsidR="00F77B21">
        <w:rPr>
          <w:bCs/>
        </w:rPr>
        <w:t>anche al</w:t>
      </w:r>
      <w:r w:rsidR="00C57883">
        <w:rPr>
          <w:bCs/>
        </w:rPr>
        <w:t>la luce de</w:t>
      </w:r>
      <w:r w:rsidR="008E0E6D">
        <w:rPr>
          <w:bCs/>
        </w:rPr>
        <w:t xml:space="preserve">lle (quasi insuperabili) difficoltà di </w:t>
      </w:r>
      <w:r w:rsidR="007B17A4">
        <w:rPr>
          <w:bCs/>
        </w:rPr>
        <w:t xml:space="preserve">assolvere </w:t>
      </w:r>
      <w:r w:rsidR="008E0E6D">
        <w:rPr>
          <w:bCs/>
        </w:rPr>
        <w:t>tali oneri probatori</w:t>
      </w:r>
      <w:r w:rsidR="00C57883">
        <w:rPr>
          <w:bCs/>
        </w:rPr>
        <w:t xml:space="preserve">, </w:t>
      </w:r>
      <w:r w:rsidR="00B015F3">
        <w:rPr>
          <w:bCs/>
        </w:rPr>
        <w:t xml:space="preserve">la giurisprudenza si </w:t>
      </w:r>
      <w:r w:rsidR="00F85030">
        <w:rPr>
          <w:bCs/>
        </w:rPr>
        <w:t xml:space="preserve">è </w:t>
      </w:r>
      <w:r w:rsidR="00ED4436">
        <w:rPr>
          <w:bCs/>
        </w:rPr>
        <w:t xml:space="preserve">poi </w:t>
      </w:r>
      <w:r w:rsidR="00B015F3">
        <w:rPr>
          <w:bCs/>
        </w:rPr>
        <w:t>assestata su una lettura “oggettiva</w:t>
      </w:r>
      <w:r w:rsidR="00300485">
        <w:rPr>
          <w:bCs/>
        </w:rPr>
        <w:t>”</w:t>
      </w:r>
      <w:r w:rsidR="00B015F3">
        <w:rPr>
          <w:bCs/>
        </w:rPr>
        <w:t xml:space="preserve"> del requisito della frode, che si ricaverebbe, in via presuntiva</w:t>
      </w:r>
      <w:r w:rsidR="00942932">
        <w:rPr>
          <w:bCs/>
        </w:rPr>
        <w:t xml:space="preserve">, </w:t>
      </w:r>
      <w:r w:rsidR="009C789F">
        <w:rPr>
          <w:bCs/>
        </w:rPr>
        <w:t xml:space="preserve">nel caso </w:t>
      </w:r>
      <w:r w:rsidR="00412474">
        <w:rPr>
          <w:bCs/>
        </w:rPr>
        <w:t xml:space="preserve">ricorrano i soli </w:t>
      </w:r>
      <w:r w:rsidR="00B015F3">
        <w:rPr>
          <w:bCs/>
        </w:rPr>
        <w:t>indici di t</w:t>
      </w:r>
      <w:r w:rsidR="00B95BB7">
        <w:rPr>
          <w:bCs/>
        </w:rPr>
        <w:t>ipo patrimoniale e contrattuale</w:t>
      </w:r>
      <w:r w:rsidR="00412474">
        <w:rPr>
          <w:bCs/>
        </w:rPr>
        <w:t xml:space="preserve"> contenuti nella massima sopra citata</w:t>
      </w:r>
      <w:r w:rsidR="00C03E4C">
        <w:rPr>
          <w:rStyle w:val="Rimandonotaapidipagina"/>
          <w:bCs/>
        </w:rPr>
        <w:footnoteReference w:id="46"/>
      </w:r>
      <w:r w:rsidR="00C03E4C">
        <w:rPr>
          <w:bCs/>
        </w:rPr>
        <w:t xml:space="preserve">; </w:t>
      </w:r>
      <w:r w:rsidR="00326BDF">
        <w:rPr>
          <w:bCs/>
        </w:rPr>
        <w:t xml:space="preserve">in ogni caso, si sottolinea come, nonostante </w:t>
      </w:r>
      <w:r w:rsidR="00710324">
        <w:rPr>
          <w:bCs/>
        </w:rPr>
        <w:t xml:space="preserve">la differenza nell’individuazione dei requisiti (oggettivi e/o soggettivi) richiesti per l’accertamento del </w:t>
      </w:r>
      <w:r w:rsidR="00D60D1F">
        <w:rPr>
          <w:bCs/>
        </w:rPr>
        <w:t>g</w:t>
      </w:r>
      <w:r w:rsidR="00710324">
        <w:rPr>
          <w:bCs/>
        </w:rPr>
        <w:t>ruppo, la giurisprudenza citata</w:t>
      </w:r>
      <w:r w:rsidR="00D60D1F">
        <w:rPr>
          <w:bCs/>
        </w:rPr>
        <w:t xml:space="preserve"> ha </w:t>
      </w:r>
      <w:r w:rsidR="00326BDF">
        <w:rPr>
          <w:bCs/>
        </w:rPr>
        <w:t xml:space="preserve">comunque </w:t>
      </w:r>
      <w:r w:rsidR="00D60D1F">
        <w:rPr>
          <w:bCs/>
        </w:rPr>
        <w:t xml:space="preserve">riconosciuto </w:t>
      </w:r>
      <w:r w:rsidR="00326BDF">
        <w:rPr>
          <w:bCs/>
        </w:rPr>
        <w:t xml:space="preserve">in ambedue i casi </w:t>
      </w:r>
      <w:r w:rsidR="00D60D1F">
        <w:rPr>
          <w:bCs/>
        </w:rPr>
        <w:t>la rilevanza del</w:t>
      </w:r>
      <w:r w:rsidR="00710324">
        <w:rPr>
          <w:bCs/>
        </w:rPr>
        <w:t xml:space="preserve"> </w:t>
      </w:r>
      <w:r w:rsidR="00D60D1F">
        <w:rPr>
          <w:bCs/>
        </w:rPr>
        <w:t xml:space="preserve">gruppo ai fini </w:t>
      </w:r>
      <w:r w:rsidR="00710324">
        <w:rPr>
          <w:bCs/>
        </w:rPr>
        <w:t>della verifica dei requisiti dimensionali richiesti dalle discipline dei licenziamenti individuali</w:t>
      </w:r>
      <w:r w:rsidR="00710324">
        <w:rPr>
          <w:rStyle w:val="Rimandonotaapidipagina"/>
          <w:bCs/>
        </w:rPr>
        <w:footnoteReference w:id="47"/>
      </w:r>
      <w:r w:rsidR="00710324">
        <w:rPr>
          <w:bCs/>
        </w:rPr>
        <w:t xml:space="preserve"> e collettivi</w:t>
      </w:r>
      <w:r w:rsidR="00710324">
        <w:rPr>
          <w:rStyle w:val="Rimandonotaapidipagina"/>
          <w:bCs/>
        </w:rPr>
        <w:footnoteReference w:id="48"/>
      </w:r>
      <w:r w:rsidR="00710324">
        <w:rPr>
          <w:bCs/>
        </w:rPr>
        <w:t xml:space="preserve">, sia ai fini della prova del </w:t>
      </w:r>
      <w:r w:rsidR="00710324">
        <w:rPr>
          <w:bCs/>
          <w:i/>
        </w:rPr>
        <w:t>re</w:t>
      </w:r>
      <w:r w:rsidR="00710324" w:rsidRPr="00B53A7C">
        <w:rPr>
          <w:bCs/>
          <w:i/>
        </w:rPr>
        <w:t>pèchage</w:t>
      </w:r>
      <w:r w:rsidR="00710324">
        <w:rPr>
          <w:rStyle w:val="Rimandonotaapidipagina"/>
          <w:bCs/>
        </w:rPr>
        <w:footnoteReference w:id="49"/>
      </w:r>
      <w:r w:rsidR="00710324">
        <w:rPr>
          <w:bCs/>
        </w:rPr>
        <w:t>, oltre che, da ultimo, per farne discendere la responsabilità solidale delle società che costituiscono tale soggetto unitario per i crediti retribuitivi vantati dai lavoratori impiegati al suo interno</w:t>
      </w:r>
      <w:r w:rsidR="00710324">
        <w:rPr>
          <w:rStyle w:val="Rimandonotaapidipagina"/>
          <w:bCs/>
        </w:rPr>
        <w:footnoteReference w:id="50"/>
      </w:r>
      <w:r w:rsidR="00326BDF">
        <w:rPr>
          <w:bCs/>
        </w:rPr>
        <w:t>.</w:t>
      </w:r>
    </w:p>
    <w:p w:rsidR="00303FBD" w:rsidRDefault="006B5CF6" w:rsidP="006B5CF6">
      <w:pPr>
        <w:spacing w:line="360" w:lineRule="auto"/>
        <w:ind w:right="1134"/>
        <w:jc w:val="both"/>
        <w:rPr>
          <w:bCs/>
        </w:rPr>
      </w:pPr>
      <w:r>
        <w:rPr>
          <w:bCs/>
        </w:rPr>
        <w:t>Tuttavia, sul punto non potrà però sfuggire come tale lettura del gruppo, basata su una concezione “oggetti</w:t>
      </w:r>
      <w:r w:rsidR="002C2816">
        <w:rPr>
          <w:bCs/>
        </w:rPr>
        <w:t>va” della frode, in presenza dei citati indici,</w:t>
      </w:r>
      <w:r>
        <w:rPr>
          <w:bCs/>
        </w:rPr>
        <w:t xml:space="preserve"> presenti notevoli affinità con l’ipotesi</w:t>
      </w:r>
      <w:r w:rsidR="002C2816">
        <w:rPr>
          <w:bCs/>
        </w:rPr>
        <w:t xml:space="preserve">, descritta come </w:t>
      </w:r>
      <w:r w:rsidR="005606E6">
        <w:rPr>
          <w:bCs/>
        </w:rPr>
        <w:t>“</w:t>
      </w:r>
      <w:r w:rsidR="005606E6" w:rsidRPr="00653770">
        <w:rPr>
          <w:bCs/>
          <w:i/>
        </w:rPr>
        <w:t>fisiologica</w:t>
      </w:r>
      <w:r w:rsidR="005606E6">
        <w:rPr>
          <w:bCs/>
        </w:rPr>
        <w:t xml:space="preserve">” </w:t>
      </w:r>
      <w:r w:rsidR="002C2816">
        <w:rPr>
          <w:bCs/>
        </w:rPr>
        <w:t xml:space="preserve">ed </w:t>
      </w:r>
      <w:r w:rsidR="0041651D">
        <w:rPr>
          <w:bCs/>
        </w:rPr>
        <w:t>indica</w:t>
      </w:r>
      <w:r w:rsidR="002C2816">
        <w:rPr>
          <w:bCs/>
        </w:rPr>
        <w:t>ta</w:t>
      </w:r>
      <w:r w:rsidR="0041651D">
        <w:rPr>
          <w:bCs/>
        </w:rPr>
        <w:t xml:space="preserve"> </w:t>
      </w:r>
      <w:r w:rsidR="002C2816">
        <w:rPr>
          <w:bCs/>
        </w:rPr>
        <w:t xml:space="preserve">dalla sentenza in commento </w:t>
      </w:r>
      <w:r w:rsidR="0041651D" w:rsidRPr="00326BDF">
        <w:rPr>
          <w:bCs/>
          <w:i/>
        </w:rPr>
        <w:t>sub</w:t>
      </w:r>
      <w:r w:rsidR="005606E6">
        <w:rPr>
          <w:bCs/>
        </w:rPr>
        <w:t xml:space="preserve"> b)</w:t>
      </w:r>
      <w:r w:rsidR="003C4E1D">
        <w:rPr>
          <w:bCs/>
        </w:rPr>
        <w:t xml:space="preserve">, </w:t>
      </w:r>
      <w:r w:rsidR="005606E6">
        <w:rPr>
          <w:bCs/>
        </w:rPr>
        <w:t xml:space="preserve">relativa a </w:t>
      </w:r>
      <w:r w:rsidR="003C4E1D">
        <w:rPr>
          <w:bCs/>
        </w:rPr>
        <w:t>“</w:t>
      </w:r>
      <w:r w:rsidR="003C4E1D" w:rsidRPr="00EE1296">
        <w:rPr>
          <w:bCs/>
          <w:i/>
        </w:rPr>
        <w:t>gruppi genuini, ma fortemente integrati</w:t>
      </w:r>
      <w:r w:rsidR="003C4E1D">
        <w:rPr>
          <w:bCs/>
        </w:rPr>
        <w:t xml:space="preserve">”, </w:t>
      </w:r>
      <w:r w:rsidR="00F70EDF">
        <w:rPr>
          <w:bCs/>
        </w:rPr>
        <w:t>in cui la prestazione lavorativa sia “</w:t>
      </w:r>
      <w:r w:rsidR="00F70EDF" w:rsidRPr="00EE1296">
        <w:rPr>
          <w:bCs/>
          <w:i/>
        </w:rPr>
        <w:t>destinata al complesso delle società operative</w:t>
      </w:r>
      <w:r w:rsidR="00F70EDF">
        <w:rPr>
          <w:bCs/>
        </w:rPr>
        <w:t>”</w:t>
      </w:r>
      <w:r w:rsidR="00303FBD">
        <w:rPr>
          <w:bCs/>
        </w:rPr>
        <w:t>.</w:t>
      </w:r>
    </w:p>
    <w:p w:rsidR="00BF79D9" w:rsidRDefault="00471DC4" w:rsidP="00BF79D9">
      <w:pPr>
        <w:spacing w:line="360" w:lineRule="auto"/>
        <w:ind w:right="1134"/>
        <w:jc w:val="both"/>
        <w:rPr>
          <w:bCs/>
        </w:rPr>
      </w:pPr>
      <w:r>
        <w:rPr>
          <w:bCs/>
        </w:rPr>
        <w:t xml:space="preserve">Da un lato, </w:t>
      </w:r>
      <w:r w:rsidR="00653770">
        <w:rPr>
          <w:bCs/>
        </w:rPr>
        <w:t xml:space="preserve">però, </w:t>
      </w:r>
      <w:r w:rsidR="00D60A36">
        <w:rPr>
          <w:bCs/>
        </w:rPr>
        <w:t xml:space="preserve">si potrebbe </w:t>
      </w:r>
      <w:r w:rsidR="00653770">
        <w:rPr>
          <w:bCs/>
        </w:rPr>
        <w:t xml:space="preserve">innanzitutto </w:t>
      </w:r>
      <w:r w:rsidR="00D60A36">
        <w:rPr>
          <w:bCs/>
        </w:rPr>
        <w:t>obiettare</w:t>
      </w:r>
      <w:r>
        <w:rPr>
          <w:bCs/>
        </w:rPr>
        <w:t xml:space="preserve"> </w:t>
      </w:r>
      <w:r w:rsidR="00D60A36">
        <w:rPr>
          <w:bCs/>
        </w:rPr>
        <w:t>che non tutte le ipotesi di utilizzo fraudolento o pa</w:t>
      </w:r>
      <w:r w:rsidR="00AA13DA">
        <w:rPr>
          <w:bCs/>
        </w:rPr>
        <w:t>tologico del gruppo discendono dai comportamenti eccessivamente “invasivi” di una società controllante nell’ambito di gruppi verticali/gerarchici</w:t>
      </w:r>
      <w:r w:rsidR="00AA13DA">
        <w:rPr>
          <w:rStyle w:val="Rimandonotaapidipagina"/>
          <w:bCs/>
        </w:rPr>
        <w:footnoteReference w:id="51"/>
      </w:r>
      <w:r>
        <w:rPr>
          <w:bCs/>
        </w:rPr>
        <w:t>;</w:t>
      </w:r>
      <w:r w:rsidR="00343D92">
        <w:rPr>
          <w:bCs/>
        </w:rPr>
        <w:t xml:space="preserve"> </w:t>
      </w:r>
      <w:r w:rsidR="005606E6">
        <w:t>dall’altro lato</w:t>
      </w:r>
      <w:r>
        <w:t>, non par</w:t>
      </w:r>
      <w:r w:rsidR="005606E6">
        <w:t xml:space="preserve">e </w:t>
      </w:r>
      <w:r w:rsidR="00653770">
        <w:t xml:space="preserve">così </w:t>
      </w:r>
      <w:r w:rsidR="005606E6">
        <w:t>immediato</w:t>
      </w:r>
      <w:r w:rsidR="00303FBD">
        <w:t xml:space="preserve"> </w:t>
      </w:r>
      <w:r w:rsidR="00FD560E">
        <w:t>inquadrare</w:t>
      </w:r>
      <w:r>
        <w:t xml:space="preserve"> </w:t>
      </w:r>
      <w:r w:rsidR="00303FBD">
        <w:t xml:space="preserve">un </w:t>
      </w:r>
      <w:r w:rsidR="005606E6">
        <w:t xml:space="preserve">caso </w:t>
      </w:r>
      <w:r w:rsidR="00303FBD">
        <w:t xml:space="preserve">come quello </w:t>
      </w:r>
      <w:r w:rsidR="005606E6">
        <w:t xml:space="preserve">oggetto della sentenza in commento </w:t>
      </w:r>
      <w:r>
        <w:t xml:space="preserve">all’interno delle descritte forme di utilizzo del gruppo, ed in particolare nella categoria </w:t>
      </w:r>
      <w:r w:rsidR="005606E6" w:rsidRPr="00653770">
        <w:rPr>
          <w:i/>
        </w:rPr>
        <w:t>sub</w:t>
      </w:r>
      <w:r>
        <w:t xml:space="preserve"> a),</w:t>
      </w:r>
      <w:r w:rsidR="005606E6">
        <w:t xml:space="preserve"> </w:t>
      </w:r>
      <w:r w:rsidR="00653770">
        <w:t>cui parrebbe ric</w:t>
      </w:r>
      <w:r>
        <w:t xml:space="preserve">ondurlo la sentenza in commento, </w:t>
      </w:r>
      <w:r w:rsidR="00653770">
        <w:t xml:space="preserve"> </w:t>
      </w:r>
      <w:r w:rsidR="005606E6">
        <w:t>non risultando</w:t>
      </w:r>
      <w:r w:rsidR="00C92D18">
        <w:t xml:space="preserve"> </w:t>
      </w:r>
      <w:r>
        <w:t>nel</w:t>
      </w:r>
      <w:r w:rsidR="007C07BA">
        <w:t xml:space="preserve">la </w:t>
      </w:r>
      <w:r>
        <w:t xml:space="preserve">specie </w:t>
      </w:r>
      <w:r w:rsidR="00C92D18">
        <w:t>“l’interventismo”</w:t>
      </w:r>
      <w:r w:rsidR="005606E6">
        <w:t xml:space="preserve"> </w:t>
      </w:r>
      <w:r w:rsidR="00C92D18">
        <w:t xml:space="preserve">della controllante </w:t>
      </w:r>
      <w:r>
        <w:t>di intensità</w:t>
      </w:r>
      <w:r w:rsidR="00F56E88">
        <w:t xml:space="preserve"> </w:t>
      </w:r>
      <w:r>
        <w:t xml:space="preserve">tale </w:t>
      </w:r>
      <w:r w:rsidR="00C92D18">
        <w:t>da comportare una situazione di totale “</w:t>
      </w:r>
      <w:r w:rsidR="00C92D18" w:rsidRPr="00C92D18">
        <w:rPr>
          <w:i/>
        </w:rPr>
        <w:t>c</w:t>
      </w:r>
      <w:r w:rsidR="005606E6" w:rsidRPr="00C92D18">
        <w:rPr>
          <w:i/>
        </w:rPr>
        <w:t>onfusione contrattuale</w:t>
      </w:r>
      <w:r w:rsidR="00C92D18">
        <w:rPr>
          <w:i/>
        </w:rPr>
        <w:t>,</w:t>
      </w:r>
      <w:r w:rsidR="005606E6" w:rsidRPr="00303FBD">
        <w:rPr>
          <w:i/>
        </w:rPr>
        <w:t xml:space="preserve"> tale d</w:t>
      </w:r>
      <w:r w:rsidR="00C92D18">
        <w:rPr>
          <w:i/>
        </w:rPr>
        <w:t>a</w:t>
      </w:r>
      <w:r w:rsidR="005606E6" w:rsidRPr="00303FBD">
        <w:rPr>
          <w:i/>
        </w:rPr>
        <w:t xml:space="preserve"> annullare l’autonomia operativa</w:t>
      </w:r>
      <w:r w:rsidR="005606E6">
        <w:t>” della società controllata</w:t>
      </w:r>
      <w:r w:rsidR="00CC2171">
        <w:rPr>
          <w:rStyle w:val="Rimandonotaapidipagina"/>
          <w:bCs/>
        </w:rPr>
        <w:footnoteReference w:id="52"/>
      </w:r>
      <w:r w:rsidR="00C92D18">
        <w:rPr>
          <w:bCs/>
        </w:rPr>
        <w:t>.</w:t>
      </w:r>
    </w:p>
    <w:p w:rsidR="00653770" w:rsidRDefault="000D5AD7" w:rsidP="002146A8">
      <w:pPr>
        <w:spacing w:line="360" w:lineRule="auto"/>
        <w:ind w:right="1134"/>
        <w:jc w:val="both"/>
      </w:pPr>
      <w:r>
        <w:rPr>
          <w:bCs/>
        </w:rPr>
        <w:t>Inoltre</w:t>
      </w:r>
      <w:r w:rsidR="00303FBD">
        <w:rPr>
          <w:bCs/>
        </w:rPr>
        <w:t xml:space="preserve">, </w:t>
      </w:r>
      <w:r w:rsidR="00653770">
        <w:rPr>
          <w:bCs/>
        </w:rPr>
        <w:t xml:space="preserve">si potrebbe </w:t>
      </w:r>
      <w:r w:rsidR="00303FBD">
        <w:rPr>
          <w:bCs/>
        </w:rPr>
        <w:t xml:space="preserve">sostenere che anche società non </w:t>
      </w:r>
      <w:r w:rsidR="00343D92">
        <w:rPr>
          <w:bCs/>
        </w:rPr>
        <w:t xml:space="preserve">legate da rapporti di collegamento </w:t>
      </w:r>
      <w:r w:rsidR="00303FBD">
        <w:rPr>
          <w:bCs/>
        </w:rPr>
        <w:t>di tipo gerarchico possano porre in essere condotte opportunistiche mediante una struttura di gruppo, ad esempio attraverso l’utili</w:t>
      </w:r>
      <w:r w:rsidR="00B9240F">
        <w:rPr>
          <w:bCs/>
        </w:rPr>
        <w:t xml:space="preserve">zzo promiscuo del personale, come nell’ipotesi </w:t>
      </w:r>
      <w:r w:rsidR="00B9240F" w:rsidRPr="00B9240F">
        <w:rPr>
          <w:bCs/>
          <w:i/>
        </w:rPr>
        <w:t>sub</w:t>
      </w:r>
      <w:r w:rsidR="00B9240F">
        <w:rPr>
          <w:bCs/>
        </w:rPr>
        <w:t xml:space="preserve"> b), </w:t>
      </w:r>
      <w:r w:rsidR="00303FBD">
        <w:rPr>
          <w:bCs/>
        </w:rPr>
        <w:t>che si porrebbe comunque in contrasto con la</w:t>
      </w:r>
      <w:r w:rsidR="00343D92">
        <w:rPr>
          <w:bCs/>
        </w:rPr>
        <w:t xml:space="preserve"> </w:t>
      </w:r>
      <w:r w:rsidR="00343D92" w:rsidRPr="00370E71">
        <w:t>tendenziale esclusione</w:t>
      </w:r>
      <w:r w:rsidR="00343D92">
        <w:t>, nel nostro ordinamento,</w:t>
      </w:r>
      <w:r w:rsidR="00343D92" w:rsidRPr="00370E71">
        <w:t xml:space="preserve"> della configurabilità di due datori di lavoro in relazione ad i</w:t>
      </w:r>
      <w:r w:rsidR="00343D92">
        <w:t>dentiche prestazioni lavorative</w:t>
      </w:r>
      <w:r w:rsidR="00343D92">
        <w:rPr>
          <w:rStyle w:val="Rimandonotaapidipagina"/>
          <w:bCs/>
        </w:rPr>
        <w:footnoteReference w:id="53"/>
      </w:r>
      <w:r w:rsidR="00303FBD">
        <w:t>.</w:t>
      </w:r>
      <w:r w:rsidR="0050133F">
        <w:t xml:space="preserve"> </w:t>
      </w:r>
    </w:p>
    <w:p w:rsidR="00343D92" w:rsidRDefault="00303FBD" w:rsidP="002146A8">
      <w:pPr>
        <w:spacing w:line="360" w:lineRule="auto"/>
        <w:ind w:right="1134"/>
        <w:jc w:val="both"/>
        <w:rPr>
          <w:bCs/>
        </w:rPr>
      </w:pPr>
      <w:r>
        <w:rPr>
          <w:bCs/>
        </w:rPr>
        <w:t>I</w:t>
      </w:r>
      <w:r w:rsidR="00343D92">
        <w:rPr>
          <w:bCs/>
        </w:rPr>
        <w:t xml:space="preserve">n tali casi, </w:t>
      </w:r>
      <w:r w:rsidR="00454E84">
        <w:rPr>
          <w:bCs/>
        </w:rPr>
        <w:t xml:space="preserve">se è generalmente escluso che si possa </w:t>
      </w:r>
      <w:r w:rsidR="007F066D">
        <w:rPr>
          <w:bCs/>
        </w:rPr>
        <w:t>ravvisare nel gruppo un soggetto unitario</w:t>
      </w:r>
      <w:r w:rsidR="00657B08">
        <w:rPr>
          <w:rStyle w:val="Rimandonotaapidipagina"/>
          <w:bCs/>
        </w:rPr>
        <w:footnoteReference w:id="54"/>
      </w:r>
      <w:r w:rsidR="007F066D">
        <w:rPr>
          <w:bCs/>
        </w:rPr>
        <w:t xml:space="preserve">, </w:t>
      </w:r>
      <w:r w:rsidR="00657B08">
        <w:rPr>
          <w:bCs/>
        </w:rPr>
        <w:t xml:space="preserve">a causa della difficoltà di superare </w:t>
      </w:r>
      <w:r w:rsidR="00F12EA6">
        <w:rPr>
          <w:i/>
        </w:rPr>
        <w:t>l’i</w:t>
      </w:r>
      <w:r w:rsidR="00657B08" w:rsidRPr="00370E71">
        <w:rPr>
          <w:i/>
        </w:rPr>
        <w:t>mpasse</w:t>
      </w:r>
      <w:r w:rsidR="00F8177E">
        <w:t xml:space="preserve"> dovuta</w:t>
      </w:r>
      <w:r w:rsidR="00657B08" w:rsidRPr="00370E71">
        <w:t xml:space="preserve"> alla mancanza di personalità giu</w:t>
      </w:r>
      <w:r w:rsidR="00657B08">
        <w:t>ridica del</w:t>
      </w:r>
      <w:r w:rsidR="00C30659">
        <w:t>lo stesso</w:t>
      </w:r>
      <w:r w:rsidR="00274339">
        <w:rPr>
          <w:rStyle w:val="Rimandonotaapidipagina"/>
        </w:rPr>
        <w:footnoteReference w:id="55"/>
      </w:r>
      <w:r w:rsidR="00657B08">
        <w:t xml:space="preserve">, </w:t>
      </w:r>
      <w:smartTag w:uri="urn:schemas-microsoft-com:office:smarttags" w:element="PersonName">
        <w:smartTagPr>
          <w:attr w:name="ProductID" w:val="la Corte"/>
        </w:smartTagPr>
        <w:r w:rsidR="00343D92">
          <w:t>la Corte</w:t>
        </w:r>
      </w:smartTag>
      <w:r w:rsidR="00343D92">
        <w:t xml:space="preserve"> sostiene </w:t>
      </w:r>
      <w:r w:rsidR="00454E84">
        <w:t xml:space="preserve">che </w:t>
      </w:r>
      <w:r w:rsidR="00657B08">
        <w:rPr>
          <w:bCs/>
        </w:rPr>
        <w:t xml:space="preserve">l’imputazione della prestazione lavorativa debba avvenire </w:t>
      </w:r>
      <w:r w:rsidR="003C4E1D">
        <w:rPr>
          <w:bCs/>
        </w:rPr>
        <w:t>“</w:t>
      </w:r>
      <w:r w:rsidR="003C4E1D" w:rsidRPr="00454E84">
        <w:rPr>
          <w:bCs/>
          <w:i/>
        </w:rPr>
        <w:t>secondo le note forme della presta</w:t>
      </w:r>
      <w:r w:rsidR="00343D92" w:rsidRPr="00454E84">
        <w:rPr>
          <w:bCs/>
          <w:i/>
        </w:rPr>
        <w:t>zione cumulativa o alternativa</w:t>
      </w:r>
      <w:r w:rsidR="00343D92">
        <w:rPr>
          <w:bCs/>
        </w:rPr>
        <w:t>”.</w:t>
      </w:r>
    </w:p>
    <w:p w:rsidR="002146A8" w:rsidRPr="00C92D18" w:rsidRDefault="00454E84" w:rsidP="002146A8">
      <w:pPr>
        <w:spacing w:line="360" w:lineRule="auto"/>
        <w:ind w:right="1134"/>
        <w:jc w:val="both"/>
        <w:rPr>
          <w:bCs/>
        </w:rPr>
      </w:pPr>
      <w:r>
        <w:rPr>
          <w:bCs/>
        </w:rPr>
        <w:t xml:space="preserve">Nell’affermare </w:t>
      </w:r>
      <w:r w:rsidR="00C30659">
        <w:rPr>
          <w:bCs/>
        </w:rPr>
        <w:t xml:space="preserve">ciò, </w:t>
      </w:r>
      <w:smartTag w:uri="urn:schemas-microsoft-com:office:smarttags" w:element="PersonName">
        <w:smartTagPr>
          <w:attr w:name="ProductID" w:val="la Corte"/>
        </w:smartTagPr>
        <w:r w:rsidR="0081062C">
          <w:rPr>
            <w:bCs/>
          </w:rPr>
          <w:t xml:space="preserve">la </w:t>
        </w:r>
        <w:r w:rsidR="00382113">
          <w:rPr>
            <w:bCs/>
          </w:rPr>
          <w:t>Corte</w:t>
        </w:r>
      </w:smartTag>
      <w:r w:rsidR="00382113">
        <w:rPr>
          <w:bCs/>
        </w:rPr>
        <w:t xml:space="preserve"> </w:t>
      </w:r>
      <w:r w:rsidR="00F57F54">
        <w:rPr>
          <w:bCs/>
        </w:rPr>
        <w:t xml:space="preserve">pare </w:t>
      </w:r>
      <w:r w:rsidR="00657B08">
        <w:rPr>
          <w:bCs/>
        </w:rPr>
        <w:t>apr</w:t>
      </w:r>
      <w:r w:rsidR="00F57F54">
        <w:rPr>
          <w:bCs/>
        </w:rPr>
        <w:t>ire</w:t>
      </w:r>
      <w:r w:rsidR="00657B08">
        <w:rPr>
          <w:bCs/>
        </w:rPr>
        <w:t xml:space="preserve"> all’ipotesi di</w:t>
      </w:r>
      <w:r w:rsidR="005F00D0">
        <w:rPr>
          <w:bCs/>
        </w:rPr>
        <w:t xml:space="preserve"> </w:t>
      </w:r>
      <w:r w:rsidR="00C30659">
        <w:rPr>
          <w:bCs/>
        </w:rPr>
        <w:t>“</w:t>
      </w:r>
      <w:proofErr w:type="spellStart"/>
      <w:r w:rsidR="008F5173" w:rsidRPr="00F57F54">
        <w:rPr>
          <w:bCs/>
          <w:i/>
        </w:rPr>
        <w:t>multidatorialità</w:t>
      </w:r>
      <w:proofErr w:type="spellEnd"/>
      <w:r w:rsidR="00C30659">
        <w:rPr>
          <w:bCs/>
        </w:rPr>
        <w:t>”</w:t>
      </w:r>
      <w:r w:rsidR="005F00D0">
        <w:rPr>
          <w:bCs/>
        </w:rPr>
        <w:t xml:space="preserve"> o “</w:t>
      </w:r>
      <w:proofErr w:type="spellStart"/>
      <w:r w:rsidR="005F00D0" w:rsidRPr="00F57F54">
        <w:rPr>
          <w:bCs/>
          <w:i/>
        </w:rPr>
        <w:t>codatorialità</w:t>
      </w:r>
      <w:proofErr w:type="spellEnd"/>
      <w:r w:rsidR="005F00D0">
        <w:rPr>
          <w:bCs/>
        </w:rPr>
        <w:t>”</w:t>
      </w:r>
      <w:r w:rsidR="00657B08">
        <w:rPr>
          <w:bCs/>
        </w:rPr>
        <w:t>, da più parti</w:t>
      </w:r>
      <w:r w:rsidR="00C30659">
        <w:rPr>
          <w:bCs/>
        </w:rPr>
        <w:t xml:space="preserve"> </w:t>
      </w:r>
      <w:r w:rsidR="00657B08">
        <w:rPr>
          <w:bCs/>
        </w:rPr>
        <w:t>avanzata in dottrina</w:t>
      </w:r>
      <w:r>
        <w:rPr>
          <w:bCs/>
        </w:rPr>
        <w:t xml:space="preserve">, </w:t>
      </w:r>
      <w:r w:rsidR="00C30659">
        <w:rPr>
          <w:bCs/>
        </w:rPr>
        <w:t>pur con diverse sfumature</w:t>
      </w:r>
      <w:r w:rsidR="005F00D0">
        <w:rPr>
          <w:rStyle w:val="Rimandonotaapidipagina"/>
          <w:bCs/>
        </w:rPr>
        <w:footnoteReference w:id="56"/>
      </w:r>
      <w:r w:rsidR="00C30659">
        <w:rPr>
          <w:bCs/>
        </w:rPr>
        <w:t xml:space="preserve">, </w:t>
      </w:r>
      <w:r>
        <w:rPr>
          <w:bCs/>
        </w:rPr>
        <w:t xml:space="preserve">nonché </w:t>
      </w:r>
      <w:r w:rsidR="00F57F54">
        <w:rPr>
          <w:bCs/>
        </w:rPr>
        <w:t xml:space="preserve">tratteggiata </w:t>
      </w:r>
      <w:r>
        <w:rPr>
          <w:bCs/>
        </w:rPr>
        <w:t xml:space="preserve">dal </w:t>
      </w:r>
      <w:r w:rsidR="00A12F46">
        <w:rPr>
          <w:bCs/>
        </w:rPr>
        <w:t>precedente di legittimità n. 4274/2003</w:t>
      </w:r>
      <w:r w:rsidR="00A12F46" w:rsidRPr="00C92D18">
        <w:rPr>
          <w:rStyle w:val="Rimandonotaapidipagina"/>
          <w:bCs/>
        </w:rPr>
        <w:footnoteReference w:id="57"/>
      </w:r>
      <w:r w:rsidR="00F57F54">
        <w:rPr>
          <w:bCs/>
        </w:rPr>
        <w:t>, richiamato n</w:t>
      </w:r>
      <w:r w:rsidR="00C92D18">
        <w:rPr>
          <w:bCs/>
        </w:rPr>
        <w:t>ella sentenza in commento</w:t>
      </w:r>
      <w:r>
        <w:rPr>
          <w:bCs/>
        </w:rPr>
        <w:t xml:space="preserve">; </w:t>
      </w:r>
      <w:r w:rsidR="00791692">
        <w:rPr>
          <w:bCs/>
        </w:rPr>
        <w:t xml:space="preserve">in </w:t>
      </w:r>
      <w:r>
        <w:rPr>
          <w:bCs/>
        </w:rPr>
        <w:t xml:space="preserve">tale decisione, </w:t>
      </w:r>
      <w:r w:rsidR="00C92D18">
        <w:rPr>
          <w:bCs/>
        </w:rPr>
        <w:t xml:space="preserve">infatti, </w:t>
      </w:r>
      <w:smartTag w:uri="urn:schemas-microsoft-com:office:smarttags" w:element="PersonName">
        <w:smartTagPr>
          <w:attr w:name="ProductID" w:val="La Cassazione"/>
        </w:smartTagPr>
        <w:r w:rsidR="00C92D18">
          <w:rPr>
            <w:bCs/>
          </w:rPr>
          <w:t>la Cassazione</w:t>
        </w:r>
      </w:smartTag>
      <w:r w:rsidR="00C92D18">
        <w:rPr>
          <w:bCs/>
        </w:rPr>
        <w:t xml:space="preserve"> </w:t>
      </w:r>
      <w:r>
        <w:rPr>
          <w:bCs/>
        </w:rPr>
        <w:t xml:space="preserve">aveva ritenuto configurabile </w:t>
      </w:r>
      <w:r w:rsidR="0083098D" w:rsidRPr="00C92D18">
        <w:rPr>
          <w:bCs/>
        </w:rPr>
        <w:t xml:space="preserve">un solo rapporto di lavoro tra </w:t>
      </w:r>
      <w:r w:rsidR="00791692">
        <w:rPr>
          <w:bCs/>
        </w:rPr>
        <w:t xml:space="preserve">un </w:t>
      </w:r>
      <w:r w:rsidR="0083098D" w:rsidRPr="00C92D18">
        <w:rPr>
          <w:bCs/>
        </w:rPr>
        <w:t>lavoratore e</w:t>
      </w:r>
      <w:r w:rsidR="00791692">
        <w:rPr>
          <w:bCs/>
        </w:rPr>
        <w:t>d</w:t>
      </w:r>
      <w:r w:rsidR="0083098D" w:rsidRPr="00C92D18">
        <w:rPr>
          <w:bCs/>
        </w:rPr>
        <w:t xml:space="preserve"> </w:t>
      </w:r>
      <w:r w:rsidR="00791692">
        <w:rPr>
          <w:bCs/>
        </w:rPr>
        <w:t xml:space="preserve">una </w:t>
      </w:r>
      <w:r w:rsidR="0083098D" w:rsidRPr="00C92D18">
        <w:rPr>
          <w:bCs/>
        </w:rPr>
        <w:t>pluralità di società, legate da solidarietà,</w:t>
      </w:r>
      <w:r w:rsidR="00791692">
        <w:rPr>
          <w:bCs/>
        </w:rPr>
        <w:t xml:space="preserve"> </w:t>
      </w:r>
      <w:r w:rsidR="0083098D" w:rsidRPr="00C92D18">
        <w:rPr>
          <w:bCs/>
        </w:rPr>
        <w:t>rileva</w:t>
      </w:r>
      <w:r w:rsidR="00791692">
        <w:rPr>
          <w:bCs/>
        </w:rPr>
        <w:t xml:space="preserve">ndo </w:t>
      </w:r>
      <w:r w:rsidR="0083098D" w:rsidRPr="00C92D18">
        <w:rPr>
          <w:bCs/>
        </w:rPr>
        <w:t>che “</w:t>
      </w:r>
      <w:r w:rsidR="0083098D" w:rsidRPr="00791692">
        <w:rPr>
          <w:bCs/>
          <w:i/>
        </w:rPr>
        <w:t>è giuridicamente possibile concepire un’impresa unitaria che alimenta varie attività formalmente affidate a soggetti diversi</w:t>
      </w:r>
      <w:r w:rsidR="0083098D" w:rsidRPr="00C92D18">
        <w:rPr>
          <w:bCs/>
        </w:rPr>
        <w:t xml:space="preserve">”, ma </w:t>
      </w:r>
      <w:r w:rsidR="00636899">
        <w:rPr>
          <w:bCs/>
        </w:rPr>
        <w:t xml:space="preserve">che </w:t>
      </w:r>
      <w:r w:rsidR="0083098D" w:rsidRPr="00C92D18">
        <w:rPr>
          <w:bCs/>
        </w:rPr>
        <w:t>ciò “</w:t>
      </w:r>
      <w:r w:rsidR="0083098D" w:rsidRPr="00636899">
        <w:rPr>
          <w:bCs/>
          <w:i/>
        </w:rPr>
        <w:t>non comporta la necessità di superare lo schermo della persona giuridica, né di negare la pluralità di quei soggetti, ben potendo esistere un rapporto di lavoro che veda nella posizione del lavoratore un’unica persona e nella posizione del datore di lavoro più persone, rendendo così solidale l’obbligazione del datore di lavoro</w:t>
      </w:r>
      <w:r w:rsidR="0083098D" w:rsidRPr="00C92D18">
        <w:rPr>
          <w:bCs/>
        </w:rPr>
        <w:t xml:space="preserve"> ”</w:t>
      </w:r>
      <w:r w:rsidR="00A12F46" w:rsidRPr="00C92D18">
        <w:rPr>
          <w:bCs/>
        </w:rPr>
        <w:t xml:space="preserve">. </w:t>
      </w:r>
    </w:p>
    <w:p w:rsidR="009124AA" w:rsidRDefault="009124AA" w:rsidP="00BB5CF1">
      <w:pPr>
        <w:spacing w:line="360" w:lineRule="auto"/>
        <w:ind w:right="1134"/>
        <w:jc w:val="both"/>
        <w:rPr>
          <w:bCs/>
        </w:rPr>
      </w:pPr>
    </w:p>
    <w:p w:rsidR="009124AA" w:rsidRPr="00E15ABB" w:rsidRDefault="00A6534C" w:rsidP="00BB5CF1">
      <w:pPr>
        <w:spacing w:line="360" w:lineRule="auto"/>
        <w:ind w:right="1134"/>
        <w:jc w:val="both"/>
        <w:rPr>
          <w:b/>
          <w:bCs/>
        </w:rPr>
      </w:pPr>
      <w:r>
        <w:rPr>
          <w:b/>
          <w:bCs/>
        </w:rPr>
        <w:t>5</w:t>
      </w:r>
      <w:r w:rsidR="007F737B" w:rsidRPr="00E15ABB">
        <w:rPr>
          <w:b/>
          <w:bCs/>
        </w:rPr>
        <w:t xml:space="preserve">. </w:t>
      </w:r>
      <w:r w:rsidR="009124AA" w:rsidRPr="00E15ABB">
        <w:rPr>
          <w:b/>
          <w:bCs/>
        </w:rPr>
        <w:t>Conclusioni</w:t>
      </w:r>
    </w:p>
    <w:p w:rsidR="00473E78" w:rsidRDefault="0064042C" w:rsidP="00BB5CF1">
      <w:pPr>
        <w:spacing w:line="360" w:lineRule="auto"/>
        <w:ind w:right="1134"/>
        <w:jc w:val="both"/>
        <w:rPr>
          <w:bCs/>
        </w:rPr>
      </w:pPr>
      <w:r>
        <w:rPr>
          <w:bCs/>
        </w:rPr>
        <w:t>L</w:t>
      </w:r>
      <w:r w:rsidR="00473E78">
        <w:rPr>
          <w:bCs/>
        </w:rPr>
        <w:t>a sentenza in commento</w:t>
      </w:r>
      <w:r w:rsidR="002014B2">
        <w:rPr>
          <w:bCs/>
        </w:rPr>
        <w:t xml:space="preserve">, sicuramente apprezzabile </w:t>
      </w:r>
      <w:r w:rsidR="00473E78">
        <w:rPr>
          <w:bCs/>
        </w:rPr>
        <w:t>sotto l’aspetto del rigore metodologico</w:t>
      </w:r>
      <w:r w:rsidR="002014B2">
        <w:rPr>
          <w:bCs/>
        </w:rPr>
        <w:t>, contiene precise e condivisibili</w:t>
      </w:r>
      <w:r w:rsidR="00382113">
        <w:rPr>
          <w:bCs/>
        </w:rPr>
        <w:t xml:space="preserve"> </w:t>
      </w:r>
      <w:r w:rsidR="00473E78">
        <w:rPr>
          <w:bCs/>
        </w:rPr>
        <w:t xml:space="preserve">statuizioni </w:t>
      </w:r>
      <w:r w:rsidR="00382113">
        <w:rPr>
          <w:bCs/>
        </w:rPr>
        <w:t>a proposito dei rapporti interpositori e</w:t>
      </w:r>
      <w:r w:rsidR="00473E78">
        <w:rPr>
          <w:bCs/>
        </w:rPr>
        <w:t xml:space="preserve"> </w:t>
      </w:r>
      <w:r w:rsidR="00382113">
        <w:rPr>
          <w:bCs/>
        </w:rPr>
        <w:t>del</w:t>
      </w:r>
      <w:r w:rsidR="00473E78">
        <w:rPr>
          <w:bCs/>
        </w:rPr>
        <w:t>la necessaria ricerca del datore di lavoro effettivo anche nell’</w:t>
      </w:r>
      <w:r w:rsidR="00472352">
        <w:rPr>
          <w:bCs/>
        </w:rPr>
        <w:t>ambito del lavoro prestato n</w:t>
      </w:r>
      <w:r w:rsidR="00473E78">
        <w:rPr>
          <w:bCs/>
        </w:rPr>
        <w:t>ei gruppi di imprese.</w:t>
      </w:r>
    </w:p>
    <w:p w:rsidR="000C6677" w:rsidRDefault="008A1D54" w:rsidP="00BB5CF1">
      <w:pPr>
        <w:spacing w:line="360" w:lineRule="auto"/>
        <w:ind w:right="1134"/>
        <w:jc w:val="both"/>
        <w:rPr>
          <w:bCs/>
        </w:rPr>
      </w:pPr>
      <w:r>
        <w:rPr>
          <w:bCs/>
        </w:rPr>
        <w:t xml:space="preserve">Tuttavia, </w:t>
      </w:r>
      <w:r w:rsidR="000C6677">
        <w:rPr>
          <w:bCs/>
        </w:rPr>
        <w:t xml:space="preserve">la </w:t>
      </w:r>
      <w:r w:rsidR="00382113">
        <w:rPr>
          <w:bCs/>
        </w:rPr>
        <w:t xml:space="preserve">pronuncia </w:t>
      </w:r>
      <w:r w:rsidR="002817E8">
        <w:rPr>
          <w:bCs/>
        </w:rPr>
        <w:t>mette</w:t>
      </w:r>
      <w:r w:rsidR="000C6677">
        <w:rPr>
          <w:bCs/>
        </w:rPr>
        <w:t xml:space="preserve"> in luce </w:t>
      </w:r>
      <w:r w:rsidR="00CA634E">
        <w:rPr>
          <w:bCs/>
        </w:rPr>
        <w:t xml:space="preserve">altresì </w:t>
      </w:r>
      <w:r w:rsidR="000C6677">
        <w:rPr>
          <w:bCs/>
        </w:rPr>
        <w:t xml:space="preserve">alcune problematiche </w:t>
      </w:r>
      <w:r w:rsidR="00382113">
        <w:rPr>
          <w:bCs/>
        </w:rPr>
        <w:t xml:space="preserve">di difficile </w:t>
      </w:r>
      <w:r w:rsidR="000C6677">
        <w:rPr>
          <w:bCs/>
        </w:rPr>
        <w:t>risol</w:t>
      </w:r>
      <w:r w:rsidR="00382113">
        <w:rPr>
          <w:bCs/>
        </w:rPr>
        <w:t xml:space="preserve">uzione </w:t>
      </w:r>
      <w:r w:rsidR="000C6677">
        <w:rPr>
          <w:bCs/>
        </w:rPr>
        <w:t xml:space="preserve">allo stato attuale, ovvero in assenza di una regolamentazione organica da parte del </w:t>
      </w:r>
      <w:r w:rsidR="00DD2A02">
        <w:rPr>
          <w:bCs/>
        </w:rPr>
        <w:t>L</w:t>
      </w:r>
      <w:r w:rsidR="00382113">
        <w:rPr>
          <w:bCs/>
        </w:rPr>
        <w:t xml:space="preserve">egislatore del </w:t>
      </w:r>
      <w:r w:rsidR="000C6677">
        <w:rPr>
          <w:bCs/>
        </w:rPr>
        <w:t>“</w:t>
      </w:r>
      <w:r w:rsidR="000C6677" w:rsidRPr="00DD2A02">
        <w:rPr>
          <w:bCs/>
          <w:i/>
        </w:rPr>
        <w:t>fenomeno gruppo</w:t>
      </w:r>
      <w:r w:rsidR="000C6677">
        <w:rPr>
          <w:bCs/>
        </w:rPr>
        <w:t>”</w:t>
      </w:r>
      <w:r w:rsidR="000C6677">
        <w:rPr>
          <w:rStyle w:val="Rimandonotaapidipagina"/>
          <w:bCs/>
        </w:rPr>
        <w:footnoteReference w:id="58"/>
      </w:r>
      <w:r w:rsidR="000C6677">
        <w:rPr>
          <w:bCs/>
        </w:rPr>
        <w:t>, legate, in particolare, all’individuazione, da un lato, di un confine certo tra le ipotesi di uso “</w:t>
      </w:r>
      <w:r w:rsidR="000C6677" w:rsidRPr="00DD2A02">
        <w:rPr>
          <w:bCs/>
          <w:i/>
        </w:rPr>
        <w:t>opportunistico</w:t>
      </w:r>
      <w:r w:rsidR="000C6677">
        <w:rPr>
          <w:bCs/>
        </w:rPr>
        <w:t>” e “</w:t>
      </w:r>
      <w:r w:rsidR="000C6677" w:rsidRPr="00DD2A02">
        <w:rPr>
          <w:bCs/>
          <w:i/>
        </w:rPr>
        <w:t>genuino</w:t>
      </w:r>
      <w:r w:rsidR="00382113">
        <w:rPr>
          <w:bCs/>
        </w:rPr>
        <w:t xml:space="preserve">” del gruppo, dall’altro lato, </w:t>
      </w:r>
      <w:r w:rsidR="000C6677">
        <w:rPr>
          <w:bCs/>
        </w:rPr>
        <w:t>delle caratteristiche e degli effetti di una “</w:t>
      </w:r>
      <w:r w:rsidR="000C6677" w:rsidRPr="00DD2A02">
        <w:rPr>
          <w:bCs/>
          <w:i/>
        </w:rPr>
        <w:t>forte integrazione</w:t>
      </w:r>
      <w:r w:rsidR="000C6677">
        <w:rPr>
          <w:bCs/>
        </w:rPr>
        <w:t xml:space="preserve">” tra le società operanti all’interno di </w:t>
      </w:r>
      <w:r w:rsidR="00DD2A02">
        <w:rPr>
          <w:bCs/>
        </w:rPr>
        <w:t>un gruppo “</w:t>
      </w:r>
      <w:r w:rsidR="00DD2A02" w:rsidRPr="00DD2A02">
        <w:rPr>
          <w:bCs/>
          <w:i/>
        </w:rPr>
        <w:t>genuino</w:t>
      </w:r>
      <w:r w:rsidR="00DD2A02">
        <w:rPr>
          <w:bCs/>
        </w:rPr>
        <w:t>”.</w:t>
      </w:r>
    </w:p>
    <w:p w:rsidR="00BB5CF1" w:rsidRDefault="00DD2A02" w:rsidP="00BB5CF1">
      <w:pPr>
        <w:spacing w:line="360" w:lineRule="auto"/>
        <w:ind w:right="1134"/>
        <w:jc w:val="both"/>
        <w:rPr>
          <w:bCs/>
        </w:rPr>
      </w:pPr>
      <w:r>
        <w:rPr>
          <w:bCs/>
        </w:rPr>
        <w:t xml:space="preserve">In ogni caso, anche in prospettiva </w:t>
      </w:r>
      <w:r w:rsidR="00520E6E" w:rsidRPr="00520E6E">
        <w:rPr>
          <w:bCs/>
          <w:i/>
        </w:rPr>
        <w:t>de iure condendo</w:t>
      </w:r>
      <w:r>
        <w:rPr>
          <w:bCs/>
        </w:rPr>
        <w:t xml:space="preserve">, è comunque significativo </w:t>
      </w:r>
      <w:r w:rsidR="00E317EE">
        <w:rPr>
          <w:bCs/>
        </w:rPr>
        <w:t xml:space="preserve">il richiamo, </w:t>
      </w:r>
      <w:r w:rsidR="009124AA">
        <w:rPr>
          <w:bCs/>
        </w:rPr>
        <w:t xml:space="preserve">nella sentenza in commento, </w:t>
      </w:r>
      <w:r w:rsidR="00382113">
        <w:rPr>
          <w:bCs/>
        </w:rPr>
        <w:t>de</w:t>
      </w:r>
      <w:r w:rsidR="00690BC7">
        <w:rPr>
          <w:bCs/>
        </w:rPr>
        <w:t xml:space="preserve">lla giurisprudenza comunitaria </w:t>
      </w:r>
      <w:r w:rsidR="00E317EE">
        <w:rPr>
          <w:bCs/>
        </w:rPr>
        <w:t xml:space="preserve">formatasi in tema di </w:t>
      </w:r>
      <w:r>
        <w:rPr>
          <w:bCs/>
        </w:rPr>
        <w:t xml:space="preserve">diritti di </w:t>
      </w:r>
      <w:r w:rsidR="00690BC7">
        <w:rPr>
          <w:bCs/>
        </w:rPr>
        <w:t xml:space="preserve">informazione </w:t>
      </w:r>
      <w:r>
        <w:rPr>
          <w:bCs/>
        </w:rPr>
        <w:t>e consultazione dei lavoratori</w:t>
      </w:r>
      <w:r w:rsidR="00E317EE">
        <w:rPr>
          <w:bCs/>
        </w:rPr>
        <w:t xml:space="preserve"> nei gruppi; t</w:t>
      </w:r>
      <w:r w:rsidR="00690BC7">
        <w:rPr>
          <w:bCs/>
        </w:rPr>
        <w:t xml:space="preserve">ale orientamento, infatti, </w:t>
      </w:r>
      <w:r>
        <w:rPr>
          <w:bCs/>
        </w:rPr>
        <w:t xml:space="preserve">in linea con gli scopi delle Direttive comunitarie già richiamate, </w:t>
      </w:r>
      <w:r w:rsidR="00690BC7">
        <w:rPr>
          <w:bCs/>
        </w:rPr>
        <w:t xml:space="preserve">ha avuto il merito di </w:t>
      </w:r>
      <w:r w:rsidR="009124AA">
        <w:rPr>
          <w:bCs/>
        </w:rPr>
        <w:t>non</w:t>
      </w:r>
      <w:r w:rsidR="00690BC7">
        <w:rPr>
          <w:bCs/>
        </w:rPr>
        <w:t xml:space="preserve"> “</w:t>
      </w:r>
      <w:r w:rsidR="00690BC7" w:rsidRPr="00DD2A02">
        <w:rPr>
          <w:bCs/>
          <w:i/>
        </w:rPr>
        <w:t>criminalizzare</w:t>
      </w:r>
      <w:r w:rsidR="00690BC7">
        <w:rPr>
          <w:bCs/>
        </w:rPr>
        <w:t>” l’utilizzo del gruppo di imprese</w:t>
      </w:r>
      <w:r>
        <w:rPr>
          <w:bCs/>
        </w:rPr>
        <w:t xml:space="preserve"> in sé, </w:t>
      </w:r>
      <w:r w:rsidR="008564DB">
        <w:rPr>
          <w:bCs/>
        </w:rPr>
        <w:t>ma</w:t>
      </w:r>
      <w:r>
        <w:rPr>
          <w:bCs/>
        </w:rPr>
        <w:t xml:space="preserve">, anzi, </w:t>
      </w:r>
      <w:r w:rsidR="008564DB">
        <w:rPr>
          <w:bCs/>
        </w:rPr>
        <w:t>di valorizzarne</w:t>
      </w:r>
      <w:r>
        <w:rPr>
          <w:bCs/>
        </w:rPr>
        <w:t xml:space="preserve"> gli aspetti fisiologici e le potenzialità, non ultimo relative ad una effettiva e funzionale</w:t>
      </w:r>
      <w:r w:rsidR="00BB5CF1">
        <w:rPr>
          <w:bCs/>
        </w:rPr>
        <w:t xml:space="preserve"> contrattazione collettiva di gruppo</w:t>
      </w:r>
      <w:r w:rsidR="00BB5CF1">
        <w:rPr>
          <w:rStyle w:val="Rimandonotaapidipagina"/>
          <w:bCs/>
        </w:rPr>
        <w:footnoteReference w:id="59"/>
      </w:r>
      <w:r w:rsidR="00650BFC">
        <w:rPr>
          <w:bCs/>
        </w:rPr>
        <w:t>.</w:t>
      </w:r>
    </w:p>
    <w:p w:rsidR="002146A8" w:rsidRPr="00474A9E" w:rsidRDefault="00D453EB" w:rsidP="00521AAE">
      <w:pPr>
        <w:spacing w:line="360" w:lineRule="auto"/>
        <w:ind w:right="1134"/>
        <w:jc w:val="both"/>
      </w:pPr>
      <w:r>
        <w:t xml:space="preserve"> </w:t>
      </w:r>
    </w:p>
    <w:p w:rsidR="004E74CD" w:rsidRPr="004E74CD" w:rsidRDefault="004E74CD" w:rsidP="004E74CD">
      <w:pPr>
        <w:spacing w:line="360" w:lineRule="auto"/>
        <w:ind w:right="1134"/>
        <w:jc w:val="right"/>
        <w:rPr>
          <w:bCs/>
        </w:rPr>
      </w:pPr>
      <w:r w:rsidRPr="004E74CD">
        <w:rPr>
          <w:bCs/>
        </w:rPr>
        <w:t>Marco Biasi</w:t>
      </w:r>
    </w:p>
    <w:p w:rsidR="00DA6F6C" w:rsidRPr="004E74CD" w:rsidRDefault="004E74CD" w:rsidP="004E74CD">
      <w:pPr>
        <w:spacing w:line="360" w:lineRule="auto"/>
        <w:ind w:right="1134"/>
        <w:jc w:val="right"/>
        <w:rPr>
          <w:bCs/>
        </w:rPr>
      </w:pPr>
      <w:r w:rsidRPr="004E74CD">
        <w:rPr>
          <w:bCs/>
        </w:rPr>
        <w:t>Dottorando in Diritto dell’Impresa dell’Università Luigi Bocconi di Milano</w:t>
      </w:r>
    </w:p>
    <w:p w:rsidR="00DA6F6C" w:rsidRDefault="00DA6F6C" w:rsidP="00F219CF">
      <w:pPr>
        <w:spacing w:line="360" w:lineRule="auto"/>
        <w:ind w:right="1134"/>
        <w:jc w:val="both"/>
        <w:rPr>
          <w:bCs/>
        </w:rPr>
      </w:pPr>
    </w:p>
    <w:p w:rsidR="00DA6F6C" w:rsidRDefault="00DA6F6C" w:rsidP="00F219CF">
      <w:pPr>
        <w:spacing w:line="360" w:lineRule="auto"/>
        <w:ind w:right="1134"/>
        <w:jc w:val="both"/>
        <w:rPr>
          <w:bCs/>
        </w:rPr>
      </w:pPr>
    </w:p>
    <w:p w:rsidR="00DA6F6C" w:rsidRDefault="00DA6F6C" w:rsidP="00F219CF">
      <w:pPr>
        <w:spacing w:line="360" w:lineRule="auto"/>
        <w:ind w:right="1134"/>
        <w:jc w:val="both"/>
        <w:rPr>
          <w:bCs/>
        </w:rPr>
      </w:pPr>
    </w:p>
    <w:p w:rsidR="00DA6F6C" w:rsidRDefault="00DA6F6C" w:rsidP="00F219CF">
      <w:pPr>
        <w:spacing w:line="360" w:lineRule="auto"/>
        <w:ind w:right="1134"/>
        <w:jc w:val="both"/>
        <w:rPr>
          <w:bCs/>
        </w:rPr>
      </w:pPr>
    </w:p>
    <w:sectPr w:rsidR="00DA6F6C">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913" w:rsidRDefault="00865913">
      <w:r>
        <w:separator/>
      </w:r>
    </w:p>
  </w:endnote>
  <w:endnote w:type="continuationSeparator" w:id="0">
    <w:p w:rsidR="00865913" w:rsidRDefault="0086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87" w:rsidRDefault="00DA3C87" w:rsidP="004B7F3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DA3C87" w:rsidRDefault="00DA3C8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87" w:rsidRDefault="00DA3C87" w:rsidP="004B7F3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782CD5">
      <w:rPr>
        <w:rStyle w:val="Numeropagina"/>
        <w:noProof/>
      </w:rPr>
      <w:t>18</w:t>
    </w:r>
    <w:r>
      <w:rPr>
        <w:rStyle w:val="Numeropagina"/>
      </w:rPr>
      <w:fldChar w:fldCharType="end"/>
    </w:r>
  </w:p>
  <w:p w:rsidR="00DA3C87" w:rsidRDefault="00DA3C8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913" w:rsidRDefault="00865913">
      <w:r>
        <w:separator/>
      </w:r>
    </w:p>
  </w:footnote>
  <w:footnote w:type="continuationSeparator" w:id="0">
    <w:p w:rsidR="00865913" w:rsidRDefault="00865913">
      <w:r>
        <w:continuationSeparator/>
      </w:r>
    </w:p>
  </w:footnote>
  <w:footnote w:id="1">
    <w:p w:rsidR="00DA3C87" w:rsidRPr="00274339" w:rsidRDefault="00DA3C87" w:rsidP="00274339">
      <w:pPr>
        <w:pStyle w:val="Testonotaapidipagina"/>
        <w:ind w:right="1178"/>
        <w:jc w:val="both"/>
      </w:pPr>
      <w:r w:rsidRPr="00274339">
        <w:rPr>
          <w:rStyle w:val="Rimandonotaapidipagina"/>
        </w:rPr>
        <w:footnoteRef/>
      </w:r>
      <w:r w:rsidRPr="00274339">
        <w:t xml:space="preserve"> </w:t>
      </w:r>
      <w:smartTag w:uri="urn:schemas-microsoft-com:office:smarttags" w:element="PersonName">
        <w:smartTagPr>
          <w:attr w:name="ProductID" w:val="la Corte"/>
        </w:smartTagPr>
        <w:r w:rsidRPr="00274339">
          <w:t>La Corte</w:t>
        </w:r>
      </w:smartTag>
      <w:r w:rsidRPr="00274339">
        <w:t xml:space="preserve"> d’Appello di Torino ha accolto il ricorso del lavoratore, in </w:t>
      </w:r>
      <w:r w:rsidRPr="00274339">
        <w:rPr>
          <w:bCs/>
        </w:rPr>
        <w:t>riforma della sentenza di primo grado.</w:t>
      </w:r>
    </w:p>
  </w:footnote>
  <w:footnote w:id="2">
    <w:p w:rsidR="00DA3C87" w:rsidRPr="00274339" w:rsidRDefault="00DA3C87" w:rsidP="00274339">
      <w:pPr>
        <w:pStyle w:val="Testonotaapidipagina"/>
        <w:ind w:right="1178"/>
        <w:jc w:val="both"/>
      </w:pPr>
      <w:r w:rsidRPr="00274339">
        <w:rPr>
          <w:rStyle w:val="Rimandonotaapidipagina"/>
        </w:rPr>
        <w:footnoteRef/>
      </w:r>
      <w:r w:rsidRPr="00274339">
        <w:t xml:space="preserve"> Tale censura è contenuta nel secondo motivo del ricorso per cassazione di FIAT Auto S.p.A., mentre il primo motivo, che non viene approfondito nel presente commento e che in ogni caso è stato dichiarato infondato dalla Corte, riguarda la sussistenza e l’interpretazione di un accordo transattivo intervenuto tra le parti in periodo antecedente al giudizio.</w:t>
      </w:r>
    </w:p>
  </w:footnote>
  <w:footnote w:id="3">
    <w:p w:rsidR="00DA3C87" w:rsidRPr="00274339" w:rsidRDefault="00DA3C87" w:rsidP="00274339">
      <w:pPr>
        <w:pStyle w:val="Testonotaapidipagina"/>
        <w:ind w:right="1178"/>
        <w:jc w:val="both"/>
      </w:pPr>
      <w:r w:rsidRPr="00274339">
        <w:rPr>
          <w:rStyle w:val="Rimandonotaapidipagina"/>
        </w:rPr>
        <w:footnoteRef/>
      </w:r>
      <w:r w:rsidRPr="00274339">
        <w:t xml:space="preserve"> Cfr. O. </w:t>
      </w:r>
      <w:proofErr w:type="spellStart"/>
      <w:r w:rsidRPr="00274339">
        <w:t>Razzolini</w:t>
      </w:r>
      <w:proofErr w:type="spellEnd"/>
      <w:r w:rsidRPr="00274339">
        <w:t xml:space="preserve">, </w:t>
      </w:r>
      <w:r w:rsidRPr="00274339">
        <w:rPr>
          <w:i/>
        </w:rPr>
        <w:t>Contitolarità del rapporto di lavoro nel gruppo caratterizzato da “unicità di impresa”</w:t>
      </w:r>
      <w:r w:rsidRPr="00274339">
        <w:t xml:space="preserve">, in </w:t>
      </w:r>
      <w:r w:rsidRPr="00274339">
        <w:rPr>
          <w:i/>
        </w:rPr>
        <w:t>CSDLE</w:t>
      </w:r>
      <w:r w:rsidRPr="00274339">
        <w:t>, 2009, 89, 23; in termini di gruppo come “</w:t>
      </w:r>
      <w:r w:rsidRPr="00274339">
        <w:rPr>
          <w:i/>
        </w:rPr>
        <w:t>contesto</w:t>
      </w:r>
      <w:r w:rsidRPr="00274339">
        <w:t xml:space="preserve">” si esprime T. Treu, </w:t>
      </w:r>
      <w:r w:rsidRPr="00274339">
        <w:rPr>
          <w:i/>
        </w:rPr>
        <w:t>Gruppi di imprese e relazioni industriali: tendenze europee</w:t>
      </w:r>
      <w:r w:rsidRPr="00274339">
        <w:t xml:space="preserve">, in </w:t>
      </w:r>
      <w:r w:rsidRPr="00274339">
        <w:rPr>
          <w:i/>
        </w:rPr>
        <w:t>G.D.L.R.I.</w:t>
      </w:r>
      <w:r w:rsidRPr="00274339">
        <w:t xml:space="preserve">, 1988, 4, 651. </w:t>
      </w:r>
    </w:p>
  </w:footnote>
  <w:footnote w:id="4">
    <w:p w:rsidR="00DA3C87" w:rsidRPr="00274339" w:rsidRDefault="00DA3C87" w:rsidP="00274339">
      <w:pPr>
        <w:pStyle w:val="Testonotaapidipagina"/>
        <w:ind w:right="1178"/>
        <w:jc w:val="both"/>
      </w:pPr>
      <w:r w:rsidRPr="00274339">
        <w:rPr>
          <w:rStyle w:val="Rimandonotaapidipagina"/>
        </w:rPr>
        <w:footnoteRef/>
      </w:r>
      <w:r w:rsidRPr="00274339">
        <w:t xml:space="preserve"> G. </w:t>
      </w:r>
      <w:proofErr w:type="spellStart"/>
      <w:r w:rsidRPr="00274339">
        <w:t>Meliadò</w:t>
      </w:r>
      <w:proofErr w:type="spellEnd"/>
      <w:r w:rsidRPr="00274339">
        <w:t xml:space="preserve">, </w:t>
      </w:r>
      <w:r w:rsidRPr="00274339">
        <w:rPr>
          <w:i/>
        </w:rPr>
        <w:t>Imprese a struttura complessa, controllo dei fenomeni di esternalizzazione ed interpretazioni giurisprudenziali</w:t>
      </w:r>
      <w:r w:rsidRPr="00274339">
        <w:t xml:space="preserve">, in </w:t>
      </w:r>
      <w:r w:rsidRPr="00274339">
        <w:rPr>
          <w:i/>
        </w:rPr>
        <w:t xml:space="preserve">Foro </w:t>
      </w:r>
      <w:proofErr w:type="spellStart"/>
      <w:proofErr w:type="gramStart"/>
      <w:r w:rsidRPr="00274339">
        <w:rPr>
          <w:i/>
        </w:rPr>
        <w:t>it</w:t>
      </w:r>
      <w:proofErr w:type="spellEnd"/>
      <w:r w:rsidRPr="00274339">
        <w:rPr>
          <w:i/>
        </w:rPr>
        <w:t>.</w:t>
      </w:r>
      <w:r w:rsidRPr="00274339">
        <w:t>,</w:t>
      </w:r>
      <w:proofErr w:type="gramEnd"/>
      <w:r w:rsidRPr="00274339">
        <w:t xml:space="preserve"> 2010, 12, I, 3327; Id., </w:t>
      </w:r>
      <w:r w:rsidRPr="00274339">
        <w:rPr>
          <w:i/>
        </w:rPr>
        <w:t>Esternalizzazione dei processi produttivi e imprese a struttura complessa</w:t>
      </w:r>
      <w:r w:rsidRPr="00274339">
        <w:t xml:space="preserve">, in </w:t>
      </w:r>
      <w:r w:rsidRPr="00274339">
        <w:rPr>
          <w:i/>
        </w:rPr>
        <w:t>Lav. nella Giur.</w:t>
      </w:r>
      <w:r w:rsidRPr="00274339">
        <w:t xml:space="preserve">, 2010, </w:t>
      </w:r>
      <w:r w:rsidRPr="00274339">
        <w:rPr>
          <w:i/>
        </w:rPr>
        <w:t>Gli Speciali – Innovazione tecnologica, esternalizzazione dei servizi e professionalità</w:t>
      </w:r>
      <w:r w:rsidRPr="00274339">
        <w:t xml:space="preserve">, 13, nonché, più diffusamente, Id., </w:t>
      </w:r>
      <w:r w:rsidRPr="00274339">
        <w:rPr>
          <w:i/>
        </w:rPr>
        <w:t>Il rapporto di lavoro nei gruppi di società. Subordinazione e imprese a struttura complessa</w:t>
      </w:r>
      <w:r w:rsidRPr="00274339">
        <w:t xml:space="preserve">, </w:t>
      </w:r>
      <w:proofErr w:type="spellStart"/>
      <w:r w:rsidRPr="00274339">
        <w:t>Giuffrè</w:t>
      </w:r>
      <w:proofErr w:type="spellEnd"/>
      <w:r w:rsidRPr="00274339">
        <w:t xml:space="preserve">, Milano, 1991. </w:t>
      </w:r>
    </w:p>
  </w:footnote>
  <w:footnote w:id="5">
    <w:p w:rsidR="00DA3C87" w:rsidRPr="00274339" w:rsidRDefault="00DA3C87" w:rsidP="00274339">
      <w:pPr>
        <w:pStyle w:val="Testonotaapidipagina"/>
        <w:ind w:right="1178"/>
        <w:jc w:val="both"/>
      </w:pPr>
      <w:r w:rsidRPr="00274339">
        <w:rPr>
          <w:rStyle w:val="Rimandonotaapidipagina"/>
        </w:rPr>
        <w:footnoteRef/>
      </w:r>
      <w:r w:rsidRPr="00274339">
        <w:t xml:space="preserve"> Sulle diverse definizioni di gruppo elaborate in dottrina, in mancanza di una definizione legislativa valevole per l’intero ordinamento, si concentra F. </w:t>
      </w:r>
      <w:proofErr w:type="spellStart"/>
      <w:r w:rsidRPr="00274339">
        <w:t>Lunardon</w:t>
      </w:r>
      <w:proofErr w:type="spellEnd"/>
      <w:r w:rsidRPr="00274339">
        <w:t xml:space="preserve">, </w:t>
      </w:r>
      <w:r w:rsidRPr="00274339">
        <w:rPr>
          <w:i/>
        </w:rPr>
        <w:t>Il rapporto di lavoro nei gruppi di imprese</w:t>
      </w:r>
      <w:r w:rsidRPr="00274339">
        <w:t xml:space="preserve">, in C. </w:t>
      </w:r>
      <w:proofErr w:type="spellStart"/>
      <w:r w:rsidRPr="00274339">
        <w:t>Cester</w:t>
      </w:r>
      <w:proofErr w:type="spellEnd"/>
      <w:r w:rsidRPr="00274339">
        <w:t xml:space="preserve"> (a cura di), </w:t>
      </w:r>
      <w:r w:rsidRPr="00274339">
        <w:rPr>
          <w:i/>
          <w:iCs/>
        </w:rPr>
        <w:t>Il rapporto di lavoro subordin</w:t>
      </w:r>
      <w:r w:rsidR="00B70F03">
        <w:rPr>
          <w:i/>
          <w:iCs/>
        </w:rPr>
        <w:t>ato: costituzione e svolgimento</w:t>
      </w:r>
      <w:r w:rsidR="00B70F03">
        <w:rPr>
          <w:iCs/>
        </w:rPr>
        <w:t>, in F. Carinci (diretto da),</w:t>
      </w:r>
      <w:r w:rsidRPr="00274339">
        <w:rPr>
          <w:i/>
          <w:iCs/>
        </w:rPr>
        <w:t xml:space="preserve"> Diritto del lavoro. Commentario</w:t>
      </w:r>
      <w:r w:rsidR="00B70F03">
        <w:rPr>
          <w:iCs/>
        </w:rPr>
        <w:t xml:space="preserve">, </w:t>
      </w:r>
      <w:r w:rsidR="00DD3DBA">
        <w:rPr>
          <w:iCs/>
        </w:rPr>
        <w:t xml:space="preserve">vol. II, </w:t>
      </w:r>
      <w:r w:rsidRPr="00274339">
        <w:t>Utet</w:t>
      </w:r>
      <w:r w:rsidR="0030446A">
        <w:t>, Torino, 2007,</w:t>
      </w:r>
      <w:r w:rsidR="00B70F03">
        <w:t xml:space="preserve"> 2076.</w:t>
      </w:r>
    </w:p>
  </w:footnote>
  <w:footnote w:id="6">
    <w:p w:rsidR="00DA3C87" w:rsidRPr="00274339" w:rsidRDefault="00DA3C87" w:rsidP="00274339">
      <w:pPr>
        <w:pStyle w:val="Testonotaapidipagina"/>
        <w:ind w:right="1178"/>
        <w:jc w:val="both"/>
      </w:pPr>
      <w:r w:rsidRPr="00274339">
        <w:rPr>
          <w:rStyle w:val="Rimandonotaapidipagina"/>
        </w:rPr>
        <w:footnoteRef/>
      </w:r>
      <w:r w:rsidRPr="00274339">
        <w:t xml:space="preserve"> Si tratterebbe si una “</w:t>
      </w:r>
      <w:r w:rsidRPr="00274339">
        <w:rPr>
          <w:i/>
        </w:rPr>
        <w:t>legislazione in cocci</w:t>
      </w:r>
      <w:r w:rsidR="002E3F0A" w:rsidRPr="00274339">
        <w:t>”</w:t>
      </w:r>
      <w:r w:rsidRPr="00274339">
        <w:t xml:space="preserve"> secondo O. Mazzotta, </w:t>
      </w:r>
      <w:r w:rsidRPr="00274339">
        <w:rPr>
          <w:i/>
        </w:rPr>
        <w:t>Divide et impera: diritto del lavoro e gruppi di imprese</w:t>
      </w:r>
      <w:r w:rsidRPr="00274339">
        <w:t xml:space="preserve">, in </w:t>
      </w:r>
      <w:proofErr w:type="spellStart"/>
      <w:r w:rsidRPr="00274339">
        <w:rPr>
          <w:i/>
        </w:rPr>
        <w:t>Lav.Dir</w:t>
      </w:r>
      <w:proofErr w:type="spellEnd"/>
      <w:r w:rsidRPr="00274339">
        <w:rPr>
          <w:i/>
        </w:rPr>
        <w:t>.</w:t>
      </w:r>
      <w:r w:rsidRPr="00274339">
        <w:t>, 1988, 359.</w:t>
      </w:r>
    </w:p>
  </w:footnote>
  <w:footnote w:id="7">
    <w:p w:rsidR="00DA3C87" w:rsidRPr="00274339" w:rsidRDefault="00DA3C87" w:rsidP="00274339">
      <w:pPr>
        <w:tabs>
          <w:tab w:val="left" w:pos="9000"/>
        </w:tabs>
        <w:autoSpaceDE w:val="0"/>
        <w:autoSpaceDN w:val="0"/>
        <w:adjustRightInd w:val="0"/>
        <w:ind w:right="1178"/>
        <w:jc w:val="both"/>
        <w:rPr>
          <w:sz w:val="20"/>
          <w:szCs w:val="20"/>
        </w:rPr>
      </w:pPr>
      <w:r w:rsidRPr="00274339">
        <w:rPr>
          <w:rStyle w:val="Rimandonotaapidipagina"/>
          <w:sz w:val="20"/>
          <w:szCs w:val="20"/>
        </w:rPr>
        <w:footnoteRef/>
      </w:r>
      <w:r w:rsidRPr="00274339">
        <w:rPr>
          <w:sz w:val="20"/>
          <w:szCs w:val="20"/>
        </w:rPr>
        <w:t xml:space="preserve"> In materia </w:t>
      </w:r>
      <w:proofErr w:type="spellStart"/>
      <w:r w:rsidRPr="00274339">
        <w:rPr>
          <w:sz w:val="20"/>
          <w:szCs w:val="20"/>
        </w:rPr>
        <w:t>giuscommercialistica</w:t>
      </w:r>
      <w:proofErr w:type="spellEnd"/>
      <w:r w:rsidRPr="00274339">
        <w:rPr>
          <w:sz w:val="20"/>
          <w:szCs w:val="20"/>
        </w:rPr>
        <w:t xml:space="preserve">, il fenomeno </w:t>
      </w:r>
      <w:r w:rsidR="00137606" w:rsidRPr="00274339">
        <w:rPr>
          <w:sz w:val="20"/>
          <w:szCs w:val="20"/>
        </w:rPr>
        <w:t>g</w:t>
      </w:r>
      <w:r w:rsidRPr="00274339">
        <w:rPr>
          <w:sz w:val="20"/>
          <w:szCs w:val="20"/>
        </w:rPr>
        <w:t>ruppo è stato considerato dal legislatore solo tardivamente rispetto all’entrata in vigore del codice del 1942, che non conteneva una disciplina in materia, venendo infatti regolato solo a partire dagli anni ’70 ed in modo frammentario (in dottrina, F. Galgano,</w:t>
      </w:r>
      <w:r w:rsidR="00B757EC">
        <w:rPr>
          <w:sz w:val="20"/>
          <w:szCs w:val="20"/>
        </w:rPr>
        <w:t xml:space="preserve"> voce</w:t>
      </w:r>
      <w:r w:rsidRPr="00274339">
        <w:rPr>
          <w:sz w:val="20"/>
          <w:szCs w:val="20"/>
        </w:rPr>
        <w:t xml:space="preserve"> </w:t>
      </w:r>
      <w:r w:rsidRPr="00274339">
        <w:rPr>
          <w:i/>
          <w:sz w:val="20"/>
          <w:szCs w:val="20"/>
        </w:rPr>
        <w:t>Persona Giuridica</w:t>
      </w:r>
      <w:r w:rsidRPr="00274339">
        <w:rPr>
          <w:sz w:val="20"/>
          <w:szCs w:val="20"/>
        </w:rPr>
        <w:t xml:space="preserve">, </w:t>
      </w:r>
      <w:r w:rsidRPr="00B757EC">
        <w:rPr>
          <w:i/>
          <w:sz w:val="20"/>
          <w:szCs w:val="20"/>
        </w:rPr>
        <w:t xml:space="preserve">in </w:t>
      </w:r>
      <w:proofErr w:type="spellStart"/>
      <w:r w:rsidRPr="00B757EC">
        <w:rPr>
          <w:i/>
          <w:iCs/>
          <w:sz w:val="20"/>
          <w:szCs w:val="20"/>
        </w:rPr>
        <w:t>Dig</w:t>
      </w:r>
      <w:proofErr w:type="spellEnd"/>
      <w:r w:rsidR="00B757EC" w:rsidRPr="00B757EC">
        <w:rPr>
          <w:i/>
          <w:iCs/>
          <w:sz w:val="20"/>
          <w:szCs w:val="20"/>
        </w:rPr>
        <w:t>.</w:t>
      </w:r>
      <w:r w:rsidR="00B757EC">
        <w:rPr>
          <w:i/>
          <w:sz w:val="20"/>
          <w:szCs w:val="20"/>
        </w:rPr>
        <w:t xml:space="preserve"> </w:t>
      </w:r>
      <w:r w:rsidR="00AD4FAE">
        <w:rPr>
          <w:i/>
          <w:sz w:val="20"/>
          <w:szCs w:val="20"/>
        </w:rPr>
        <w:t xml:space="preserve">IV </w:t>
      </w:r>
      <w:proofErr w:type="gramStart"/>
      <w:r w:rsidR="00AD4FAE">
        <w:rPr>
          <w:i/>
          <w:sz w:val="20"/>
          <w:szCs w:val="20"/>
        </w:rPr>
        <w:t>ed.,</w:t>
      </w:r>
      <w:proofErr w:type="gramEnd"/>
      <w:r w:rsidR="00AD4FAE">
        <w:rPr>
          <w:i/>
          <w:sz w:val="20"/>
          <w:szCs w:val="20"/>
        </w:rPr>
        <w:t xml:space="preserve"> </w:t>
      </w:r>
      <w:r w:rsidR="00B757EC" w:rsidRPr="00B757EC">
        <w:rPr>
          <w:i/>
          <w:sz w:val="20"/>
          <w:szCs w:val="20"/>
        </w:rPr>
        <w:t>Disc.</w:t>
      </w:r>
      <w:r w:rsidR="00AD4FAE">
        <w:rPr>
          <w:i/>
          <w:sz w:val="20"/>
          <w:szCs w:val="20"/>
        </w:rPr>
        <w:t xml:space="preserve"> </w:t>
      </w:r>
      <w:proofErr w:type="gramStart"/>
      <w:r w:rsidR="00AD4FAE">
        <w:rPr>
          <w:i/>
          <w:sz w:val="20"/>
          <w:szCs w:val="20"/>
        </w:rPr>
        <w:t>p</w:t>
      </w:r>
      <w:r w:rsidR="00B757EC" w:rsidRPr="00B757EC">
        <w:rPr>
          <w:i/>
          <w:sz w:val="20"/>
          <w:szCs w:val="20"/>
        </w:rPr>
        <w:t>riv.,</w:t>
      </w:r>
      <w:proofErr w:type="gramEnd"/>
      <w:r w:rsidR="00B757EC" w:rsidRPr="00B757EC">
        <w:rPr>
          <w:i/>
          <w:sz w:val="20"/>
          <w:szCs w:val="20"/>
        </w:rPr>
        <w:t xml:space="preserve"> Sez. </w:t>
      </w:r>
      <w:r w:rsidR="00AD4FAE">
        <w:rPr>
          <w:i/>
          <w:sz w:val="20"/>
          <w:szCs w:val="20"/>
        </w:rPr>
        <w:t>c</w:t>
      </w:r>
      <w:r w:rsidR="00B757EC" w:rsidRPr="00B757EC">
        <w:rPr>
          <w:i/>
          <w:sz w:val="20"/>
          <w:szCs w:val="20"/>
        </w:rPr>
        <w:t>iv.</w:t>
      </w:r>
      <w:r w:rsidR="00B757EC">
        <w:rPr>
          <w:sz w:val="20"/>
          <w:szCs w:val="20"/>
        </w:rPr>
        <w:t xml:space="preserve">, vol. XIII, </w:t>
      </w:r>
      <w:r w:rsidRPr="00274339">
        <w:rPr>
          <w:sz w:val="20"/>
          <w:szCs w:val="20"/>
        </w:rPr>
        <w:t xml:space="preserve">Utet, Torino, 1995, 392 ss.; G. Rossi, </w:t>
      </w:r>
      <w:r w:rsidRPr="00274339">
        <w:rPr>
          <w:i/>
          <w:sz w:val="20"/>
          <w:szCs w:val="20"/>
        </w:rPr>
        <w:t>Il fenomeno dei gruppi ed il diritto societario: un nodo da risolvere</w:t>
      </w:r>
      <w:r w:rsidRPr="00274339">
        <w:rPr>
          <w:sz w:val="20"/>
          <w:szCs w:val="20"/>
        </w:rPr>
        <w:t xml:space="preserve">, in </w:t>
      </w:r>
      <w:proofErr w:type="spellStart"/>
      <w:r w:rsidRPr="00274339">
        <w:rPr>
          <w:sz w:val="20"/>
          <w:szCs w:val="20"/>
        </w:rPr>
        <w:t>Aa.Vv</w:t>
      </w:r>
      <w:proofErr w:type="spellEnd"/>
      <w:r w:rsidRPr="00274339">
        <w:rPr>
          <w:sz w:val="20"/>
          <w:szCs w:val="20"/>
        </w:rPr>
        <w:t xml:space="preserve">., </w:t>
      </w:r>
      <w:r w:rsidRPr="00274339">
        <w:rPr>
          <w:i/>
          <w:iCs/>
          <w:sz w:val="20"/>
          <w:szCs w:val="20"/>
        </w:rPr>
        <w:t>I gruppi di società. Atti del convegno internazionale di studi di Venezia, 16-17-18 novembre 1995</w:t>
      </w:r>
      <w:r w:rsidRPr="00274339">
        <w:rPr>
          <w:sz w:val="20"/>
          <w:szCs w:val="20"/>
        </w:rPr>
        <w:t xml:space="preserve">, </w:t>
      </w:r>
      <w:r w:rsidR="00C64ADE">
        <w:rPr>
          <w:sz w:val="20"/>
          <w:szCs w:val="20"/>
        </w:rPr>
        <w:t xml:space="preserve">vol. I, </w:t>
      </w:r>
      <w:proofErr w:type="spellStart"/>
      <w:r w:rsidRPr="00274339">
        <w:rPr>
          <w:sz w:val="20"/>
          <w:szCs w:val="20"/>
        </w:rPr>
        <w:t>Giuffrè</w:t>
      </w:r>
      <w:proofErr w:type="spellEnd"/>
      <w:r w:rsidRPr="00274339">
        <w:rPr>
          <w:sz w:val="20"/>
          <w:szCs w:val="20"/>
        </w:rPr>
        <w:t xml:space="preserve">, Milano, 1995, 17 ss.; P. </w:t>
      </w:r>
      <w:proofErr w:type="spellStart"/>
      <w:r w:rsidRPr="00274339">
        <w:rPr>
          <w:sz w:val="20"/>
          <w:szCs w:val="20"/>
        </w:rPr>
        <w:t>Montalenti</w:t>
      </w:r>
      <w:proofErr w:type="spellEnd"/>
      <w:r w:rsidRPr="00274339">
        <w:rPr>
          <w:sz w:val="20"/>
          <w:szCs w:val="20"/>
        </w:rPr>
        <w:t xml:space="preserve">, </w:t>
      </w:r>
      <w:r w:rsidRPr="00274339">
        <w:rPr>
          <w:i/>
          <w:sz w:val="20"/>
          <w:szCs w:val="20"/>
        </w:rPr>
        <w:t xml:space="preserve">Persona giuridica, gruppi di società, </w:t>
      </w:r>
      <w:r w:rsidRPr="00274339">
        <w:rPr>
          <w:i/>
          <w:iCs/>
          <w:sz w:val="20"/>
          <w:szCs w:val="20"/>
        </w:rPr>
        <w:t>corporate governante</w:t>
      </w:r>
      <w:r w:rsidRPr="00274339">
        <w:rPr>
          <w:sz w:val="20"/>
          <w:szCs w:val="20"/>
        </w:rPr>
        <w:t xml:space="preserve">, Cedam, Padova, 1999; G. </w:t>
      </w:r>
      <w:proofErr w:type="spellStart"/>
      <w:r w:rsidRPr="00274339">
        <w:rPr>
          <w:sz w:val="20"/>
          <w:szCs w:val="20"/>
        </w:rPr>
        <w:t>Sbisà</w:t>
      </w:r>
      <w:proofErr w:type="spellEnd"/>
      <w:r w:rsidRPr="00274339">
        <w:rPr>
          <w:sz w:val="20"/>
          <w:szCs w:val="20"/>
        </w:rPr>
        <w:t xml:space="preserve">, </w:t>
      </w:r>
      <w:r w:rsidRPr="00274339">
        <w:rPr>
          <w:i/>
          <w:sz w:val="20"/>
          <w:szCs w:val="20"/>
        </w:rPr>
        <w:t>Responsabilità della capogruppo e vantaggi compensativi</w:t>
      </w:r>
      <w:r w:rsidRPr="00274339">
        <w:rPr>
          <w:sz w:val="20"/>
          <w:szCs w:val="20"/>
        </w:rPr>
        <w:t xml:space="preserve">, in </w:t>
      </w:r>
      <w:r w:rsidRPr="00274339">
        <w:rPr>
          <w:i/>
          <w:iCs/>
          <w:sz w:val="20"/>
          <w:szCs w:val="20"/>
        </w:rPr>
        <w:t>CI</w:t>
      </w:r>
      <w:r w:rsidRPr="00274339">
        <w:rPr>
          <w:sz w:val="20"/>
          <w:szCs w:val="20"/>
        </w:rPr>
        <w:t xml:space="preserve">, 2003, 591 ss.; M. Miola, </w:t>
      </w:r>
      <w:r w:rsidRPr="00274339">
        <w:rPr>
          <w:i/>
          <w:sz w:val="20"/>
          <w:szCs w:val="20"/>
        </w:rPr>
        <w:t>I gruppi di società tra unità e pluralità alla luce della riforma del diritto societario</w:t>
      </w:r>
      <w:r w:rsidRPr="00274339">
        <w:rPr>
          <w:sz w:val="20"/>
          <w:szCs w:val="20"/>
        </w:rPr>
        <w:t xml:space="preserve">, in </w:t>
      </w:r>
      <w:r w:rsidRPr="00274339">
        <w:rPr>
          <w:i/>
          <w:iCs/>
          <w:sz w:val="20"/>
          <w:szCs w:val="20"/>
        </w:rPr>
        <w:t>DML</w:t>
      </w:r>
      <w:r w:rsidRPr="00274339">
        <w:rPr>
          <w:sz w:val="20"/>
          <w:szCs w:val="20"/>
        </w:rPr>
        <w:t xml:space="preserve">, 2004, 695 ss.). Di recente, la c.d. “Riforma societaria”, attuata con il </w:t>
      </w:r>
      <w:proofErr w:type="spellStart"/>
      <w:r w:rsidRPr="00274339">
        <w:rPr>
          <w:sz w:val="20"/>
          <w:szCs w:val="20"/>
        </w:rPr>
        <w:t>D.Lgs.</w:t>
      </w:r>
      <w:proofErr w:type="spellEnd"/>
      <w:r w:rsidRPr="00274339">
        <w:rPr>
          <w:sz w:val="20"/>
          <w:szCs w:val="20"/>
        </w:rPr>
        <w:t xml:space="preserve"> 6/2003, nel riscrivere l’art. 2497 c.c., in tema di “</w:t>
      </w:r>
      <w:r w:rsidR="006E1AE9">
        <w:rPr>
          <w:i/>
          <w:sz w:val="20"/>
          <w:szCs w:val="20"/>
        </w:rPr>
        <w:t>Direzione e c</w:t>
      </w:r>
      <w:r w:rsidRPr="00274339">
        <w:rPr>
          <w:i/>
          <w:sz w:val="20"/>
          <w:szCs w:val="20"/>
        </w:rPr>
        <w:t>oordinamento di società</w:t>
      </w:r>
      <w:r w:rsidRPr="00274339">
        <w:rPr>
          <w:sz w:val="20"/>
          <w:szCs w:val="20"/>
        </w:rPr>
        <w:t>”, ha introdotto una nuova responsabilità derivante dall’esercizio dell’attività, di “</w:t>
      </w:r>
      <w:r w:rsidRPr="00274339">
        <w:rPr>
          <w:i/>
          <w:sz w:val="20"/>
          <w:szCs w:val="20"/>
        </w:rPr>
        <w:t>direzione e coordinamento</w:t>
      </w:r>
      <w:r w:rsidRPr="00274339">
        <w:rPr>
          <w:sz w:val="20"/>
          <w:szCs w:val="20"/>
        </w:rPr>
        <w:t xml:space="preserve">” del gruppo, con finalità eminentemente protettiva dei soggetti che da tale articolazione dell’impresa possano trarre indebito nocumento, in particolare i soci delle controllate e i creditori sociali (circa la finalità “protettiva” dell’attuale formulazione della norma in esame, v. R. Sacchi, </w:t>
      </w:r>
      <w:r w:rsidRPr="00274339">
        <w:rPr>
          <w:i/>
          <w:sz w:val="20"/>
          <w:szCs w:val="20"/>
        </w:rPr>
        <w:t>Sulla responsabilità da Direzione e Coordinamento nella riforma della società di capitali</w:t>
      </w:r>
      <w:r w:rsidRPr="00274339">
        <w:rPr>
          <w:sz w:val="20"/>
          <w:szCs w:val="20"/>
        </w:rPr>
        <w:t xml:space="preserve">, in </w:t>
      </w:r>
      <w:r w:rsidRPr="00274339">
        <w:rPr>
          <w:i/>
          <w:sz w:val="20"/>
          <w:szCs w:val="20"/>
        </w:rPr>
        <w:t>Giur. Comm.</w:t>
      </w:r>
      <w:r w:rsidRPr="00274339">
        <w:rPr>
          <w:sz w:val="20"/>
          <w:szCs w:val="20"/>
        </w:rPr>
        <w:t xml:space="preserve">, 2003, </w:t>
      </w:r>
      <w:r w:rsidR="006E1AE9">
        <w:rPr>
          <w:sz w:val="20"/>
          <w:szCs w:val="20"/>
        </w:rPr>
        <w:t>I, 661</w:t>
      </w:r>
      <w:r w:rsidRPr="00274339">
        <w:rPr>
          <w:sz w:val="20"/>
          <w:szCs w:val="20"/>
        </w:rPr>
        <w:t xml:space="preserve"> ss.; G. Scognamiglio, </w:t>
      </w:r>
      <w:r w:rsidRPr="00274339">
        <w:rPr>
          <w:i/>
          <w:sz w:val="20"/>
          <w:szCs w:val="20"/>
        </w:rPr>
        <w:t>Danno sociale e azione individuale nella disciplina della responsabilità da Direzione e Coordinamento</w:t>
      </w:r>
      <w:r w:rsidRPr="00274339">
        <w:rPr>
          <w:sz w:val="20"/>
          <w:szCs w:val="20"/>
        </w:rPr>
        <w:t xml:space="preserve">, in P. Abbadessa e G.B. Portale (a cura di), </w:t>
      </w:r>
      <w:r w:rsidRPr="00274339">
        <w:rPr>
          <w:i/>
          <w:sz w:val="20"/>
          <w:szCs w:val="20"/>
        </w:rPr>
        <w:t>L’interesse sociale nelle società aperte</w:t>
      </w:r>
      <w:r w:rsidRPr="00274339">
        <w:rPr>
          <w:sz w:val="20"/>
          <w:szCs w:val="20"/>
        </w:rPr>
        <w:t xml:space="preserve">, </w:t>
      </w:r>
      <w:proofErr w:type="spellStart"/>
      <w:r w:rsidRPr="00274339">
        <w:rPr>
          <w:sz w:val="20"/>
          <w:szCs w:val="20"/>
        </w:rPr>
        <w:t>Giuffrè</w:t>
      </w:r>
      <w:proofErr w:type="spellEnd"/>
      <w:r w:rsidRPr="00274339">
        <w:rPr>
          <w:sz w:val="20"/>
          <w:szCs w:val="20"/>
        </w:rPr>
        <w:t xml:space="preserve">, Milano, 2004, 947 ss.; P. </w:t>
      </w:r>
      <w:proofErr w:type="spellStart"/>
      <w:r w:rsidRPr="00274339">
        <w:rPr>
          <w:sz w:val="20"/>
          <w:szCs w:val="20"/>
        </w:rPr>
        <w:t>Cossu</w:t>
      </w:r>
      <w:proofErr w:type="spellEnd"/>
      <w:r w:rsidRPr="00274339">
        <w:rPr>
          <w:sz w:val="20"/>
          <w:szCs w:val="20"/>
        </w:rPr>
        <w:t xml:space="preserve">, </w:t>
      </w:r>
      <w:r w:rsidRPr="00274339">
        <w:rPr>
          <w:i/>
          <w:sz w:val="20"/>
          <w:szCs w:val="20"/>
        </w:rPr>
        <w:t>L’interesse sociale nella società aperte</w:t>
      </w:r>
      <w:r w:rsidRPr="00274339">
        <w:rPr>
          <w:sz w:val="20"/>
          <w:szCs w:val="20"/>
        </w:rPr>
        <w:t xml:space="preserve">, </w:t>
      </w:r>
      <w:proofErr w:type="spellStart"/>
      <w:r w:rsidRPr="00274339">
        <w:rPr>
          <w:sz w:val="20"/>
          <w:szCs w:val="20"/>
        </w:rPr>
        <w:t>Giuffrè</w:t>
      </w:r>
      <w:proofErr w:type="spellEnd"/>
      <w:r w:rsidRPr="00274339">
        <w:rPr>
          <w:sz w:val="20"/>
          <w:szCs w:val="20"/>
        </w:rPr>
        <w:t xml:space="preserve">, Milano, 2004, 40 ss.; meno di recente, sulla necessità di tutela dei soggetti potenzialmente “vittima” dell’uso improprio del collegamento societario, v. T. </w:t>
      </w:r>
      <w:proofErr w:type="spellStart"/>
      <w:r w:rsidRPr="00274339">
        <w:rPr>
          <w:sz w:val="20"/>
          <w:szCs w:val="20"/>
        </w:rPr>
        <w:t>Ascarelli</w:t>
      </w:r>
      <w:proofErr w:type="spellEnd"/>
      <w:r w:rsidRPr="00274339">
        <w:rPr>
          <w:sz w:val="20"/>
          <w:szCs w:val="20"/>
        </w:rPr>
        <w:t xml:space="preserve">, </w:t>
      </w:r>
      <w:r w:rsidRPr="00274339">
        <w:rPr>
          <w:i/>
          <w:sz w:val="20"/>
          <w:szCs w:val="20"/>
        </w:rPr>
        <w:t>Ancora in tema di imprenditore occulto</w:t>
      </w:r>
      <w:r w:rsidRPr="00274339">
        <w:rPr>
          <w:sz w:val="20"/>
          <w:szCs w:val="20"/>
        </w:rPr>
        <w:t xml:space="preserve">, in </w:t>
      </w:r>
      <w:proofErr w:type="spellStart"/>
      <w:r w:rsidRPr="00274339">
        <w:rPr>
          <w:i/>
          <w:iCs/>
          <w:sz w:val="20"/>
          <w:szCs w:val="20"/>
        </w:rPr>
        <w:t>Riv</w:t>
      </w:r>
      <w:proofErr w:type="spellEnd"/>
      <w:r w:rsidRPr="00274339">
        <w:rPr>
          <w:i/>
          <w:iCs/>
          <w:sz w:val="20"/>
          <w:szCs w:val="20"/>
        </w:rPr>
        <w:t>. Soc</w:t>
      </w:r>
      <w:r w:rsidRPr="00274339">
        <w:rPr>
          <w:sz w:val="20"/>
          <w:szCs w:val="20"/>
        </w:rPr>
        <w:t xml:space="preserve">., 1958, 1153 ss.). Sul punto si nota che </w:t>
      </w:r>
      <w:smartTag w:uri="urn:schemas-microsoft-com:office:smarttags" w:element="PersonName">
        <w:smartTagPr>
          <w:attr w:name="ProductID" w:val="La Riforma"/>
        </w:smartTagPr>
        <w:r w:rsidRPr="00274339">
          <w:rPr>
            <w:sz w:val="20"/>
            <w:szCs w:val="20"/>
          </w:rPr>
          <w:t>la Riforma</w:t>
        </w:r>
      </w:smartTag>
      <w:r w:rsidRPr="00274339">
        <w:rPr>
          <w:sz w:val="20"/>
          <w:szCs w:val="20"/>
        </w:rPr>
        <w:t>, nell’introdurre una specifica forma di responsabilità della società o dell’ente che si trovi ad esercitare le funzioni di “</w:t>
      </w:r>
      <w:r w:rsidRPr="00274339">
        <w:rPr>
          <w:i/>
          <w:sz w:val="20"/>
          <w:szCs w:val="20"/>
        </w:rPr>
        <w:t>holding</w:t>
      </w:r>
      <w:r w:rsidRPr="00274339">
        <w:rPr>
          <w:sz w:val="20"/>
          <w:szCs w:val="20"/>
        </w:rPr>
        <w:t xml:space="preserve">”, non ha però riconosciuto la sussistenza di un’autonoma personalità giuridica del Gruppo, tutt’ora privo di una disciplina </w:t>
      </w:r>
      <w:r w:rsidRPr="00274339">
        <w:rPr>
          <w:i/>
          <w:sz w:val="20"/>
          <w:szCs w:val="20"/>
        </w:rPr>
        <w:t>ad hoc</w:t>
      </w:r>
      <w:r w:rsidRPr="00274339">
        <w:rPr>
          <w:sz w:val="20"/>
          <w:szCs w:val="20"/>
        </w:rPr>
        <w:t xml:space="preserve"> (</w:t>
      </w:r>
      <w:r w:rsidR="00F41956">
        <w:rPr>
          <w:i/>
          <w:sz w:val="20"/>
          <w:szCs w:val="20"/>
        </w:rPr>
        <w:t>c</w:t>
      </w:r>
      <w:r w:rsidRPr="00274339">
        <w:rPr>
          <w:i/>
          <w:sz w:val="20"/>
          <w:szCs w:val="20"/>
        </w:rPr>
        <w:t>ontra</w:t>
      </w:r>
      <w:r w:rsidRPr="00274339">
        <w:rPr>
          <w:sz w:val="20"/>
          <w:szCs w:val="20"/>
        </w:rPr>
        <w:t xml:space="preserve">, però, F. Galgano, </w:t>
      </w:r>
      <w:r w:rsidRPr="00274339">
        <w:rPr>
          <w:i/>
          <w:sz w:val="20"/>
          <w:szCs w:val="20"/>
        </w:rPr>
        <w:t>L’impresa di Gruppo</w:t>
      </w:r>
      <w:r w:rsidRPr="00274339">
        <w:rPr>
          <w:sz w:val="20"/>
          <w:szCs w:val="20"/>
        </w:rPr>
        <w:t xml:space="preserve">, in </w:t>
      </w:r>
      <w:r w:rsidRPr="00274339">
        <w:rPr>
          <w:i/>
          <w:sz w:val="20"/>
          <w:szCs w:val="20"/>
        </w:rPr>
        <w:t>DML</w:t>
      </w:r>
      <w:r w:rsidRPr="00274339">
        <w:rPr>
          <w:sz w:val="20"/>
          <w:szCs w:val="20"/>
        </w:rPr>
        <w:t>, 2004, 3, 669 ss., che, in ipotesi di gruppi particolarmente integrati, ritiene possibile superare la “</w:t>
      </w:r>
      <w:r w:rsidRPr="00274339">
        <w:rPr>
          <w:i/>
          <w:sz w:val="20"/>
          <w:szCs w:val="20"/>
        </w:rPr>
        <w:t>barriera</w:t>
      </w:r>
      <w:r w:rsidRPr="00274339">
        <w:rPr>
          <w:sz w:val="20"/>
          <w:szCs w:val="20"/>
        </w:rPr>
        <w:t>” della separazione giuridica delle imprese che compongono “</w:t>
      </w:r>
      <w:r w:rsidRPr="00274339">
        <w:rPr>
          <w:i/>
          <w:sz w:val="20"/>
          <w:szCs w:val="20"/>
        </w:rPr>
        <w:t>l’impresa di Gruppo</w:t>
      </w:r>
      <w:r w:rsidRPr="00274339">
        <w:rPr>
          <w:sz w:val="20"/>
          <w:szCs w:val="20"/>
        </w:rPr>
        <w:t>” ed attribuire autonoma rilevanza giuridica a quest’ultimo soggetto, in quanto “</w:t>
      </w:r>
      <w:r w:rsidRPr="00274339">
        <w:rPr>
          <w:i/>
          <w:sz w:val="20"/>
          <w:szCs w:val="20"/>
        </w:rPr>
        <w:t>società travestita da gruppo</w:t>
      </w:r>
      <w:r w:rsidRPr="00274339">
        <w:rPr>
          <w:sz w:val="20"/>
          <w:szCs w:val="20"/>
        </w:rPr>
        <w:t>”).</w:t>
      </w:r>
    </w:p>
  </w:footnote>
  <w:footnote w:id="8">
    <w:p w:rsidR="00DA3C87" w:rsidRPr="00274339" w:rsidRDefault="00DA3C87" w:rsidP="00274339">
      <w:pPr>
        <w:pStyle w:val="Testonotaapidipagina"/>
        <w:ind w:right="1178"/>
        <w:jc w:val="both"/>
      </w:pPr>
      <w:r w:rsidRPr="00274339">
        <w:rPr>
          <w:rStyle w:val="Rimandonotaapidipagina"/>
        </w:rPr>
        <w:footnoteRef/>
      </w:r>
      <w:r w:rsidRPr="00274339">
        <w:t xml:space="preserve"> </w:t>
      </w:r>
      <w:r w:rsidRPr="00274339">
        <w:rPr>
          <w:bCs/>
        </w:rPr>
        <w:t xml:space="preserve">Il diritto del lavoro, a sua volta, contiene solo scarne ed eterogenee disposizioni sul tema in oggetto, peraltro introdotte in tempi diversi e senza apparente connessione. Da un lato, infatti, vi sono alcune disposizioni rivolte alle imprese, ovvero l’art. 3, comma </w:t>
      </w:r>
      <w:smartTag w:uri="urn:schemas-microsoft-com:office:smarttags" w:element="metricconverter">
        <w:smartTagPr>
          <w:attr w:name="ProductID" w:val="13 l"/>
        </w:smartTagPr>
        <w:r w:rsidRPr="00274339">
          <w:rPr>
            <w:bCs/>
          </w:rPr>
          <w:t>13 l</w:t>
        </w:r>
      </w:smartTag>
      <w:r w:rsidRPr="00274339">
        <w:rPr>
          <w:bCs/>
        </w:rPr>
        <w:t>. 675/1977, sulla riconversione industriale, che, ai fini dell’accesso ai finanziamenti agevolati per la riconversione industriale, ha riconosciuto la peculiarità della imprese “</w:t>
      </w:r>
      <w:r w:rsidRPr="00274339">
        <w:rPr>
          <w:bCs/>
          <w:i/>
        </w:rPr>
        <w:t>giuridicamente distinte ma con collegamenti di carattere tecnico, finanziario ed organizzativo che configurino l’appartenenza ad un Gruppo</w:t>
      </w:r>
      <w:r w:rsidRPr="00274339">
        <w:rPr>
          <w:bCs/>
        </w:rPr>
        <w:t>”, nonché gli artt. 2 e 2-</w:t>
      </w:r>
      <w:r w:rsidRPr="00450739">
        <w:rPr>
          <w:bCs/>
          <w:i/>
        </w:rPr>
        <w:t>bis</w:t>
      </w:r>
      <w:r w:rsidRPr="00274339">
        <w:rPr>
          <w:bCs/>
        </w:rPr>
        <w:t xml:space="preserve"> della L. 451/1994, in tema di sgravi fiscali a favore degli imprenditori che assumono lavoratori in mobilità, disposizioni che tengono conto della sussistenza di un gruppo di imprese e, con evidenti finalità antielusive, prevedono l’esclusione degli sgravi economici a favore degli imprenditori che assumano lavoratori in mobilità, se questi ultimi erano stati in precedenza dipendenti di un’impresa appartenente al medesimo gruppo. Dall’altro lato, altre due disposizioni, ossia l’articolo 4, comma 15-</w:t>
      </w:r>
      <w:r w:rsidRPr="00450739">
        <w:rPr>
          <w:bCs/>
          <w:i/>
        </w:rPr>
        <w:t>bis</w:t>
      </w:r>
      <w:r w:rsidRPr="00274339">
        <w:rPr>
          <w:bCs/>
        </w:rPr>
        <w:t xml:space="preserve"> della L. 223/1991 (il quale stabilisce che </w:t>
      </w:r>
      <w:r w:rsidRPr="00274339">
        <w:t>“</w:t>
      </w:r>
      <w:r w:rsidRPr="00274339">
        <w:rPr>
          <w:i/>
        </w:rPr>
        <w:t>gli obblighi di informazione, consultazione e comunicazione devono essere adempiuti indipendentemente dal fatto che le decisioni relative all’apertura delle procedure di cui al presente articolo siano assunte dal datore di lavoro o da un’impresa che lo controlli</w:t>
      </w:r>
      <w:r w:rsidRPr="00274339">
        <w:t xml:space="preserve">”) e l’art. 47, comma </w:t>
      </w:r>
      <w:smartTag w:uri="urn:schemas-microsoft-com:office:smarttags" w:element="metricconverter">
        <w:smartTagPr>
          <w:attr w:name="ProductID" w:val="4 L"/>
        </w:smartTagPr>
        <w:r w:rsidRPr="00274339">
          <w:t>4 L</w:t>
        </w:r>
      </w:smartTag>
      <w:r w:rsidR="00450739">
        <w:t>. 428/1990 (secondo cui</w:t>
      </w:r>
      <w:r w:rsidRPr="00274339">
        <w:t xml:space="preserve"> “</w:t>
      </w:r>
      <w:r w:rsidRPr="00274339">
        <w:rPr>
          <w:i/>
        </w:rPr>
        <w:t>gli obblighi d’informazione e di esame congiunto previsti dal presente articolo devono essere assolti anche nel caso in cui la decisione relativa al trasferimento sia stata assunta da una società controllante</w:t>
      </w:r>
      <w:r w:rsidRPr="00274339">
        <w:t xml:space="preserve">”) </w:t>
      </w:r>
      <w:r w:rsidRPr="00274339">
        <w:rPr>
          <w:bCs/>
        </w:rPr>
        <w:t>hanno lo scopo di garantire il passaggio di informazioni tra le società del Gruppo, nelle ipotesi di eventi potenzialmente traumatici (licenziamenti collettivi) o, in ogni caso, fortemente incidenti sulla sorte delle imprese e dei lavoratori coinvolti (trasferimenti d’azienda). Da ultimo, vi è l’art</w:t>
      </w:r>
      <w:r w:rsidR="00636C27">
        <w:rPr>
          <w:bCs/>
        </w:rPr>
        <w:t xml:space="preserve">. 31 del </w:t>
      </w:r>
      <w:proofErr w:type="spellStart"/>
      <w:r w:rsidR="00636C27">
        <w:rPr>
          <w:bCs/>
        </w:rPr>
        <w:t>D.Lgs.</w:t>
      </w:r>
      <w:proofErr w:type="spellEnd"/>
      <w:r w:rsidR="00636C27">
        <w:rPr>
          <w:bCs/>
        </w:rPr>
        <w:t xml:space="preserve"> 276/2003 (dalla nebulosa</w:t>
      </w:r>
      <w:r w:rsidRPr="00274339">
        <w:rPr>
          <w:bCs/>
        </w:rPr>
        <w:t xml:space="preserve"> rubrica “</w:t>
      </w:r>
      <w:r w:rsidRPr="00274339">
        <w:rPr>
          <w:bCs/>
          <w:i/>
        </w:rPr>
        <w:t>Gruppi di impresa</w:t>
      </w:r>
      <w:r w:rsidRPr="00274339">
        <w:rPr>
          <w:bCs/>
        </w:rPr>
        <w:t xml:space="preserve">”), </w:t>
      </w:r>
      <w:r w:rsidR="00D77F8A">
        <w:rPr>
          <w:bCs/>
        </w:rPr>
        <w:t xml:space="preserve">che </w:t>
      </w:r>
      <w:r w:rsidRPr="00274339">
        <w:rPr>
          <w:bCs/>
        </w:rPr>
        <w:t xml:space="preserve">pare aver invece manifestato la tendenza </w:t>
      </w:r>
      <w:r w:rsidR="00D77F8A">
        <w:rPr>
          <w:bCs/>
        </w:rPr>
        <w:t xml:space="preserve">del </w:t>
      </w:r>
      <w:r w:rsidRPr="00274339">
        <w:rPr>
          <w:bCs/>
        </w:rPr>
        <w:t>Legislatore nazionale verso l’irrilevanza del gruppo in sé nel diritto del lavoro; s</w:t>
      </w:r>
      <w:r w:rsidRPr="00274339">
        <w:t xml:space="preserve">e il primo ed il secondo comma della norma in esame, nel prevedere l’ammissibilità della delega di alcune funzioni </w:t>
      </w:r>
      <w:proofErr w:type="spellStart"/>
      <w:r w:rsidRPr="00274339">
        <w:t>gestorie</w:t>
      </w:r>
      <w:proofErr w:type="spellEnd"/>
      <w:r w:rsidRPr="00274339">
        <w:t xml:space="preserve"> all’interno del gruppo o dei consorzi (in materia di lavoro, previdenza e assistenza), a favore della società che ne sono al vertice, non hanno apportato alcun significativo cambiamento a quella che era una prassi già in uso all’interno dei gruppi (v. circ. Min. Lav. 18.2.2004; in dottrina v. G. </w:t>
      </w:r>
      <w:proofErr w:type="spellStart"/>
      <w:r w:rsidRPr="00274339">
        <w:t>Mautone</w:t>
      </w:r>
      <w:proofErr w:type="spellEnd"/>
      <w:r w:rsidRPr="00274339">
        <w:t xml:space="preserve">, </w:t>
      </w:r>
      <w:r w:rsidRPr="00274339">
        <w:rPr>
          <w:i/>
        </w:rPr>
        <w:t>Lo svolgimento delle attività di amministrazione del personale da parte della Capogruppo o dei consorzi</w:t>
      </w:r>
      <w:r w:rsidRPr="00274339">
        <w:t xml:space="preserve">, in F. Carinci (diretto da), </w:t>
      </w:r>
      <w:r w:rsidRPr="00274339">
        <w:rPr>
          <w:i/>
        </w:rPr>
        <w:t xml:space="preserve">Commentario al </w:t>
      </w:r>
      <w:proofErr w:type="spellStart"/>
      <w:r w:rsidRPr="00274339">
        <w:rPr>
          <w:i/>
        </w:rPr>
        <w:t>D.Lgs.</w:t>
      </w:r>
      <w:proofErr w:type="spellEnd"/>
      <w:r w:rsidRPr="00274339">
        <w:rPr>
          <w:i/>
        </w:rPr>
        <w:t xml:space="preserve"> 276/2003</w:t>
      </w:r>
      <w:r w:rsidR="00D77F8A">
        <w:t xml:space="preserve">, </w:t>
      </w:r>
      <w:proofErr w:type="spellStart"/>
      <w:r w:rsidR="00D77F8A">
        <w:t>Giuffré</w:t>
      </w:r>
      <w:proofErr w:type="spellEnd"/>
      <w:r w:rsidRPr="00274339">
        <w:t xml:space="preserve">, Milano, 2004, </w:t>
      </w:r>
      <w:r w:rsidRPr="00274339">
        <w:rPr>
          <w:i/>
        </w:rPr>
        <w:t xml:space="preserve">sub </w:t>
      </w:r>
      <w:r w:rsidRPr="00274339">
        <w:t xml:space="preserve">art. 31, 226 ss.), il terzo comma dell’art. 31 </w:t>
      </w:r>
      <w:proofErr w:type="spellStart"/>
      <w:r w:rsidRPr="00274339">
        <w:t>D.Lgs.</w:t>
      </w:r>
      <w:proofErr w:type="spellEnd"/>
      <w:r w:rsidRPr="00274339">
        <w:t xml:space="preserve"> 276/2003 si preoccupa invece di precisare, mediante una sorta di “</w:t>
      </w:r>
      <w:proofErr w:type="spellStart"/>
      <w:r w:rsidRPr="00274339">
        <w:rPr>
          <w:i/>
        </w:rPr>
        <w:t>excusatio</w:t>
      </w:r>
      <w:proofErr w:type="spellEnd"/>
      <w:r w:rsidRPr="00274339">
        <w:rPr>
          <w:i/>
        </w:rPr>
        <w:t xml:space="preserve"> non </w:t>
      </w:r>
      <w:proofErr w:type="spellStart"/>
      <w:r w:rsidRPr="00274339">
        <w:rPr>
          <w:i/>
        </w:rPr>
        <w:t>petita</w:t>
      </w:r>
      <w:proofErr w:type="spellEnd"/>
      <w:r w:rsidRPr="00274339">
        <w:t>”, che “</w:t>
      </w:r>
      <w:r w:rsidRPr="00274339">
        <w:rPr>
          <w:i/>
        </w:rPr>
        <w:t>le disposizioni di cui ai commi 1 e 2 non rilevano ai fini della individuazione del soggetto titolare delle obbligazioni contrattuali e legislative in capo alle singole società datrici di lavoro</w:t>
      </w:r>
      <w:r w:rsidRPr="00274339">
        <w:t xml:space="preserve">”. Ad avviso della dottrina prevalente, tale inciso avrebbe proprio lo scopo </w:t>
      </w:r>
      <w:proofErr w:type="gramStart"/>
      <w:r w:rsidRPr="00274339">
        <w:t>di  “</w:t>
      </w:r>
      <w:proofErr w:type="gramEnd"/>
      <w:r w:rsidRPr="00274339">
        <w:rPr>
          <w:i/>
        </w:rPr>
        <w:t>confermare il principio di separatezza come cardine del fenomeno dei Gruppi societari</w:t>
      </w:r>
      <w:r w:rsidRPr="00274339">
        <w:t xml:space="preserve">” (cfr. G. Scognamiglio, </w:t>
      </w:r>
      <w:r w:rsidRPr="00274339">
        <w:rPr>
          <w:i/>
        </w:rPr>
        <w:t>Art. 31 (Gruppi di Impresa)</w:t>
      </w:r>
      <w:r w:rsidRPr="00274339">
        <w:t xml:space="preserve">, in R. De Luca </w:t>
      </w:r>
      <w:proofErr w:type="spellStart"/>
      <w:r w:rsidRPr="00274339">
        <w:t>Tamajo</w:t>
      </w:r>
      <w:proofErr w:type="spellEnd"/>
      <w:r w:rsidRPr="00274339">
        <w:t xml:space="preserve"> e G. Santoro-Passarelli (a cura di), </w:t>
      </w:r>
      <w:r w:rsidRPr="00274339">
        <w:rPr>
          <w:i/>
        </w:rPr>
        <w:t xml:space="preserve">Il Nuovo Mercato del Lavoro. Commentario al </w:t>
      </w:r>
      <w:proofErr w:type="spellStart"/>
      <w:r w:rsidRPr="00274339">
        <w:rPr>
          <w:i/>
        </w:rPr>
        <w:t>D.Lgs.</w:t>
      </w:r>
      <w:proofErr w:type="spellEnd"/>
      <w:r w:rsidRPr="00274339">
        <w:rPr>
          <w:i/>
        </w:rPr>
        <w:t xml:space="preserve"> 10 settembre 2003, n. 276 (Riforma Biagi)</w:t>
      </w:r>
      <w:r w:rsidRPr="00274339">
        <w:t xml:space="preserve">, Cedam, Padova, 2007, 482; similmente, A. Maresca, </w:t>
      </w:r>
      <w:r w:rsidRPr="00274339">
        <w:rPr>
          <w:i/>
        </w:rPr>
        <w:t>Articolo 31 – Gruppi di Impresa</w:t>
      </w:r>
      <w:r w:rsidRPr="00274339">
        <w:t xml:space="preserve">, in M. </w:t>
      </w:r>
      <w:proofErr w:type="spellStart"/>
      <w:r w:rsidRPr="00274339">
        <w:t>Pedrazzoli</w:t>
      </w:r>
      <w:proofErr w:type="spellEnd"/>
      <w:r w:rsidRPr="00274339">
        <w:t xml:space="preserve"> (coordinato da), </w:t>
      </w:r>
      <w:r w:rsidRPr="00274339">
        <w:rPr>
          <w:i/>
        </w:rPr>
        <w:t xml:space="preserve">Il Nuovo Mercato del Lavoro. </w:t>
      </w:r>
      <w:proofErr w:type="spellStart"/>
      <w:r w:rsidRPr="00274339">
        <w:rPr>
          <w:i/>
        </w:rPr>
        <w:t>D.Lgs.</w:t>
      </w:r>
      <w:proofErr w:type="spellEnd"/>
      <w:r w:rsidRPr="00274339">
        <w:rPr>
          <w:i/>
        </w:rPr>
        <w:t xml:space="preserve"> 10 settembre 2003, n. 276</w:t>
      </w:r>
      <w:r w:rsidRPr="00274339">
        <w:t>, Zanichelli, Bologna, 2004, 356), anche se qualcuno, più prudentemente, ha osservato invece che “</w:t>
      </w:r>
      <w:r w:rsidRPr="00274339">
        <w:rPr>
          <w:i/>
        </w:rPr>
        <w:t>l’immediata finalità di questa norma è quella di non influire sul dibattito sull’attuale rilevanza del Gruppo nel diritto del lavoro</w:t>
      </w:r>
      <w:r w:rsidRPr="00274339">
        <w:t xml:space="preserve">” (cfr. N. </w:t>
      </w:r>
      <w:proofErr w:type="spellStart"/>
      <w:r w:rsidRPr="00274339">
        <w:t>Rondinone</w:t>
      </w:r>
      <w:proofErr w:type="spellEnd"/>
      <w:r w:rsidRPr="00274339">
        <w:t xml:space="preserve">, </w:t>
      </w:r>
      <w:r w:rsidRPr="00274339">
        <w:rPr>
          <w:i/>
        </w:rPr>
        <w:t>Disposizioni in materia di Gruppi di Impresa e Trasferimento d’azienda</w:t>
      </w:r>
      <w:r w:rsidRPr="00274339">
        <w:t xml:space="preserve">, in E. Gragnoli, A. </w:t>
      </w:r>
      <w:proofErr w:type="spellStart"/>
      <w:r w:rsidRPr="00274339">
        <w:t>Perulli</w:t>
      </w:r>
      <w:proofErr w:type="spellEnd"/>
      <w:r w:rsidRPr="00274339">
        <w:t xml:space="preserve"> (a cura di), </w:t>
      </w:r>
      <w:smartTag w:uri="urn:schemas-microsoft-com:office:smarttags" w:element="PersonName">
        <w:smartTagPr>
          <w:attr w:name="ProductID" w:val="La Riforma"/>
        </w:smartTagPr>
        <w:r w:rsidRPr="00274339">
          <w:rPr>
            <w:i/>
          </w:rPr>
          <w:t>La Riforma</w:t>
        </w:r>
      </w:smartTag>
      <w:r w:rsidRPr="00274339">
        <w:rPr>
          <w:i/>
        </w:rPr>
        <w:t xml:space="preserve"> del Mercato del Lavoro e i nuovi modelli contrattuali</w:t>
      </w:r>
      <w:r w:rsidRPr="00274339">
        <w:t xml:space="preserve">. </w:t>
      </w:r>
      <w:r w:rsidRPr="00274339">
        <w:rPr>
          <w:i/>
        </w:rPr>
        <w:t xml:space="preserve">Commentario al </w:t>
      </w:r>
      <w:proofErr w:type="spellStart"/>
      <w:r w:rsidRPr="00274339">
        <w:rPr>
          <w:i/>
        </w:rPr>
        <w:t>D.Lgs.</w:t>
      </w:r>
      <w:proofErr w:type="spellEnd"/>
      <w:r w:rsidRPr="00274339">
        <w:rPr>
          <w:i/>
        </w:rPr>
        <w:t xml:space="preserve"> 10 settembre 2003, n. 276</w:t>
      </w:r>
      <w:r w:rsidRPr="00274339">
        <w:t>, Cedam, Padova, 2004, 457).</w:t>
      </w:r>
    </w:p>
  </w:footnote>
  <w:footnote w:id="9">
    <w:p w:rsidR="00DA3C87" w:rsidRPr="00274339" w:rsidRDefault="00DA3C87" w:rsidP="00274339">
      <w:pPr>
        <w:pStyle w:val="Testonotaapidipagina"/>
        <w:ind w:right="1178"/>
        <w:jc w:val="both"/>
      </w:pPr>
      <w:r w:rsidRPr="00274339">
        <w:rPr>
          <w:rStyle w:val="Rimandonotaapidipagina"/>
        </w:rPr>
        <w:footnoteRef/>
      </w:r>
      <w:r w:rsidRPr="00274339">
        <w:t xml:space="preserve"> Del resto, il diffondersi dei gruppi di imprese non è fatto riguarda</w:t>
      </w:r>
      <w:r w:rsidR="00242AEC">
        <w:t>nte</w:t>
      </w:r>
      <w:r w:rsidRPr="00274339">
        <w:t xml:space="preserve"> solo il contesto italiano, non potendosi non</w:t>
      </w:r>
      <w:r w:rsidR="00D77F8A">
        <w:t xml:space="preserve"> menzionare le esperienze dei “</w:t>
      </w:r>
      <w:proofErr w:type="spellStart"/>
      <w:r w:rsidR="00D77F8A">
        <w:t>K</w:t>
      </w:r>
      <w:r w:rsidRPr="00274339">
        <w:t>eiretzu</w:t>
      </w:r>
      <w:proofErr w:type="spellEnd"/>
      <w:r w:rsidRPr="00274339">
        <w:t>” (</w:t>
      </w:r>
      <w:r w:rsidR="00A46FEE" w:rsidRPr="00274339">
        <w:t xml:space="preserve">e, </w:t>
      </w:r>
      <w:r w:rsidRPr="00274339">
        <w:t xml:space="preserve">prima, </w:t>
      </w:r>
      <w:r w:rsidR="00A46FEE" w:rsidRPr="00274339">
        <w:t xml:space="preserve">degli </w:t>
      </w:r>
      <w:r w:rsidR="00D77F8A">
        <w:t>“</w:t>
      </w:r>
      <w:proofErr w:type="spellStart"/>
      <w:r w:rsidR="00D77F8A">
        <w:t>Zaibatzu</w:t>
      </w:r>
      <w:proofErr w:type="spellEnd"/>
      <w:r w:rsidR="00D77F8A">
        <w:t>”) giapponesi e dei “</w:t>
      </w:r>
      <w:proofErr w:type="spellStart"/>
      <w:r w:rsidR="00D77F8A" w:rsidRPr="00D77F8A">
        <w:t>K</w:t>
      </w:r>
      <w:r w:rsidRPr="00D77F8A">
        <w:t>onzern</w:t>
      </w:r>
      <w:proofErr w:type="spellEnd"/>
      <w:r w:rsidRPr="00274339">
        <w:t xml:space="preserve">” tedeschi (sulla cui evoluzione si rinvia a F. Amatori, A. Colli, </w:t>
      </w:r>
      <w:r w:rsidRPr="00274339">
        <w:rPr>
          <w:i/>
        </w:rPr>
        <w:t>Storia d’impresa. Complessità e comparazioni</w:t>
      </w:r>
      <w:r w:rsidRPr="00274339">
        <w:t>, Bruno Mondadori, Milano, 2011, 147 ss.).</w:t>
      </w:r>
    </w:p>
  </w:footnote>
  <w:footnote w:id="10">
    <w:p w:rsidR="00DA3C87" w:rsidRPr="00274339" w:rsidRDefault="00DA3C87" w:rsidP="00274339">
      <w:pPr>
        <w:tabs>
          <w:tab w:val="left" w:pos="9000"/>
        </w:tabs>
        <w:autoSpaceDE w:val="0"/>
        <w:autoSpaceDN w:val="0"/>
        <w:adjustRightInd w:val="0"/>
        <w:ind w:right="1178"/>
        <w:jc w:val="both"/>
        <w:rPr>
          <w:sz w:val="20"/>
          <w:szCs w:val="20"/>
        </w:rPr>
      </w:pPr>
      <w:r w:rsidRPr="00274339">
        <w:rPr>
          <w:rStyle w:val="Rimandonotaapidipagina"/>
          <w:sz w:val="20"/>
          <w:szCs w:val="20"/>
        </w:rPr>
        <w:footnoteRef/>
      </w:r>
      <w:r w:rsidRPr="00274339">
        <w:rPr>
          <w:sz w:val="20"/>
          <w:szCs w:val="20"/>
        </w:rPr>
        <w:t xml:space="preserve"> Cfr. G. De Simone, </w:t>
      </w:r>
      <w:r w:rsidRPr="00274339">
        <w:rPr>
          <w:i/>
          <w:sz w:val="20"/>
          <w:szCs w:val="20"/>
        </w:rPr>
        <w:t>Titolarità dei rapporti di lavoro e regole di trasparenza</w:t>
      </w:r>
      <w:r w:rsidRPr="00274339">
        <w:rPr>
          <w:sz w:val="20"/>
          <w:szCs w:val="20"/>
        </w:rPr>
        <w:t xml:space="preserve">, Franco Angeli, Milano, 1995, 175. Circa la natura non unitaria del gruppo dal punto di vista giuridico, cui consegue la mancanza di personalità giuridica da parte di quest’ultimo soggetto, v. </w:t>
      </w:r>
      <w:r w:rsidRPr="00274339">
        <w:rPr>
          <w:bCs/>
          <w:sz w:val="20"/>
          <w:szCs w:val="20"/>
        </w:rPr>
        <w:t xml:space="preserve">Cass. 10.3.1981, n. </w:t>
      </w:r>
      <w:smartTag w:uri="urn:schemas-microsoft-com:office:smarttags" w:element="metricconverter">
        <w:smartTagPr>
          <w:attr w:name="ProductID" w:val="1363, in"/>
        </w:smartTagPr>
        <w:r w:rsidRPr="00274339">
          <w:rPr>
            <w:bCs/>
            <w:sz w:val="20"/>
            <w:szCs w:val="20"/>
          </w:rPr>
          <w:t>1363, in</w:t>
        </w:r>
      </w:smartTag>
      <w:r w:rsidRPr="00274339">
        <w:rPr>
          <w:bCs/>
          <w:sz w:val="20"/>
          <w:szCs w:val="20"/>
        </w:rPr>
        <w:t xml:space="preserve"> </w:t>
      </w:r>
      <w:proofErr w:type="spellStart"/>
      <w:r w:rsidRPr="00274339">
        <w:rPr>
          <w:bCs/>
          <w:i/>
          <w:sz w:val="20"/>
          <w:szCs w:val="20"/>
        </w:rPr>
        <w:t>Mass.Giur.Lav</w:t>
      </w:r>
      <w:proofErr w:type="spellEnd"/>
      <w:r w:rsidRPr="00274339">
        <w:rPr>
          <w:bCs/>
          <w:i/>
          <w:sz w:val="20"/>
          <w:szCs w:val="20"/>
        </w:rPr>
        <w:t>.</w:t>
      </w:r>
      <w:r w:rsidRPr="00274339">
        <w:rPr>
          <w:bCs/>
          <w:sz w:val="20"/>
          <w:szCs w:val="20"/>
        </w:rPr>
        <w:t>, 1981, 589, secondo cui “</w:t>
      </w:r>
      <w:r w:rsidRPr="00274339">
        <w:rPr>
          <w:bCs/>
          <w:i/>
          <w:sz w:val="20"/>
          <w:szCs w:val="20"/>
        </w:rPr>
        <w:t>la disciplina legislativa inerente all’attività di società tra loro collegate non consente di attribuire all’attività del Gruppo, di per sé, un valore giuridicamente unificante, sicché dall’unitarietà economica del Gruppo non può trarsi alcuna conseguenza per quanto attiene ai diritti e agli obblighi attinenti alla risoluzione del rapporto di lavoro</w:t>
      </w:r>
      <w:r w:rsidRPr="00274339">
        <w:rPr>
          <w:bCs/>
          <w:sz w:val="20"/>
          <w:szCs w:val="20"/>
        </w:rPr>
        <w:t xml:space="preserve">”; </w:t>
      </w:r>
      <w:r w:rsidR="00431337">
        <w:rPr>
          <w:bCs/>
          <w:sz w:val="20"/>
          <w:szCs w:val="20"/>
        </w:rPr>
        <w:t xml:space="preserve">similmente, </w:t>
      </w:r>
      <w:proofErr w:type="spellStart"/>
      <w:r w:rsidRPr="00274339">
        <w:rPr>
          <w:bCs/>
          <w:sz w:val="20"/>
          <w:szCs w:val="20"/>
        </w:rPr>
        <w:t>Cass</w:t>
      </w:r>
      <w:proofErr w:type="spellEnd"/>
      <w:r w:rsidRPr="00274339">
        <w:rPr>
          <w:bCs/>
          <w:sz w:val="20"/>
          <w:szCs w:val="20"/>
        </w:rPr>
        <w:t xml:space="preserve">. 18.2.1982, n. </w:t>
      </w:r>
      <w:smartTag w:uri="urn:schemas-microsoft-com:office:smarttags" w:element="metricconverter">
        <w:smartTagPr>
          <w:attr w:name="ProductID" w:val="7005, in"/>
        </w:smartTagPr>
        <w:r w:rsidRPr="00274339">
          <w:rPr>
            <w:bCs/>
            <w:sz w:val="20"/>
            <w:szCs w:val="20"/>
          </w:rPr>
          <w:t>7005, in</w:t>
        </w:r>
      </w:smartTag>
      <w:r w:rsidRPr="00274339">
        <w:rPr>
          <w:bCs/>
          <w:sz w:val="20"/>
          <w:szCs w:val="20"/>
        </w:rPr>
        <w:t xml:space="preserve"> </w:t>
      </w:r>
      <w:proofErr w:type="spellStart"/>
      <w:r w:rsidRPr="00274339">
        <w:rPr>
          <w:bCs/>
          <w:i/>
          <w:sz w:val="20"/>
          <w:szCs w:val="20"/>
        </w:rPr>
        <w:t>Riv</w:t>
      </w:r>
      <w:proofErr w:type="spellEnd"/>
      <w:r w:rsidRPr="00274339">
        <w:rPr>
          <w:bCs/>
          <w:i/>
          <w:sz w:val="20"/>
          <w:szCs w:val="20"/>
        </w:rPr>
        <w:t>. It. Dir. Lav.</w:t>
      </w:r>
      <w:r w:rsidRPr="00274339">
        <w:rPr>
          <w:bCs/>
          <w:sz w:val="20"/>
          <w:szCs w:val="20"/>
        </w:rPr>
        <w:t xml:space="preserve">, 1983, II, 934; Cass. 2.3.1983, n. </w:t>
      </w:r>
      <w:smartTag w:uri="urn:schemas-microsoft-com:office:smarttags" w:element="metricconverter">
        <w:smartTagPr>
          <w:attr w:name="ProductID" w:val="1567, in"/>
        </w:smartTagPr>
        <w:r w:rsidRPr="00274339">
          <w:rPr>
            <w:bCs/>
            <w:sz w:val="20"/>
            <w:szCs w:val="20"/>
          </w:rPr>
          <w:t>1567, in</w:t>
        </w:r>
      </w:smartTag>
      <w:r w:rsidRPr="00274339">
        <w:rPr>
          <w:bCs/>
          <w:sz w:val="20"/>
          <w:szCs w:val="20"/>
        </w:rPr>
        <w:t xml:space="preserve"> </w:t>
      </w:r>
      <w:r w:rsidRPr="00274339">
        <w:rPr>
          <w:bCs/>
          <w:i/>
          <w:sz w:val="20"/>
          <w:szCs w:val="20"/>
        </w:rPr>
        <w:t xml:space="preserve">Giur. </w:t>
      </w:r>
      <w:proofErr w:type="gramStart"/>
      <w:r w:rsidRPr="00274339">
        <w:rPr>
          <w:bCs/>
          <w:i/>
          <w:sz w:val="20"/>
          <w:szCs w:val="20"/>
        </w:rPr>
        <w:t>It.</w:t>
      </w:r>
      <w:r w:rsidRPr="00274339">
        <w:rPr>
          <w:bCs/>
          <w:sz w:val="20"/>
          <w:szCs w:val="20"/>
        </w:rPr>
        <w:t>,</w:t>
      </w:r>
      <w:proofErr w:type="gramEnd"/>
      <w:r w:rsidRPr="00274339">
        <w:rPr>
          <w:bCs/>
          <w:sz w:val="20"/>
          <w:szCs w:val="20"/>
        </w:rPr>
        <w:t xml:space="preserve"> 1984, I, 342; Cass. 18.4.1986, n. </w:t>
      </w:r>
      <w:smartTag w:uri="urn:schemas-microsoft-com:office:smarttags" w:element="metricconverter">
        <w:smartTagPr>
          <w:attr w:name="ProductID" w:val="2756, in"/>
        </w:smartTagPr>
        <w:r w:rsidRPr="00274339">
          <w:rPr>
            <w:bCs/>
            <w:sz w:val="20"/>
            <w:szCs w:val="20"/>
          </w:rPr>
          <w:t>2756, in</w:t>
        </w:r>
      </w:smartTag>
      <w:r w:rsidRPr="00274339">
        <w:rPr>
          <w:bCs/>
          <w:sz w:val="20"/>
          <w:szCs w:val="20"/>
        </w:rPr>
        <w:t xml:space="preserve"> </w:t>
      </w:r>
      <w:r w:rsidRPr="00274339">
        <w:rPr>
          <w:bCs/>
          <w:i/>
          <w:sz w:val="20"/>
          <w:szCs w:val="20"/>
        </w:rPr>
        <w:t xml:space="preserve">Foro </w:t>
      </w:r>
      <w:proofErr w:type="gramStart"/>
      <w:r w:rsidRPr="00274339">
        <w:rPr>
          <w:bCs/>
          <w:i/>
          <w:sz w:val="20"/>
          <w:szCs w:val="20"/>
        </w:rPr>
        <w:t>It.</w:t>
      </w:r>
      <w:r w:rsidRPr="00274339">
        <w:rPr>
          <w:bCs/>
          <w:sz w:val="20"/>
          <w:szCs w:val="20"/>
        </w:rPr>
        <w:t>,</w:t>
      </w:r>
      <w:proofErr w:type="gramEnd"/>
      <w:r w:rsidRPr="00274339">
        <w:rPr>
          <w:bCs/>
          <w:sz w:val="20"/>
          <w:szCs w:val="20"/>
        </w:rPr>
        <w:t xml:space="preserve"> 1987, I, 1847 e, più di recente, Cass. 3.4.1990, n. </w:t>
      </w:r>
      <w:smartTag w:uri="urn:schemas-microsoft-com:office:smarttags" w:element="metricconverter">
        <w:smartTagPr>
          <w:attr w:name="ProductID" w:val="2831, in"/>
        </w:smartTagPr>
        <w:r w:rsidRPr="00274339">
          <w:rPr>
            <w:bCs/>
            <w:sz w:val="20"/>
            <w:szCs w:val="20"/>
          </w:rPr>
          <w:t>2831, in</w:t>
        </w:r>
      </w:smartTag>
      <w:r w:rsidRPr="00274339">
        <w:rPr>
          <w:bCs/>
          <w:sz w:val="20"/>
          <w:szCs w:val="20"/>
        </w:rPr>
        <w:t xml:space="preserve"> </w:t>
      </w:r>
      <w:r w:rsidRPr="00274339">
        <w:rPr>
          <w:bCs/>
          <w:i/>
          <w:sz w:val="20"/>
          <w:szCs w:val="20"/>
        </w:rPr>
        <w:t xml:space="preserve">Banca Dati De </w:t>
      </w:r>
      <w:proofErr w:type="spellStart"/>
      <w:r w:rsidRPr="00274339">
        <w:rPr>
          <w:bCs/>
          <w:i/>
          <w:sz w:val="20"/>
          <w:szCs w:val="20"/>
        </w:rPr>
        <w:t>Jure</w:t>
      </w:r>
      <w:proofErr w:type="spellEnd"/>
      <w:r w:rsidRPr="00274339">
        <w:rPr>
          <w:sz w:val="20"/>
          <w:szCs w:val="20"/>
        </w:rPr>
        <w:t xml:space="preserve">, in cui si legge che </w:t>
      </w:r>
      <w:r w:rsidRPr="00274339">
        <w:rPr>
          <w:bCs/>
          <w:sz w:val="20"/>
          <w:szCs w:val="20"/>
        </w:rPr>
        <w:t>“</w:t>
      </w:r>
      <w:r w:rsidRPr="00274339">
        <w:rPr>
          <w:bCs/>
          <w:i/>
          <w:sz w:val="20"/>
          <w:szCs w:val="20"/>
        </w:rPr>
        <w:t>allo stato della vigente legislazione non può parlarsi di personalità giuridica del Gruppo e neppure di soggettività o centro di imputazione</w:t>
      </w:r>
      <w:r w:rsidRPr="00274339">
        <w:rPr>
          <w:bCs/>
          <w:sz w:val="20"/>
          <w:szCs w:val="20"/>
        </w:rPr>
        <w:t>”.</w:t>
      </w:r>
    </w:p>
  </w:footnote>
  <w:footnote w:id="11">
    <w:p w:rsidR="00DA3C87" w:rsidRPr="00274339" w:rsidRDefault="00DA3C87" w:rsidP="00274339">
      <w:pPr>
        <w:tabs>
          <w:tab w:val="left" w:pos="9000"/>
        </w:tabs>
        <w:autoSpaceDE w:val="0"/>
        <w:autoSpaceDN w:val="0"/>
        <w:adjustRightInd w:val="0"/>
        <w:ind w:right="1178"/>
        <w:jc w:val="both"/>
        <w:rPr>
          <w:sz w:val="20"/>
          <w:szCs w:val="20"/>
        </w:rPr>
      </w:pPr>
      <w:r w:rsidRPr="00274339">
        <w:rPr>
          <w:rStyle w:val="Rimandonotaapidipagina"/>
          <w:sz w:val="20"/>
          <w:szCs w:val="20"/>
        </w:rPr>
        <w:footnoteRef/>
      </w:r>
      <w:r w:rsidRPr="00274339">
        <w:rPr>
          <w:sz w:val="20"/>
          <w:szCs w:val="20"/>
        </w:rPr>
        <w:t xml:space="preserve"> </w:t>
      </w:r>
      <w:r w:rsidRPr="00274339">
        <w:rPr>
          <w:bCs/>
          <w:sz w:val="20"/>
          <w:szCs w:val="20"/>
        </w:rPr>
        <w:t>In dottrina, favorevole a tale orientamento della giurisprudenza di legittimità e contrario ad una “</w:t>
      </w:r>
      <w:r w:rsidRPr="00274339">
        <w:rPr>
          <w:bCs/>
          <w:i/>
          <w:sz w:val="20"/>
          <w:szCs w:val="20"/>
        </w:rPr>
        <w:t>criminalizzazione del fenomeno del collegamento societario</w:t>
      </w:r>
      <w:r w:rsidRPr="00274339">
        <w:rPr>
          <w:bCs/>
          <w:sz w:val="20"/>
          <w:szCs w:val="20"/>
        </w:rPr>
        <w:t xml:space="preserve">”, O. Mazzotta, </w:t>
      </w:r>
      <w:r w:rsidRPr="00274339">
        <w:rPr>
          <w:bCs/>
          <w:i/>
          <w:sz w:val="20"/>
          <w:szCs w:val="20"/>
        </w:rPr>
        <w:t>Diritto del Lavoro</w:t>
      </w:r>
      <w:r w:rsidRPr="00274339">
        <w:rPr>
          <w:bCs/>
          <w:sz w:val="20"/>
          <w:szCs w:val="20"/>
        </w:rPr>
        <w:t xml:space="preserve">, </w:t>
      </w:r>
      <w:r w:rsidR="00D77F8A" w:rsidRPr="00274339">
        <w:rPr>
          <w:bCs/>
          <w:sz w:val="20"/>
          <w:szCs w:val="20"/>
        </w:rPr>
        <w:t xml:space="preserve">4a </w:t>
      </w:r>
      <w:proofErr w:type="gramStart"/>
      <w:r w:rsidR="00D77F8A" w:rsidRPr="00274339">
        <w:rPr>
          <w:bCs/>
          <w:sz w:val="20"/>
          <w:szCs w:val="20"/>
        </w:rPr>
        <w:t>ed</w:t>
      </w:r>
      <w:r w:rsidR="00D77F8A">
        <w:rPr>
          <w:bCs/>
          <w:sz w:val="20"/>
          <w:szCs w:val="20"/>
        </w:rPr>
        <w:t>.,</w:t>
      </w:r>
      <w:proofErr w:type="gramEnd"/>
      <w:r w:rsidR="00D77F8A">
        <w:rPr>
          <w:bCs/>
          <w:sz w:val="20"/>
          <w:szCs w:val="20"/>
        </w:rPr>
        <w:t xml:space="preserve"> in </w:t>
      </w:r>
      <w:proofErr w:type="spellStart"/>
      <w:r w:rsidR="00D77F8A">
        <w:rPr>
          <w:bCs/>
          <w:i/>
          <w:sz w:val="20"/>
          <w:szCs w:val="20"/>
        </w:rPr>
        <w:t>Tratt.Dir.Priv</w:t>
      </w:r>
      <w:proofErr w:type="spellEnd"/>
      <w:r w:rsidR="00D77F8A">
        <w:rPr>
          <w:bCs/>
          <w:i/>
          <w:sz w:val="20"/>
          <w:szCs w:val="20"/>
        </w:rPr>
        <w:t>.</w:t>
      </w:r>
      <w:r w:rsidR="00D77F8A">
        <w:rPr>
          <w:bCs/>
          <w:sz w:val="20"/>
          <w:szCs w:val="20"/>
        </w:rPr>
        <w:t xml:space="preserve">, a cura di G. Iudica e P. Zatti, </w:t>
      </w:r>
      <w:proofErr w:type="spellStart"/>
      <w:r w:rsidR="00D77F8A">
        <w:rPr>
          <w:bCs/>
          <w:sz w:val="20"/>
          <w:szCs w:val="20"/>
        </w:rPr>
        <w:t>Giuffré</w:t>
      </w:r>
      <w:proofErr w:type="spellEnd"/>
      <w:r w:rsidRPr="00274339">
        <w:rPr>
          <w:bCs/>
          <w:sz w:val="20"/>
          <w:szCs w:val="20"/>
        </w:rPr>
        <w:t xml:space="preserve">, Milano, 2011, 254; similmente, </w:t>
      </w:r>
      <w:r w:rsidRPr="00274339">
        <w:rPr>
          <w:sz w:val="20"/>
          <w:szCs w:val="20"/>
        </w:rPr>
        <w:t xml:space="preserve">U. </w:t>
      </w:r>
      <w:proofErr w:type="spellStart"/>
      <w:r w:rsidRPr="00274339">
        <w:rPr>
          <w:sz w:val="20"/>
          <w:szCs w:val="20"/>
        </w:rPr>
        <w:t>Carabelli</w:t>
      </w:r>
      <w:proofErr w:type="spellEnd"/>
      <w:r w:rsidRPr="00274339">
        <w:rPr>
          <w:sz w:val="20"/>
          <w:szCs w:val="20"/>
        </w:rPr>
        <w:t xml:space="preserve">, </w:t>
      </w:r>
      <w:r w:rsidRPr="00274339">
        <w:rPr>
          <w:i/>
          <w:sz w:val="20"/>
          <w:szCs w:val="20"/>
        </w:rPr>
        <w:t>La responsabilità del datore di lavoro nelle organizzazione di impresa complesse</w:t>
      </w:r>
      <w:r w:rsidRPr="00274339">
        <w:rPr>
          <w:sz w:val="20"/>
          <w:szCs w:val="20"/>
        </w:rPr>
        <w:t xml:space="preserve">, in </w:t>
      </w:r>
      <w:proofErr w:type="spellStart"/>
      <w:r w:rsidRPr="00274339">
        <w:rPr>
          <w:i/>
          <w:sz w:val="20"/>
          <w:szCs w:val="20"/>
        </w:rPr>
        <w:t>Dir.Rel.Ind</w:t>
      </w:r>
      <w:proofErr w:type="spellEnd"/>
      <w:r w:rsidRPr="00274339">
        <w:rPr>
          <w:i/>
          <w:sz w:val="20"/>
          <w:szCs w:val="20"/>
        </w:rPr>
        <w:t>.</w:t>
      </w:r>
      <w:r w:rsidRPr="00274339">
        <w:rPr>
          <w:sz w:val="20"/>
          <w:szCs w:val="20"/>
        </w:rPr>
        <w:t>, 2009, 1, 91. Sul punto, merita però di essere ricordata la suggestiva tesi c</w:t>
      </w:r>
      <w:r w:rsidR="00DB0014">
        <w:rPr>
          <w:sz w:val="20"/>
          <w:szCs w:val="20"/>
        </w:rPr>
        <w:t xml:space="preserve">ritica </w:t>
      </w:r>
      <w:r w:rsidRPr="00274339">
        <w:rPr>
          <w:sz w:val="20"/>
          <w:szCs w:val="20"/>
        </w:rPr>
        <w:t xml:space="preserve">del giurista </w:t>
      </w:r>
      <w:proofErr w:type="spellStart"/>
      <w:r w:rsidRPr="00274339">
        <w:rPr>
          <w:sz w:val="20"/>
          <w:szCs w:val="20"/>
        </w:rPr>
        <w:t>weimariano</w:t>
      </w:r>
      <w:proofErr w:type="spellEnd"/>
      <w:r w:rsidRPr="00274339">
        <w:rPr>
          <w:sz w:val="20"/>
          <w:szCs w:val="20"/>
        </w:rPr>
        <w:t xml:space="preserve"> Fran</w:t>
      </w:r>
      <w:r w:rsidR="00431337">
        <w:rPr>
          <w:sz w:val="20"/>
          <w:szCs w:val="20"/>
        </w:rPr>
        <w:t>z</w:t>
      </w:r>
      <w:r w:rsidRPr="00274339">
        <w:rPr>
          <w:sz w:val="20"/>
          <w:szCs w:val="20"/>
        </w:rPr>
        <w:t xml:space="preserve"> </w:t>
      </w:r>
      <w:proofErr w:type="spellStart"/>
      <w:r w:rsidRPr="00274339">
        <w:rPr>
          <w:sz w:val="20"/>
          <w:szCs w:val="20"/>
        </w:rPr>
        <w:t>Neumann</w:t>
      </w:r>
      <w:proofErr w:type="spellEnd"/>
      <w:r w:rsidRPr="00274339">
        <w:rPr>
          <w:sz w:val="20"/>
          <w:szCs w:val="20"/>
        </w:rPr>
        <w:t>, secondo cui la divisione tra le funzioni di capitale e (gestione del) lavoro, già propria della società per azioni, “</w:t>
      </w:r>
      <w:r w:rsidRPr="00DB0014">
        <w:rPr>
          <w:i/>
          <w:sz w:val="20"/>
          <w:szCs w:val="20"/>
        </w:rPr>
        <w:t>diventa insuperabile frattura quando la gestione economica non è più nelle mani di singole imprese, ma di gruppi</w:t>
      </w:r>
      <w:r w:rsidRPr="00274339">
        <w:rPr>
          <w:sz w:val="20"/>
          <w:szCs w:val="20"/>
        </w:rPr>
        <w:t xml:space="preserve">”, tanto che l’articolazione stessa in gruppo creerebbe l’eliminazione (o, meglio, l’annacquamento) dello stesso rischio di impresa, caposaldo dell’economia capitalistica (così F.L. </w:t>
      </w:r>
      <w:proofErr w:type="spellStart"/>
      <w:r w:rsidRPr="00274339">
        <w:rPr>
          <w:sz w:val="20"/>
          <w:szCs w:val="20"/>
        </w:rPr>
        <w:t>Neumann</w:t>
      </w:r>
      <w:proofErr w:type="spellEnd"/>
      <w:r w:rsidRPr="00274339">
        <w:rPr>
          <w:sz w:val="20"/>
          <w:szCs w:val="20"/>
        </w:rPr>
        <w:t xml:space="preserve">, </w:t>
      </w:r>
      <w:r w:rsidRPr="00274339">
        <w:rPr>
          <w:i/>
          <w:sz w:val="20"/>
          <w:szCs w:val="20"/>
        </w:rPr>
        <w:t>Il diritto del lavoro fra democrazia e dittatura</w:t>
      </w:r>
      <w:r w:rsidRPr="00274339">
        <w:rPr>
          <w:sz w:val="20"/>
          <w:szCs w:val="20"/>
        </w:rPr>
        <w:t xml:space="preserve">, Il Mulino, Bologna, 1983, 188).   </w:t>
      </w:r>
    </w:p>
  </w:footnote>
  <w:footnote w:id="12">
    <w:p w:rsidR="00DA3C87" w:rsidRPr="00274339" w:rsidRDefault="00DA3C87" w:rsidP="00274339">
      <w:pPr>
        <w:autoSpaceDE w:val="0"/>
        <w:autoSpaceDN w:val="0"/>
        <w:adjustRightInd w:val="0"/>
        <w:ind w:right="1178"/>
        <w:jc w:val="both"/>
        <w:rPr>
          <w:sz w:val="20"/>
          <w:szCs w:val="20"/>
          <w:lang w:val="en-GB"/>
        </w:rPr>
      </w:pPr>
      <w:r w:rsidRPr="00274339">
        <w:rPr>
          <w:rStyle w:val="Rimandonotaapidipagina"/>
          <w:sz w:val="20"/>
          <w:szCs w:val="20"/>
        </w:rPr>
        <w:footnoteRef/>
      </w:r>
      <w:r w:rsidRPr="00274339">
        <w:rPr>
          <w:sz w:val="20"/>
          <w:szCs w:val="20"/>
          <w:lang w:val="en-GB"/>
        </w:rPr>
        <w:t xml:space="preserve"> </w:t>
      </w:r>
      <w:proofErr w:type="spellStart"/>
      <w:r w:rsidRPr="00274339">
        <w:rPr>
          <w:sz w:val="20"/>
          <w:szCs w:val="20"/>
          <w:lang w:val="en-GB"/>
        </w:rPr>
        <w:t>Cfr</w:t>
      </w:r>
      <w:proofErr w:type="spellEnd"/>
      <w:r w:rsidRPr="00274339">
        <w:rPr>
          <w:sz w:val="20"/>
          <w:szCs w:val="20"/>
          <w:lang w:val="en-GB"/>
        </w:rPr>
        <w:t xml:space="preserve">. G. </w:t>
      </w:r>
      <w:proofErr w:type="spellStart"/>
      <w:r w:rsidRPr="00274339">
        <w:rPr>
          <w:sz w:val="20"/>
          <w:szCs w:val="20"/>
          <w:lang w:val="en-GB"/>
        </w:rPr>
        <w:t>Teubner</w:t>
      </w:r>
      <w:proofErr w:type="spellEnd"/>
      <w:r w:rsidRPr="00274339">
        <w:rPr>
          <w:sz w:val="20"/>
          <w:szCs w:val="20"/>
          <w:lang w:val="en-GB"/>
        </w:rPr>
        <w:t xml:space="preserve">, </w:t>
      </w:r>
      <w:proofErr w:type="spellStart"/>
      <w:r w:rsidRPr="00274339">
        <w:rPr>
          <w:i/>
          <w:sz w:val="20"/>
          <w:szCs w:val="20"/>
          <w:lang w:val="en-GB"/>
        </w:rPr>
        <w:t>Unitas</w:t>
      </w:r>
      <w:proofErr w:type="spellEnd"/>
      <w:r w:rsidRPr="00274339">
        <w:rPr>
          <w:i/>
          <w:sz w:val="20"/>
          <w:szCs w:val="20"/>
          <w:lang w:val="en-GB"/>
        </w:rPr>
        <w:t xml:space="preserve"> Multiples: Corporate Governance in Groups Enterprises</w:t>
      </w:r>
      <w:r w:rsidRPr="00274339">
        <w:rPr>
          <w:sz w:val="20"/>
          <w:szCs w:val="20"/>
          <w:lang w:val="en-GB"/>
        </w:rPr>
        <w:t xml:space="preserve">, in D. </w:t>
      </w:r>
      <w:proofErr w:type="spellStart"/>
      <w:r w:rsidRPr="00274339">
        <w:rPr>
          <w:sz w:val="20"/>
          <w:szCs w:val="20"/>
          <w:lang w:val="en-GB"/>
        </w:rPr>
        <w:t>Sugarman</w:t>
      </w:r>
      <w:proofErr w:type="spellEnd"/>
      <w:r w:rsidRPr="00274339">
        <w:rPr>
          <w:sz w:val="20"/>
          <w:szCs w:val="20"/>
          <w:lang w:val="en-GB"/>
        </w:rPr>
        <w:t xml:space="preserve">, G. </w:t>
      </w:r>
      <w:proofErr w:type="spellStart"/>
      <w:r w:rsidRPr="00274339">
        <w:rPr>
          <w:sz w:val="20"/>
          <w:szCs w:val="20"/>
          <w:lang w:val="en-GB"/>
        </w:rPr>
        <w:t>Teubner</w:t>
      </w:r>
      <w:proofErr w:type="spellEnd"/>
      <w:r w:rsidRPr="00274339">
        <w:rPr>
          <w:sz w:val="20"/>
          <w:szCs w:val="20"/>
          <w:lang w:val="en-GB"/>
        </w:rPr>
        <w:t xml:space="preserve">, </w:t>
      </w:r>
      <w:r w:rsidRPr="00274339">
        <w:rPr>
          <w:i/>
          <w:sz w:val="20"/>
          <w:szCs w:val="20"/>
          <w:lang w:val="en-GB"/>
        </w:rPr>
        <w:t>Regulating Corporate Governance in Europe</w:t>
      </w:r>
      <w:r w:rsidRPr="00274339">
        <w:rPr>
          <w:sz w:val="20"/>
          <w:szCs w:val="20"/>
          <w:lang w:val="en-GB"/>
        </w:rPr>
        <w:t xml:space="preserve">, </w:t>
      </w:r>
      <w:proofErr w:type="spellStart"/>
      <w:r w:rsidRPr="00274339">
        <w:rPr>
          <w:sz w:val="20"/>
          <w:szCs w:val="20"/>
          <w:lang w:val="en-GB"/>
        </w:rPr>
        <w:t>Nomos</w:t>
      </w:r>
      <w:proofErr w:type="spellEnd"/>
      <w:r w:rsidRPr="00274339">
        <w:rPr>
          <w:sz w:val="20"/>
          <w:szCs w:val="20"/>
          <w:lang w:val="en-GB"/>
        </w:rPr>
        <w:t xml:space="preserve"> </w:t>
      </w:r>
      <w:proofErr w:type="spellStart"/>
      <w:r w:rsidRPr="00274339">
        <w:rPr>
          <w:sz w:val="20"/>
          <w:szCs w:val="20"/>
          <w:lang w:val="en-GB"/>
        </w:rPr>
        <w:t>Verlag</w:t>
      </w:r>
      <w:proofErr w:type="spellEnd"/>
      <w:r w:rsidRPr="00274339">
        <w:rPr>
          <w:sz w:val="20"/>
          <w:szCs w:val="20"/>
          <w:lang w:val="en-GB"/>
        </w:rPr>
        <w:t xml:space="preserve">, Baden </w:t>
      </w:r>
      <w:proofErr w:type="spellStart"/>
      <w:r w:rsidRPr="00274339">
        <w:rPr>
          <w:sz w:val="20"/>
          <w:szCs w:val="20"/>
          <w:lang w:val="en-GB"/>
        </w:rPr>
        <w:t>Baden</w:t>
      </w:r>
      <w:proofErr w:type="spellEnd"/>
      <w:r w:rsidRPr="00274339">
        <w:rPr>
          <w:sz w:val="20"/>
          <w:szCs w:val="20"/>
          <w:lang w:val="en-GB"/>
        </w:rPr>
        <w:t xml:space="preserve">, 1980, 86; Id., </w:t>
      </w:r>
      <w:proofErr w:type="spellStart"/>
      <w:r w:rsidRPr="00274339">
        <w:rPr>
          <w:i/>
          <w:sz w:val="20"/>
          <w:szCs w:val="20"/>
          <w:lang w:val="en-GB"/>
        </w:rPr>
        <w:t>Unitas</w:t>
      </w:r>
      <w:proofErr w:type="spellEnd"/>
      <w:r w:rsidRPr="00274339">
        <w:rPr>
          <w:i/>
          <w:sz w:val="20"/>
          <w:szCs w:val="20"/>
          <w:lang w:val="en-GB"/>
        </w:rPr>
        <w:t xml:space="preserve"> Multiplex: Problems of Governance in Group Enterprises from a System Theory Viewpoint</w:t>
      </w:r>
      <w:r w:rsidRPr="00274339">
        <w:rPr>
          <w:sz w:val="20"/>
          <w:szCs w:val="20"/>
          <w:lang w:val="en-GB"/>
        </w:rPr>
        <w:t>, EUI, Florence, 1988.</w:t>
      </w:r>
    </w:p>
  </w:footnote>
  <w:footnote w:id="13">
    <w:p w:rsidR="00DA3C87" w:rsidRPr="00274339" w:rsidRDefault="00DA3C87" w:rsidP="00274339">
      <w:pPr>
        <w:autoSpaceDE w:val="0"/>
        <w:autoSpaceDN w:val="0"/>
        <w:adjustRightInd w:val="0"/>
        <w:ind w:right="1178"/>
        <w:jc w:val="both"/>
        <w:rPr>
          <w:i/>
          <w:sz w:val="20"/>
          <w:szCs w:val="20"/>
          <w:lang w:val="en-GB"/>
        </w:rPr>
      </w:pPr>
      <w:r w:rsidRPr="00274339">
        <w:rPr>
          <w:rStyle w:val="Rimandonotaapidipagina"/>
          <w:sz w:val="20"/>
          <w:szCs w:val="20"/>
        </w:rPr>
        <w:footnoteRef/>
      </w:r>
      <w:r w:rsidRPr="00274339">
        <w:rPr>
          <w:sz w:val="20"/>
          <w:szCs w:val="20"/>
          <w:lang w:val="en-GB"/>
        </w:rPr>
        <w:t xml:space="preserve"> </w:t>
      </w:r>
      <w:proofErr w:type="gramStart"/>
      <w:r w:rsidRPr="00274339">
        <w:rPr>
          <w:sz w:val="20"/>
          <w:szCs w:val="20"/>
          <w:lang w:val="en-GB"/>
        </w:rPr>
        <w:t>Cass.,</w:t>
      </w:r>
      <w:proofErr w:type="gramEnd"/>
      <w:r w:rsidRPr="00274339">
        <w:rPr>
          <w:sz w:val="20"/>
          <w:szCs w:val="20"/>
          <w:lang w:val="en-GB"/>
        </w:rPr>
        <w:t xml:space="preserve"> S.U., 26.10.2006 n. </w:t>
      </w:r>
      <w:smartTag w:uri="urn:schemas-microsoft-com:office:smarttags" w:element="metricconverter">
        <w:smartTagPr>
          <w:attr w:name="ProductID" w:val="22910, in"/>
        </w:smartTagPr>
        <w:r w:rsidRPr="00274339">
          <w:rPr>
            <w:sz w:val="20"/>
            <w:szCs w:val="20"/>
            <w:lang w:val="en-GB"/>
          </w:rPr>
          <w:t>22910, in</w:t>
        </w:r>
      </w:smartTag>
      <w:r w:rsidRPr="00274339">
        <w:rPr>
          <w:sz w:val="20"/>
          <w:szCs w:val="20"/>
          <w:lang w:val="en-GB"/>
        </w:rPr>
        <w:t xml:space="preserve"> </w:t>
      </w:r>
      <w:r w:rsidRPr="00274339">
        <w:rPr>
          <w:i/>
          <w:iCs/>
          <w:sz w:val="20"/>
          <w:szCs w:val="20"/>
          <w:lang w:val="en-GB"/>
        </w:rPr>
        <w:t>ADL</w:t>
      </w:r>
      <w:r w:rsidRPr="00274339">
        <w:rPr>
          <w:sz w:val="20"/>
          <w:szCs w:val="20"/>
          <w:lang w:val="en-GB"/>
        </w:rPr>
        <w:t>, 2007, II, 1011 ss.</w:t>
      </w:r>
    </w:p>
  </w:footnote>
  <w:footnote w:id="14">
    <w:p w:rsidR="00DA3C87" w:rsidRPr="00274339" w:rsidRDefault="00DA3C87" w:rsidP="00274339">
      <w:pPr>
        <w:autoSpaceDE w:val="0"/>
        <w:autoSpaceDN w:val="0"/>
        <w:adjustRightInd w:val="0"/>
        <w:ind w:right="1178"/>
        <w:jc w:val="both"/>
        <w:rPr>
          <w:sz w:val="20"/>
          <w:szCs w:val="20"/>
        </w:rPr>
      </w:pPr>
      <w:r w:rsidRPr="00274339">
        <w:rPr>
          <w:rStyle w:val="Rimandonotaapidipagina"/>
          <w:sz w:val="20"/>
          <w:szCs w:val="20"/>
        </w:rPr>
        <w:footnoteRef/>
      </w:r>
      <w:r w:rsidRPr="00274339">
        <w:rPr>
          <w:sz w:val="20"/>
          <w:szCs w:val="20"/>
        </w:rPr>
        <w:t xml:space="preserve"> Per la valorizzazione del combinato disposto dell’art. 1 L. 1369/1960 e art. 2094 c.c., ai fini dell’individuazione del datore di lavoro nell’effettivo utilizzatore della prestazione nell’ambito dei gruppi di imprese, v. A. Vallebona, </w:t>
      </w:r>
      <w:r w:rsidRPr="00274339">
        <w:rPr>
          <w:i/>
          <w:sz w:val="20"/>
          <w:szCs w:val="20"/>
        </w:rPr>
        <w:t>Problemi del rapporto di lavoro nei gruppi di società</w:t>
      </w:r>
      <w:r w:rsidRPr="00274339">
        <w:rPr>
          <w:sz w:val="20"/>
          <w:szCs w:val="20"/>
        </w:rPr>
        <w:t xml:space="preserve">, in </w:t>
      </w:r>
      <w:r w:rsidRPr="00274339">
        <w:rPr>
          <w:i/>
          <w:sz w:val="20"/>
          <w:szCs w:val="20"/>
        </w:rPr>
        <w:t>G.D.L.R.I.</w:t>
      </w:r>
      <w:r w:rsidRPr="00274339">
        <w:rPr>
          <w:sz w:val="20"/>
          <w:szCs w:val="20"/>
        </w:rPr>
        <w:t xml:space="preserve">, 1982, 16, 687, nonché O. Mazzotta, </w:t>
      </w:r>
      <w:r w:rsidRPr="00274339">
        <w:rPr>
          <w:i/>
          <w:sz w:val="20"/>
          <w:szCs w:val="20"/>
        </w:rPr>
        <w:t>Divide et impera: diritto del lavoro e gruppi di imprese</w:t>
      </w:r>
      <w:r w:rsidRPr="00274339">
        <w:rPr>
          <w:sz w:val="20"/>
          <w:szCs w:val="20"/>
        </w:rPr>
        <w:t xml:space="preserve">, cit., 366, che ha ravvisato analogie tra il metodo di indagine volto ad individuare i tratti tipici della subordinazione e quello utilizzato in tema di rapporti interpositori vietati, a fronte del ricorso ai medesimi indici: ed infatti la giurisprudenza, nel vigore della L. 1369/1960, aveva sin da subito ben compreso i rischi che si annidavano dietro agli appalti, in specie quelli </w:t>
      </w:r>
      <w:proofErr w:type="spellStart"/>
      <w:r w:rsidRPr="00274339">
        <w:rPr>
          <w:sz w:val="20"/>
          <w:szCs w:val="20"/>
        </w:rPr>
        <w:t>endoaziendali</w:t>
      </w:r>
      <w:proofErr w:type="spellEnd"/>
      <w:r w:rsidRPr="00274339">
        <w:rPr>
          <w:sz w:val="20"/>
          <w:szCs w:val="20"/>
        </w:rPr>
        <w:t>, ritenendo necessaria la presenza degli elementi de</w:t>
      </w:r>
      <w:r w:rsidR="006002C8">
        <w:rPr>
          <w:sz w:val="20"/>
          <w:szCs w:val="20"/>
        </w:rPr>
        <w:t>ll’utilizzo della prestazione e dell’</w:t>
      </w:r>
      <w:r w:rsidRPr="00274339">
        <w:rPr>
          <w:sz w:val="20"/>
          <w:szCs w:val="20"/>
        </w:rPr>
        <w:t>esercizio del potere direttivo in capo al datore di lavoro/appaltatore (di recente definita “</w:t>
      </w:r>
      <w:r w:rsidRPr="00274339">
        <w:rPr>
          <w:i/>
          <w:sz w:val="20"/>
          <w:szCs w:val="20"/>
        </w:rPr>
        <w:t>autonomia gestionale dell’appaltatore nella conduzione aziendale, esplicata nella direzione del personale e nella scelta delle modalità e dei tempi di lavoro</w:t>
      </w:r>
      <w:r w:rsidRPr="00274339">
        <w:rPr>
          <w:sz w:val="20"/>
          <w:szCs w:val="20"/>
        </w:rPr>
        <w:t>”</w:t>
      </w:r>
      <w:r w:rsidR="006002C8">
        <w:rPr>
          <w:sz w:val="20"/>
          <w:szCs w:val="20"/>
        </w:rPr>
        <w:t>:</w:t>
      </w:r>
      <w:r w:rsidRPr="00274339">
        <w:rPr>
          <w:sz w:val="20"/>
          <w:szCs w:val="20"/>
        </w:rPr>
        <w:t xml:space="preserve"> così Cass. 28.3.2011, n. 7034, in </w:t>
      </w:r>
      <w:r w:rsidRPr="00274339">
        <w:rPr>
          <w:i/>
          <w:sz w:val="20"/>
          <w:szCs w:val="20"/>
        </w:rPr>
        <w:t>OGL</w:t>
      </w:r>
      <w:r w:rsidRPr="00274339">
        <w:rPr>
          <w:sz w:val="20"/>
          <w:szCs w:val="20"/>
        </w:rPr>
        <w:t>, 2011, 3, 626)</w:t>
      </w:r>
      <w:r w:rsidR="006002C8">
        <w:rPr>
          <w:sz w:val="20"/>
          <w:szCs w:val="20"/>
        </w:rPr>
        <w:t>,</w:t>
      </w:r>
      <w:r w:rsidRPr="00274339">
        <w:rPr>
          <w:sz w:val="20"/>
          <w:szCs w:val="20"/>
        </w:rPr>
        <w:t xml:space="preserve"> ed il solo potere di controllo (sull’esecuzione dell’opera o del servizio,</w:t>
      </w:r>
      <w:r w:rsidR="006002C8">
        <w:rPr>
          <w:sz w:val="20"/>
          <w:szCs w:val="20"/>
        </w:rPr>
        <w:t xml:space="preserve"> non sulla prestazione), in capo</w:t>
      </w:r>
      <w:r w:rsidRPr="00274339">
        <w:rPr>
          <w:sz w:val="20"/>
          <w:szCs w:val="20"/>
        </w:rPr>
        <w:t xml:space="preserve"> </w:t>
      </w:r>
      <w:r w:rsidR="006002C8">
        <w:rPr>
          <w:sz w:val="20"/>
          <w:szCs w:val="20"/>
        </w:rPr>
        <w:t>a</w:t>
      </w:r>
      <w:r w:rsidRPr="00274339">
        <w:rPr>
          <w:sz w:val="20"/>
          <w:szCs w:val="20"/>
        </w:rPr>
        <w:t xml:space="preserve">l committente (Cass. 6.6.2011, n. 12201, </w:t>
      </w:r>
      <w:r w:rsidRPr="00274339">
        <w:rPr>
          <w:i/>
          <w:sz w:val="20"/>
          <w:szCs w:val="20"/>
        </w:rPr>
        <w:t>ivi</w:t>
      </w:r>
      <w:r w:rsidRPr="00274339">
        <w:rPr>
          <w:sz w:val="20"/>
          <w:szCs w:val="20"/>
        </w:rPr>
        <w:t xml:space="preserve">, 619; nello stesso senso, v. Cass. 29.8.2003, n. 12664, in </w:t>
      </w:r>
      <w:proofErr w:type="spellStart"/>
      <w:r w:rsidRPr="00274339">
        <w:rPr>
          <w:i/>
          <w:sz w:val="20"/>
          <w:szCs w:val="20"/>
        </w:rPr>
        <w:t>Riv.It.Dir.Lav</w:t>
      </w:r>
      <w:proofErr w:type="spellEnd"/>
      <w:r w:rsidRPr="00274339">
        <w:rPr>
          <w:i/>
          <w:sz w:val="20"/>
          <w:szCs w:val="20"/>
        </w:rPr>
        <w:t>.</w:t>
      </w:r>
      <w:r w:rsidRPr="00274339">
        <w:rPr>
          <w:sz w:val="20"/>
          <w:szCs w:val="20"/>
        </w:rPr>
        <w:t xml:space="preserve">, 2004, II, 48, con nota di L. </w:t>
      </w:r>
      <w:proofErr w:type="spellStart"/>
      <w:r w:rsidRPr="00274339">
        <w:rPr>
          <w:sz w:val="20"/>
          <w:szCs w:val="20"/>
        </w:rPr>
        <w:t>Calcaterra</w:t>
      </w:r>
      <w:proofErr w:type="spellEnd"/>
      <w:r w:rsidRPr="00274339">
        <w:rPr>
          <w:sz w:val="20"/>
          <w:szCs w:val="20"/>
        </w:rPr>
        <w:t xml:space="preserve">, </w:t>
      </w:r>
      <w:r w:rsidRPr="00274339">
        <w:rPr>
          <w:i/>
          <w:sz w:val="20"/>
          <w:szCs w:val="20"/>
        </w:rPr>
        <w:t xml:space="preserve">Interposizione e appalto di servizi: </w:t>
      </w:r>
      <w:smartTag w:uri="urn:schemas-microsoft-com:office:smarttags" w:element="PersonName">
        <w:smartTagPr>
          <w:attr w:name="ProductID" w:val="La Cassazione"/>
        </w:smartTagPr>
        <w:r w:rsidRPr="00274339">
          <w:rPr>
            <w:i/>
            <w:sz w:val="20"/>
            <w:szCs w:val="20"/>
          </w:rPr>
          <w:t>la Cassazione</w:t>
        </w:r>
      </w:smartTag>
      <w:r w:rsidRPr="00274339">
        <w:rPr>
          <w:i/>
          <w:sz w:val="20"/>
          <w:szCs w:val="20"/>
        </w:rPr>
        <w:t xml:space="preserve"> anticipa la riforma</w:t>
      </w:r>
      <w:r w:rsidRPr="00274339">
        <w:rPr>
          <w:sz w:val="20"/>
          <w:szCs w:val="20"/>
        </w:rPr>
        <w:t xml:space="preserve">); tale indagine non risulta condizionata dall’eventuale sussistenza di un’organizzazione in capo all’interposto, in quanto, come rilevato da attenta dottrina (M. Brollo, </w:t>
      </w:r>
      <w:r w:rsidRPr="00274339">
        <w:rPr>
          <w:i/>
          <w:sz w:val="20"/>
          <w:szCs w:val="20"/>
        </w:rPr>
        <w:t>Il &lt;lavoro decentrato&gt; nella dottrina e nella giurisprudenza</w:t>
      </w:r>
      <w:r w:rsidRPr="00274339">
        <w:rPr>
          <w:sz w:val="20"/>
          <w:szCs w:val="20"/>
        </w:rPr>
        <w:t xml:space="preserve">, in </w:t>
      </w:r>
      <w:r w:rsidRPr="00274339">
        <w:rPr>
          <w:i/>
          <w:sz w:val="20"/>
          <w:szCs w:val="20"/>
        </w:rPr>
        <w:t>QDLRI</w:t>
      </w:r>
      <w:r w:rsidRPr="00274339">
        <w:rPr>
          <w:sz w:val="20"/>
          <w:szCs w:val="20"/>
        </w:rPr>
        <w:t>, 1990, 8, 232), anche l’imprenditore munito di organizzazione può incorrere nel divieto legislativo di interposizione. Per un’attenta ricostruzione dei criteri (</w:t>
      </w:r>
      <w:proofErr w:type="spellStart"/>
      <w:r w:rsidRPr="00274339">
        <w:rPr>
          <w:sz w:val="20"/>
          <w:szCs w:val="20"/>
        </w:rPr>
        <w:t>eterodirezione</w:t>
      </w:r>
      <w:proofErr w:type="spellEnd"/>
      <w:r w:rsidRPr="00274339">
        <w:rPr>
          <w:sz w:val="20"/>
          <w:szCs w:val="20"/>
        </w:rPr>
        <w:t xml:space="preserve"> e consistenza imprenditoriale dell’impresa appaltatrice) utilizzati dalla giurisprudenza formatasi nel vigore della L. 1669/1960 e della loro attualità ai fini della distinzione tra appalto e somministrazione irregolare </w:t>
      </w:r>
      <w:r w:rsidRPr="00274339">
        <w:rPr>
          <w:i/>
          <w:sz w:val="20"/>
          <w:szCs w:val="20"/>
        </w:rPr>
        <w:t>ex</w:t>
      </w:r>
      <w:r w:rsidRPr="00274339">
        <w:rPr>
          <w:sz w:val="20"/>
          <w:szCs w:val="20"/>
        </w:rPr>
        <w:t xml:space="preserve"> art. 27 </w:t>
      </w:r>
      <w:proofErr w:type="spellStart"/>
      <w:r w:rsidRPr="00274339">
        <w:rPr>
          <w:sz w:val="20"/>
          <w:szCs w:val="20"/>
        </w:rPr>
        <w:t>D.Lgs.</w:t>
      </w:r>
      <w:proofErr w:type="spellEnd"/>
      <w:r w:rsidRPr="00274339">
        <w:rPr>
          <w:sz w:val="20"/>
          <w:szCs w:val="20"/>
        </w:rPr>
        <w:t xml:space="preserve"> 276/2003, v., da ultimo, I. Alvino, </w:t>
      </w:r>
      <w:r w:rsidRPr="00274339">
        <w:rPr>
          <w:i/>
          <w:sz w:val="20"/>
          <w:szCs w:val="20"/>
        </w:rPr>
        <w:t>Profili problematici della distinzione tra appalto e somministrazione nella recente giurisprudenza</w:t>
      </w:r>
      <w:r w:rsidRPr="00274339">
        <w:rPr>
          <w:sz w:val="20"/>
          <w:szCs w:val="20"/>
        </w:rPr>
        <w:t xml:space="preserve">, in </w:t>
      </w:r>
      <w:r w:rsidRPr="00274339">
        <w:rPr>
          <w:i/>
          <w:sz w:val="20"/>
          <w:szCs w:val="20"/>
        </w:rPr>
        <w:t>Lav. nella Giur – Gli Speciali</w:t>
      </w:r>
      <w:r w:rsidRPr="00274339">
        <w:rPr>
          <w:sz w:val="20"/>
          <w:szCs w:val="20"/>
        </w:rPr>
        <w:t xml:space="preserve">, 2011, 20 ss., nonché C. Pisani, </w:t>
      </w:r>
      <w:r w:rsidRPr="00274339">
        <w:rPr>
          <w:i/>
          <w:sz w:val="20"/>
          <w:szCs w:val="20"/>
        </w:rPr>
        <w:t>Interposizione e potere direttivo</w:t>
      </w:r>
      <w:r w:rsidRPr="00274339">
        <w:rPr>
          <w:sz w:val="20"/>
          <w:szCs w:val="20"/>
        </w:rPr>
        <w:t xml:space="preserve">, in </w:t>
      </w:r>
      <w:proofErr w:type="spellStart"/>
      <w:r w:rsidRPr="00274339">
        <w:rPr>
          <w:i/>
          <w:sz w:val="20"/>
          <w:szCs w:val="20"/>
        </w:rPr>
        <w:t>Mass.Giur.Lav</w:t>
      </w:r>
      <w:proofErr w:type="spellEnd"/>
      <w:r w:rsidRPr="00274339">
        <w:rPr>
          <w:i/>
          <w:sz w:val="20"/>
          <w:szCs w:val="20"/>
        </w:rPr>
        <w:t>.</w:t>
      </w:r>
      <w:r w:rsidRPr="00274339">
        <w:rPr>
          <w:sz w:val="20"/>
          <w:szCs w:val="20"/>
        </w:rPr>
        <w:t>, 2011, 10, 712.</w:t>
      </w:r>
    </w:p>
  </w:footnote>
  <w:footnote w:id="15">
    <w:p w:rsidR="00DA3C87" w:rsidRPr="00274339" w:rsidRDefault="00DA3C87" w:rsidP="00274339">
      <w:pPr>
        <w:pStyle w:val="Testonotaapidipagina"/>
        <w:ind w:right="1178"/>
        <w:jc w:val="both"/>
      </w:pPr>
      <w:r w:rsidRPr="00274339">
        <w:rPr>
          <w:rStyle w:val="Rimandonotaapidipagina"/>
        </w:rPr>
        <w:footnoteRef/>
      </w:r>
      <w:r w:rsidRPr="00274339">
        <w:t xml:space="preserve"> In dottrina, favorevoli alla permanenza del divieto di interposizione di manodopera, anche a seguito dell’abrogazione della L. 139/1960: P. </w:t>
      </w:r>
      <w:proofErr w:type="spellStart"/>
      <w:r w:rsidRPr="00274339">
        <w:t>Ichino</w:t>
      </w:r>
      <w:proofErr w:type="spellEnd"/>
      <w:r w:rsidRPr="00274339">
        <w:t xml:space="preserve">, </w:t>
      </w:r>
      <w:r w:rsidRPr="00274339">
        <w:rPr>
          <w:i/>
        </w:rPr>
        <w:t>Somministrazione di lavoro. Appalto</w:t>
      </w:r>
      <w:r w:rsidRPr="00274339">
        <w:t xml:space="preserve">, in M. </w:t>
      </w:r>
      <w:proofErr w:type="spellStart"/>
      <w:r w:rsidRPr="00274339">
        <w:t>Pedrazzoli</w:t>
      </w:r>
      <w:proofErr w:type="spellEnd"/>
      <w:r w:rsidRPr="00274339">
        <w:t xml:space="preserve"> (coordinato da), </w:t>
      </w:r>
      <w:r w:rsidRPr="00274339">
        <w:rPr>
          <w:i/>
        </w:rPr>
        <w:t>Il Nuovo Mercato del Lavoro</w:t>
      </w:r>
      <w:r w:rsidRPr="00274339">
        <w:t xml:space="preserve">, Zanichelli, Bologna, 2004, 257 ss.; F. Scarpelli, </w:t>
      </w:r>
      <w:r w:rsidRPr="00274339">
        <w:rPr>
          <w:i/>
        </w:rPr>
        <w:t>Somministrazione irregolare</w:t>
      </w:r>
      <w:r w:rsidRPr="00274339">
        <w:t xml:space="preserve">, in E. Gragnoli, A. </w:t>
      </w:r>
      <w:proofErr w:type="spellStart"/>
      <w:r w:rsidRPr="00274339">
        <w:t>Perulli</w:t>
      </w:r>
      <w:proofErr w:type="spellEnd"/>
      <w:r w:rsidRPr="00274339">
        <w:t xml:space="preserve"> (a cura di), </w:t>
      </w:r>
      <w:smartTag w:uri="urn:schemas-microsoft-com:office:smarttags" w:element="PersonName">
        <w:smartTagPr>
          <w:attr w:name="ProductID" w:val="La Riforma"/>
        </w:smartTagPr>
        <w:r w:rsidRPr="00274339">
          <w:rPr>
            <w:i/>
          </w:rPr>
          <w:t>La Riforma</w:t>
        </w:r>
      </w:smartTag>
      <w:r w:rsidRPr="00274339">
        <w:rPr>
          <w:i/>
        </w:rPr>
        <w:t xml:space="preserve"> del Mercato del Lavoro e i Nuovi Modelli Contrattuali – Commentario al Decreto Legislativo 10 settembre 2003, n. 276</w:t>
      </w:r>
      <w:r w:rsidRPr="00274339">
        <w:t xml:space="preserve">, Cedam, Padova, 2004, 409 ss.; M.T. Carinci, </w:t>
      </w:r>
      <w:r w:rsidRPr="00274339">
        <w:rPr>
          <w:i/>
        </w:rPr>
        <w:t xml:space="preserve">L’unicità del datore di lavoro – quale parte del contratto di lavoro, creditore della prestazione e titolare di tutte le connesse posizioni di diritto, potere, obbligo ad esso connesse – è regola generale nell’ordinamento </w:t>
      </w:r>
      <w:proofErr w:type="spellStart"/>
      <w:r w:rsidRPr="00274339">
        <w:rPr>
          <w:i/>
        </w:rPr>
        <w:t>giuslavoristico</w:t>
      </w:r>
      <w:proofErr w:type="spellEnd"/>
      <w:r w:rsidRPr="00274339">
        <w:t xml:space="preserve">, in </w:t>
      </w:r>
      <w:r w:rsidRPr="00274339">
        <w:rPr>
          <w:i/>
          <w:iCs/>
        </w:rPr>
        <w:t>ADL</w:t>
      </w:r>
      <w:r w:rsidRPr="00274339">
        <w:t xml:space="preserve">, 2007, 11, 1019 ss.; R. Del Punta, </w:t>
      </w:r>
      <w:r w:rsidRPr="00274339">
        <w:rPr>
          <w:i/>
        </w:rPr>
        <w:t>Le molte vite del divieto di interposizione nel rapporto di lavoro</w:t>
      </w:r>
      <w:r w:rsidRPr="00274339">
        <w:t xml:space="preserve">, in </w:t>
      </w:r>
      <w:r w:rsidRPr="00274339">
        <w:rPr>
          <w:i/>
          <w:iCs/>
        </w:rPr>
        <w:t xml:space="preserve">Scritti in onore di Edoardo </w:t>
      </w:r>
      <w:proofErr w:type="spellStart"/>
      <w:r w:rsidRPr="00274339">
        <w:rPr>
          <w:i/>
          <w:iCs/>
        </w:rPr>
        <w:t>Ghera</w:t>
      </w:r>
      <w:proofErr w:type="spellEnd"/>
      <w:r w:rsidRPr="00274339">
        <w:t xml:space="preserve">, Cacucci, Bari, 2008; L. Corazza, </w:t>
      </w:r>
      <w:r w:rsidRPr="00274339">
        <w:rPr>
          <w:i/>
        </w:rPr>
        <w:t>La nuova nozione di appalto nel sistema delle tecniche di tutela del lavoratore</w:t>
      </w:r>
      <w:r w:rsidRPr="00274339">
        <w:t xml:space="preserve">, in </w:t>
      </w:r>
      <w:r w:rsidRPr="00274339">
        <w:rPr>
          <w:i/>
          <w:iCs/>
        </w:rPr>
        <w:t>Università degli Studi del Molise, Dipartimento di scienze giuridico-sociali e dell’amministrazione, Annali 10/2008</w:t>
      </w:r>
      <w:r w:rsidRPr="00274339">
        <w:t xml:space="preserve">, Arti Grafiche </w:t>
      </w:r>
      <w:smartTag w:uri="urn:schemas-microsoft-com:office:smarttags" w:element="PersonName">
        <w:smartTagPr>
          <w:attr w:name="ProductID" w:val="La Regione"/>
        </w:smartTagPr>
        <w:r w:rsidRPr="00274339">
          <w:t>La Regione</w:t>
        </w:r>
      </w:smartTag>
      <w:r w:rsidRPr="00274339">
        <w:t xml:space="preserve">, Campobasso, 2009; O. Mazzotta, </w:t>
      </w:r>
      <w:r w:rsidRPr="00274339">
        <w:rPr>
          <w:i/>
        </w:rPr>
        <w:t>La dissociazione tra datore di lavoro ed utilizzatore della prestazione</w:t>
      </w:r>
      <w:r w:rsidRPr="00274339">
        <w:t xml:space="preserve">, in </w:t>
      </w:r>
      <w:r w:rsidR="001B2D1E" w:rsidRPr="00274339">
        <w:t xml:space="preserve">A. Vallebona (a cura di), </w:t>
      </w:r>
      <w:r w:rsidR="001B2D1E" w:rsidRPr="00274339">
        <w:rPr>
          <w:i/>
        </w:rPr>
        <w:t>I contratti di lavoro</w:t>
      </w:r>
      <w:r w:rsidR="001B2D1E">
        <w:t xml:space="preserve">, vol. I, in </w:t>
      </w:r>
      <w:r w:rsidRPr="00274339">
        <w:t xml:space="preserve">P. Rescigno, E. Gabrielli (diretto da), </w:t>
      </w:r>
      <w:r w:rsidRPr="00274339">
        <w:rPr>
          <w:i/>
        </w:rPr>
        <w:t>Trattato dei contratti</w:t>
      </w:r>
      <w:r w:rsidRPr="00274339">
        <w:t xml:space="preserve">, Utet, Torino, 2009, 915 ss.; </w:t>
      </w:r>
      <w:r w:rsidRPr="00274339">
        <w:rPr>
          <w:i/>
        </w:rPr>
        <w:t>contra</w:t>
      </w:r>
      <w:r w:rsidRPr="00274339">
        <w:t xml:space="preserve">, P. </w:t>
      </w:r>
      <w:proofErr w:type="spellStart"/>
      <w:r w:rsidRPr="00274339">
        <w:t>Chieco</w:t>
      </w:r>
      <w:proofErr w:type="spellEnd"/>
      <w:r w:rsidRPr="00274339">
        <w:t xml:space="preserve">, </w:t>
      </w:r>
      <w:r w:rsidRPr="00274339">
        <w:rPr>
          <w:i/>
        </w:rPr>
        <w:t xml:space="preserve">Le nuove esternalizzazioni tra fornitura di prestazioni lavorative (somministrazione e distacco) e appalti </w:t>
      </w:r>
      <w:proofErr w:type="spellStart"/>
      <w:r w:rsidRPr="00274339">
        <w:rPr>
          <w:i/>
        </w:rPr>
        <w:t>labour</w:t>
      </w:r>
      <w:proofErr w:type="spellEnd"/>
      <w:r w:rsidRPr="00274339">
        <w:rPr>
          <w:i/>
        </w:rPr>
        <w:t xml:space="preserve"> intensive</w:t>
      </w:r>
      <w:r w:rsidRPr="00274339">
        <w:t xml:space="preserve">, in P. Curzio (a cura di), </w:t>
      </w:r>
      <w:r w:rsidRPr="00274339">
        <w:rPr>
          <w:i/>
        </w:rPr>
        <w:t>Lavoro e diritti a tre anni dalla Legge 30/2003</w:t>
      </w:r>
      <w:r w:rsidRPr="00274339">
        <w:t xml:space="preserve">, Cacucci, Bari, 2004, 105 ss.; R. Romei, </w:t>
      </w:r>
      <w:r w:rsidRPr="00274339">
        <w:rPr>
          <w:i/>
        </w:rPr>
        <w:t>L’elisir di lunga vita del divieto di interposizione</w:t>
      </w:r>
      <w:r w:rsidRPr="00274339">
        <w:t xml:space="preserve">, in </w:t>
      </w:r>
      <w:proofErr w:type="spellStart"/>
      <w:r w:rsidR="003E41FD">
        <w:rPr>
          <w:i/>
        </w:rPr>
        <w:t>Riv.It.</w:t>
      </w:r>
      <w:r w:rsidRPr="00274339">
        <w:rPr>
          <w:i/>
        </w:rPr>
        <w:t>Dir.Lav</w:t>
      </w:r>
      <w:proofErr w:type="spellEnd"/>
      <w:r w:rsidRPr="00274339">
        <w:rPr>
          <w:i/>
        </w:rPr>
        <w:t>.</w:t>
      </w:r>
      <w:r w:rsidRPr="00274339">
        <w:t>, 2005, II, 726 ss.</w:t>
      </w:r>
    </w:p>
  </w:footnote>
  <w:footnote w:id="16">
    <w:p w:rsidR="00DA3C87" w:rsidRPr="00274339" w:rsidRDefault="00DA3C87" w:rsidP="00274339">
      <w:pPr>
        <w:pStyle w:val="Testonotaapidipagina"/>
        <w:ind w:right="1178"/>
        <w:jc w:val="both"/>
      </w:pPr>
      <w:r w:rsidRPr="00274339">
        <w:rPr>
          <w:rStyle w:val="Rimandonotaapidipagina"/>
        </w:rPr>
        <w:footnoteRef/>
      </w:r>
      <w:r w:rsidR="009C7A15" w:rsidRPr="00274339">
        <w:t xml:space="preserve"> D</w:t>
      </w:r>
      <w:r w:rsidRPr="00274339">
        <w:t xml:space="preserve">issociazione tra datore di lavoro ed utilizzatore </w:t>
      </w:r>
      <w:r w:rsidR="009C7A15" w:rsidRPr="00274339">
        <w:t xml:space="preserve">che </w:t>
      </w:r>
      <w:r w:rsidRPr="00274339">
        <w:t xml:space="preserve">viene definita da F. </w:t>
      </w:r>
      <w:proofErr w:type="spellStart"/>
      <w:r w:rsidRPr="00274339">
        <w:t>Carnelutti</w:t>
      </w:r>
      <w:proofErr w:type="spellEnd"/>
      <w:r w:rsidRPr="00274339">
        <w:t xml:space="preserve">, </w:t>
      </w:r>
      <w:r w:rsidRPr="00274339">
        <w:rPr>
          <w:i/>
        </w:rPr>
        <w:t>Contratto di lavoro subordinato altrui</w:t>
      </w:r>
      <w:r w:rsidRPr="00274339">
        <w:t xml:space="preserve">, in </w:t>
      </w:r>
      <w:proofErr w:type="spellStart"/>
      <w:proofErr w:type="gramStart"/>
      <w:r w:rsidRPr="00274339">
        <w:rPr>
          <w:i/>
        </w:rPr>
        <w:t>Riv.Dir.Civ</w:t>
      </w:r>
      <w:proofErr w:type="spellEnd"/>
      <w:r w:rsidRPr="00274339">
        <w:rPr>
          <w:i/>
        </w:rPr>
        <w:t>.</w:t>
      </w:r>
      <w:r w:rsidRPr="00274339">
        <w:t>,</w:t>
      </w:r>
      <w:proofErr w:type="gramEnd"/>
      <w:r w:rsidRPr="00274339">
        <w:t xml:space="preserve"> 1961, I, 503 una “</w:t>
      </w:r>
      <w:r w:rsidRPr="00274339">
        <w:rPr>
          <w:i/>
        </w:rPr>
        <w:t>cessione di lavoro subordinato altrui</w:t>
      </w:r>
      <w:r w:rsidRPr="00274339">
        <w:t xml:space="preserve">”. </w:t>
      </w:r>
    </w:p>
  </w:footnote>
  <w:footnote w:id="17">
    <w:p w:rsidR="00DA3C87" w:rsidRPr="00274339" w:rsidRDefault="00DA3C87" w:rsidP="00274339">
      <w:pPr>
        <w:pStyle w:val="Testonotaapidipagina"/>
        <w:ind w:right="1178"/>
        <w:jc w:val="both"/>
      </w:pPr>
      <w:r w:rsidRPr="00274339">
        <w:rPr>
          <w:rStyle w:val="Rimandonotaapidipagina"/>
        </w:rPr>
        <w:footnoteRef/>
      </w:r>
      <w:r w:rsidRPr="00274339">
        <w:t xml:space="preserve"> Cass. 21.9.2010, </w:t>
      </w:r>
      <w:r w:rsidRPr="00274339">
        <w:rPr>
          <w:bCs/>
        </w:rPr>
        <w:t xml:space="preserve">n. </w:t>
      </w:r>
      <w:smartTag w:uri="urn:schemas-microsoft-com:office:smarttags" w:element="metricconverter">
        <w:smartTagPr>
          <w:attr w:name="ProductID" w:val="19931, in"/>
        </w:smartTagPr>
        <w:r w:rsidRPr="00274339">
          <w:rPr>
            <w:bCs/>
          </w:rPr>
          <w:t>19931, in</w:t>
        </w:r>
      </w:smartTag>
      <w:r w:rsidRPr="00274339">
        <w:rPr>
          <w:bCs/>
        </w:rPr>
        <w:t xml:space="preserve"> </w:t>
      </w:r>
      <w:proofErr w:type="spellStart"/>
      <w:r w:rsidR="003E41FD">
        <w:rPr>
          <w:bCs/>
          <w:i/>
        </w:rPr>
        <w:t>Riv.I</w:t>
      </w:r>
      <w:r w:rsidRPr="00274339">
        <w:rPr>
          <w:bCs/>
          <w:i/>
        </w:rPr>
        <w:t>t.Dir.Lav</w:t>
      </w:r>
      <w:proofErr w:type="spellEnd"/>
      <w:r w:rsidRPr="00274339">
        <w:rPr>
          <w:bCs/>
          <w:i/>
        </w:rPr>
        <w:t>.</w:t>
      </w:r>
      <w:r w:rsidRPr="00274339">
        <w:rPr>
          <w:bCs/>
        </w:rPr>
        <w:t xml:space="preserve">, 2011, II, 717, con nota critica di S. </w:t>
      </w:r>
      <w:proofErr w:type="spellStart"/>
      <w:r w:rsidRPr="00274339">
        <w:rPr>
          <w:bCs/>
        </w:rPr>
        <w:t>Brun</w:t>
      </w:r>
      <w:proofErr w:type="spellEnd"/>
      <w:r w:rsidRPr="00274339">
        <w:rPr>
          <w:bCs/>
        </w:rPr>
        <w:t xml:space="preserve">, </w:t>
      </w:r>
      <w:r w:rsidRPr="00274339">
        <w:rPr>
          <w:bCs/>
          <w:i/>
        </w:rPr>
        <w:t>Sulla (</w:t>
      </w:r>
      <w:proofErr w:type="spellStart"/>
      <w:r w:rsidRPr="00274339">
        <w:rPr>
          <w:bCs/>
          <w:i/>
        </w:rPr>
        <w:t>ir</w:t>
      </w:r>
      <w:proofErr w:type="spellEnd"/>
      <w:r w:rsidRPr="00274339">
        <w:rPr>
          <w:bCs/>
          <w:i/>
        </w:rPr>
        <w:t>)rilevanza del collegamento societario nel giudizio in ordine alla legittimità degli atti di gestione del rapporto di lavoro</w:t>
      </w:r>
      <w:r w:rsidRPr="00274339">
        <w:rPr>
          <w:bCs/>
        </w:rPr>
        <w:t>, che, nell’evidenziare la recente tendenza della g</w:t>
      </w:r>
      <w:r w:rsidR="009472D2">
        <w:rPr>
          <w:bCs/>
        </w:rPr>
        <w:t xml:space="preserve">iurisprudenza di legittimità a </w:t>
      </w:r>
      <w:r w:rsidRPr="00274339">
        <w:rPr>
          <w:bCs/>
        </w:rPr>
        <w:t>“</w:t>
      </w:r>
      <w:r w:rsidR="000F3683" w:rsidRPr="00274339">
        <w:rPr>
          <w:bCs/>
          <w:i/>
        </w:rPr>
        <w:t xml:space="preserve">colpire non la condotta </w:t>
      </w:r>
      <w:proofErr w:type="spellStart"/>
      <w:r w:rsidR="000F3683" w:rsidRPr="009472D2">
        <w:rPr>
          <w:bCs/>
        </w:rPr>
        <w:t>stricto</w:t>
      </w:r>
      <w:proofErr w:type="spellEnd"/>
      <w:r w:rsidR="000F3683" w:rsidRPr="009472D2">
        <w:rPr>
          <w:bCs/>
        </w:rPr>
        <w:t xml:space="preserve"> </w:t>
      </w:r>
      <w:proofErr w:type="spellStart"/>
      <w:r w:rsidRPr="009472D2">
        <w:rPr>
          <w:bCs/>
        </w:rPr>
        <w:t>sensu</w:t>
      </w:r>
      <w:proofErr w:type="spellEnd"/>
      <w:r w:rsidRPr="00274339">
        <w:rPr>
          <w:bCs/>
          <w:i/>
        </w:rPr>
        <w:t xml:space="preserve"> fraudolenta, ossia connotata da intenti elusivi, ma più semplicemente quella che si risolva in un utilizzo improprio o, per così dire, disinvolto del collegamento societario</w:t>
      </w:r>
      <w:r w:rsidRPr="00274339">
        <w:rPr>
          <w:bCs/>
        </w:rPr>
        <w:t xml:space="preserve">”, sottolinea che, in tale pronuncia, </w:t>
      </w:r>
      <w:smartTag w:uri="urn:schemas-microsoft-com:office:smarttags" w:element="PersonName">
        <w:smartTagPr>
          <w:attr w:name="ProductID" w:val="la Suprema Corte"/>
        </w:smartTagPr>
        <w:smartTag w:uri="urn:schemas-microsoft-com:office:smarttags" w:element="PersonName">
          <w:smartTagPr>
            <w:attr w:name="ProductID" w:val="la Suprema"/>
          </w:smartTagPr>
          <w:r w:rsidRPr="00274339">
            <w:rPr>
              <w:bCs/>
            </w:rPr>
            <w:t>la Suprema</w:t>
          </w:r>
        </w:smartTag>
        <w:r w:rsidRPr="00274339">
          <w:rPr>
            <w:bCs/>
          </w:rPr>
          <w:t xml:space="preserve"> Corte</w:t>
        </w:r>
      </w:smartTag>
      <w:r w:rsidRPr="00274339">
        <w:rPr>
          <w:bCs/>
        </w:rPr>
        <w:t xml:space="preserve"> “</w:t>
      </w:r>
      <w:r w:rsidRPr="00274339">
        <w:rPr>
          <w:bCs/>
          <w:i/>
        </w:rPr>
        <w:t>sembra trascurare il fatto che nei gruppi di impresa l’ingerenza decisionale, anche pesante, da parte della capogruppo sulla gestione dei rapporti di lavoro in un certo senso si autogiustifica</w:t>
      </w:r>
      <w:r w:rsidRPr="00274339">
        <w:rPr>
          <w:bCs/>
        </w:rPr>
        <w:t>”.</w:t>
      </w:r>
    </w:p>
  </w:footnote>
  <w:footnote w:id="18">
    <w:p w:rsidR="00DA3C87" w:rsidRPr="00274339" w:rsidRDefault="00DA3C87" w:rsidP="00274339">
      <w:pPr>
        <w:pStyle w:val="Testonotaapidipagina"/>
        <w:ind w:right="1178"/>
        <w:jc w:val="both"/>
      </w:pPr>
      <w:r w:rsidRPr="00274339">
        <w:rPr>
          <w:rStyle w:val="Rimandonotaapidipagina"/>
        </w:rPr>
        <w:footnoteRef/>
      </w:r>
      <w:r w:rsidRPr="00274339">
        <w:t xml:space="preserve"> </w:t>
      </w:r>
      <w:r w:rsidR="00C018DF" w:rsidRPr="00274339">
        <w:t>Il lavoratore dipendeva, infatti, “disciplinarmente” dalla società tedesca controllata, che ne aveva disposto formalmente il licenziamento, mentre dal punto di vista “operativo” dalla controllante italiana, che ne aveva di fatto gestito il rapporto per tutto il periodo della sua durata.</w:t>
      </w:r>
    </w:p>
  </w:footnote>
  <w:footnote w:id="19">
    <w:p w:rsidR="00DA3C87" w:rsidRPr="00274339" w:rsidRDefault="00DA3C87" w:rsidP="00274339">
      <w:pPr>
        <w:pStyle w:val="Testonotaapidipagina"/>
        <w:ind w:right="1178"/>
        <w:jc w:val="both"/>
      </w:pPr>
      <w:r w:rsidRPr="00274339">
        <w:rPr>
          <w:rStyle w:val="Rimandonotaapidipagina"/>
        </w:rPr>
        <w:footnoteRef/>
      </w:r>
      <w:r w:rsidRPr="00274339">
        <w:t xml:space="preserve"> Risale, infatti, al 1980 la proposta di Direttiva nota come “</w:t>
      </w:r>
      <w:proofErr w:type="spellStart"/>
      <w:r w:rsidRPr="00274339">
        <w:rPr>
          <w:i/>
        </w:rPr>
        <w:t>Vredeling</w:t>
      </w:r>
      <w:proofErr w:type="spellEnd"/>
      <w:r w:rsidRPr="00274339">
        <w:t xml:space="preserve">” (in </w:t>
      </w:r>
      <w:r w:rsidRPr="00274339">
        <w:rPr>
          <w:i/>
        </w:rPr>
        <w:t>G.U.C.E.</w:t>
      </w:r>
      <w:r w:rsidRPr="00274339">
        <w:t>, 15.11.1980, C 297/3), concernente “</w:t>
      </w:r>
      <w:r w:rsidRPr="00274339">
        <w:rPr>
          <w:i/>
        </w:rPr>
        <w:t>l’informazione e la consultazione dei lavoratori occupati in imprese a struttura complessa, in particolare a struttura transnazionale</w:t>
      </w:r>
      <w:r w:rsidRPr="00274339">
        <w:t xml:space="preserve">”. Peraltro, come osserva M. D’Antona, voce </w:t>
      </w:r>
      <w:r w:rsidRPr="00274339">
        <w:rPr>
          <w:i/>
        </w:rPr>
        <w:t>Partecipazione dei lavoratori alla gestione delle Imprese</w:t>
      </w:r>
      <w:r w:rsidRPr="00274339">
        <w:t xml:space="preserve">, in </w:t>
      </w:r>
      <w:proofErr w:type="spellStart"/>
      <w:r w:rsidRPr="00274339">
        <w:rPr>
          <w:i/>
        </w:rPr>
        <w:t>Enc.Giur.Treccani</w:t>
      </w:r>
      <w:proofErr w:type="spellEnd"/>
      <w:r w:rsidRPr="00274339">
        <w:t xml:space="preserve">, </w:t>
      </w:r>
      <w:r w:rsidR="007875A5" w:rsidRPr="00274339">
        <w:t>vol. XXII</w:t>
      </w:r>
      <w:r w:rsidR="007875A5">
        <w:t>,</w:t>
      </w:r>
      <w:r w:rsidR="007875A5" w:rsidRPr="00274339">
        <w:t xml:space="preserve"> </w:t>
      </w:r>
      <w:r w:rsidR="007875A5">
        <w:t xml:space="preserve">Roma, </w:t>
      </w:r>
      <w:r w:rsidRPr="00274339">
        <w:t>1990, 12, tale proposta è stata sin da subito criticata da più parti per non aver precisato che “</w:t>
      </w:r>
      <w:r w:rsidRPr="00274339">
        <w:rPr>
          <w:i/>
        </w:rPr>
        <w:t>obbligata ad assicurare ai rappresentanti dei lavoratori informazioni sulla politica del gruppo è solo la società che occupa i dipendenti interessati</w:t>
      </w:r>
      <w:r w:rsidRPr="00274339">
        <w:t>”, il che costituirebbe ulteriore conferma dalla diffidenza, anche in ambito comunitario, all’idea di ravvisare una responsabilità non solo del gruppo in sé, ma pure della controllante per i doveri di informazioni in capo alle controllate.</w:t>
      </w:r>
    </w:p>
  </w:footnote>
  <w:footnote w:id="20">
    <w:p w:rsidR="00DA3C87" w:rsidRPr="00274339" w:rsidRDefault="00DA3C87" w:rsidP="00274339">
      <w:pPr>
        <w:pStyle w:val="Testonotaapidipagina"/>
        <w:ind w:right="1178"/>
        <w:jc w:val="both"/>
      </w:pPr>
      <w:r w:rsidRPr="00274339">
        <w:rPr>
          <w:rStyle w:val="Rimandonotaapidipagina"/>
        </w:rPr>
        <w:footnoteRef/>
      </w:r>
      <w:r w:rsidRPr="00274339">
        <w:t xml:space="preserve"> V. Direttiva del Consiglio 1994/45/CE, in </w:t>
      </w:r>
      <w:r w:rsidRPr="00274339">
        <w:rPr>
          <w:i/>
        </w:rPr>
        <w:t>G.U.C.E.</w:t>
      </w:r>
      <w:r w:rsidRPr="00274339">
        <w:t xml:space="preserve">, 30.9.1994, L. 254, 64, su cui v. L. </w:t>
      </w:r>
      <w:proofErr w:type="spellStart"/>
      <w:r w:rsidRPr="00274339">
        <w:t>Guaglianone</w:t>
      </w:r>
      <w:proofErr w:type="spellEnd"/>
      <w:r w:rsidRPr="00274339">
        <w:t xml:space="preserve">, </w:t>
      </w:r>
      <w:smartTag w:uri="urn:schemas-microsoft-com:office:smarttags" w:element="PersonName">
        <w:smartTagPr>
          <w:attr w:name="ProductID" w:val="la Direttiva"/>
        </w:smartTagPr>
        <w:r w:rsidRPr="00274339">
          <w:rPr>
            <w:i/>
          </w:rPr>
          <w:t>La Direttiva</w:t>
        </w:r>
      </w:smartTag>
      <w:r w:rsidRPr="00274339">
        <w:rPr>
          <w:i/>
        </w:rPr>
        <w:t xml:space="preserve"> 94/45 e i problemi della sua trasposizione nell’ordinamento italiano</w:t>
      </w:r>
      <w:r w:rsidRPr="00274339">
        <w:t xml:space="preserve">, in </w:t>
      </w:r>
      <w:proofErr w:type="spellStart"/>
      <w:r w:rsidRPr="00274339">
        <w:rPr>
          <w:i/>
        </w:rPr>
        <w:t>Dir.Rel.Ind</w:t>
      </w:r>
      <w:proofErr w:type="spellEnd"/>
      <w:r w:rsidRPr="00274339">
        <w:rPr>
          <w:i/>
        </w:rPr>
        <w:t>.</w:t>
      </w:r>
      <w:r w:rsidRPr="00274339">
        <w:t xml:space="preserve">, 1995, 27; B. Veneziani, </w:t>
      </w:r>
      <w:r w:rsidRPr="00274339">
        <w:rPr>
          <w:i/>
        </w:rPr>
        <w:t>I comitati aziendali europei, tra autonomia ed eteronomia</w:t>
      </w:r>
      <w:r w:rsidRPr="00274339">
        <w:t xml:space="preserve">, in </w:t>
      </w:r>
      <w:proofErr w:type="spellStart"/>
      <w:r w:rsidRPr="00274339">
        <w:rPr>
          <w:i/>
        </w:rPr>
        <w:t>Dir.Rel.Ind</w:t>
      </w:r>
      <w:proofErr w:type="spellEnd"/>
      <w:r w:rsidRPr="00274339">
        <w:rPr>
          <w:i/>
        </w:rPr>
        <w:t>.</w:t>
      </w:r>
      <w:r w:rsidRPr="00274339">
        <w:t xml:space="preserve">, 1995, 63; R. Del Punta, </w:t>
      </w:r>
      <w:smartTag w:uri="urn:schemas-microsoft-com:office:smarttags" w:element="PersonName">
        <w:smartTagPr>
          <w:attr w:name="ProductID" w:val="la Direttiva"/>
        </w:smartTagPr>
        <w:r w:rsidRPr="00274339">
          <w:rPr>
            <w:i/>
          </w:rPr>
          <w:t>La Direttiva</w:t>
        </w:r>
      </w:smartTag>
      <w:r w:rsidRPr="00274339">
        <w:rPr>
          <w:i/>
        </w:rPr>
        <w:t xml:space="preserve"> europea sui Comitati Aziendali. Profili analitici e sistematici</w:t>
      </w:r>
      <w:r w:rsidRPr="00274339">
        <w:t xml:space="preserve">, in </w:t>
      </w:r>
      <w:proofErr w:type="spellStart"/>
      <w:r w:rsidRPr="00274339">
        <w:rPr>
          <w:i/>
        </w:rPr>
        <w:t>Dir.Rel.Ind</w:t>
      </w:r>
      <w:proofErr w:type="spellEnd"/>
      <w:r w:rsidRPr="00274339">
        <w:rPr>
          <w:i/>
        </w:rPr>
        <w:t>.</w:t>
      </w:r>
      <w:r w:rsidRPr="00274339">
        <w:t xml:space="preserve">, 1995, 71; S. </w:t>
      </w:r>
      <w:proofErr w:type="spellStart"/>
      <w:r w:rsidRPr="00274339">
        <w:t>Ciucciovino</w:t>
      </w:r>
      <w:proofErr w:type="spellEnd"/>
      <w:r w:rsidRPr="00274339">
        <w:t xml:space="preserve">, </w:t>
      </w:r>
      <w:r w:rsidRPr="00274339">
        <w:rPr>
          <w:i/>
        </w:rPr>
        <w:t>I comitati aziendali europei: il recepimento della direttiva comunitaria n. 45 del 1994</w:t>
      </w:r>
      <w:r w:rsidRPr="00274339">
        <w:t xml:space="preserve">, in </w:t>
      </w:r>
      <w:r w:rsidRPr="00274339">
        <w:rPr>
          <w:i/>
        </w:rPr>
        <w:t>ADL</w:t>
      </w:r>
      <w:r w:rsidRPr="00274339">
        <w:t>, 1</w:t>
      </w:r>
      <w:r w:rsidR="00A13BBD">
        <w:t>996, 1, 77, nonché il volume</w:t>
      </w:r>
      <w:r w:rsidRPr="00274339">
        <w:t xml:space="preserve"> curat</w:t>
      </w:r>
      <w:r w:rsidR="00A13BBD">
        <w:t>o</w:t>
      </w:r>
      <w:r w:rsidRPr="00274339">
        <w:t xml:space="preserve"> da L. Zoppoli, </w:t>
      </w:r>
      <w:r w:rsidRPr="00274339">
        <w:rPr>
          <w:i/>
        </w:rPr>
        <w:t>L’attuazione della Direttiva sui comitati aziendali europei: un’analisi comparata</w:t>
      </w:r>
      <w:r w:rsidRPr="00274339">
        <w:t xml:space="preserve">, ESI, Napoli, 1998. Per quanto attiene ai gruppi, </w:t>
      </w:r>
      <w:smartTag w:uri="urn:schemas-microsoft-com:office:smarttags" w:element="PersonName">
        <w:smartTagPr>
          <w:attr w:name="ProductID" w:val="la Direttiva"/>
        </w:smartTagPr>
        <w:r w:rsidRPr="00274339">
          <w:t>la Direttiva</w:t>
        </w:r>
      </w:smartTag>
      <w:r w:rsidRPr="00274339">
        <w:t>, peraltro, contiene all’ar</w:t>
      </w:r>
      <w:r w:rsidR="00193BE6">
        <w:t xml:space="preserve">t. 2, lett. c) </w:t>
      </w:r>
      <w:r w:rsidRPr="00274339">
        <w:t>una definizione, sia pure “</w:t>
      </w:r>
      <w:r w:rsidRPr="00274339">
        <w:rPr>
          <w:i/>
        </w:rPr>
        <w:t>esclusivamente ai fini della Direttiva</w:t>
      </w:r>
      <w:r w:rsidRPr="00274339">
        <w:t>” (v. anche 12° considerando), di “</w:t>
      </w:r>
      <w:r w:rsidRPr="00274339">
        <w:rPr>
          <w:i/>
        </w:rPr>
        <w:t>gruppo di imprese di dimensioni comunitarie</w:t>
      </w:r>
      <w:r w:rsidRPr="00274339">
        <w:t>”, caratterizzato dal fatto di impiegare almeno 1000 lavoratori negli stati membri, mediante almeno due imprese stabilite in due stati membri diversi, aventi alle dipendenze ciascuna non meno di 150 lavoratori; peraltro, è interessante notare come il gruppo si caratterizzi in senso prettamente verticale, per la presenza di</w:t>
      </w:r>
      <w:r w:rsidR="00343516">
        <w:t xml:space="preserve"> un’</w:t>
      </w:r>
      <w:r w:rsidRPr="00274339">
        <w:t>“</w:t>
      </w:r>
      <w:r w:rsidRPr="00274339">
        <w:rPr>
          <w:i/>
        </w:rPr>
        <w:t>impresa controllante</w:t>
      </w:r>
      <w:r w:rsidRPr="00274339">
        <w:t>”, definita, sempre ai soli fini della Direttiva, come “</w:t>
      </w:r>
      <w:r w:rsidRPr="00274339">
        <w:rPr>
          <w:i/>
        </w:rPr>
        <w:t>un’impresa che può esercitare un’influenza dominante su un’altra impresa (controllata), in conseguenza, a titolo esemplificativo, della proprietà, della partecipazione finanziaria, o delle norme che la disciplinano</w:t>
      </w:r>
      <w:r w:rsidRPr="00274339">
        <w:t>”. Da ultimo,</w:t>
      </w:r>
      <w:r w:rsidR="00343516">
        <w:t xml:space="preserve"> </w:t>
      </w:r>
      <w:r w:rsidRPr="00274339">
        <w:t xml:space="preserve">si sottolinea che le richiamate definizioni della Direttiva sono state riproposte fedelmente in sede di trasposizione della Direttiva nell’ordinamento italiano, avvenuta, dapprima mediante l’accordo interconfederale 27.11.1996 (su cui v. M. Biagi, </w:t>
      </w:r>
      <w:r w:rsidRPr="00274339">
        <w:rPr>
          <w:i/>
        </w:rPr>
        <w:t>L’accordo interconfederale del 27 novembre 1996 per il recepimento della Direttiva 94/45 sui CAE</w:t>
      </w:r>
      <w:r w:rsidRPr="00274339">
        <w:t xml:space="preserve">, in </w:t>
      </w:r>
      <w:proofErr w:type="spellStart"/>
      <w:r w:rsidRPr="00274339">
        <w:rPr>
          <w:i/>
        </w:rPr>
        <w:t>Dir.Rel.Ind</w:t>
      </w:r>
      <w:proofErr w:type="spellEnd"/>
      <w:r w:rsidRPr="00274339">
        <w:rPr>
          <w:i/>
        </w:rPr>
        <w:t>.</w:t>
      </w:r>
      <w:r w:rsidRPr="00274339">
        <w:t xml:space="preserve">, 1997, 1, 145) ed in seguito con il </w:t>
      </w:r>
      <w:proofErr w:type="spellStart"/>
      <w:r w:rsidRPr="00274339">
        <w:t>D.Lgs.</w:t>
      </w:r>
      <w:proofErr w:type="spellEnd"/>
      <w:r w:rsidRPr="00274339">
        <w:t xml:space="preserve"> 2.4.2002, n. 74 (su cui v. G. </w:t>
      </w:r>
      <w:proofErr w:type="spellStart"/>
      <w:r w:rsidRPr="00274339">
        <w:t>Dondi</w:t>
      </w:r>
      <w:proofErr w:type="spellEnd"/>
      <w:r w:rsidRPr="00274339">
        <w:t xml:space="preserve">, </w:t>
      </w:r>
      <w:r w:rsidRPr="00274339">
        <w:rPr>
          <w:i/>
        </w:rPr>
        <w:t xml:space="preserve">Comitati aziendali europei: il </w:t>
      </w:r>
      <w:proofErr w:type="spellStart"/>
      <w:r w:rsidRPr="00274339">
        <w:rPr>
          <w:i/>
        </w:rPr>
        <w:t>D.Lgs.</w:t>
      </w:r>
      <w:proofErr w:type="spellEnd"/>
      <w:r w:rsidRPr="00274339">
        <w:rPr>
          <w:i/>
        </w:rPr>
        <w:t xml:space="preserve"> n. 74 del 2002 per l’attuazione della Direttiva n. 94/45 CE</w:t>
      </w:r>
      <w:r w:rsidRPr="00274339">
        <w:t xml:space="preserve">, in </w:t>
      </w:r>
      <w:r w:rsidRPr="00274339">
        <w:rPr>
          <w:i/>
        </w:rPr>
        <w:t>ADL</w:t>
      </w:r>
      <w:r w:rsidR="00343516">
        <w:t>, 2003, 103</w:t>
      </w:r>
      <w:r w:rsidRPr="00274339">
        <w:t>), agli artt. 2 e 3 di entrambi i testi.</w:t>
      </w:r>
    </w:p>
  </w:footnote>
  <w:footnote w:id="21">
    <w:p w:rsidR="00DA3C87" w:rsidRPr="00274339" w:rsidRDefault="00DA3C87" w:rsidP="00274339">
      <w:pPr>
        <w:pStyle w:val="Testonotaapidipagina"/>
        <w:ind w:right="1178"/>
        <w:jc w:val="both"/>
      </w:pPr>
      <w:r w:rsidRPr="00274339">
        <w:rPr>
          <w:rStyle w:val="Rimandonotaapidipagina"/>
        </w:rPr>
        <w:footnoteRef/>
      </w:r>
      <w:r w:rsidRPr="00274339">
        <w:t xml:space="preserve"> Si tratta di C.d.G. 29.3.2001, C-62/1999, “</w:t>
      </w:r>
      <w:proofErr w:type="spellStart"/>
      <w:r w:rsidRPr="00274339">
        <w:rPr>
          <w:i/>
        </w:rPr>
        <w:t>Bofrost</w:t>
      </w:r>
      <w:proofErr w:type="spellEnd"/>
      <w:r w:rsidRPr="00274339">
        <w:t xml:space="preserve">”, in </w:t>
      </w:r>
      <w:proofErr w:type="spellStart"/>
      <w:r w:rsidRPr="00AC7375">
        <w:rPr>
          <w:i/>
        </w:rPr>
        <w:t>Dir.Lav</w:t>
      </w:r>
      <w:proofErr w:type="spellEnd"/>
      <w:r w:rsidRPr="00AC7375">
        <w:rPr>
          <w:i/>
        </w:rPr>
        <w:t>.</w:t>
      </w:r>
      <w:r w:rsidRPr="00274339">
        <w:t xml:space="preserve">, 2001, II, 125, con nota di F. Guarriello, </w:t>
      </w:r>
      <w:r w:rsidRPr="00274339">
        <w:rPr>
          <w:i/>
        </w:rPr>
        <w:t xml:space="preserve">La prima volta della Direttiva sui CAE (94/45) davanti alla Corte di Giustizia: </w:t>
      </w:r>
      <w:proofErr w:type="spellStart"/>
      <w:r w:rsidRPr="00274339">
        <w:rPr>
          <w:i/>
        </w:rPr>
        <w:t>Bofrost</w:t>
      </w:r>
      <w:proofErr w:type="spellEnd"/>
      <w:r w:rsidRPr="00274339">
        <w:rPr>
          <w:i/>
        </w:rPr>
        <w:t xml:space="preserve"> o della latitudine dei diritti di informazione riconosciuti alle rappresentanze dei lavoratori ai fini della costituzione del Comitato Aziendale Europeo</w:t>
      </w:r>
      <w:r w:rsidRPr="00274339">
        <w:t>; C.d.G. 13.1.2004, C-444/2000, “</w:t>
      </w:r>
      <w:proofErr w:type="spellStart"/>
      <w:r w:rsidRPr="00274339">
        <w:rPr>
          <w:i/>
        </w:rPr>
        <w:t>Kuhne</w:t>
      </w:r>
      <w:proofErr w:type="spellEnd"/>
      <w:r w:rsidRPr="00274339">
        <w:rPr>
          <w:i/>
        </w:rPr>
        <w:t xml:space="preserve"> &amp; </w:t>
      </w:r>
      <w:proofErr w:type="spellStart"/>
      <w:r w:rsidRPr="00274339">
        <w:rPr>
          <w:i/>
        </w:rPr>
        <w:t>Nagel</w:t>
      </w:r>
      <w:proofErr w:type="spellEnd"/>
      <w:r w:rsidRPr="00274339">
        <w:t xml:space="preserve">”, in </w:t>
      </w:r>
      <w:r w:rsidRPr="00274339">
        <w:rPr>
          <w:i/>
        </w:rPr>
        <w:t>RGL</w:t>
      </w:r>
      <w:r w:rsidRPr="00274339">
        <w:t xml:space="preserve">, 2004, 2, 827, con nota di G. </w:t>
      </w:r>
      <w:proofErr w:type="spellStart"/>
      <w:r w:rsidRPr="00274339">
        <w:t>Verrecchia</w:t>
      </w:r>
      <w:proofErr w:type="spellEnd"/>
      <w:r w:rsidRPr="00274339">
        <w:t xml:space="preserve">, </w:t>
      </w:r>
      <w:r w:rsidRPr="00274339">
        <w:rPr>
          <w:i/>
        </w:rPr>
        <w:t>Il ruolo della direzione centrale presunta e delle imprese del gruppo nella procedura di costituzione di un comitato aziendale europeo</w:t>
      </w:r>
      <w:r w:rsidRPr="00274339">
        <w:t>; C.d.G. 15.7.2004, C-349/2001, “</w:t>
      </w:r>
      <w:proofErr w:type="spellStart"/>
      <w:r w:rsidRPr="00274339">
        <w:rPr>
          <w:i/>
        </w:rPr>
        <w:t>Anker</w:t>
      </w:r>
      <w:proofErr w:type="spellEnd"/>
      <w:r w:rsidRPr="00274339">
        <w:t xml:space="preserve">”, in </w:t>
      </w:r>
      <w:r w:rsidRPr="00274339">
        <w:rPr>
          <w:i/>
        </w:rPr>
        <w:t xml:space="preserve">Foro </w:t>
      </w:r>
      <w:proofErr w:type="spellStart"/>
      <w:r w:rsidRPr="00274339">
        <w:rPr>
          <w:i/>
        </w:rPr>
        <w:t>it</w:t>
      </w:r>
      <w:proofErr w:type="spellEnd"/>
      <w:r w:rsidRPr="00274339">
        <w:rPr>
          <w:i/>
        </w:rPr>
        <w:t>.</w:t>
      </w:r>
      <w:r w:rsidRPr="00274339">
        <w:t>, 2001, IV, 307.</w:t>
      </w:r>
    </w:p>
  </w:footnote>
  <w:footnote w:id="22">
    <w:p w:rsidR="00DA3C87" w:rsidRPr="00274339" w:rsidRDefault="00DA3C87" w:rsidP="00274339">
      <w:pPr>
        <w:ind w:right="1178"/>
        <w:jc w:val="both"/>
        <w:rPr>
          <w:sz w:val="20"/>
          <w:szCs w:val="20"/>
        </w:rPr>
      </w:pPr>
      <w:r w:rsidRPr="00274339">
        <w:rPr>
          <w:rStyle w:val="Rimandonotaapidipagina"/>
          <w:sz w:val="20"/>
          <w:szCs w:val="20"/>
        </w:rPr>
        <w:footnoteRef/>
      </w:r>
      <w:r w:rsidRPr="00274339">
        <w:rPr>
          <w:sz w:val="20"/>
          <w:szCs w:val="20"/>
        </w:rPr>
        <w:t xml:space="preserve"> V., in particolare, il 14° considerando della Direttiva 2009/38/CE del Parlamento Europeo e del Consiglio, in </w:t>
      </w:r>
      <w:r w:rsidRPr="00496122">
        <w:rPr>
          <w:i/>
          <w:sz w:val="20"/>
          <w:szCs w:val="20"/>
        </w:rPr>
        <w:t>G.U.C.E</w:t>
      </w:r>
      <w:r w:rsidR="0084613F" w:rsidRPr="00496122">
        <w:rPr>
          <w:i/>
          <w:sz w:val="20"/>
          <w:szCs w:val="20"/>
        </w:rPr>
        <w:t>.</w:t>
      </w:r>
      <w:r w:rsidR="0084613F" w:rsidRPr="00274339">
        <w:rPr>
          <w:sz w:val="20"/>
          <w:szCs w:val="20"/>
        </w:rPr>
        <w:t xml:space="preserve"> 16.5.2009, L. 122/28, </w:t>
      </w:r>
      <w:r w:rsidRPr="00274339">
        <w:rPr>
          <w:sz w:val="20"/>
          <w:szCs w:val="20"/>
        </w:rPr>
        <w:t xml:space="preserve">su cui v. C. </w:t>
      </w:r>
      <w:proofErr w:type="spellStart"/>
      <w:r w:rsidRPr="00274339">
        <w:rPr>
          <w:sz w:val="20"/>
          <w:szCs w:val="20"/>
        </w:rPr>
        <w:t>Engels</w:t>
      </w:r>
      <w:proofErr w:type="spellEnd"/>
      <w:r w:rsidRPr="00274339">
        <w:rPr>
          <w:sz w:val="20"/>
          <w:szCs w:val="20"/>
        </w:rPr>
        <w:t xml:space="preserve">, </w:t>
      </w:r>
      <w:proofErr w:type="spellStart"/>
      <w:r w:rsidRPr="00274339">
        <w:rPr>
          <w:i/>
          <w:sz w:val="20"/>
          <w:szCs w:val="20"/>
        </w:rPr>
        <w:t>Transnational</w:t>
      </w:r>
      <w:proofErr w:type="spellEnd"/>
      <w:r w:rsidRPr="00274339">
        <w:rPr>
          <w:i/>
          <w:sz w:val="20"/>
          <w:szCs w:val="20"/>
        </w:rPr>
        <w:t xml:space="preserve"> Information and </w:t>
      </w:r>
      <w:proofErr w:type="spellStart"/>
      <w:r w:rsidRPr="00274339">
        <w:rPr>
          <w:i/>
          <w:sz w:val="20"/>
          <w:szCs w:val="20"/>
        </w:rPr>
        <w:t>Consultation</w:t>
      </w:r>
      <w:proofErr w:type="spellEnd"/>
      <w:r w:rsidRPr="00274339">
        <w:rPr>
          <w:i/>
          <w:sz w:val="20"/>
          <w:szCs w:val="20"/>
        </w:rPr>
        <w:t xml:space="preserve">: The </w:t>
      </w:r>
      <w:proofErr w:type="spellStart"/>
      <w:r w:rsidRPr="00274339">
        <w:rPr>
          <w:i/>
          <w:sz w:val="20"/>
          <w:szCs w:val="20"/>
        </w:rPr>
        <w:t>Recast</w:t>
      </w:r>
      <w:proofErr w:type="spellEnd"/>
      <w:r w:rsidRPr="00274339">
        <w:rPr>
          <w:i/>
          <w:sz w:val="20"/>
          <w:szCs w:val="20"/>
        </w:rPr>
        <w:t xml:space="preserve"> </w:t>
      </w:r>
      <w:proofErr w:type="spellStart"/>
      <w:r w:rsidRPr="00274339">
        <w:rPr>
          <w:i/>
          <w:sz w:val="20"/>
          <w:szCs w:val="20"/>
        </w:rPr>
        <w:t>European</w:t>
      </w:r>
      <w:proofErr w:type="spellEnd"/>
      <w:r w:rsidRPr="00274339">
        <w:rPr>
          <w:i/>
          <w:sz w:val="20"/>
          <w:szCs w:val="20"/>
        </w:rPr>
        <w:t xml:space="preserve"> Works </w:t>
      </w:r>
      <w:proofErr w:type="spellStart"/>
      <w:r w:rsidRPr="00274339">
        <w:rPr>
          <w:i/>
          <w:sz w:val="20"/>
          <w:szCs w:val="20"/>
        </w:rPr>
        <w:t>Council</w:t>
      </w:r>
      <w:proofErr w:type="spellEnd"/>
      <w:r w:rsidRPr="00274339">
        <w:rPr>
          <w:i/>
          <w:sz w:val="20"/>
          <w:szCs w:val="20"/>
        </w:rPr>
        <w:t xml:space="preserve"> Directive</w:t>
      </w:r>
      <w:r w:rsidRPr="00274339">
        <w:rPr>
          <w:sz w:val="20"/>
          <w:szCs w:val="20"/>
        </w:rPr>
        <w:t xml:space="preserve">, in R. </w:t>
      </w:r>
      <w:proofErr w:type="spellStart"/>
      <w:r w:rsidRPr="00274339">
        <w:rPr>
          <w:sz w:val="20"/>
          <w:szCs w:val="20"/>
        </w:rPr>
        <w:t>Blanpain</w:t>
      </w:r>
      <w:proofErr w:type="spellEnd"/>
      <w:r w:rsidRPr="00274339">
        <w:rPr>
          <w:sz w:val="20"/>
          <w:szCs w:val="20"/>
        </w:rPr>
        <w:t xml:space="preserve"> (</w:t>
      </w:r>
      <w:proofErr w:type="spellStart"/>
      <w:r w:rsidRPr="00274339">
        <w:rPr>
          <w:sz w:val="20"/>
          <w:szCs w:val="20"/>
        </w:rPr>
        <w:t>edited</w:t>
      </w:r>
      <w:proofErr w:type="spellEnd"/>
      <w:r w:rsidRPr="00274339">
        <w:rPr>
          <w:sz w:val="20"/>
          <w:szCs w:val="20"/>
        </w:rPr>
        <w:t xml:space="preserve"> by), </w:t>
      </w:r>
      <w:r w:rsidRPr="00274339">
        <w:rPr>
          <w:i/>
          <w:sz w:val="20"/>
          <w:szCs w:val="20"/>
        </w:rPr>
        <w:t xml:space="preserve">Comparative </w:t>
      </w:r>
      <w:proofErr w:type="spellStart"/>
      <w:r w:rsidRPr="00274339">
        <w:rPr>
          <w:i/>
          <w:sz w:val="20"/>
          <w:szCs w:val="20"/>
        </w:rPr>
        <w:t>Labour</w:t>
      </w:r>
      <w:proofErr w:type="spellEnd"/>
      <w:r w:rsidRPr="00274339">
        <w:rPr>
          <w:i/>
          <w:sz w:val="20"/>
          <w:szCs w:val="20"/>
        </w:rPr>
        <w:t xml:space="preserve"> Law and Industrial Relations in </w:t>
      </w:r>
      <w:proofErr w:type="spellStart"/>
      <w:r w:rsidRPr="00274339">
        <w:rPr>
          <w:i/>
          <w:sz w:val="20"/>
          <w:szCs w:val="20"/>
        </w:rPr>
        <w:t>Industrialized</w:t>
      </w:r>
      <w:proofErr w:type="spellEnd"/>
      <w:r w:rsidRPr="00274339">
        <w:rPr>
          <w:i/>
          <w:sz w:val="20"/>
          <w:szCs w:val="20"/>
        </w:rPr>
        <w:t xml:space="preserve"> Market </w:t>
      </w:r>
      <w:proofErr w:type="spellStart"/>
      <w:r w:rsidRPr="00274339">
        <w:rPr>
          <w:i/>
          <w:sz w:val="20"/>
          <w:szCs w:val="20"/>
        </w:rPr>
        <w:t>Economies</w:t>
      </w:r>
      <w:proofErr w:type="spellEnd"/>
      <w:r w:rsidRPr="00274339">
        <w:rPr>
          <w:sz w:val="20"/>
          <w:szCs w:val="20"/>
        </w:rPr>
        <w:t xml:space="preserve">, </w:t>
      </w:r>
      <w:proofErr w:type="spellStart"/>
      <w:r w:rsidRPr="00274339">
        <w:rPr>
          <w:sz w:val="20"/>
          <w:szCs w:val="20"/>
        </w:rPr>
        <w:t>Kluwer</w:t>
      </w:r>
      <w:proofErr w:type="spellEnd"/>
      <w:r w:rsidRPr="00274339">
        <w:rPr>
          <w:sz w:val="20"/>
          <w:szCs w:val="20"/>
        </w:rPr>
        <w:t xml:space="preserve"> Law International, Alphen </w:t>
      </w:r>
      <w:proofErr w:type="spellStart"/>
      <w:r w:rsidRPr="00274339">
        <w:rPr>
          <w:sz w:val="20"/>
          <w:szCs w:val="20"/>
        </w:rPr>
        <w:t>aan</w:t>
      </w:r>
      <w:proofErr w:type="spellEnd"/>
      <w:r w:rsidRPr="00274339">
        <w:rPr>
          <w:sz w:val="20"/>
          <w:szCs w:val="20"/>
        </w:rPr>
        <w:t xml:space="preserve"> den </w:t>
      </w:r>
      <w:proofErr w:type="spellStart"/>
      <w:r w:rsidRPr="00274339">
        <w:rPr>
          <w:sz w:val="20"/>
          <w:szCs w:val="20"/>
        </w:rPr>
        <w:t>Rijin</w:t>
      </w:r>
      <w:proofErr w:type="spellEnd"/>
      <w:r w:rsidRPr="00274339">
        <w:rPr>
          <w:sz w:val="20"/>
          <w:szCs w:val="20"/>
        </w:rPr>
        <w:t xml:space="preserve">, 2010, 577 ss.; R. </w:t>
      </w:r>
      <w:proofErr w:type="spellStart"/>
      <w:r w:rsidRPr="00274339">
        <w:rPr>
          <w:sz w:val="20"/>
          <w:szCs w:val="20"/>
        </w:rPr>
        <w:t>Jagodzinski</w:t>
      </w:r>
      <w:proofErr w:type="spellEnd"/>
      <w:r w:rsidRPr="00274339">
        <w:rPr>
          <w:sz w:val="20"/>
          <w:szCs w:val="20"/>
        </w:rPr>
        <w:t xml:space="preserve">, </w:t>
      </w:r>
      <w:proofErr w:type="spellStart"/>
      <w:r w:rsidRPr="00274339">
        <w:rPr>
          <w:i/>
          <w:sz w:val="20"/>
          <w:szCs w:val="20"/>
        </w:rPr>
        <w:t>Recast</w:t>
      </w:r>
      <w:proofErr w:type="spellEnd"/>
      <w:r w:rsidRPr="00274339">
        <w:rPr>
          <w:i/>
          <w:sz w:val="20"/>
          <w:szCs w:val="20"/>
        </w:rPr>
        <w:t xml:space="preserve"> </w:t>
      </w:r>
      <w:proofErr w:type="spellStart"/>
      <w:r w:rsidRPr="00274339">
        <w:rPr>
          <w:i/>
          <w:sz w:val="20"/>
          <w:szCs w:val="20"/>
        </w:rPr>
        <w:t>directive</w:t>
      </w:r>
      <w:proofErr w:type="spellEnd"/>
      <w:r w:rsidRPr="00274339">
        <w:rPr>
          <w:i/>
          <w:sz w:val="20"/>
          <w:szCs w:val="20"/>
        </w:rPr>
        <w:t xml:space="preserve"> on </w:t>
      </w:r>
      <w:proofErr w:type="spellStart"/>
      <w:r w:rsidRPr="00274339">
        <w:rPr>
          <w:i/>
          <w:sz w:val="20"/>
          <w:szCs w:val="20"/>
        </w:rPr>
        <w:t>European</w:t>
      </w:r>
      <w:proofErr w:type="spellEnd"/>
      <w:r w:rsidRPr="00274339">
        <w:rPr>
          <w:i/>
          <w:sz w:val="20"/>
          <w:szCs w:val="20"/>
        </w:rPr>
        <w:t xml:space="preserve"> </w:t>
      </w:r>
      <w:proofErr w:type="spellStart"/>
      <w:r w:rsidRPr="00274339">
        <w:rPr>
          <w:i/>
          <w:sz w:val="20"/>
          <w:szCs w:val="20"/>
        </w:rPr>
        <w:t>works</w:t>
      </w:r>
      <w:proofErr w:type="spellEnd"/>
      <w:r w:rsidRPr="00274339">
        <w:rPr>
          <w:i/>
          <w:sz w:val="20"/>
          <w:szCs w:val="20"/>
        </w:rPr>
        <w:t xml:space="preserve"> </w:t>
      </w:r>
      <w:proofErr w:type="spellStart"/>
      <w:r w:rsidRPr="00274339">
        <w:rPr>
          <w:i/>
          <w:sz w:val="20"/>
          <w:szCs w:val="20"/>
        </w:rPr>
        <w:t>councils</w:t>
      </w:r>
      <w:proofErr w:type="spellEnd"/>
      <w:r w:rsidRPr="00274339">
        <w:rPr>
          <w:i/>
          <w:sz w:val="20"/>
          <w:szCs w:val="20"/>
        </w:rPr>
        <w:t xml:space="preserve">: </w:t>
      </w:r>
      <w:proofErr w:type="spellStart"/>
      <w:r w:rsidRPr="00274339">
        <w:rPr>
          <w:i/>
          <w:sz w:val="20"/>
          <w:szCs w:val="20"/>
        </w:rPr>
        <w:t>cosmetic</w:t>
      </w:r>
      <w:proofErr w:type="spellEnd"/>
      <w:r w:rsidRPr="00274339">
        <w:rPr>
          <w:i/>
          <w:sz w:val="20"/>
          <w:szCs w:val="20"/>
        </w:rPr>
        <w:t xml:space="preserve"> </w:t>
      </w:r>
      <w:proofErr w:type="spellStart"/>
      <w:r w:rsidRPr="00274339">
        <w:rPr>
          <w:i/>
          <w:sz w:val="20"/>
          <w:szCs w:val="20"/>
        </w:rPr>
        <w:t>surgery</w:t>
      </w:r>
      <w:proofErr w:type="spellEnd"/>
      <w:r w:rsidRPr="00274339">
        <w:rPr>
          <w:i/>
          <w:sz w:val="20"/>
          <w:szCs w:val="20"/>
        </w:rPr>
        <w:t xml:space="preserve"> or </w:t>
      </w:r>
      <w:proofErr w:type="spellStart"/>
      <w:r w:rsidRPr="00274339">
        <w:rPr>
          <w:i/>
          <w:sz w:val="20"/>
          <w:szCs w:val="20"/>
        </w:rPr>
        <w:t>substancial</w:t>
      </w:r>
      <w:proofErr w:type="spellEnd"/>
      <w:r w:rsidRPr="00274339">
        <w:rPr>
          <w:i/>
          <w:sz w:val="20"/>
          <w:szCs w:val="20"/>
        </w:rPr>
        <w:t xml:space="preserve"> progress?</w:t>
      </w:r>
      <w:r w:rsidRPr="00274339">
        <w:rPr>
          <w:sz w:val="20"/>
          <w:szCs w:val="20"/>
        </w:rPr>
        <w:t xml:space="preserve">, in </w:t>
      </w:r>
      <w:r w:rsidRPr="00274339">
        <w:rPr>
          <w:i/>
          <w:sz w:val="20"/>
          <w:szCs w:val="20"/>
        </w:rPr>
        <w:t>IRJ</w:t>
      </w:r>
      <w:r w:rsidRPr="00274339">
        <w:rPr>
          <w:sz w:val="20"/>
          <w:szCs w:val="20"/>
        </w:rPr>
        <w:t xml:space="preserve">, 2009, 6, 534 ss.; A. Alaimo, </w:t>
      </w:r>
      <w:r w:rsidRPr="00274339">
        <w:rPr>
          <w:i/>
          <w:sz w:val="20"/>
          <w:szCs w:val="20"/>
        </w:rPr>
        <w:t>La nuova direttiva sui Comitati Aziendali Europei: un’occasione per ripensare la partecipazione dei lavoratori in Italia?</w:t>
      </w:r>
      <w:r w:rsidRPr="00274339">
        <w:rPr>
          <w:sz w:val="20"/>
          <w:szCs w:val="20"/>
        </w:rPr>
        <w:t xml:space="preserve">, in </w:t>
      </w:r>
      <w:proofErr w:type="spellStart"/>
      <w:r w:rsidRPr="00274339">
        <w:rPr>
          <w:i/>
          <w:sz w:val="20"/>
          <w:szCs w:val="20"/>
        </w:rPr>
        <w:t>Dir.R</w:t>
      </w:r>
      <w:r w:rsidR="004705AE">
        <w:rPr>
          <w:i/>
          <w:sz w:val="20"/>
          <w:szCs w:val="20"/>
        </w:rPr>
        <w:t>e</w:t>
      </w:r>
      <w:r w:rsidRPr="00274339">
        <w:rPr>
          <w:i/>
          <w:sz w:val="20"/>
          <w:szCs w:val="20"/>
        </w:rPr>
        <w:t>l.Ind</w:t>
      </w:r>
      <w:proofErr w:type="spellEnd"/>
      <w:r w:rsidRPr="00274339">
        <w:rPr>
          <w:i/>
          <w:sz w:val="20"/>
          <w:szCs w:val="20"/>
        </w:rPr>
        <w:t>.</w:t>
      </w:r>
      <w:r w:rsidRPr="00274339">
        <w:rPr>
          <w:sz w:val="20"/>
          <w:szCs w:val="20"/>
        </w:rPr>
        <w:t xml:space="preserve">, 2009, 4, 1002 ss.; F. Alias, </w:t>
      </w:r>
      <w:r w:rsidRPr="00274339">
        <w:rPr>
          <w:i/>
          <w:sz w:val="20"/>
          <w:szCs w:val="20"/>
        </w:rPr>
        <w:t>I quattordici anni di applicazione della direttiva CAE e la sua rifusione</w:t>
      </w:r>
      <w:r w:rsidRPr="00274339">
        <w:rPr>
          <w:sz w:val="20"/>
          <w:szCs w:val="20"/>
        </w:rPr>
        <w:t xml:space="preserve">, in </w:t>
      </w:r>
      <w:proofErr w:type="spellStart"/>
      <w:r w:rsidRPr="00274339">
        <w:rPr>
          <w:i/>
          <w:sz w:val="20"/>
          <w:szCs w:val="20"/>
        </w:rPr>
        <w:t>Boll</w:t>
      </w:r>
      <w:proofErr w:type="spellEnd"/>
      <w:r w:rsidRPr="00274339">
        <w:rPr>
          <w:i/>
          <w:sz w:val="20"/>
          <w:szCs w:val="20"/>
        </w:rPr>
        <w:t xml:space="preserve">. Spec. </w:t>
      </w:r>
      <w:proofErr w:type="spellStart"/>
      <w:r w:rsidRPr="00274339">
        <w:rPr>
          <w:i/>
          <w:sz w:val="20"/>
          <w:szCs w:val="20"/>
        </w:rPr>
        <w:t>Adapt</w:t>
      </w:r>
      <w:proofErr w:type="spellEnd"/>
      <w:r w:rsidRPr="00274339">
        <w:rPr>
          <w:sz w:val="20"/>
          <w:szCs w:val="20"/>
        </w:rPr>
        <w:t xml:space="preserve">, 2009, 1 ss.; </w:t>
      </w:r>
      <w:proofErr w:type="spellStart"/>
      <w:proofErr w:type="gramStart"/>
      <w:r w:rsidRPr="00274339">
        <w:rPr>
          <w:sz w:val="20"/>
          <w:szCs w:val="20"/>
        </w:rPr>
        <w:t>Ead</w:t>
      </w:r>
      <w:proofErr w:type="spellEnd"/>
      <w:r w:rsidRPr="00274339">
        <w:rPr>
          <w:sz w:val="20"/>
          <w:szCs w:val="20"/>
        </w:rPr>
        <w:t>.,</w:t>
      </w:r>
      <w:proofErr w:type="gramEnd"/>
      <w:r w:rsidRPr="00274339">
        <w:rPr>
          <w:sz w:val="20"/>
          <w:szCs w:val="20"/>
        </w:rPr>
        <w:t xml:space="preserve"> </w:t>
      </w:r>
      <w:r w:rsidRPr="00274339">
        <w:rPr>
          <w:i/>
          <w:sz w:val="20"/>
          <w:szCs w:val="20"/>
        </w:rPr>
        <w:t>Il varo imminente della nuova Direttiva CAE</w:t>
      </w:r>
      <w:r w:rsidRPr="00274339">
        <w:rPr>
          <w:sz w:val="20"/>
          <w:szCs w:val="20"/>
        </w:rPr>
        <w:t xml:space="preserve">, in </w:t>
      </w:r>
      <w:r w:rsidRPr="00274339">
        <w:rPr>
          <w:i/>
          <w:sz w:val="20"/>
          <w:szCs w:val="20"/>
        </w:rPr>
        <w:t xml:space="preserve">WP </w:t>
      </w:r>
      <w:proofErr w:type="spellStart"/>
      <w:r w:rsidRPr="00274339">
        <w:rPr>
          <w:i/>
          <w:sz w:val="20"/>
          <w:szCs w:val="20"/>
        </w:rPr>
        <w:t>Adapt</w:t>
      </w:r>
      <w:proofErr w:type="spellEnd"/>
      <w:r w:rsidRPr="00274339">
        <w:rPr>
          <w:sz w:val="20"/>
          <w:szCs w:val="20"/>
        </w:rPr>
        <w:t>, 2008, 70 ss.</w:t>
      </w:r>
    </w:p>
  </w:footnote>
  <w:footnote w:id="23">
    <w:p w:rsidR="00DA3C87" w:rsidRPr="00274339" w:rsidRDefault="00DA3C87" w:rsidP="00274339">
      <w:pPr>
        <w:pStyle w:val="Testonotaapidipagina"/>
        <w:ind w:right="1178"/>
        <w:jc w:val="both"/>
      </w:pPr>
      <w:r w:rsidRPr="00274339">
        <w:rPr>
          <w:rStyle w:val="Rimandonotaapidipagina"/>
        </w:rPr>
        <w:footnoteRef/>
      </w:r>
      <w:r w:rsidRPr="00274339">
        <w:t xml:space="preserve"> V. in particolare il 9° considerando della Direttiva 94/45/CE, ove si legge che “</w:t>
      </w:r>
      <w:r w:rsidRPr="00274339">
        <w:rPr>
          <w:i/>
        </w:rPr>
        <w:t xml:space="preserve">il funzionamento del mercato interno comporta un processo di concentrazione di imprese, di fusioni transfrontaliere, di acquisizioni di controllo e di associazioni e, di conseguenza, una </w:t>
      </w:r>
      <w:proofErr w:type="spellStart"/>
      <w:r w:rsidRPr="00274339">
        <w:rPr>
          <w:i/>
        </w:rPr>
        <w:t>transnazionalizzazione</w:t>
      </w:r>
      <w:proofErr w:type="spellEnd"/>
      <w:r w:rsidRPr="00274339">
        <w:rPr>
          <w:i/>
        </w:rPr>
        <w:t xml:space="preserve"> dei gruppi di imprese</w:t>
      </w:r>
      <w:r w:rsidRPr="00274339">
        <w:t>”, sicché “</w:t>
      </w:r>
      <w:r w:rsidRPr="00274339">
        <w:rPr>
          <w:i/>
        </w:rPr>
        <w:t>se si vuole che le attività si sviluppino armoniosamente, occorre che le imprese e i gruppi di imprese che operano in più di uno stato membro informino e consultino i rappresentanti dei lavoratori interessati delle loro decisioni</w:t>
      </w:r>
      <w:r w:rsidRPr="00274339">
        <w:t xml:space="preserve">”. Sui rapporti tra </w:t>
      </w:r>
      <w:smartTag w:uri="urn:schemas-microsoft-com:office:smarttags" w:element="PersonName">
        <w:smartTagPr>
          <w:attr w:name="ProductID" w:val="la Proposta"/>
        </w:smartTagPr>
        <w:r w:rsidRPr="00274339">
          <w:t>la Proposta</w:t>
        </w:r>
      </w:smartTag>
      <w:r w:rsidRPr="00274339">
        <w:t xml:space="preserve"> </w:t>
      </w:r>
      <w:r w:rsidR="00A76163" w:rsidRPr="00274339">
        <w:t>“</w:t>
      </w:r>
      <w:proofErr w:type="spellStart"/>
      <w:r w:rsidRPr="00274339">
        <w:rPr>
          <w:i/>
        </w:rPr>
        <w:t>Vredeling</w:t>
      </w:r>
      <w:proofErr w:type="spellEnd"/>
      <w:r w:rsidR="00A76163" w:rsidRPr="00274339">
        <w:t>”</w:t>
      </w:r>
      <w:r w:rsidRPr="00274339">
        <w:t xml:space="preserve"> e </w:t>
      </w:r>
      <w:smartTag w:uri="urn:schemas-microsoft-com:office:smarttags" w:element="PersonName">
        <w:smartTagPr>
          <w:attr w:name="ProductID" w:val="la Direttiva"/>
        </w:smartTagPr>
        <w:r w:rsidRPr="00274339">
          <w:t>la Direttiva</w:t>
        </w:r>
      </w:smartTag>
      <w:r w:rsidRPr="00274339">
        <w:t xml:space="preserve"> 94/45 si veda C. Gullotta, </w:t>
      </w:r>
      <w:r w:rsidRPr="00274339">
        <w:rPr>
          <w:i/>
        </w:rPr>
        <w:t>Informazione e consultazione dei lavoratori nelle imprese e nei gruppi di imprese di dimensioni comunitarie</w:t>
      </w:r>
      <w:r w:rsidRPr="00274339">
        <w:t xml:space="preserve">, </w:t>
      </w:r>
      <w:r w:rsidRPr="00274339">
        <w:rPr>
          <w:i/>
        </w:rPr>
        <w:t>in DCSI</w:t>
      </w:r>
      <w:r w:rsidRPr="00274339">
        <w:t>, 1994, 686-703.</w:t>
      </w:r>
    </w:p>
  </w:footnote>
  <w:footnote w:id="24">
    <w:p w:rsidR="00873DD1" w:rsidRPr="00274339" w:rsidRDefault="00873DD1" w:rsidP="00274339">
      <w:pPr>
        <w:pStyle w:val="Testonotaapidipagina"/>
        <w:ind w:right="1178"/>
        <w:jc w:val="both"/>
      </w:pPr>
      <w:r w:rsidRPr="00274339">
        <w:rPr>
          <w:rStyle w:val="Rimandonotaapidipagina"/>
        </w:rPr>
        <w:footnoteRef/>
      </w:r>
      <w:r w:rsidRPr="00274339">
        <w:t xml:space="preserve"> V. 25° considerando Dir. 2009/38/CE.</w:t>
      </w:r>
    </w:p>
  </w:footnote>
  <w:footnote w:id="25">
    <w:p w:rsidR="00DA3C87" w:rsidRPr="00274339" w:rsidRDefault="00DA3C87" w:rsidP="00274339">
      <w:pPr>
        <w:pStyle w:val="Testonotaapidipagina"/>
        <w:ind w:right="1178"/>
        <w:jc w:val="both"/>
      </w:pPr>
      <w:r w:rsidRPr="00274339">
        <w:rPr>
          <w:rStyle w:val="Rimandonotaapidipagina"/>
        </w:rPr>
        <w:footnoteRef/>
      </w:r>
      <w:r w:rsidRPr="00274339">
        <w:t xml:space="preserve"> C.d.G. 10.9.2009, C-44/08, in </w:t>
      </w:r>
      <w:proofErr w:type="spellStart"/>
      <w:r w:rsidRPr="00274339">
        <w:rPr>
          <w:i/>
        </w:rPr>
        <w:t>Riv.It.Dir.Lav</w:t>
      </w:r>
      <w:proofErr w:type="spellEnd"/>
      <w:r w:rsidRPr="00274339">
        <w:rPr>
          <w:i/>
        </w:rPr>
        <w:t>.</w:t>
      </w:r>
      <w:r w:rsidRPr="00274339">
        <w:t xml:space="preserve">, 2010, 2, 518, con nota di C. Zoli, </w:t>
      </w:r>
      <w:r w:rsidRPr="00274339">
        <w:rPr>
          <w:i/>
        </w:rPr>
        <w:t>licenziamenti collettivi e Gruppi di Imprese: la procedura di informazione e consultazione nella giurisprudenza della Corte di Giustizia</w:t>
      </w:r>
      <w:r w:rsidR="00D3759A" w:rsidRPr="00274339">
        <w:t xml:space="preserve">. </w:t>
      </w:r>
      <w:r w:rsidRPr="00274339">
        <w:t xml:space="preserve">In tema v. anche C.d.G. 15.2.2007, C-270/05, in </w:t>
      </w:r>
      <w:r w:rsidRPr="00274339">
        <w:rPr>
          <w:i/>
        </w:rPr>
        <w:t>Dir. Rel. Ind.</w:t>
      </w:r>
      <w:r w:rsidRPr="00274339">
        <w:t xml:space="preserve">, 2007, 3, 895, con nota di R. Cosio, </w:t>
      </w:r>
      <w:r w:rsidRPr="00274339">
        <w:rPr>
          <w:i/>
        </w:rPr>
        <w:t>I licenziamento collettivi ed il diritto europeo</w:t>
      </w:r>
      <w:r w:rsidRPr="00274339">
        <w:t xml:space="preserve">; C.d.G. 16.7.2009, C-12/08, in </w:t>
      </w:r>
      <w:proofErr w:type="spellStart"/>
      <w:r w:rsidRPr="00274339">
        <w:rPr>
          <w:i/>
        </w:rPr>
        <w:t>Riv.It.Dir.Lav</w:t>
      </w:r>
      <w:proofErr w:type="spellEnd"/>
      <w:r w:rsidRPr="00274339">
        <w:rPr>
          <w:i/>
        </w:rPr>
        <w:t>.</w:t>
      </w:r>
      <w:r w:rsidRPr="00274339">
        <w:t xml:space="preserve">, 2010, 253, con nota di G. </w:t>
      </w:r>
      <w:proofErr w:type="spellStart"/>
      <w:r w:rsidRPr="00274339">
        <w:t>Natullo</w:t>
      </w:r>
      <w:proofErr w:type="spellEnd"/>
      <w:r w:rsidRPr="00274339">
        <w:t xml:space="preserve">, </w:t>
      </w:r>
      <w:r w:rsidRPr="00274339">
        <w:rPr>
          <w:i/>
        </w:rPr>
        <w:t>Procedure (sindacali) versus tutele (individuali) nella disciplina dei licenziamenti collettivi</w:t>
      </w:r>
      <w:r w:rsidRPr="00274339">
        <w:t xml:space="preserve">; M. Biagi, </w:t>
      </w:r>
      <w:r w:rsidRPr="00274339">
        <w:rPr>
          <w:i/>
        </w:rPr>
        <w:t>Vecchie e nuove regole in tema di licenziamenti collettivi: spunti comunitari e comparati</w:t>
      </w:r>
      <w:r w:rsidRPr="00274339">
        <w:t xml:space="preserve">, in </w:t>
      </w:r>
      <w:proofErr w:type="spellStart"/>
      <w:r w:rsidRPr="00274339">
        <w:rPr>
          <w:i/>
        </w:rPr>
        <w:t>Dir.Rel.Ind</w:t>
      </w:r>
      <w:proofErr w:type="spellEnd"/>
      <w:r w:rsidRPr="00274339">
        <w:rPr>
          <w:i/>
        </w:rPr>
        <w:t>.</w:t>
      </w:r>
      <w:r w:rsidRPr="00274339">
        <w:t xml:space="preserve">, 1992, 2, 154; M.G. Garofalo, P. </w:t>
      </w:r>
      <w:proofErr w:type="spellStart"/>
      <w:r w:rsidRPr="00274339">
        <w:t>Chieco</w:t>
      </w:r>
      <w:proofErr w:type="spellEnd"/>
      <w:r w:rsidRPr="00274339">
        <w:t xml:space="preserve">, </w:t>
      </w:r>
      <w:r w:rsidRPr="00274339">
        <w:rPr>
          <w:i/>
        </w:rPr>
        <w:t>Licenziamenti collettivi e diritto europeo</w:t>
      </w:r>
      <w:r w:rsidR="00D3759A" w:rsidRPr="00274339">
        <w:t>, in AA.VV.</w:t>
      </w:r>
      <w:r w:rsidRPr="00274339">
        <w:t xml:space="preserve">, </w:t>
      </w:r>
      <w:r w:rsidRPr="00274339">
        <w:rPr>
          <w:i/>
        </w:rPr>
        <w:t>I licenziamenti per riduzione del personale in Europa</w:t>
      </w:r>
      <w:r w:rsidRPr="00274339">
        <w:t xml:space="preserve">, Cacucci, Bari, 2001, 23; A. Lo Faro, </w:t>
      </w:r>
      <w:r w:rsidRPr="00274339">
        <w:rPr>
          <w:i/>
        </w:rPr>
        <w:t>Le Direttive in materia di crisi e di ristrutturazione di Impresa</w:t>
      </w:r>
      <w:r w:rsidRPr="00274339">
        <w:t xml:space="preserve">, in S. Sciarra, B. Caruso (a cura di), </w:t>
      </w:r>
      <w:r w:rsidRPr="00274339">
        <w:rPr>
          <w:i/>
        </w:rPr>
        <w:t>Il lavoro subordinato</w:t>
      </w:r>
      <w:r w:rsidRPr="00274339">
        <w:t xml:space="preserve">, </w:t>
      </w:r>
      <w:proofErr w:type="spellStart"/>
      <w:r w:rsidRPr="00274339">
        <w:t>Giappichelli</w:t>
      </w:r>
      <w:proofErr w:type="spellEnd"/>
      <w:r w:rsidRPr="00274339">
        <w:t>, Torino, 2009, 403 ss.</w:t>
      </w:r>
    </w:p>
  </w:footnote>
  <w:footnote w:id="26">
    <w:p w:rsidR="00DA3C87" w:rsidRPr="00274339" w:rsidRDefault="00DA3C87" w:rsidP="00274339">
      <w:pPr>
        <w:pStyle w:val="Testonotaapidipagina"/>
        <w:ind w:right="1178"/>
        <w:jc w:val="both"/>
      </w:pPr>
      <w:r w:rsidRPr="00274339">
        <w:rPr>
          <w:rStyle w:val="Rimandonotaapidipagina"/>
        </w:rPr>
        <w:footnoteRef/>
      </w:r>
      <w:r w:rsidRPr="00274339">
        <w:t xml:space="preserve"> Dunque, nel campo di applicazione della Direttiva del Consiglio 1998/59/CE, in </w:t>
      </w:r>
      <w:r w:rsidRPr="00274339">
        <w:rPr>
          <w:i/>
        </w:rPr>
        <w:t>G.U.C.E.</w:t>
      </w:r>
      <w:r w:rsidRPr="00274339">
        <w:t>, 12.8.1998, L. 225/16.</w:t>
      </w:r>
    </w:p>
  </w:footnote>
  <w:footnote w:id="27">
    <w:p w:rsidR="00DA3C87" w:rsidRPr="00274339" w:rsidRDefault="00DA3C87" w:rsidP="00274339">
      <w:pPr>
        <w:pStyle w:val="Testonotaapidipagina"/>
        <w:ind w:right="1178"/>
        <w:jc w:val="both"/>
      </w:pPr>
      <w:r w:rsidRPr="00274339">
        <w:rPr>
          <w:rStyle w:val="Rimandonotaapidipagina"/>
        </w:rPr>
        <w:footnoteRef/>
      </w:r>
      <w:r w:rsidRPr="00274339">
        <w:t xml:space="preserve"> Nello stesso senso, in precedenza, C.d.G. 27.1.2005, C-188/2003, </w:t>
      </w:r>
      <w:r w:rsidR="00D3759A" w:rsidRPr="00274339">
        <w:t>“</w:t>
      </w:r>
      <w:r w:rsidRPr="00274339">
        <w:rPr>
          <w:i/>
        </w:rPr>
        <w:t>Junk</w:t>
      </w:r>
      <w:r w:rsidR="00D3759A" w:rsidRPr="00274339">
        <w:t>”</w:t>
      </w:r>
      <w:r w:rsidRPr="00274339">
        <w:t xml:space="preserve">, in </w:t>
      </w:r>
      <w:r w:rsidRPr="00274339">
        <w:rPr>
          <w:i/>
        </w:rPr>
        <w:t xml:space="preserve">Foro </w:t>
      </w:r>
      <w:proofErr w:type="gramStart"/>
      <w:r w:rsidRPr="00274339">
        <w:rPr>
          <w:i/>
        </w:rPr>
        <w:t>It.</w:t>
      </w:r>
      <w:r w:rsidR="001F1350">
        <w:t>,</w:t>
      </w:r>
      <w:proofErr w:type="gramEnd"/>
      <w:r w:rsidR="001F1350">
        <w:t xml:space="preserve"> IV, </w:t>
      </w:r>
      <w:r w:rsidRPr="00274339">
        <w:t>185</w:t>
      </w:r>
      <w:r w:rsidR="001F1350">
        <w:t>.</w:t>
      </w:r>
    </w:p>
  </w:footnote>
  <w:footnote w:id="28">
    <w:p w:rsidR="00DA3C87" w:rsidRPr="00274339" w:rsidRDefault="00DA3C87" w:rsidP="00274339">
      <w:pPr>
        <w:pStyle w:val="Testonotaapidipagina"/>
        <w:ind w:right="1178"/>
        <w:jc w:val="both"/>
      </w:pPr>
      <w:r w:rsidRPr="00274339">
        <w:rPr>
          <w:rStyle w:val="Rimandonotaapidipagina"/>
        </w:rPr>
        <w:footnoteRef/>
      </w:r>
      <w:r w:rsidRPr="00274339">
        <w:t xml:space="preserve"> Ossia nel campo di applicazione della Dir</w:t>
      </w:r>
      <w:r w:rsidR="007B4AEA" w:rsidRPr="00274339">
        <w:t xml:space="preserve">ettiva del Consiglio 2001/23/CE, in </w:t>
      </w:r>
      <w:r w:rsidR="007B4AEA" w:rsidRPr="00274339">
        <w:rPr>
          <w:i/>
        </w:rPr>
        <w:t>G.U.C.E.</w:t>
      </w:r>
      <w:r w:rsidR="007B4AEA" w:rsidRPr="00274339">
        <w:t xml:space="preserve"> 22.3.2001, L. 82/16. </w:t>
      </w:r>
    </w:p>
  </w:footnote>
  <w:footnote w:id="29">
    <w:p w:rsidR="00DA3C87" w:rsidRPr="00274339" w:rsidRDefault="00DA3C87" w:rsidP="00274339">
      <w:pPr>
        <w:pStyle w:val="Testonotaapidipagina"/>
        <w:tabs>
          <w:tab w:val="left" w:pos="9000"/>
        </w:tabs>
        <w:ind w:right="1178"/>
        <w:jc w:val="both"/>
      </w:pPr>
      <w:r w:rsidRPr="00274339">
        <w:rPr>
          <w:rStyle w:val="Rimandonotaapidipagina"/>
        </w:rPr>
        <w:footnoteRef/>
      </w:r>
      <w:r w:rsidRPr="00274339">
        <w:t xml:space="preserve"> C.d.G. 21.10.2010, C-242/09, in </w:t>
      </w:r>
      <w:proofErr w:type="spellStart"/>
      <w:r w:rsidRPr="00274339">
        <w:rPr>
          <w:i/>
        </w:rPr>
        <w:t>Riv.It.Dir.Lav</w:t>
      </w:r>
      <w:proofErr w:type="spellEnd"/>
      <w:r w:rsidRPr="00274339">
        <w:rPr>
          <w:i/>
        </w:rPr>
        <w:t>.</w:t>
      </w:r>
      <w:r w:rsidRPr="00274339">
        <w:t xml:space="preserve">, </w:t>
      </w:r>
      <w:r w:rsidR="00DA0830" w:rsidRPr="00274339">
        <w:t>“</w:t>
      </w:r>
      <w:r w:rsidR="00DA0830" w:rsidRPr="00274339">
        <w:rPr>
          <w:i/>
        </w:rPr>
        <w:t>Heineken</w:t>
      </w:r>
      <w:r w:rsidR="00DA0830" w:rsidRPr="00274339">
        <w:t xml:space="preserve">”, </w:t>
      </w:r>
      <w:r w:rsidRPr="00274339">
        <w:t xml:space="preserve">2011, II, 470, con nota di E. Agosti, </w:t>
      </w:r>
      <w:r w:rsidRPr="00274339">
        <w:rPr>
          <w:i/>
        </w:rPr>
        <w:t>Le garanzie previste per il trasferimento d’azienda operano anche a favore dei dipendenti stabilmente distaccati presso l’azienda ceduta</w:t>
      </w:r>
      <w:r w:rsidRPr="00274339">
        <w:t xml:space="preserve">, nonché in </w:t>
      </w:r>
      <w:r w:rsidRPr="00274339">
        <w:rPr>
          <w:i/>
        </w:rPr>
        <w:t xml:space="preserve">Foro </w:t>
      </w:r>
      <w:proofErr w:type="spellStart"/>
      <w:proofErr w:type="gramStart"/>
      <w:r w:rsidRPr="00274339">
        <w:rPr>
          <w:i/>
        </w:rPr>
        <w:t>it</w:t>
      </w:r>
      <w:proofErr w:type="spellEnd"/>
      <w:r w:rsidRPr="00274339">
        <w:rPr>
          <w:i/>
        </w:rPr>
        <w:t>.</w:t>
      </w:r>
      <w:r w:rsidRPr="00274339">
        <w:t>,</w:t>
      </w:r>
      <w:proofErr w:type="gramEnd"/>
      <w:r w:rsidRPr="00274339">
        <w:t xml:space="preserve"> 2010, 6, 323, con nota </w:t>
      </w:r>
      <w:r w:rsidR="001F1350">
        <w:t>di</w:t>
      </w:r>
      <w:r w:rsidRPr="00274339">
        <w:t xml:space="preserve"> G. Ricci. </w:t>
      </w:r>
    </w:p>
    <w:p w:rsidR="00DA3C87" w:rsidRPr="00274339" w:rsidRDefault="00DA3C87" w:rsidP="00274339">
      <w:pPr>
        <w:pStyle w:val="Testonotaapidipagina"/>
        <w:tabs>
          <w:tab w:val="left" w:pos="9000"/>
        </w:tabs>
        <w:ind w:right="1178"/>
        <w:jc w:val="both"/>
      </w:pPr>
    </w:p>
  </w:footnote>
  <w:footnote w:id="30">
    <w:p w:rsidR="00DA3C87" w:rsidRPr="00274339" w:rsidRDefault="00DA3C87" w:rsidP="00274339">
      <w:pPr>
        <w:pStyle w:val="Testonotaapidipagina"/>
        <w:ind w:right="1178"/>
        <w:jc w:val="both"/>
      </w:pPr>
      <w:r w:rsidRPr="00274339">
        <w:rPr>
          <w:rStyle w:val="Rimandonotaapidipagina"/>
        </w:rPr>
        <w:footnoteRef/>
      </w:r>
      <w:r w:rsidRPr="00274339">
        <w:t xml:space="preserve"> Stabilisce l’art. 633 del libro 7° del Codice Civile Olandese (</w:t>
      </w:r>
      <w:proofErr w:type="spellStart"/>
      <w:r w:rsidRPr="00274339">
        <w:t>Burgerlijk</w:t>
      </w:r>
      <w:proofErr w:type="spellEnd"/>
      <w:r w:rsidRPr="00274339">
        <w:t xml:space="preserve"> </w:t>
      </w:r>
      <w:proofErr w:type="spellStart"/>
      <w:r w:rsidRPr="00274339">
        <w:t>Wetboek</w:t>
      </w:r>
      <w:proofErr w:type="spellEnd"/>
      <w:r w:rsidRPr="00274339">
        <w:t>) che “</w:t>
      </w:r>
      <w:r w:rsidRPr="00274339">
        <w:rPr>
          <w:i/>
        </w:rPr>
        <w:t>in conseguenza del trasferimento di un’impresa, i diritti e gli obblighi che risultano per il datore di lavoro, alla data del trasferimento, da un contratto di lavoro concluso tra quest’ultimo e il lavoratore occupato in tale impresa, sono trasferiti ipso iure al cessionario</w:t>
      </w:r>
      <w:r w:rsidRPr="00274339">
        <w:t>”.</w:t>
      </w:r>
    </w:p>
  </w:footnote>
  <w:footnote w:id="31">
    <w:p w:rsidR="00DA3C87" w:rsidRPr="00274339" w:rsidRDefault="00DA3C87" w:rsidP="00274339">
      <w:pPr>
        <w:pStyle w:val="Testonotaapidipagina"/>
        <w:ind w:right="1178"/>
        <w:jc w:val="both"/>
      </w:pPr>
      <w:r w:rsidRPr="00274339">
        <w:rPr>
          <w:rStyle w:val="Rimandonotaapidipagina"/>
        </w:rPr>
        <w:footnoteRef/>
      </w:r>
      <w:r w:rsidRPr="00274339">
        <w:t xml:space="preserve"> In particolare, dopo che il Tribunale di primo grado (</w:t>
      </w:r>
      <w:proofErr w:type="spellStart"/>
      <w:r w:rsidRPr="00274339">
        <w:t>Kantorechter</w:t>
      </w:r>
      <w:proofErr w:type="spellEnd"/>
      <w:r w:rsidRPr="00274339">
        <w:t xml:space="preserve">) aveva accolto la domanda avente ad oggetto il diritto del lavoratore di passare alle dipendenze della cessionaria </w:t>
      </w:r>
      <w:proofErr w:type="spellStart"/>
      <w:r w:rsidRPr="00274339">
        <w:t>Albron</w:t>
      </w:r>
      <w:proofErr w:type="spellEnd"/>
      <w:r w:rsidRPr="00274339">
        <w:t xml:space="preserve">, </w:t>
      </w:r>
      <w:smartTag w:uri="urn:schemas-microsoft-com:office:smarttags" w:element="PersonName">
        <w:smartTagPr>
          <w:attr w:name="ProductID" w:val="la Corte"/>
        </w:smartTagPr>
        <w:r w:rsidRPr="00274339">
          <w:t>la Corte</w:t>
        </w:r>
      </w:smartTag>
      <w:r w:rsidRPr="00274339">
        <w:t xml:space="preserve"> d’Appello di Amsterdam (</w:t>
      </w:r>
      <w:proofErr w:type="spellStart"/>
      <w:r w:rsidRPr="00274339">
        <w:t>Gerechtshof</w:t>
      </w:r>
      <w:proofErr w:type="spellEnd"/>
      <w:r w:rsidRPr="00274339">
        <w:t xml:space="preserve"> di Amsterdam), a seguito dell’appello proposto da </w:t>
      </w:r>
      <w:proofErr w:type="spellStart"/>
      <w:r w:rsidRPr="00274339">
        <w:t>Albron</w:t>
      </w:r>
      <w:proofErr w:type="spellEnd"/>
      <w:r w:rsidRPr="00274339">
        <w:t xml:space="preserve">, ha sottoposto alla Corte di Giustizia la seguenti questioni pregiudiziali: “1. </w:t>
      </w:r>
      <w:r w:rsidRPr="00274339">
        <w:rPr>
          <w:i/>
        </w:rPr>
        <w:t xml:space="preserve">Se </w:t>
      </w:r>
      <w:smartTag w:uri="urn:schemas-microsoft-com:office:smarttags" w:element="PersonName">
        <w:smartTagPr>
          <w:attr w:name="ProductID" w:val="la Direttiva"/>
        </w:smartTagPr>
        <w:r w:rsidRPr="00274339">
          <w:rPr>
            <w:i/>
          </w:rPr>
          <w:t>la Direttiva</w:t>
        </w:r>
      </w:smartTag>
      <w:r w:rsidRPr="00274339">
        <w:rPr>
          <w:i/>
        </w:rPr>
        <w:t xml:space="preserve"> 20012/23/CE debba essere interpretata nel senso che il trasferimento di diritti ed obblighi al cessionario di cui all’art. 3, n. 1, parte iniziale, si configura solo se il cedente dell’impresa da trasferire è anche il datore di lavoro formale dei lavoratori interessati o se la tutela dei lavoratori perseguita dalla direttiva comporta che, in caso di trasferimento di una società operativa facente parte di un gruppo, i diritti e gli obblighi esistenti nei confronti dei lavoratori occupati in tale impresa si trasferiscono al cessionario, se tutto il personale che lavora all’interno del gruppo è alle dipendenze di una società di gestione del personale (del pari facente parte del gruppo), che funge da datore di lavoro centrale; 2. Come sarebbe la soluzione della seconda parte della prima questione qualora i lavoratori in essa intesi, che lavorano per un’impresa facente parte di un gruppo, siano alle dipendenze di un’altra società, del pari appartenete a quel gruppo, che non sia una società di gestione del personale come descritta nella prima questione</w:t>
      </w:r>
      <w:r w:rsidRPr="00274339">
        <w:t xml:space="preserve">”. </w:t>
      </w:r>
    </w:p>
  </w:footnote>
  <w:footnote w:id="32">
    <w:p w:rsidR="00DA3C87" w:rsidRPr="00274339" w:rsidRDefault="00DA3C87" w:rsidP="00274339">
      <w:pPr>
        <w:pStyle w:val="Testonotaapidipagina"/>
        <w:ind w:right="1178"/>
        <w:jc w:val="both"/>
      </w:pPr>
      <w:r w:rsidRPr="00274339">
        <w:rPr>
          <w:rStyle w:val="Rimandonotaapidipagina"/>
        </w:rPr>
        <w:footnoteRef/>
      </w:r>
      <w:r w:rsidRPr="00274339">
        <w:t xml:space="preserve"> Ed infatti le definizioni di “</w:t>
      </w:r>
      <w:r w:rsidRPr="00274339">
        <w:rPr>
          <w:i/>
        </w:rPr>
        <w:t>cedente</w:t>
      </w:r>
      <w:r w:rsidRPr="00274339">
        <w:t>” e “</w:t>
      </w:r>
      <w:r w:rsidRPr="00274339">
        <w:rPr>
          <w:i/>
        </w:rPr>
        <w:t>cessionario</w:t>
      </w:r>
      <w:r w:rsidRPr="00274339">
        <w:t>”, di cui all’art. 2, n.1 a) e b) Dir. 2001/23/CE vengono designate sulla base della “</w:t>
      </w:r>
      <w:r w:rsidRPr="00274339">
        <w:rPr>
          <w:i/>
        </w:rPr>
        <w:t>perdita</w:t>
      </w:r>
      <w:r w:rsidRPr="00274339">
        <w:t>” e dell</w:t>
      </w:r>
      <w:proofErr w:type="gramStart"/>
      <w:r w:rsidRPr="00274339">
        <w:t>’“</w:t>
      </w:r>
      <w:proofErr w:type="gramEnd"/>
      <w:r w:rsidRPr="00274339">
        <w:rPr>
          <w:i/>
        </w:rPr>
        <w:t>acquisto</w:t>
      </w:r>
      <w:r w:rsidRPr="00274339">
        <w:t>” della “</w:t>
      </w:r>
      <w:r w:rsidRPr="00274339">
        <w:rPr>
          <w:i/>
        </w:rPr>
        <w:t>veste di imprenditore rispetto all’impresa, allo stabilimento o a parte dell’impresa o dello stabilimento</w:t>
      </w:r>
      <w:r w:rsidRPr="00274339">
        <w:t xml:space="preserve">”. </w:t>
      </w:r>
    </w:p>
  </w:footnote>
  <w:footnote w:id="33">
    <w:p w:rsidR="00DA3C87" w:rsidRPr="00274339" w:rsidRDefault="00DA3C87" w:rsidP="00274339">
      <w:pPr>
        <w:pStyle w:val="Testonotaapidipagina"/>
        <w:ind w:right="1178"/>
        <w:jc w:val="both"/>
      </w:pPr>
      <w:r w:rsidRPr="00274339">
        <w:rPr>
          <w:rStyle w:val="Rimandonotaapidipagina"/>
        </w:rPr>
        <w:footnoteRef/>
      </w:r>
      <w:r w:rsidRPr="00274339">
        <w:t xml:space="preserve"> Cfr. E. Agosti, </w:t>
      </w:r>
      <w:r w:rsidRPr="00274339">
        <w:rPr>
          <w:i/>
        </w:rPr>
        <w:t>Le garanzie previste per il trasferimento d’azienda operano anche a favore dei dipendenti stabilmente distaccati presso l’azienda ceduta</w:t>
      </w:r>
      <w:r w:rsidRPr="00274339">
        <w:t xml:space="preserve">, cit. 473, secondo cui </w:t>
      </w:r>
      <w:smartTag w:uri="urn:schemas-microsoft-com:office:smarttags" w:element="PersonName">
        <w:smartTagPr>
          <w:attr w:name="ProductID" w:val="la Corte"/>
        </w:smartTagPr>
        <w:r w:rsidRPr="00274339">
          <w:t>la Corte</w:t>
        </w:r>
      </w:smartTag>
      <w:r w:rsidRPr="00274339">
        <w:t xml:space="preserve"> avrebbe affermato la coesistenza, “</w:t>
      </w:r>
      <w:r w:rsidRPr="00274339">
        <w:rPr>
          <w:i/>
        </w:rPr>
        <w:t>quali ipotesi diverse, ma equivalenti</w:t>
      </w:r>
      <w:r w:rsidRPr="00274339">
        <w:t>”, del datore di lavoro contrattuale e non contrattuale, non essendo richiesto un vincolo</w:t>
      </w:r>
      <w:r w:rsidR="0060332A" w:rsidRPr="00274339">
        <w:t xml:space="preserve"> contrattuale </w:t>
      </w:r>
      <w:r w:rsidRPr="00274339">
        <w:t>con il cedente ai fini di accedere alla tutela offerta dalla direttiva 23/2001/CE.</w:t>
      </w:r>
      <w:r w:rsidR="00D975CE" w:rsidRPr="00274339">
        <w:t xml:space="preserve"> Secondo O. </w:t>
      </w:r>
      <w:proofErr w:type="spellStart"/>
      <w:r w:rsidR="00D975CE" w:rsidRPr="00274339">
        <w:t>Razzolini</w:t>
      </w:r>
      <w:proofErr w:type="spellEnd"/>
      <w:r w:rsidR="00D975CE" w:rsidRPr="00274339">
        <w:t xml:space="preserve">, </w:t>
      </w:r>
      <w:r w:rsidR="00D975CE" w:rsidRPr="00274339">
        <w:rPr>
          <w:i/>
        </w:rPr>
        <w:t xml:space="preserve">Il problema dell’individuazione del datore di lavoro nei gruppi di imprese al vaglio della Corte di Giustizia. Verso un’idea di </w:t>
      </w:r>
      <w:proofErr w:type="spellStart"/>
      <w:proofErr w:type="gramStart"/>
      <w:r w:rsidR="00D975CE" w:rsidRPr="00274339">
        <w:rPr>
          <w:i/>
        </w:rPr>
        <w:t>codatorialità</w:t>
      </w:r>
      <w:proofErr w:type="spellEnd"/>
      <w:r w:rsidR="00D975CE" w:rsidRPr="00274339">
        <w:rPr>
          <w:i/>
        </w:rPr>
        <w:t>?</w:t>
      </w:r>
      <w:r w:rsidR="00D975CE" w:rsidRPr="00274339">
        <w:t>,</w:t>
      </w:r>
      <w:proofErr w:type="gramEnd"/>
      <w:r w:rsidR="00D975CE" w:rsidRPr="00274339">
        <w:t xml:space="preserve"> in </w:t>
      </w:r>
      <w:proofErr w:type="spellStart"/>
      <w:r w:rsidR="00D975CE" w:rsidRPr="00274339">
        <w:rPr>
          <w:i/>
        </w:rPr>
        <w:t>Riv.It.Dir.Lav</w:t>
      </w:r>
      <w:proofErr w:type="spellEnd"/>
      <w:r w:rsidR="00D975CE" w:rsidRPr="00274339">
        <w:rPr>
          <w:i/>
        </w:rPr>
        <w:t>.</w:t>
      </w:r>
      <w:r w:rsidR="00D975CE" w:rsidRPr="00274339">
        <w:t xml:space="preserve">, 2011, 2, 1286 ss., nella sentenza “Heineken” </w:t>
      </w:r>
      <w:smartTag w:uri="urn:schemas-microsoft-com:office:smarttags" w:element="PersonName">
        <w:smartTagPr>
          <w:attr w:name="ProductID" w:val="la Corte"/>
        </w:smartTagPr>
        <w:r w:rsidR="00D975CE" w:rsidRPr="00274339">
          <w:t>la Corte</w:t>
        </w:r>
      </w:smartTag>
      <w:r w:rsidR="00D975CE" w:rsidRPr="00274339">
        <w:t xml:space="preserve"> di Giustizia parrebbe favorevole a riconoscere una possibile coesistenza di due datori di lavoro, </w:t>
      </w:r>
      <w:r w:rsidR="00316BFE" w:rsidRPr="00274339">
        <w:t xml:space="preserve">di cui </w:t>
      </w:r>
      <w:smartTag w:uri="urn:schemas-microsoft-com:office:smarttags" w:element="PersonName">
        <w:smartTagPr>
          <w:attr w:name="ProductID" w:val="la Corte"/>
        </w:smartTagPr>
        <w:r w:rsidR="006808A4" w:rsidRPr="00274339">
          <w:t>la Corte</w:t>
        </w:r>
      </w:smartTag>
      <w:r w:rsidR="006808A4" w:rsidRPr="00274339">
        <w:t xml:space="preserve"> </w:t>
      </w:r>
      <w:r w:rsidR="00316BFE" w:rsidRPr="00274339">
        <w:t xml:space="preserve">rileverebbe </w:t>
      </w:r>
      <w:r w:rsidR="006808A4" w:rsidRPr="00274339">
        <w:t xml:space="preserve">però </w:t>
      </w:r>
      <w:r w:rsidR="00316BFE" w:rsidRPr="00274339">
        <w:t xml:space="preserve">il </w:t>
      </w:r>
      <w:r w:rsidR="00D975CE" w:rsidRPr="00274339">
        <w:t xml:space="preserve">carattere fittizio, </w:t>
      </w:r>
      <w:r w:rsidR="00316BFE" w:rsidRPr="00274339">
        <w:t xml:space="preserve">stante la </w:t>
      </w:r>
      <w:r w:rsidR="00D975CE" w:rsidRPr="00274339">
        <w:t>natura permanente del distacco del lavoratore presso la consociata.</w:t>
      </w:r>
    </w:p>
  </w:footnote>
  <w:footnote w:id="34">
    <w:p w:rsidR="00DA3C87" w:rsidRPr="00274339" w:rsidRDefault="00DA3C87" w:rsidP="00274339">
      <w:pPr>
        <w:pStyle w:val="Testonotaapidipagina"/>
        <w:ind w:right="1178"/>
        <w:jc w:val="both"/>
      </w:pPr>
      <w:r w:rsidRPr="00274339">
        <w:rPr>
          <w:rStyle w:val="Rimandonotaapidipagina"/>
        </w:rPr>
        <w:footnoteRef/>
      </w:r>
      <w:r w:rsidR="002D0E65">
        <w:t xml:space="preserve"> Così, infatti, al punto 25</w:t>
      </w:r>
      <w:r w:rsidRPr="00274339">
        <w:t xml:space="preserve"> della sentenza: </w:t>
      </w:r>
      <w:r w:rsidRPr="00274339">
        <w:rPr>
          <w:i/>
        </w:rPr>
        <w:t>“…per contro, non risulta dalla direttiva 2001/23 che tra il contratto e il rapporto di lavoro intercorra un nesso di sussidiarietà e che, quindi, in un contesto che prevede una pluralità di datori di lavoro, occorra sistematicamente privilegiare il datore di lavoro contrattuale</w:t>
      </w:r>
      <w:r w:rsidRPr="00274339">
        <w:t xml:space="preserve">”. </w:t>
      </w:r>
    </w:p>
  </w:footnote>
  <w:footnote w:id="35">
    <w:p w:rsidR="00DA3C87" w:rsidRPr="00274339" w:rsidRDefault="00DA3C87" w:rsidP="00274339">
      <w:pPr>
        <w:pStyle w:val="Testonotaapidipagina"/>
        <w:ind w:right="1178"/>
        <w:jc w:val="both"/>
      </w:pPr>
      <w:r w:rsidRPr="00274339">
        <w:rPr>
          <w:rStyle w:val="Rimandonotaapidipagina"/>
        </w:rPr>
        <w:footnoteRef/>
      </w:r>
      <w:r w:rsidR="002D0E65">
        <w:t xml:space="preserve"> V. punto 28</w:t>
      </w:r>
      <w:r w:rsidRPr="00274339">
        <w:t xml:space="preserve"> della sentenza, laddove viene affermato che “</w:t>
      </w:r>
      <w:r w:rsidRPr="00274339">
        <w:rPr>
          <w:i/>
        </w:rPr>
        <w:t>il trasferimento di un’impresa, ai sensi della direttiva 2001/23, presuppone segnatamente il cambiamento della persona fisica o giuridica che è responsabile dell’attività economica dell’azienda trasferita e che, a tale titolo, instaura, in qualità di datore di lavoro dei lavoratori di detta entità, rapporti di lavoro con i medesimi, eventualmente malgrado l’assenza di rapporti contrattuali con i lavoratori stessi</w:t>
      </w:r>
      <w:r w:rsidRPr="00274339">
        <w:t>”.</w:t>
      </w:r>
    </w:p>
  </w:footnote>
  <w:footnote w:id="36">
    <w:p w:rsidR="00DA3C87" w:rsidRPr="00274339" w:rsidRDefault="00DA3C87" w:rsidP="00274339">
      <w:pPr>
        <w:pStyle w:val="Testonotaapidipagina"/>
        <w:ind w:right="1178"/>
        <w:jc w:val="both"/>
      </w:pPr>
      <w:r w:rsidRPr="00274339">
        <w:rPr>
          <w:rStyle w:val="Rimandonotaapidipagina"/>
        </w:rPr>
        <w:footnoteRef/>
      </w:r>
      <w:r w:rsidRPr="00274339">
        <w:t xml:space="preserve"> </w:t>
      </w:r>
      <w:r w:rsidR="008572B2" w:rsidRPr="00274339">
        <w:t>La soluzione dell’unicità del gruppo era già stata esclusa dalla Corte di Giustizia nella sentenza C</w:t>
      </w:r>
      <w:r w:rsidR="00E46736" w:rsidRPr="00274339">
        <w:t>.</w:t>
      </w:r>
      <w:r w:rsidR="008572B2" w:rsidRPr="00274339">
        <w:t>d</w:t>
      </w:r>
      <w:r w:rsidR="00E46736" w:rsidRPr="00274339">
        <w:t>.G.</w:t>
      </w:r>
      <w:r w:rsidR="008572B2" w:rsidRPr="00274339">
        <w:t xml:space="preserve"> 2.12.1999, “</w:t>
      </w:r>
      <w:r w:rsidR="008572B2" w:rsidRPr="00274339">
        <w:rPr>
          <w:i/>
        </w:rPr>
        <w:t>Allen</w:t>
      </w:r>
      <w:r w:rsidR="008572B2" w:rsidRPr="00274339">
        <w:t xml:space="preserve">”, in </w:t>
      </w:r>
      <w:proofErr w:type="spellStart"/>
      <w:r w:rsidR="008572B2" w:rsidRPr="00274339">
        <w:rPr>
          <w:i/>
        </w:rPr>
        <w:t>Notiz.Giur.Lav</w:t>
      </w:r>
      <w:proofErr w:type="spellEnd"/>
      <w:r w:rsidR="008572B2" w:rsidRPr="00274339">
        <w:rPr>
          <w:i/>
        </w:rPr>
        <w:t>.</w:t>
      </w:r>
      <w:r w:rsidR="008572B2" w:rsidRPr="00274339">
        <w:t>, 2000, 537, che ha riconosciuto possa verificarsi un trasferimento d’azienda ai sensi della Dir. 23/2001/CE anche nel caso di un trasferimento tra due consoci</w:t>
      </w:r>
      <w:r w:rsidR="002D0E65">
        <w:t>ate di uno stesso gruppo aventi</w:t>
      </w:r>
      <w:r w:rsidR="008572B2" w:rsidRPr="00274339">
        <w:t xml:space="preserve"> gli stessi proprietari, la stessa direzione e gli stessi locali, </w:t>
      </w:r>
      <w:r w:rsidR="002D0E65">
        <w:t>oltre ad essere</w:t>
      </w:r>
      <w:r w:rsidR="008572B2" w:rsidRPr="00274339">
        <w:t xml:space="preserve"> impegnate nell’esecuzione dello stesso lavoro, </w:t>
      </w:r>
      <w:r w:rsidR="002D0E65">
        <w:t>ma f</w:t>
      </w:r>
      <w:r w:rsidR="008572B2" w:rsidRPr="00274339">
        <w:t>ormalmente separate in soggetti giuridici distinti.</w:t>
      </w:r>
    </w:p>
  </w:footnote>
  <w:footnote w:id="37">
    <w:p w:rsidR="00D975CE" w:rsidRPr="00274339" w:rsidRDefault="00D975CE" w:rsidP="00274339">
      <w:pPr>
        <w:pStyle w:val="Testonotaapidipagina"/>
        <w:ind w:right="1178"/>
        <w:jc w:val="both"/>
      </w:pPr>
      <w:r w:rsidRPr="00274339">
        <w:rPr>
          <w:rStyle w:val="Rimandonotaapidipagina"/>
        </w:rPr>
        <w:footnoteRef/>
      </w:r>
      <w:r w:rsidRPr="00274339">
        <w:t xml:space="preserve"> </w:t>
      </w:r>
      <w:r w:rsidR="00E048A9" w:rsidRPr="00274339">
        <w:t xml:space="preserve">Proprio sulla peculiarità del caso sottoposto alla Corte di Giustizia insiste V. Pinto, </w:t>
      </w:r>
      <w:r w:rsidR="004215AF" w:rsidRPr="00274339">
        <w:rPr>
          <w:i/>
        </w:rPr>
        <w:t>I Gruppi imprenditoriali tra diritto dell’unione europea e diritto nazionale</w:t>
      </w:r>
      <w:r w:rsidR="004215AF" w:rsidRPr="00274339">
        <w:t xml:space="preserve">, in </w:t>
      </w:r>
      <w:r w:rsidR="004215AF" w:rsidRPr="00274339">
        <w:rPr>
          <w:i/>
        </w:rPr>
        <w:t>ADL</w:t>
      </w:r>
      <w:r w:rsidR="004215AF" w:rsidRPr="00274339">
        <w:t xml:space="preserve">, 2011, 4-5, 897, negando </w:t>
      </w:r>
      <w:r w:rsidR="0054786B" w:rsidRPr="00274339">
        <w:t xml:space="preserve">perciò </w:t>
      </w:r>
      <w:r w:rsidR="004215AF" w:rsidRPr="00274339">
        <w:t>un cambiament</w:t>
      </w:r>
      <w:r w:rsidR="0047413E">
        <w:t>o di approccio in mat</w:t>
      </w:r>
      <w:r w:rsidR="002B0A4C" w:rsidRPr="00274339">
        <w:t xml:space="preserve">eria di gruppi </w:t>
      </w:r>
      <w:r w:rsidR="0054786B" w:rsidRPr="00274339">
        <w:t>da parte dell</w:t>
      </w:r>
      <w:r w:rsidR="002B0A4C" w:rsidRPr="00274339">
        <w:t>a sentenza “</w:t>
      </w:r>
      <w:r w:rsidR="002B0A4C" w:rsidRPr="00274339">
        <w:rPr>
          <w:i/>
        </w:rPr>
        <w:t>Heineken</w:t>
      </w:r>
      <w:r w:rsidR="002B0A4C" w:rsidRPr="00274339">
        <w:t>”.</w:t>
      </w:r>
      <w:r w:rsidR="00517DCA" w:rsidRPr="00274339">
        <w:t xml:space="preserve"> Peraltro, se è pur vero che, come suggerito al punto 35 delle Conclusioni dell’Avv. Generale Yves Bot 3.6.2010 (in </w:t>
      </w:r>
      <w:r w:rsidR="0084613F" w:rsidRPr="00274339">
        <w:t>www.eur-lex.europa.eu</w:t>
      </w:r>
      <w:r w:rsidR="00517DCA" w:rsidRPr="00274339">
        <w:t>), nel caso “</w:t>
      </w:r>
      <w:r w:rsidR="00517DCA" w:rsidRPr="00274339">
        <w:rPr>
          <w:i/>
        </w:rPr>
        <w:t>Heineken</w:t>
      </w:r>
      <w:r w:rsidR="00517DCA" w:rsidRPr="00274339">
        <w:t>” era necessario “</w:t>
      </w:r>
      <w:r w:rsidR="00517DCA" w:rsidRPr="00274339">
        <w:rPr>
          <w:i/>
        </w:rPr>
        <w:t>esaminare la questione tenuto conto del contesto, oltre che dello scopo perseguito dalla Direttiva 2001/23/CE</w:t>
      </w:r>
      <w:r w:rsidR="00517DCA" w:rsidRPr="00274339">
        <w:t>”, è interessante notare come, al punto 42 delle sue Conclusioni, l’Avv. Generale metta in guardia contro un utilizzo d</w:t>
      </w:r>
      <w:r w:rsidR="00E46736" w:rsidRPr="00274339">
        <w:t>el gruppo con modalità e finalità fraudolente,</w:t>
      </w:r>
      <w:r w:rsidR="00250B4C" w:rsidRPr="00274339">
        <w:t xml:space="preserve"> </w:t>
      </w:r>
      <w:r w:rsidR="00E46736" w:rsidRPr="00274339">
        <w:t xml:space="preserve">rese possibili </w:t>
      </w:r>
      <w:r w:rsidR="00250B4C" w:rsidRPr="00274339">
        <w:t>d</w:t>
      </w:r>
      <w:r w:rsidR="00E46736" w:rsidRPr="00274339">
        <w:t>a</w:t>
      </w:r>
      <w:r w:rsidR="00250B4C" w:rsidRPr="00274339">
        <w:t>lla mancanza di per</w:t>
      </w:r>
      <w:r w:rsidR="00E46736" w:rsidRPr="00274339">
        <w:t>sonalità giuridica dello stesso.</w:t>
      </w:r>
      <w:r w:rsidR="00250B4C" w:rsidRPr="00274339">
        <w:t xml:space="preserve"> </w:t>
      </w:r>
      <w:r w:rsidR="00517DCA" w:rsidRPr="00274339">
        <w:t xml:space="preserve"> </w:t>
      </w:r>
    </w:p>
  </w:footnote>
  <w:footnote w:id="38">
    <w:p w:rsidR="00D67DEA" w:rsidRPr="00274339" w:rsidRDefault="00D67DEA" w:rsidP="00274339">
      <w:pPr>
        <w:pStyle w:val="Testonotaapidipagina"/>
        <w:ind w:right="1178"/>
        <w:jc w:val="both"/>
      </w:pPr>
      <w:r w:rsidRPr="00274339">
        <w:rPr>
          <w:rStyle w:val="Rimandonotaapidipagina"/>
        </w:rPr>
        <w:footnoteRef/>
      </w:r>
      <w:r w:rsidRPr="00274339">
        <w:t xml:space="preserve"> Infine, merita di essere ricor</w:t>
      </w:r>
      <w:r w:rsidR="004A18E8" w:rsidRPr="00274339">
        <w:t>dato quanto, sia pure incidentalmente, osservato dalla</w:t>
      </w:r>
      <w:r w:rsidRPr="00274339">
        <w:t xml:space="preserve"> Corte di Giustizia</w:t>
      </w:r>
      <w:r w:rsidR="004A18E8" w:rsidRPr="00274339">
        <w:t xml:space="preserve"> nel caso “</w:t>
      </w:r>
      <w:proofErr w:type="spellStart"/>
      <w:r w:rsidR="004A18E8" w:rsidRPr="00274339">
        <w:rPr>
          <w:i/>
        </w:rPr>
        <w:t>Navimer</w:t>
      </w:r>
      <w:proofErr w:type="spellEnd"/>
      <w:r w:rsidR="004A18E8" w:rsidRPr="00274339">
        <w:t>”</w:t>
      </w:r>
      <w:r w:rsidRPr="00274339">
        <w:t xml:space="preserve"> </w:t>
      </w:r>
      <w:r w:rsidR="004A18E8" w:rsidRPr="00274339">
        <w:t>(v. C.d.G. 15.12.2011, C-384/2010, “</w:t>
      </w:r>
      <w:proofErr w:type="spellStart"/>
      <w:r w:rsidR="004A18E8" w:rsidRPr="00274339">
        <w:rPr>
          <w:i/>
        </w:rPr>
        <w:t>Navimer</w:t>
      </w:r>
      <w:proofErr w:type="spellEnd"/>
      <w:r w:rsidR="004A18E8" w:rsidRPr="00274339">
        <w:t xml:space="preserve">”, in </w:t>
      </w:r>
      <w:r w:rsidR="004A18E8" w:rsidRPr="00274339">
        <w:rPr>
          <w:i/>
        </w:rPr>
        <w:t xml:space="preserve">Lav. nella </w:t>
      </w:r>
      <w:proofErr w:type="gramStart"/>
      <w:r w:rsidR="004A18E8" w:rsidRPr="00274339">
        <w:rPr>
          <w:i/>
        </w:rPr>
        <w:t>Giur.</w:t>
      </w:r>
      <w:r w:rsidR="004A18E8" w:rsidRPr="00274339">
        <w:t>,</w:t>
      </w:r>
      <w:proofErr w:type="gramEnd"/>
      <w:r w:rsidR="004A18E8" w:rsidRPr="00274339">
        <w:t xml:space="preserve"> 2012, 2, 175), al fine di </w:t>
      </w:r>
      <w:r w:rsidRPr="00274339">
        <w:t xml:space="preserve">risolvere un problema di legge applicabile ad un rapporto di lavoro avente caratteristiche </w:t>
      </w:r>
      <w:r w:rsidR="0047413E">
        <w:t>di transn</w:t>
      </w:r>
      <w:r w:rsidR="00427DE2" w:rsidRPr="00274339">
        <w:t>azionalità non dissimili rispetto a</w:t>
      </w:r>
      <w:r w:rsidR="00B718DD" w:rsidRPr="00274339">
        <w:t>i casi “</w:t>
      </w:r>
      <w:r w:rsidR="00B718DD" w:rsidRPr="00274339">
        <w:rPr>
          <w:i/>
        </w:rPr>
        <w:t>FIAT</w:t>
      </w:r>
      <w:r w:rsidR="00B718DD" w:rsidRPr="00274339">
        <w:t>” ed “</w:t>
      </w:r>
      <w:r w:rsidR="00B718DD" w:rsidRPr="00274339">
        <w:rPr>
          <w:i/>
        </w:rPr>
        <w:t>Heineken</w:t>
      </w:r>
      <w:r w:rsidR="00B718DD" w:rsidRPr="00274339">
        <w:t>”. Il caso riguardava i</w:t>
      </w:r>
      <w:r w:rsidRPr="00274339">
        <w:t xml:space="preserve">l rapporto di lavoro </w:t>
      </w:r>
      <w:r w:rsidR="00B718DD" w:rsidRPr="00274339">
        <w:t xml:space="preserve">di un </w:t>
      </w:r>
      <w:r w:rsidRPr="00274339">
        <w:t>cittadino dei Paesi Bassi</w:t>
      </w:r>
      <w:r w:rsidR="00B718DD" w:rsidRPr="00274339">
        <w:t>,</w:t>
      </w:r>
      <w:r w:rsidRPr="00274339">
        <w:t xml:space="preserve"> assunto qua</w:t>
      </w:r>
      <w:r w:rsidR="00B718DD" w:rsidRPr="00274339">
        <w:t>le capomacchina a bordo di navi</w:t>
      </w:r>
      <w:r w:rsidRPr="00274339">
        <w:t xml:space="preserve">ganti </w:t>
      </w:r>
      <w:r w:rsidR="00B718DD" w:rsidRPr="00274339">
        <w:t xml:space="preserve">del Mar del Nord; l’assunzione avveniva da parte della </w:t>
      </w:r>
      <w:r w:rsidRPr="00274339">
        <w:t xml:space="preserve">società lussemburghese </w:t>
      </w:r>
      <w:proofErr w:type="spellStart"/>
      <w:r w:rsidRPr="00274339">
        <w:t>Navimer</w:t>
      </w:r>
      <w:proofErr w:type="spellEnd"/>
      <w:r w:rsidRPr="00274339">
        <w:t xml:space="preserve"> S.A., stabilita in Lussemburgo, </w:t>
      </w:r>
      <w:r w:rsidR="00B718DD" w:rsidRPr="00274339">
        <w:t xml:space="preserve">e prevedeva la scelta volontaria della legge lussemburghese come legge per la regolazione del contratto, che veniva però siglato </w:t>
      </w:r>
      <w:r w:rsidRPr="00274339">
        <w:t xml:space="preserve">presso </w:t>
      </w:r>
      <w:r w:rsidR="00B718DD" w:rsidRPr="00274339">
        <w:t xml:space="preserve">la </w:t>
      </w:r>
      <w:r w:rsidRPr="00274339">
        <w:t xml:space="preserve">sede </w:t>
      </w:r>
      <w:r w:rsidR="00B718DD" w:rsidRPr="00274339">
        <w:t xml:space="preserve">della società </w:t>
      </w:r>
      <w:proofErr w:type="spellStart"/>
      <w:r w:rsidRPr="00274339">
        <w:t>Naviglobe</w:t>
      </w:r>
      <w:proofErr w:type="spellEnd"/>
      <w:r w:rsidRPr="00274339">
        <w:t xml:space="preserve"> NV, </w:t>
      </w:r>
      <w:r w:rsidR="00B718DD" w:rsidRPr="00274339">
        <w:t>appartenente a</w:t>
      </w:r>
      <w:r w:rsidRPr="00274339">
        <w:t xml:space="preserve">llo stesso gruppo </w:t>
      </w:r>
      <w:r w:rsidR="00B718DD" w:rsidRPr="00274339">
        <w:t xml:space="preserve">(caratterizzato dalla comunanza delle cariche direttive) e </w:t>
      </w:r>
      <w:r w:rsidRPr="00274339">
        <w:t xml:space="preserve">stabilita ad Anversa (Belgio). A seguito del </w:t>
      </w:r>
      <w:r w:rsidR="00C25C78" w:rsidRPr="00274339">
        <w:t xml:space="preserve">suo </w:t>
      </w:r>
      <w:r w:rsidRPr="00274339">
        <w:t xml:space="preserve">licenziamento da parte della </w:t>
      </w:r>
      <w:proofErr w:type="spellStart"/>
      <w:r w:rsidRPr="00274339">
        <w:t>Navimer</w:t>
      </w:r>
      <w:proofErr w:type="spellEnd"/>
      <w:r w:rsidRPr="00274339">
        <w:t>, il lavoratore conveniva in giudizio avanti al Tribunale di Anversa (</w:t>
      </w:r>
      <w:proofErr w:type="spellStart"/>
      <w:r w:rsidRPr="00274339">
        <w:t>Arbeidsrechtbank</w:t>
      </w:r>
      <w:proofErr w:type="spellEnd"/>
      <w:r w:rsidRPr="00274339">
        <w:t xml:space="preserve"> te Antwerpen)</w:t>
      </w:r>
      <w:r w:rsidR="00C25C78" w:rsidRPr="00274339">
        <w:t xml:space="preserve"> entrambe le società</w:t>
      </w:r>
      <w:r w:rsidRPr="00274339">
        <w:t xml:space="preserve">, sostenendo </w:t>
      </w:r>
      <w:r w:rsidR="00C25C78" w:rsidRPr="00274339">
        <w:t>il suo diritto all’</w:t>
      </w:r>
      <w:r w:rsidRPr="00274339">
        <w:t xml:space="preserve">applicazione </w:t>
      </w:r>
      <w:r w:rsidR="00C25C78" w:rsidRPr="00274339">
        <w:t xml:space="preserve">della </w:t>
      </w:r>
      <w:r w:rsidRPr="00274339">
        <w:t>norma imperativa belga su licenziamento</w:t>
      </w:r>
      <w:r w:rsidR="00C25C78" w:rsidRPr="00274339">
        <w:t>, prevalente sulla disciplina lussemburghese scelta dalle parti,  perché,</w:t>
      </w:r>
      <w:r w:rsidRPr="00274339">
        <w:t xml:space="preserve"> </w:t>
      </w:r>
      <w:r w:rsidR="00C25C78" w:rsidRPr="00274339">
        <w:t>ai sensi dell’a</w:t>
      </w:r>
      <w:r w:rsidRPr="00274339">
        <w:t xml:space="preserve">rt. 6, comma 1 </w:t>
      </w:r>
      <w:r w:rsidR="00C25C78" w:rsidRPr="00274339">
        <w:t>della Convenzione di Roma</w:t>
      </w:r>
      <w:r w:rsidR="00710495">
        <w:t xml:space="preserve"> del 1980</w:t>
      </w:r>
      <w:r w:rsidR="00C25C78" w:rsidRPr="00274339">
        <w:t xml:space="preserve">, la </w:t>
      </w:r>
      <w:r w:rsidRPr="00274339">
        <w:t xml:space="preserve">scelta delle parti non priva </w:t>
      </w:r>
      <w:r w:rsidR="00C25C78" w:rsidRPr="00274339">
        <w:t xml:space="preserve">il </w:t>
      </w:r>
      <w:r w:rsidRPr="00274339">
        <w:t>lavoratore della protezione assicuratagli dalle norme imperative della legge che regolerebbe il</w:t>
      </w:r>
      <w:r w:rsidR="00C25C78" w:rsidRPr="00274339">
        <w:t xml:space="preserve"> rapporto in mancanza di scelta</w:t>
      </w:r>
      <w:r w:rsidRPr="00274339">
        <w:t xml:space="preserve"> </w:t>
      </w:r>
      <w:r w:rsidR="00C25C78" w:rsidRPr="00274339">
        <w:t>(</w:t>
      </w:r>
      <w:r w:rsidRPr="00274339">
        <w:t>individuate, in primo luogo, nel paese in cui il lavoratore “</w:t>
      </w:r>
      <w:r w:rsidRPr="00274339">
        <w:rPr>
          <w:i/>
        </w:rPr>
        <w:t>svolge abitua</w:t>
      </w:r>
      <w:r w:rsidR="00C25C78" w:rsidRPr="00274339">
        <w:rPr>
          <w:i/>
        </w:rPr>
        <w:t>lmente la propria prestazione</w:t>
      </w:r>
      <w:r w:rsidR="00C25C78" w:rsidRPr="00274339">
        <w:t xml:space="preserve">”, </w:t>
      </w:r>
      <w:r w:rsidR="00C25C78" w:rsidRPr="00274339">
        <w:rPr>
          <w:i/>
        </w:rPr>
        <w:t>ex</w:t>
      </w:r>
      <w:r w:rsidR="00C25C78" w:rsidRPr="00274339">
        <w:t xml:space="preserve"> art. 6, paragrafo 2, lett. a., </w:t>
      </w:r>
      <w:r w:rsidRPr="00274339">
        <w:t>e, in secondo luogo, in mancanza di siffatto luogo, in quello della “</w:t>
      </w:r>
      <w:r w:rsidRPr="00274339">
        <w:rPr>
          <w:i/>
        </w:rPr>
        <w:t>sede che ha proced</w:t>
      </w:r>
      <w:r w:rsidR="00C25C78" w:rsidRPr="00274339">
        <w:rPr>
          <w:i/>
        </w:rPr>
        <w:t>uto ad assumere il lavoratore</w:t>
      </w:r>
      <w:r w:rsidR="00C25C78" w:rsidRPr="00274339">
        <w:t xml:space="preserve">” – </w:t>
      </w:r>
      <w:r w:rsidRPr="00274339">
        <w:t>art. 6, paragrafo 2, lett. b</w:t>
      </w:r>
      <w:r w:rsidR="00C25C78" w:rsidRPr="00274339">
        <w:t>.</w:t>
      </w:r>
      <w:r w:rsidRPr="00274339">
        <w:t>).</w:t>
      </w:r>
      <w:r w:rsidR="00305058" w:rsidRPr="00274339">
        <w:t xml:space="preserve"> </w:t>
      </w:r>
      <w:r w:rsidRPr="00274339">
        <w:t xml:space="preserve">Sostenendo che egli riceveva indicazioni di lavoro da </w:t>
      </w:r>
      <w:proofErr w:type="spellStart"/>
      <w:r w:rsidRPr="00274339">
        <w:t>Naviglobe</w:t>
      </w:r>
      <w:proofErr w:type="spellEnd"/>
      <w:r w:rsidR="00305058" w:rsidRPr="00274339">
        <w:t xml:space="preserve">, alla quale era tenuto ad obbedire sulla base dello stesso </w:t>
      </w:r>
      <w:r w:rsidRPr="00274339">
        <w:t>contra</w:t>
      </w:r>
      <w:r w:rsidR="00305058" w:rsidRPr="00274339">
        <w:t xml:space="preserve">tto pure stipulato con </w:t>
      </w:r>
      <w:proofErr w:type="spellStart"/>
      <w:r w:rsidR="00305058" w:rsidRPr="00274339">
        <w:t>Navimer</w:t>
      </w:r>
      <w:proofErr w:type="spellEnd"/>
      <w:r w:rsidR="00305058" w:rsidRPr="00274339">
        <w:t xml:space="preserve">, la quale si limitava unicamente a corrispondergli la retribuzione, </w:t>
      </w:r>
      <w:r w:rsidRPr="00274339">
        <w:t xml:space="preserve">il lavoratore chiedeva </w:t>
      </w:r>
      <w:r w:rsidR="00305058" w:rsidRPr="00274339">
        <w:t xml:space="preserve">in sostanza </w:t>
      </w:r>
      <w:r w:rsidRPr="00274339">
        <w:t>che al suo contratto venisse applic</w:t>
      </w:r>
      <w:r w:rsidR="00305058" w:rsidRPr="00274339">
        <w:t xml:space="preserve">ata la legge del luogo (Belgio) dove prestava la propria attività e dove riceveva le indicazioni di lavoro, a prescindere dal fatto che il soggetto che forniva </w:t>
      </w:r>
      <w:r w:rsidR="00427DE2" w:rsidRPr="00274339">
        <w:t xml:space="preserve">tali indicazioni </w:t>
      </w:r>
      <w:r w:rsidR="00305058" w:rsidRPr="00274339">
        <w:t>non fosse formalmente il suo datore di lavoro.</w:t>
      </w:r>
      <w:r w:rsidR="00567A3D" w:rsidRPr="00274339">
        <w:t xml:space="preserve"> </w:t>
      </w:r>
      <w:r w:rsidRPr="00274339">
        <w:t xml:space="preserve">Nonostante </w:t>
      </w:r>
      <w:smartTag w:uri="urn:schemas-microsoft-com:office:smarttags" w:element="PersonName">
        <w:smartTagPr>
          <w:attr w:name="ProductID" w:val="la Cassazione Belga"/>
        </w:smartTagPr>
        <w:r w:rsidRPr="00274339">
          <w:t>la Cassazione Belga</w:t>
        </w:r>
      </w:smartTag>
      <w:r w:rsidRPr="00274339">
        <w:t xml:space="preserve"> (</w:t>
      </w:r>
      <w:proofErr w:type="spellStart"/>
      <w:r w:rsidRPr="00274339">
        <w:t>Hof</w:t>
      </w:r>
      <w:proofErr w:type="spellEnd"/>
      <w:r w:rsidRPr="00274339">
        <w:t xml:space="preserve"> van </w:t>
      </w:r>
      <w:proofErr w:type="spellStart"/>
      <w:r w:rsidRPr="00274339">
        <w:t>Cassatie</w:t>
      </w:r>
      <w:proofErr w:type="spellEnd"/>
      <w:r w:rsidRPr="00274339">
        <w:t xml:space="preserve">), dopo che nei primi due gradi </w:t>
      </w:r>
      <w:r w:rsidR="00567A3D" w:rsidRPr="00274339">
        <w:t xml:space="preserve">era stata </w:t>
      </w:r>
      <w:r w:rsidRPr="00274339">
        <w:t xml:space="preserve">respinta domanda </w:t>
      </w:r>
      <w:r w:rsidR="00D90477">
        <w:t xml:space="preserve">del </w:t>
      </w:r>
      <w:r w:rsidRPr="00274339">
        <w:t>l</w:t>
      </w:r>
      <w:r w:rsidR="00D90477">
        <w:t>avoratore, avesse rimesso alla C</w:t>
      </w:r>
      <w:r w:rsidRPr="00274339">
        <w:t>orte di</w:t>
      </w:r>
      <w:r w:rsidR="00D90477">
        <w:t xml:space="preserve"> Giustizia quattro</w:t>
      </w:r>
      <w:r w:rsidRPr="00274339">
        <w:t xml:space="preserve"> quesiti, tutti incentrati sull’interpretazione de</w:t>
      </w:r>
      <w:r w:rsidR="00D90477">
        <w:t>ll’art. 6, paragrafo 2</w:t>
      </w:r>
      <w:r w:rsidR="00567A3D" w:rsidRPr="00274339">
        <w:t xml:space="preserve"> lett. b. della Convenzione</w:t>
      </w:r>
      <w:r w:rsidRPr="00274339">
        <w:t xml:space="preserve"> </w:t>
      </w:r>
      <w:r w:rsidR="00567A3D" w:rsidRPr="00274339">
        <w:t>(</w:t>
      </w:r>
      <w:r w:rsidRPr="00274339">
        <w:t xml:space="preserve">ossia sulla corretta </w:t>
      </w:r>
      <w:r w:rsidR="00567A3D" w:rsidRPr="00274339">
        <w:t xml:space="preserve">determinazione </w:t>
      </w:r>
      <w:r w:rsidRPr="00274339">
        <w:t>del luogo di assunzione del lavoratore</w:t>
      </w:r>
      <w:r w:rsidR="00567A3D" w:rsidRPr="00274339">
        <w:t>)</w:t>
      </w:r>
      <w:r w:rsidRPr="00274339">
        <w:t xml:space="preserve">, </w:t>
      </w:r>
      <w:smartTag w:uri="urn:schemas-microsoft-com:office:smarttags" w:element="PersonName">
        <w:smartTagPr>
          <w:attr w:name="ProductID" w:val="la Corte"/>
        </w:smartTagPr>
        <w:r w:rsidRPr="00274339">
          <w:t>la Corte</w:t>
        </w:r>
      </w:smartTag>
      <w:r w:rsidRPr="00274339">
        <w:t xml:space="preserve">, accogliendo le osservazioni dell’avvocato generale (paragrafo 60) ha ritenuto che le circostanze riferite dal lavoratore (ossia la mancanza di contatti con </w:t>
      </w:r>
      <w:proofErr w:type="spellStart"/>
      <w:r w:rsidRPr="00274339">
        <w:t>N</w:t>
      </w:r>
      <w:r w:rsidR="00567A3D" w:rsidRPr="00274339">
        <w:t>a</w:t>
      </w:r>
      <w:r w:rsidR="00427DE2" w:rsidRPr="00274339">
        <w:t>vimer</w:t>
      </w:r>
      <w:proofErr w:type="spellEnd"/>
      <w:r w:rsidR="00427DE2" w:rsidRPr="00274339">
        <w:t>, nonché l’utilizzo e la direzione</w:t>
      </w:r>
      <w:r w:rsidRPr="00274339">
        <w:t xml:space="preserve"> della sua prestazione da parte di </w:t>
      </w:r>
      <w:proofErr w:type="spellStart"/>
      <w:r w:rsidRPr="00274339">
        <w:t>Naviglobe</w:t>
      </w:r>
      <w:proofErr w:type="spellEnd"/>
      <w:r w:rsidRPr="00274339">
        <w:t>) imponessero un esame della vicenda incentrato sul</w:t>
      </w:r>
      <w:r w:rsidR="00567A3D" w:rsidRPr="00274339">
        <w:t xml:space="preserve"> criterio di cui alla lettera a.</w:t>
      </w:r>
      <w:r w:rsidR="00D90477">
        <w:t xml:space="preserve"> dell’art. 6, paragrafo 2</w:t>
      </w:r>
      <w:r w:rsidRPr="00274339">
        <w:t xml:space="preserve"> della Convenzione di Roma, ossia sul luogo di compimento del lavoro, criterio prevalente su quello (sussidiario) della sede di assunzione.</w:t>
      </w:r>
      <w:r w:rsidR="00567A3D" w:rsidRPr="00274339">
        <w:t xml:space="preserve"> </w:t>
      </w:r>
      <w:r w:rsidRPr="00274339">
        <w:t xml:space="preserve">Ebbene, </w:t>
      </w:r>
      <w:r w:rsidR="00567A3D" w:rsidRPr="00274339">
        <w:t xml:space="preserve">se, proprio </w:t>
      </w:r>
      <w:r w:rsidRPr="00274339">
        <w:t xml:space="preserve">con riferimento a tale criterio, </w:t>
      </w:r>
      <w:smartTag w:uri="urn:schemas-microsoft-com:office:smarttags" w:element="PersonName">
        <w:smartTagPr>
          <w:attr w:name="ProductID" w:val="la Corte"/>
        </w:smartTagPr>
        <w:r w:rsidRPr="00274339">
          <w:t>la Corte</w:t>
        </w:r>
      </w:smartTag>
      <w:r w:rsidRPr="00274339">
        <w:t xml:space="preserve"> ha</w:t>
      </w:r>
      <w:r w:rsidR="00567A3D" w:rsidRPr="00274339">
        <w:t>, da un lato,</w:t>
      </w:r>
      <w:r w:rsidRPr="00274339">
        <w:t xml:space="preserve"> precisato che il luogo dove il lavoratore svolge abitualmente il suo lavoro è “</w:t>
      </w:r>
      <w:r w:rsidRPr="00274339">
        <w:rPr>
          <w:i/>
        </w:rPr>
        <w:t>quello in cui o a partire dal quale il lavoratore adempie essenzialmente ai suoi obblighi nei confronti del datore di lavoro</w:t>
      </w:r>
      <w:r w:rsidRPr="00274339">
        <w:t xml:space="preserve">”, la </w:t>
      </w:r>
      <w:r w:rsidR="00567A3D" w:rsidRPr="00274339">
        <w:t xml:space="preserve">stessa </w:t>
      </w:r>
      <w:r w:rsidRPr="00274339">
        <w:t>ha</w:t>
      </w:r>
      <w:r w:rsidR="00567A3D" w:rsidRPr="00274339">
        <w:t>, dall’altro lato,</w:t>
      </w:r>
      <w:r w:rsidRPr="00274339">
        <w:t xml:space="preserve"> rilevato </w:t>
      </w:r>
      <w:r w:rsidR="00567A3D" w:rsidRPr="00274339">
        <w:t xml:space="preserve">altresì </w:t>
      </w:r>
      <w:r w:rsidRPr="00274339">
        <w:t>che “</w:t>
      </w:r>
      <w:r w:rsidRPr="00274339">
        <w:rPr>
          <w:i/>
        </w:rPr>
        <w:t xml:space="preserve">dovrà essere il Giudice del rinvio a valutare quale sia il reale rapporto tra le due società per stabilire se </w:t>
      </w:r>
      <w:smartTag w:uri="urn:schemas-microsoft-com:office:smarttags" w:element="PersonName">
        <w:smartTagPr>
          <w:attr w:name="ProductID" w:val="la Naviglobe"/>
        </w:smartTagPr>
        <w:r w:rsidRPr="00274339">
          <w:rPr>
            <w:i/>
          </w:rPr>
          <w:t xml:space="preserve">la </w:t>
        </w:r>
        <w:proofErr w:type="spellStart"/>
        <w:r w:rsidRPr="00274339">
          <w:rPr>
            <w:i/>
          </w:rPr>
          <w:t>Naviglobe</w:t>
        </w:r>
      </w:smartTag>
      <w:proofErr w:type="spellEnd"/>
      <w:r w:rsidRPr="00274339">
        <w:rPr>
          <w:i/>
        </w:rPr>
        <w:t xml:space="preserve"> abbia effettivamente qualità di datore di lavoro del personale assunto dalla </w:t>
      </w:r>
      <w:proofErr w:type="spellStart"/>
      <w:r w:rsidRPr="00274339">
        <w:rPr>
          <w:i/>
        </w:rPr>
        <w:t>Navimer</w:t>
      </w:r>
      <w:proofErr w:type="spellEnd"/>
      <w:r w:rsidRPr="00274339">
        <w:t xml:space="preserve">”, </w:t>
      </w:r>
      <w:r w:rsidR="00567A3D" w:rsidRPr="00274339">
        <w:t>considerando “</w:t>
      </w:r>
      <w:r w:rsidRPr="00274339">
        <w:rPr>
          <w:i/>
        </w:rPr>
        <w:t>tutti gli elementi oggettivi che consentono di stabilire l’esistenza di una situazione reale che divergerebbe da quella che emerge dai termini del contratto</w:t>
      </w:r>
      <w:r w:rsidRPr="00274339">
        <w:t>”, tra cui “</w:t>
      </w:r>
      <w:r w:rsidRPr="00274339">
        <w:rPr>
          <w:i/>
        </w:rPr>
        <w:t xml:space="preserve">la circostanza del trasferimento del potere di direzione dalla </w:t>
      </w:r>
      <w:proofErr w:type="spellStart"/>
      <w:r w:rsidRPr="00274339">
        <w:rPr>
          <w:i/>
        </w:rPr>
        <w:t>Navimer</w:t>
      </w:r>
      <w:proofErr w:type="spellEnd"/>
      <w:r w:rsidRPr="00274339">
        <w:rPr>
          <w:i/>
        </w:rPr>
        <w:t xml:space="preserve"> alla </w:t>
      </w:r>
      <w:proofErr w:type="spellStart"/>
      <w:r w:rsidRPr="00274339">
        <w:rPr>
          <w:i/>
        </w:rPr>
        <w:t>Naviglobe</w:t>
      </w:r>
      <w:proofErr w:type="spellEnd"/>
      <w:r w:rsidRPr="00274339">
        <w:t>”.</w:t>
      </w:r>
    </w:p>
  </w:footnote>
  <w:footnote w:id="39">
    <w:p w:rsidR="00DA3C87" w:rsidRPr="00274339" w:rsidRDefault="00DA3C87" w:rsidP="00274339">
      <w:pPr>
        <w:pStyle w:val="Testonotaapidipagina"/>
        <w:ind w:right="1178"/>
        <w:jc w:val="both"/>
      </w:pPr>
      <w:r w:rsidRPr="00274339">
        <w:rPr>
          <w:rStyle w:val="Rimandonotaapidipagina"/>
        </w:rPr>
        <w:footnoteRef/>
      </w:r>
      <w:r w:rsidRPr="00274339">
        <w:t xml:space="preserve"> E, si badi, si dovrà pur sempre trattare di </w:t>
      </w:r>
      <w:r w:rsidR="0047712E" w:rsidRPr="00274339">
        <w:t>“</w:t>
      </w:r>
      <w:r w:rsidRPr="00274339">
        <w:rPr>
          <w:i/>
        </w:rPr>
        <w:t>adempimenti fisiologici</w:t>
      </w:r>
      <w:r w:rsidR="0047712E" w:rsidRPr="00274339">
        <w:t>”</w:t>
      </w:r>
      <w:r w:rsidRPr="00274339">
        <w:t>, da interpretarsi in senso rigoroso, pena la r</w:t>
      </w:r>
      <w:r w:rsidR="00235506" w:rsidRPr="00274339">
        <w:t xml:space="preserve">iconducibilità all’ipotesi </w:t>
      </w:r>
      <w:r w:rsidR="00235506" w:rsidRPr="00274339">
        <w:rPr>
          <w:i/>
        </w:rPr>
        <w:t>sub</w:t>
      </w:r>
      <w:r w:rsidR="00235506" w:rsidRPr="00274339">
        <w:t xml:space="preserve"> a</w:t>
      </w:r>
      <w:r w:rsidRPr="00274339">
        <w:t xml:space="preserve">). </w:t>
      </w:r>
      <w:r w:rsidR="0047712E" w:rsidRPr="00274339">
        <w:t>E’</w:t>
      </w:r>
      <w:r w:rsidR="00235506" w:rsidRPr="00274339">
        <w:t xml:space="preserve"> forse possibile</w:t>
      </w:r>
      <w:r w:rsidR="0047712E" w:rsidRPr="00274339">
        <w:t>, allora,</w:t>
      </w:r>
      <w:r w:rsidR="00235506" w:rsidRPr="00274339">
        <w:t xml:space="preserve"> coordinare il principio di coincidenza</w:t>
      </w:r>
      <w:r w:rsidR="0047712E" w:rsidRPr="00274339">
        <w:t xml:space="preserve"> </w:t>
      </w:r>
      <w:r w:rsidR="00235506" w:rsidRPr="00274339">
        <w:t>tra datore di lavoro ed effettivo utilizzatore della prestazione</w:t>
      </w:r>
      <w:r w:rsidR="0047712E" w:rsidRPr="00274339">
        <w:t>, valevole anche nei gruppi di imprese,</w:t>
      </w:r>
      <w:r w:rsidR="00235506" w:rsidRPr="00274339">
        <w:t xml:space="preserve"> e l’art. 31 </w:t>
      </w:r>
      <w:proofErr w:type="spellStart"/>
      <w:r w:rsidR="00235506" w:rsidRPr="00274339">
        <w:t>D.Lgs.</w:t>
      </w:r>
      <w:proofErr w:type="spellEnd"/>
      <w:r w:rsidR="00235506" w:rsidRPr="00274339">
        <w:t xml:space="preserve"> 276/2003: </w:t>
      </w:r>
      <w:r w:rsidRPr="00274339">
        <w:t xml:space="preserve">consentendo alla controllante di esercitare alcuni – limitati – </w:t>
      </w:r>
      <w:r w:rsidR="0047712E" w:rsidRPr="00274339">
        <w:t>poteri,</w:t>
      </w:r>
      <w:r w:rsidR="00235506" w:rsidRPr="00274339">
        <w:t xml:space="preserve"> inerenti ad aspetti estranei alla direzione </w:t>
      </w:r>
      <w:r w:rsidRPr="00274339">
        <w:t>della prestazione</w:t>
      </w:r>
      <w:r w:rsidR="00235506" w:rsidRPr="00274339">
        <w:t xml:space="preserve">, l’art. 31 </w:t>
      </w:r>
      <w:proofErr w:type="spellStart"/>
      <w:r w:rsidR="00235506" w:rsidRPr="00274339">
        <w:t>D.Lgs.</w:t>
      </w:r>
      <w:proofErr w:type="spellEnd"/>
      <w:r w:rsidR="00235506" w:rsidRPr="00274339">
        <w:t xml:space="preserve"> 276/2003 parrebbe introdurre il limite a quello che, nelle difese di FIAT Auto, è stato definito un suo “</w:t>
      </w:r>
      <w:r w:rsidR="00235506" w:rsidRPr="00274339">
        <w:rPr>
          <w:i/>
        </w:rPr>
        <w:t>fisiolo</w:t>
      </w:r>
      <w:r w:rsidR="00E42161" w:rsidRPr="00274339">
        <w:rPr>
          <w:i/>
        </w:rPr>
        <w:t>gico interessamento</w:t>
      </w:r>
      <w:r w:rsidR="00E42161" w:rsidRPr="00274339">
        <w:t>”, oltre il quale opererebbe quindi il generale divieto di dissociazione tra datore di lavoro ed utilizzato</w:t>
      </w:r>
      <w:r w:rsidR="0047712E" w:rsidRPr="00274339">
        <w:t xml:space="preserve">re della prestazione, qui </w:t>
      </w:r>
      <w:r w:rsidR="00E42161" w:rsidRPr="00274339">
        <w:t>più volte richiamato.</w:t>
      </w:r>
    </w:p>
  </w:footnote>
  <w:footnote w:id="40">
    <w:p w:rsidR="00DA3C87" w:rsidRPr="00274339" w:rsidRDefault="00DA3C87" w:rsidP="00274339">
      <w:pPr>
        <w:tabs>
          <w:tab w:val="left" w:pos="9000"/>
        </w:tabs>
        <w:autoSpaceDE w:val="0"/>
        <w:autoSpaceDN w:val="0"/>
        <w:adjustRightInd w:val="0"/>
        <w:ind w:right="1178"/>
        <w:jc w:val="both"/>
        <w:rPr>
          <w:sz w:val="20"/>
          <w:szCs w:val="20"/>
        </w:rPr>
      </w:pPr>
      <w:r w:rsidRPr="00274339">
        <w:rPr>
          <w:rStyle w:val="Rimandonotaapidipagina"/>
          <w:sz w:val="20"/>
          <w:szCs w:val="20"/>
        </w:rPr>
        <w:footnoteRef/>
      </w:r>
      <w:r w:rsidRPr="00274339">
        <w:rPr>
          <w:sz w:val="20"/>
          <w:szCs w:val="20"/>
        </w:rPr>
        <w:t xml:space="preserve"> Per un’approfondita ricostruzione dell’evoluzione storica della giurisprudenza in materia di gruppi, v. O. </w:t>
      </w:r>
      <w:proofErr w:type="spellStart"/>
      <w:r w:rsidRPr="00274339">
        <w:rPr>
          <w:sz w:val="20"/>
          <w:szCs w:val="20"/>
        </w:rPr>
        <w:t>Razzolini</w:t>
      </w:r>
      <w:proofErr w:type="spellEnd"/>
      <w:r w:rsidRPr="00274339">
        <w:rPr>
          <w:sz w:val="20"/>
          <w:szCs w:val="20"/>
        </w:rPr>
        <w:t xml:space="preserve">, </w:t>
      </w:r>
      <w:r w:rsidRPr="00274339">
        <w:rPr>
          <w:i/>
          <w:sz w:val="20"/>
          <w:szCs w:val="20"/>
        </w:rPr>
        <w:t>Contitolarità del rapporto di lavoro nel gruppo caratterizzato da unicità di impresa</w:t>
      </w:r>
      <w:r w:rsidRPr="00274339">
        <w:rPr>
          <w:sz w:val="20"/>
          <w:szCs w:val="20"/>
        </w:rPr>
        <w:t>, cit., 3 ss.</w:t>
      </w:r>
    </w:p>
  </w:footnote>
  <w:footnote w:id="41">
    <w:p w:rsidR="00EE1296" w:rsidRPr="00274339" w:rsidRDefault="00EE1296" w:rsidP="00274339">
      <w:pPr>
        <w:pStyle w:val="Testonotaapidipagina"/>
        <w:ind w:right="1178"/>
        <w:jc w:val="both"/>
      </w:pPr>
      <w:r w:rsidRPr="00274339">
        <w:rPr>
          <w:rStyle w:val="Rimandonotaapidipagina"/>
        </w:rPr>
        <w:footnoteRef/>
      </w:r>
      <w:r w:rsidRPr="00274339">
        <w:t xml:space="preserve"> </w:t>
      </w:r>
      <w:r w:rsidR="00A851FC" w:rsidRPr="00274339">
        <w:t xml:space="preserve">In tema v. S. Musso, </w:t>
      </w:r>
      <w:r w:rsidR="00A851FC" w:rsidRPr="00274339">
        <w:rPr>
          <w:i/>
        </w:rPr>
        <w:t>Storia del lavoro in Italia dall’Unità ad oggi</w:t>
      </w:r>
      <w:r w:rsidR="00A851FC" w:rsidRPr="00274339">
        <w:t xml:space="preserve">, Marsilio Editori, Venezia, 2002, 60. </w:t>
      </w:r>
    </w:p>
  </w:footnote>
  <w:footnote w:id="42">
    <w:p w:rsidR="00DA3C87" w:rsidRPr="00274339" w:rsidRDefault="00DA3C87" w:rsidP="00274339">
      <w:pPr>
        <w:pStyle w:val="Testonotaapidipagina"/>
        <w:ind w:right="1178"/>
        <w:jc w:val="both"/>
      </w:pPr>
      <w:r w:rsidRPr="00274339">
        <w:rPr>
          <w:rStyle w:val="Rimandonotaapidipagina"/>
        </w:rPr>
        <w:footnoteRef/>
      </w:r>
      <w:r w:rsidRPr="00274339">
        <w:t xml:space="preserve"> </w:t>
      </w:r>
      <w:r w:rsidRPr="00274339">
        <w:rPr>
          <w:bCs/>
        </w:rPr>
        <w:t xml:space="preserve">V., da ultimo, </w:t>
      </w:r>
      <w:r w:rsidRPr="00274339">
        <w:t xml:space="preserve">Trib. Milano, 4.2.2011, in </w:t>
      </w:r>
      <w:r w:rsidRPr="00274339">
        <w:rPr>
          <w:i/>
        </w:rPr>
        <w:t>ADL</w:t>
      </w:r>
      <w:r w:rsidR="002C2816" w:rsidRPr="00274339">
        <w:t>, 2011, 4-5, 990, secondo cui</w:t>
      </w:r>
      <w:r w:rsidRPr="00274339">
        <w:rPr>
          <w:bCs/>
        </w:rPr>
        <w:t>, al fine di riscontrare, nel frazionamento di un’unica attività fra i diversi soggetti del collegamento, una simulazione o una preordinazione in frode alla legge rileva l’esistenza di alcuni requisiti essenziali</w:t>
      </w:r>
      <w:r w:rsidR="002C2816" w:rsidRPr="00274339">
        <w:rPr>
          <w:bCs/>
        </w:rPr>
        <w:t>,</w:t>
      </w:r>
      <w:r w:rsidRPr="00274339">
        <w:rPr>
          <w:bCs/>
        </w:rPr>
        <w:t xml:space="preserve"> quali: a) “</w:t>
      </w:r>
      <w:r w:rsidRPr="00274339">
        <w:rPr>
          <w:bCs/>
          <w:i/>
        </w:rPr>
        <w:t>l’unicità della struttura organizzativa e produttiva</w:t>
      </w:r>
      <w:r w:rsidRPr="00274339">
        <w:rPr>
          <w:bCs/>
        </w:rPr>
        <w:t>”; b) “</w:t>
      </w:r>
      <w:r w:rsidRPr="00274339">
        <w:rPr>
          <w:bCs/>
          <w:i/>
        </w:rPr>
        <w:t>l’integrazione delle attività esercitate dalle varie imprese del gruppo e di un correlativo interesse</w:t>
      </w:r>
      <w:r w:rsidRPr="00274339">
        <w:rPr>
          <w:bCs/>
        </w:rPr>
        <w:t>”; c) “</w:t>
      </w:r>
      <w:r w:rsidRPr="00274339">
        <w:rPr>
          <w:bCs/>
          <w:i/>
        </w:rPr>
        <w:t>il coordinamento tecnico e amministrativo-finanziario tale da individuare un unico soggetto direttivo che faccia confluire le diverse attività dalle singole imprese verso uno scopo comune</w:t>
      </w:r>
      <w:r w:rsidRPr="00274339">
        <w:rPr>
          <w:bCs/>
        </w:rPr>
        <w:t>”; d) “</w:t>
      </w:r>
      <w:r w:rsidRPr="00274339">
        <w:rPr>
          <w:bCs/>
          <w:i/>
        </w:rPr>
        <w:t>l’utilizzazione contemporanea della prestazione lavorativa da parte delle diverse imprese</w:t>
      </w:r>
      <w:r w:rsidRPr="00274339">
        <w:rPr>
          <w:bCs/>
        </w:rPr>
        <w:t xml:space="preserve">”; similmente, Cass. 27.2.1995, n. 2261; Cass. 12.3.1996, n. 2008; Cass. 29.11.1996, n. 10688; Cass. 17.5.1997, n. 4418; Cass. 1.4.1999, n. </w:t>
      </w:r>
      <w:smartTag w:uri="urn:schemas-microsoft-com:office:smarttags" w:element="metricconverter">
        <w:smartTagPr>
          <w:attr w:name="ProductID" w:val="3136, in"/>
        </w:smartTagPr>
        <w:r w:rsidRPr="00274339">
          <w:rPr>
            <w:bCs/>
          </w:rPr>
          <w:t>3136, in</w:t>
        </w:r>
      </w:smartTag>
      <w:r w:rsidRPr="00274339">
        <w:rPr>
          <w:bCs/>
        </w:rPr>
        <w:t xml:space="preserve"> </w:t>
      </w:r>
      <w:r w:rsidRPr="00274339">
        <w:rPr>
          <w:bCs/>
          <w:i/>
        </w:rPr>
        <w:t>D&amp;L</w:t>
      </w:r>
      <w:r w:rsidRPr="00274339">
        <w:rPr>
          <w:bCs/>
        </w:rPr>
        <w:t xml:space="preserve">, 1999, 585; Cass. 25.10.2004, n. </w:t>
      </w:r>
      <w:smartTag w:uri="urn:schemas-microsoft-com:office:smarttags" w:element="metricconverter">
        <w:smartTagPr>
          <w:attr w:name="ProductID" w:val="20701, in"/>
        </w:smartTagPr>
        <w:r w:rsidRPr="00274339">
          <w:rPr>
            <w:bCs/>
          </w:rPr>
          <w:t>20701, in</w:t>
        </w:r>
      </w:smartTag>
      <w:r w:rsidRPr="00274339">
        <w:rPr>
          <w:bCs/>
        </w:rPr>
        <w:t xml:space="preserve"> </w:t>
      </w:r>
      <w:r w:rsidRPr="00274339">
        <w:rPr>
          <w:bCs/>
          <w:i/>
        </w:rPr>
        <w:t xml:space="preserve">Banca Dati De </w:t>
      </w:r>
      <w:proofErr w:type="spellStart"/>
      <w:r w:rsidRPr="00274339">
        <w:rPr>
          <w:bCs/>
          <w:i/>
        </w:rPr>
        <w:t>Jure</w:t>
      </w:r>
      <w:proofErr w:type="spellEnd"/>
      <w:r w:rsidRPr="00274339">
        <w:rPr>
          <w:bCs/>
        </w:rPr>
        <w:t xml:space="preserve">; tra le sentenze di merito, v. </w:t>
      </w:r>
      <w:proofErr w:type="spellStart"/>
      <w:r w:rsidRPr="00274339">
        <w:rPr>
          <w:bCs/>
        </w:rPr>
        <w:t>Pret</w:t>
      </w:r>
      <w:proofErr w:type="spellEnd"/>
      <w:r w:rsidRPr="00274339">
        <w:rPr>
          <w:bCs/>
        </w:rPr>
        <w:t xml:space="preserve">. Catania 21.5.1998, in </w:t>
      </w:r>
      <w:r w:rsidRPr="00274339">
        <w:rPr>
          <w:bCs/>
          <w:i/>
        </w:rPr>
        <w:t>D&amp;L</w:t>
      </w:r>
      <w:r w:rsidRPr="00274339">
        <w:rPr>
          <w:bCs/>
        </w:rPr>
        <w:t xml:space="preserve">, 1998, 2, 36; Trib. Roma 20.11.2002, in </w:t>
      </w:r>
      <w:r w:rsidRPr="00274339">
        <w:rPr>
          <w:bCs/>
          <w:i/>
        </w:rPr>
        <w:t xml:space="preserve">Lav. nella </w:t>
      </w:r>
      <w:proofErr w:type="gramStart"/>
      <w:r w:rsidRPr="00274339">
        <w:rPr>
          <w:bCs/>
          <w:i/>
        </w:rPr>
        <w:t>Giur.</w:t>
      </w:r>
      <w:r w:rsidRPr="00274339">
        <w:rPr>
          <w:bCs/>
        </w:rPr>
        <w:t>,</w:t>
      </w:r>
      <w:proofErr w:type="gramEnd"/>
      <w:r w:rsidRPr="00274339">
        <w:rPr>
          <w:bCs/>
        </w:rPr>
        <w:t xml:space="preserve"> 2003; Trib. Milano 14.1.2003, in </w:t>
      </w:r>
      <w:r w:rsidRPr="00274339">
        <w:rPr>
          <w:bCs/>
          <w:i/>
        </w:rPr>
        <w:t xml:space="preserve">Lav. nella </w:t>
      </w:r>
      <w:proofErr w:type="gramStart"/>
      <w:r w:rsidRPr="00274339">
        <w:rPr>
          <w:bCs/>
          <w:i/>
        </w:rPr>
        <w:t>Giur</w:t>
      </w:r>
      <w:r w:rsidRPr="00274339">
        <w:rPr>
          <w:bCs/>
        </w:rPr>
        <w:t>.,</w:t>
      </w:r>
      <w:proofErr w:type="gramEnd"/>
      <w:r w:rsidRPr="00274339">
        <w:rPr>
          <w:bCs/>
        </w:rPr>
        <w:t xml:space="preserve"> 2003, 692</w:t>
      </w:r>
      <w:r w:rsidR="00BC734E">
        <w:rPr>
          <w:bCs/>
        </w:rPr>
        <w:t>.</w:t>
      </w:r>
    </w:p>
  </w:footnote>
  <w:footnote w:id="43">
    <w:p w:rsidR="00DA3C87" w:rsidRPr="00274339" w:rsidRDefault="00DA3C87" w:rsidP="00274339">
      <w:pPr>
        <w:tabs>
          <w:tab w:val="left" w:pos="9000"/>
        </w:tabs>
        <w:autoSpaceDE w:val="0"/>
        <w:autoSpaceDN w:val="0"/>
        <w:adjustRightInd w:val="0"/>
        <w:ind w:right="1178"/>
        <w:jc w:val="both"/>
        <w:rPr>
          <w:sz w:val="20"/>
          <w:szCs w:val="20"/>
        </w:rPr>
      </w:pPr>
      <w:r w:rsidRPr="00274339">
        <w:rPr>
          <w:rStyle w:val="Rimandonotaapidipagina"/>
          <w:sz w:val="20"/>
          <w:szCs w:val="20"/>
        </w:rPr>
        <w:footnoteRef/>
      </w:r>
      <w:r w:rsidRPr="00274339">
        <w:rPr>
          <w:sz w:val="20"/>
          <w:szCs w:val="20"/>
        </w:rPr>
        <w:t xml:space="preserve"> V. Cass. 22.3.2010, n. </w:t>
      </w:r>
      <w:smartTag w:uri="urn:schemas-microsoft-com:office:smarttags" w:element="metricconverter">
        <w:smartTagPr>
          <w:attr w:name="ProductID" w:val="6843, in"/>
        </w:smartTagPr>
        <w:r w:rsidRPr="00274339">
          <w:rPr>
            <w:sz w:val="20"/>
            <w:szCs w:val="20"/>
          </w:rPr>
          <w:t>6843, in</w:t>
        </w:r>
      </w:smartTag>
      <w:r w:rsidRPr="00274339">
        <w:rPr>
          <w:sz w:val="20"/>
          <w:szCs w:val="20"/>
        </w:rPr>
        <w:t xml:space="preserve"> </w:t>
      </w:r>
      <w:proofErr w:type="spellStart"/>
      <w:r w:rsidRPr="00274339">
        <w:rPr>
          <w:i/>
          <w:sz w:val="20"/>
          <w:szCs w:val="20"/>
        </w:rPr>
        <w:t>Giust.Civ.Mass</w:t>
      </w:r>
      <w:proofErr w:type="spellEnd"/>
      <w:r w:rsidRPr="00274339">
        <w:rPr>
          <w:i/>
          <w:sz w:val="20"/>
          <w:szCs w:val="20"/>
        </w:rPr>
        <w:t>.</w:t>
      </w:r>
      <w:r w:rsidRPr="00274339">
        <w:rPr>
          <w:sz w:val="20"/>
          <w:szCs w:val="20"/>
        </w:rPr>
        <w:t>, 2010, 3, ma si tratta di una massima richiamata, pur con qualche leggera sfumatura, da tutte le sentenze</w:t>
      </w:r>
      <w:r w:rsidR="002C2816" w:rsidRPr="00274339">
        <w:rPr>
          <w:sz w:val="20"/>
          <w:szCs w:val="20"/>
        </w:rPr>
        <w:t xml:space="preserve"> citate nella successiva nota 46</w:t>
      </w:r>
      <w:r w:rsidRPr="00274339">
        <w:rPr>
          <w:sz w:val="20"/>
          <w:szCs w:val="20"/>
        </w:rPr>
        <w:t>.</w:t>
      </w:r>
    </w:p>
  </w:footnote>
  <w:footnote w:id="44">
    <w:p w:rsidR="00DA3C87" w:rsidRPr="00D305D2" w:rsidRDefault="00DA3C87" w:rsidP="00274339">
      <w:pPr>
        <w:pStyle w:val="Testonotaapidipagina"/>
        <w:tabs>
          <w:tab w:val="left" w:pos="9000"/>
        </w:tabs>
        <w:ind w:right="1178"/>
        <w:jc w:val="both"/>
        <w:rPr>
          <w:lang w:val="en-GB"/>
        </w:rPr>
      </w:pPr>
      <w:r w:rsidRPr="00274339">
        <w:rPr>
          <w:rStyle w:val="Rimandonotaapidipagina"/>
        </w:rPr>
        <w:footnoteRef/>
      </w:r>
      <w:r w:rsidRPr="00274339">
        <w:rPr>
          <w:lang w:val="en-GB"/>
        </w:rPr>
        <w:t xml:space="preserve"> </w:t>
      </w:r>
      <w:proofErr w:type="spellStart"/>
      <w:r w:rsidRPr="00274339">
        <w:rPr>
          <w:bCs/>
          <w:lang w:val="en-GB"/>
        </w:rPr>
        <w:t>Cfr</w:t>
      </w:r>
      <w:proofErr w:type="spellEnd"/>
      <w:r w:rsidRPr="00274339">
        <w:rPr>
          <w:bCs/>
          <w:lang w:val="en-GB"/>
        </w:rPr>
        <w:t xml:space="preserve">. Cass. 5.4.1990, n. </w:t>
      </w:r>
      <w:smartTag w:uri="urn:schemas-microsoft-com:office:smarttags" w:element="metricconverter">
        <w:smartTagPr>
          <w:attr w:name="ProductID" w:val="2831, in"/>
        </w:smartTagPr>
        <w:r w:rsidRPr="00274339">
          <w:rPr>
            <w:bCs/>
            <w:lang w:val="en-GB"/>
          </w:rPr>
          <w:t>2831, in</w:t>
        </w:r>
      </w:smartTag>
      <w:r w:rsidRPr="00274339">
        <w:rPr>
          <w:bCs/>
          <w:lang w:val="en-GB"/>
        </w:rPr>
        <w:t xml:space="preserve"> </w:t>
      </w:r>
      <w:proofErr w:type="spellStart"/>
      <w:proofErr w:type="gramStart"/>
      <w:r w:rsidRPr="00274339">
        <w:rPr>
          <w:bCs/>
          <w:i/>
          <w:lang w:val="en-GB"/>
        </w:rPr>
        <w:t>Not.Giur.Lav</w:t>
      </w:r>
      <w:proofErr w:type="spellEnd"/>
      <w:r w:rsidRPr="00274339">
        <w:rPr>
          <w:bCs/>
          <w:i/>
          <w:lang w:val="en-GB"/>
        </w:rPr>
        <w:t>.</w:t>
      </w:r>
      <w:r w:rsidRPr="00274339">
        <w:rPr>
          <w:bCs/>
          <w:lang w:val="en-GB"/>
        </w:rPr>
        <w:t>,</w:t>
      </w:r>
      <w:proofErr w:type="gramEnd"/>
      <w:r w:rsidRPr="00274339">
        <w:rPr>
          <w:bCs/>
          <w:lang w:val="en-GB"/>
        </w:rPr>
        <w:t xml:space="preserve"> 1990, 188; Cass. 9.11.1992, n. </w:t>
      </w:r>
      <w:smartTag w:uri="urn:schemas-microsoft-com:office:smarttags" w:element="metricconverter">
        <w:smartTagPr>
          <w:attr w:name="ProductID" w:val="12053, in"/>
        </w:smartTagPr>
        <w:r w:rsidRPr="00274339">
          <w:rPr>
            <w:bCs/>
            <w:lang w:val="en-GB"/>
          </w:rPr>
          <w:t>12053, in</w:t>
        </w:r>
      </w:smartTag>
      <w:r w:rsidRPr="00274339">
        <w:rPr>
          <w:bCs/>
          <w:lang w:val="en-GB"/>
        </w:rPr>
        <w:t xml:space="preserve"> </w:t>
      </w:r>
      <w:proofErr w:type="spellStart"/>
      <w:r w:rsidRPr="00274339">
        <w:rPr>
          <w:bCs/>
          <w:i/>
          <w:lang w:val="en-GB"/>
        </w:rPr>
        <w:t>Foro</w:t>
      </w:r>
      <w:proofErr w:type="spellEnd"/>
      <w:r w:rsidRPr="00274339">
        <w:rPr>
          <w:bCs/>
          <w:i/>
          <w:lang w:val="en-GB"/>
        </w:rPr>
        <w:t xml:space="preserve"> </w:t>
      </w:r>
      <w:proofErr w:type="gramStart"/>
      <w:r w:rsidRPr="00274339">
        <w:rPr>
          <w:bCs/>
          <w:i/>
          <w:lang w:val="en-GB"/>
        </w:rPr>
        <w:t>it</w:t>
      </w:r>
      <w:proofErr w:type="gramEnd"/>
      <w:r w:rsidRPr="00274339">
        <w:rPr>
          <w:bCs/>
          <w:i/>
          <w:lang w:val="en-GB"/>
        </w:rPr>
        <w:t>.</w:t>
      </w:r>
      <w:r w:rsidRPr="00274339">
        <w:rPr>
          <w:bCs/>
          <w:lang w:val="en-GB"/>
        </w:rPr>
        <w:t xml:space="preserve">, 1993, I, 2245; Cass. 27.2.1995, n. </w:t>
      </w:r>
      <w:smartTag w:uri="urn:schemas-microsoft-com:office:smarttags" w:element="metricconverter">
        <w:smartTagPr>
          <w:attr w:name="ProductID" w:val="2261, in"/>
        </w:smartTagPr>
        <w:r w:rsidRPr="00274339">
          <w:rPr>
            <w:bCs/>
            <w:lang w:val="en-GB"/>
          </w:rPr>
          <w:t>2261, in</w:t>
        </w:r>
      </w:smartTag>
      <w:r w:rsidRPr="00274339">
        <w:rPr>
          <w:bCs/>
          <w:lang w:val="en-GB"/>
        </w:rPr>
        <w:t xml:space="preserve"> </w:t>
      </w:r>
      <w:proofErr w:type="spellStart"/>
      <w:r w:rsidR="00935841">
        <w:rPr>
          <w:bCs/>
          <w:i/>
          <w:lang w:val="en-GB"/>
        </w:rPr>
        <w:t>Not.</w:t>
      </w:r>
      <w:r w:rsidRPr="00D305D2">
        <w:rPr>
          <w:bCs/>
          <w:i/>
          <w:lang w:val="en-GB"/>
        </w:rPr>
        <w:t>Giur</w:t>
      </w:r>
      <w:proofErr w:type="spellEnd"/>
      <w:r w:rsidRPr="00D305D2">
        <w:rPr>
          <w:bCs/>
          <w:i/>
          <w:lang w:val="en-GB"/>
        </w:rPr>
        <w:t>. Lav.</w:t>
      </w:r>
      <w:r w:rsidRPr="00D305D2">
        <w:rPr>
          <w:bCs/>
          <w:lang w:val="en-GB"/>
        </w:rPr>
        <w:t>, 1995, 381.</w:t>
      </w:r>
    </w:p>
  </w:footnote>
  <w:footnote w:id="45">
    <w:p w:rsidR="00DA3C87" w:rsidRPr="00274339" w:rsidRDefault="00DA3C87" w:rsidP="00274339">
      <w:pPr>
        <w:pStyle w:val="Testonotaapidipagina"/>
        <w:tabs>
          <w:tab w:val="left" w:pos="9000"/>
        </w:tabs>
        <w:ind w:right="1178"/>
        <w:jc w:val="both"/>
      </w:pPr>
      <w:r w:rsidRPr="00274339">
        <w:rPr>
          <w:rStyle w:val="Rimandonotaapidipagina"/>
        </w:rPr>
        <w:footnoteRef/>
      </w:r>
      <w:r w:rsidRPr="00274339">
        <w:t xml:space="preserve"> </w:t>
      </w:r>
      <w:r w:rsidRPr="00274339">
        <w:rPr>
          <w:bCs/>
        </w:rPr>
        <w:t xml:space="preserve">Cfr. Cass. 12.8.1992, n. </w:t>
      </w:r>
      <w:smartTag w:uri="urn:schemas-microsoft-com:office:smarttags" w:element="metricconverter">
        <w:smartTagPr>
          <w:attr w:name="ProductID" w:val="9517, in"/>
        </w:smartTagPr>
        <w:r w:rsidRPr="00274339">
          <w:rPr>
            <w:bCs/>
          </w:rPr>
          <w:t>9517, in</w:t>
        </w:r>
      </w:smartTag>
      <w:r w:rsidRPr="00274339">
        <w:rPr>
          <w:bCs/>
        </w:rPr>
        <w:t xml:space="preserve"> </w:t>
      </w:r>
      <w:r w:rsidRPr="00274339">
        <w:rPr>
          <w:bCs/>
          <w:i/>
        </w:rPr>
        <w:t xml:space="preserve">Banca Dati De </w:t>
      </w:r>
      <w:proofErr w:type="spellStart"/>
      <w:r w:rsidRPr="00274339">
        <w:rPr>
          <w:bCs/>
          <w:i/>
        </w:rPr>
        <w:t>Jure</w:t>
      </w:r>
      <w:proofErr w:type="spellEnd"/>
      <w:r w:rsidRPr="00274339">
        <w:rPr>
          <w:bCs/>
        </w:rPr>
        <w:t>. La necessità di una prova oltremodo rigorosa di tale requisito discenderebbe dal fatto che “</w:t>
      </w:r>
      <w:r w:rsidRPr="00274339">
        <w:rPr>
          <w:bCs/>
          <w:i/>
        </w:rPr>
        <w:t>si tratterebbe di invalidare le conseguenze naturalmente ricollegabili alla distinta ed autonoma personalità giuridica di ogni società, ossia a far prevalere la realtà di fatto sull’apparenza giuridica</w:t>
      </w:r>
      <w:r w:rsidRPr="00274339">
        <w:rPr>
          <w:bCs/>
        </w:rPr>
        <w:t xml:space="preserve">” (così in Cass. 1.11.1999, n. </w:t>
      </w:r>
      <w:smartTag w:uri="urn:schemas-microsoft-com:office:smarttags" w:element="metricconverter">
        <w:smartTagPr>
          <w:attr w:name="ProductID" w:val="12492, in"/>
        </w:smartTagPr>
        <w:r w:rsidRPr="00274339">
          <w:rPr>
            <w:bCs/>
          </w:rPr>
          <w:t>12492, in</w:t>
        </w:r>
      </w:smartTag>
      <w:r w:rsidRPr="00274339">
        <w:rPr>
          <w:bCs/>
        </w:rPr>
        <w:t xml:space="preserve"> </w:t>
      </w:r>
      <w:r w:rsidRPr="00274339">
        <w:rPr>
          <w:bCs/>
          <w:i/>
        </w:rPr>
        <w:t xml:space="preserve">Banca Dati De </w:t>
      </w:r>
      <w:proofErr w:type="spellStart"/>
      <w:r w:rsidRPr="00274339">
        <w:rPr>
          <w:bCs/>
          <w:i/>
        </w:rPr>
        <w:t>Jure</w:t>
      </w:r>
      <w:proofErr w:type="spellEnd"/>
      <w:r w:rsidRPr="00274339">
        <w:rPr>
          <w:bCs/>
        </w:rPr>
        <w:t xml:space="preserve">); nello stesso senso, Cass. 8.8.1987, n. 6848; Cass. 7.7.1994, n. </w:t>
      </w:r>
      <w:smartTag w:uri="urn:schemas-microsoft-com:office:smarttags" w:element="metricconverter">
        <w:smartTagPr>
          <w:attr w:name="ProductID" w:val="6420, in"/>
        </w:smartTagPr>
        <w:r w:rsidRPr="00274339">
          <w:rPr>
            <w:bCs/>
          </w:rPr>
          <w:t>6420, in</w:t>
        </w:r>
      </w:smartTag>
      <w:r w:rsidRPr="00274339">
        <w:rPr>
          <w:bCs/>
        </w:rPr>
        <w:t xml:space="preserve"> </w:t>
      </w:r>
      <w:r w:rsidRPr="00274339">
        <w:rPr>
          <w:bCs/>
          <w:i/>
        </w:rPr>
        <w:t>D&amp;L</w:t>
      </w:r>
      <w:r w:rsidRPr="00274339">
        <w:rPr>
          <w:bCs/>
        </w:rPr>
        <w:t xml:space="preserve">, 1995, 688; Cass. 10.11.1997, n. </w:t>
      </w:r>
      <w:smartTag w:uri="urn:schemas-microsoft-com:office:smarttags" w:element="metricconverter">
        <w:smartTagPr>
          <w:attr w:name="ProductID" w:val="11092, in"/>
        </w:smartTagPr>
        <w:r w:rsidRPr="00274339">
          <w:rPr>
            <w:bCs/>
          </w:rPr>
          <w:t>11092, in</w:t>
        </w:r>
      </w:smartTag>
      <w:r w:rsidRPr="00274339">
        <w:rPr>
          <w:bCs/>
        </w:rPr>
        <w:t xml:space="preserve"> </w:t>
      </w:r>
      <w:proofErr w:type="spellStart"/>
      <w:r w:rsidRPr="00274339">
        <w:rPr>
          <w:bCs/>
          <w:i/>
        </w:rPr>
        <w:t>Riv.It.Dir.Lav</w:t>
      </w:r>
      <w:proofErr w:type="spellEnd"/>
      <w:r w:rsidRPr="00274339">
        <w:rPr>
          <w:bCs/>
          <w:i/>
        </w:rPr>
        <w:t>.</w:t>
      </w:r>
      <w:r w:rsidRPr="00274339">
        <w:rPr>
          <w:bCs/>
        </w:rPr>
        <w:t xml:space="preserve">, 1998, 303; Cass. 10.11.1999, n. </w:t>
      </w:r>
      <w:smartTag w:uri="urn:schemas-microsoft-com:office:smarttags" w:element="metricconverter">
        <w:smartTagPr>
          <w:attr w:name="ProductID" w:val="12492, in"/>
        </w:smartTagPr>
        <w:r w:rsidRPr="00274339">
          <w:rPr>
            <w:bCs/>
          </w:rPr>
          <w:t>12492, in</w:t>
        </w:r>
      </w:smartTag>
      <w:r w:rsidRPr="00274339">
        <w:rPr>
          <w:bCs/>
        </w:rPr>
        <w:t xml:space="preserve"> </w:t>
      </w:r>
      <w:r w:rsidRPr="00274339">
        <w:rPr>
          <w:bCs/>
          <w:i/>
        </w:rPr>
        <w:t>D&amp;L</w:t>
      </w:r>
      <w:r w:rsidRPr="00274339">
        <w:rPr>
          <w:bCs/>
        </w:rPr>
        <w:t xml:space="preserve">, 2000, 160; Cass. 6.4.2004, n. </w:t>
      </w:r>
      <w:smartTag w:uri="urn:schemas-microsoft-com:office:smarttags" w:element="metricconverter">
        <w:smartTagPr>
          <w:attr w:name="ProductID" w:val="6707, in"/>
        </w:smartTagPr>
        <w:r w:rsidRPr="00274339">
          <w:rPr>
            <w:bCs/>
          </w:rPr>
          <w:t>6707, in</w:t>
        </w:r>
      </w:smartTag>
      <w:r w:rsidRPr="00274339">
        <w:rPr>
          <w:bCs/>
        </w:rPr>
        <w:t xml:space="preserve"> </w:t>
      </w:r>
      <w:r w:rsidRPr="00274339">
        <w:rPr>
          <w:bCs/>
          <w:i/>
        </w:rPr>
        <w:t>Banca Dati De Iure</w:t>
      </w:r>
      <w:r w:rsidRPr="00274339">
        <w:rPr>
          <w:bCs/>
        </w:rPr>
        <w:t>.</w:t>
      </w:r>
    </w:p>
  </w:footnote>
  <w:footnote w:id="46">
    <w:p w:rsidR="00DA3C87" w:rsidRPr="00274339" w:rsidRDefault="00DA3C87" w:rsidP="00274339">
      <w:pPr>
        <w:pStyle w:val="Testonotaapidipagina"/>
        <w:ind w:right="1178"/>
        <w:jc w:val="both"/>
      </w:pPr>
      <w:r w:rsidRPr="00274339">
        <w:rPr>
          <w:rStyle w:val="Rimandonotaapidipagina"/>
        </w:rPr>
        <w:footnoteRef/>
      </w:r>
      <w:r w:rsidRPr="00274339">
        <w:t xml:space="preserve"> </w:t>
      </w:r>
      <w:r w:rsidRPr="00274339">
        <w:rPr>
          <w:bCs/>
        </w:rPr>
        <w:t>Ed infatti la giurisprudenza di merito prevalente (</w:t>
      </w:r>
      <w:r w:rsidR="00D305D2">
        <w:t>v</w:t>
      </w:r>
      <w:r w:rsidRPr="00274339">
        <w:t xml:space="preserve">. </w:t>
      </w:r>
      <w:proofErr w:type="spellStart"/>
      <w:r w:rsidRPr="00274339">
        <w:t>Pret</w:t>
      </w:r>
      <w:proofErr w:type="spellEnd"/>
      <w:r w:rsidRPr="00274339">
        <w:t xml:space="preserve">. Milano 11.12.1995, in </w:t>
      </w:r>
      <w:r w:rsidRPr="00274339">
        <w:rPr>
          <w:i/>
        </w:rPr>
        <w:t>D&amp;</w:t>
      </w:r>
      <w:r w:rsidRPr="00274339">
        <w:t xml:space="preserve">L, 1996, 510; Trib. Venezia 6.10.2000, in </w:t>
      </w:r>
      <w:r w:rsidRPr="00274339">
        <w:rPr>
          <w:i/>
        </w:rPr>
        <w:t>D&amp;</w:t>
      </w:r>
      <w:r w:rsidRPr="00274339">
        <w:t xml:space="preserve">L, 2001, 503; Trib. Genova 19.4.2001, in </w:t>
      </w:r>
      <w:r w:rsidRPr="00274339">
        <w:rPr>
          <w:i/>
        </w:rPr>
        <w:t>RGL</w:t>
      </w:r>
      <w:r w:rsidRPr="00274339">
        <w:t xml:space="preserve">, 2002, 295; Trib. Milano 14.3.2003, in </w:t>
      </w:r>
      <w:r w:rsidRPr="00274339">
        <w:rPr>
          <w:i/>
        </w:rPr>
        <w:t>D&amp;L</w:t>
      </w:r>
      <w:r w:rsidRPr="00274339">
        <w:t xml:space="preserve">, 2003, 787; Trib. Monza 28.4.2004, in </w:t>
      </w:r>
      <w:proofErr w:type="spellStart"/>
      <w:r w:rsidRPr="00274339">
        <w:rPr>
          <w:i/>
        </w:rPr>
        <w:t>Riv.It.Dir.Lav</w:t>
      </w:r>
      <w:proofErr w:type="spellEnd"/>
      <w:r w:rsidRPr="00274339">
        <w:rPr>
          <w:i/>
        </w:rPr>
        <w:t>.</w:t>
      </w:r>
      <w:r w:rsidRPr="00274339">
        <w:t xml:space="preserve">, 2004, 540) </w:t>
      </w:r>
      <w:r w:rsidR="00D305D2">
        <w:rPr>
          <w:bCs/>
        </w:rPr>
        <w:t>e</w:t>
      </w:r>
      <w:r w:rsidRPr="00274339">
        <w:rPr>
          <w:bCs/>
        </w:rPr>
        <w:t>d a</w:t>
      </w:r>
      <w:r w:rsidR="00D305D2">
        <w:rPr>
          <w:bCs/>
        </w:rPr>
        <w:t>lcune pronunce di legittimità (v</w:t>
      </w:r>
      <w:r w:rsidRPr="00274339">
        <w:rPr>
          <w:bCs/>
        </w:rPr>
        <w:t xml:space="preserve">. Cass. 22.2.1995, n. </w:t>
      </w:r>
      <w:smartTag w:uri="urn:schemas-microsoft-com:office:smarttags" w:element="metricconverter">
        <w:smartTagPr>
          <w:attr w:name="ProductID" w:val="2008, in"/>
        </w:smartTagPr>
        <w:r w:rsidRPr="00274339">
          <w:rPr>
            <w:bCs/>
          </w:rPr>
          <w:t>2008, in</w:t>
        </w:r>
      </w:smartTag>
      <w:r w:rsidRPr="00274339">
        <w:rPr>
          <w:bCs/>
        </w:rPr>
        <w:t xml:space="preserve"> </w:t>
      </w:r>
      <w:r w:rsidRPr="00274339">
        <w:rPr>
          <w:bCs/>
          <w:i/>
        </w:rPr>
        <w:t>D&amp;L</w:t>
      </w:r>
      <w:r w:rsidRPr="00274339">
        <w:rPr>
          <w:bCs/>
        </w:rPr>
        <w:t xml:space="preserve">, 1995, 998; Cass. 28.8.2000, n. 11275, in </w:t>
      </w:r>
      <w:r w:rsidR="00EF2170">
        <w:rPr>
          <w:bCs/>
          <w:i/>
        </w:rPr>
        <w:t xml:space="preserve">Rep. </w:t>
      </w:r>
      <w:r w:rsidRPr="00274339">
        <w:rPr>
          <w:bCs/>
          <w:i/>
        </w:rPr>
        <w:t xml:space="preserve">Foro </w:t>
      </w:r>
      <w:proofErr w:type="spellStart"/>
      <w:proofErr w:type="gramStart"/>
      <w:r w:rsidRPr="00274339">
        <w:rPr>
          <w:bCs/>
          <w:i/>
        </w:rPr>
        <w:t>it</w:t>
      </w:r>
      <w:proofErr w:type="spellEnd"/>
      <w:r w:rsidRPr="00274339">
        <w:rPr>
          <w:bCs/>
          <w:i/>
        </w:rPr>
        <w:t>.</w:t>
      </w:r>
      <w:r w:rsidRPr="00274339">
        <w:rPr>
          <w:bCs/>
        </w:rPr>
        <w:t>,</w:t>
      </w:r>
      <w:proofErr w:type="gramEnd"/>
      <w:r w:rsidRPr="00274339">
        <w:rPr>
          <w:bCs/>
        </w:rPr>
        <w:t xml:space="preserve"> 2000, </w:t>
      </w:r>
      <w:r w:rsidR="00EF2170">
        <w:rPr>
          <w:bCs/>
        </w:rPr>
        <w:t xml:space="preserve">voce </w:t>
      </w:r>
      <w:r w:rsidR="00584FB3">
        <w:rPr>
          <w:bCs/>
          <w:i/>
        </w:rPr>
        <w:t>L</w:t>
      </w:r>
      <w:r w:rsidR="00EF2170">
        <w:rPr>
          <w:bCs/>
          <w:i/>
        </w:rPr>
        <w:t>avoro (rapporto)</w:t>
      </w:r>
      <w:r w:rsidR="00EF2170">
        <w:rPr>
          <w:bCs/>
        </w:rPr>
        <w:t xml:space="preserve">, n. </w:t>
      </w:r>
      <w:r w:rsidRPr="00274339">
        <w:rPr>
          <w:bCs/>
        </w:rPr>
        <w:t xml:space="preserve">1601; Cass. 14.11.2005, n. </w:t>
      </w:r>
      <w:smartTag w:uri="urn:schemas-microsoft-com:office:smarttags" w:element="metricconverter">
        <w:smartTagPr>
          <w:attr w:name="ProductID" w:val="22927, in"/>
        </w:smartTagPr>
        <w:r w:rsidRPr="00274339">
          <w:rPr>
            <w:bCs/>
          </w:rPr>
          <w:t>22927, in</w:t>
        </w:r>
      </w:smartTag>
      <w:r w:rsidRPr="00274339">
        <w:rPr>
          <w:bCs/>
        </w:rPr>
        <w:t xml:space="preserve"> </w:t>
      </w:r>
      <w:r w:rsidRPr="00274339">
        <w:rPr>
          <w:bCs/>
          <w:i/>
        </w:rPr>
        <w:t>Orientamenti</w:t>
      </w:r>
      <w:r w:rsidRPr="00274339">
        <w:rPr>
          <w:bCs/>
        </w:rPr>
        <w:t xml:space="preserve">, 2005, I, 796, con nota di V. Matto, </w:t>
      </w:r>
      <w:r w:rsidRPr="00274339">
        <w:rPr>
          <w:bCs/>
          <w:i/>
        </w:rPr>
        <w:t>Collegamento economico-funzionale fra diverse imprese ed unicità del centro di imputazione del rapporto di lavoro</w:t>
      </w:r>
      <w:r w:rsidR="00D305D2">
        <w:rPr>
          <w:bCs/>
        </w:rPr>
        <w:t>) ritengono</w:t>
      </w:r>
      <w:r w:rsidRPr="00274339">
        <w:rPr>
          <w:bCs/>
        </w:rPr>
        <w:t xml:space="preserve"> sufficiente, ai fini dell’accertamento della sussistenza di un gruppo, la presenza dei requisiti “</w:t>
      </w:r>
      <w:r w:rsidRPr="00274339">
        <w:rPr>
          <w:bCs/>
          <w:i/>
        </w:rPr>
        <w:t>dell’unicità della struttura</w:t>
      </w:r>
      <w:r w:rsidRPr="00274339">
        <w:rPr>
          <w:bCs/>
        </w:rPr>
        <w:t xml:space="preserve"> </w:t>
      </w:r>
      <w:r w:rsidRPr="00274339">
        <w:rPr>
          <w:bCs/>
          <w:i/>
        </w:rPr>
        <w:t>produttiva, dell’integrazione tra attività esercitate dalle singole imprese, del coordinamento tecnico e amministrativo-finanziario, dell’utilizzazione contemporanea della prestazione lavorativa</w:t>
      </w:r>
      <w:r w:rsidRPr="00274339">
        <w:rPr>
          <w:bCs/>
        </w:rPr>
        <w:t>”, e ciò, si badi, “</w:t>
      </w:r>
      <w:r w:rsidRPr="00274339">
        <w:rPr>
          <w:bCs/>
          <w:i/>
        </w:rPr>
        <w:t>indipendentemente dalla liceità o meno del fine seguito</w:t>
      </w:r>
      <w:r w:rsidRPr="00274339">
        <w:rPr>
          <w:bCs/>
        </w:rPr>
        <w:t>”.</w:t>
      </w:r>
    </w:p>
  </w:footnote>
  <w:footnote w:id="47">
    <w:p w:rsidR="00DA3C87" w:rsidRPr="00274339" w:rsidRDefault="00DA3C87" w:rsidP="00274339">
      <w:pPr>
        <w:pStyle w:val="Testonotaapidipagina"/>
        <w:ind w:right="1178"/>
        <w:jc w:val="both"/>
      </w:pPr>
      <w:r w:rsidRPr="00274339">
        <w:rPr>
          <w:rStyle w:val="Rimandonotaapidipagina"/>
        </w:rPr>
        <w:footnoteRef/>
      </w:r>
      <w:r w:rsidRPr="00274339">
        <w:t xml:space="preserve"> Circa la rilevanza del Gruppo ai fini dell’accertamento del requisito dimensionale previsto dall’</w:t>
      </w:r>
      <w:r w:rsidRPr="00274339">
        <w:rPr>
          <w:bCs/>
        </w:rPr>
        <w:t xml:space="preserve">art. 18 S.L., v., da ultimo, Cass. 22.3.2010, n. </w:t>
      </w:r>
      <w:smartTag w:uri="urn:schemas-microsoft-com:office:smarttags" w:element="metricconverter">
        <w:smartTagPr>
          <w:attr w:name="ProductID" w:val="6843, in"/>
        </w:smartTagPr>
        <w:r w:rsidRPr="00274339">
          <w:rPr>
            <w:bCs/>
          </w:rPr>
          <w:t>6843, in</w:t>
        </w:r>
      </w:smartTag>
      <w:r w:rsidRPr="00274339">
        <w:rPr>
          <w:bCs/>
        </w:rPr>
        <w:t xml:space="preserve"> </w:t>
      </w:r>
      <w:proofErr w:type="spellStart"/>
      <w:r w:rsidRPr="00274339">
        <w:rPr>
          <w:bCs/>
          <w:i/>
        </w:rPr>
        <w:t>Mass.Giur.Lav</w:t>
      </w:r>
      <w:proofErr w:type="spellEnd"/>
      <w:r w:rsidRPr="00274339">
        <w:rPr>
          <w:bCs/>
          <w:i/>
        </w:rPr>
        <w:t>.</w:t>
      </w:r>
      <w:r w:rsidRPr="00274339">
        <w:rPr>
          <w:bCs/>
        </w:rPr>
        <w:t xml:space="preserve">, 2010, 3; nello stesso senso Cass. 23.8.2000, n. </w:t>
      </w:r>
      <w:smartTag w:uri="urn:schemas-microsoft-com:office:smarttags" w:element="metricconverter">
        <w:smartTagPr>
          <w:attr w:name="ProductID" w:val="11033, in"/>
        </w:smartTagPr>
        <w:r w:rsidRPr="00274339">
          <w:rPr>
            <w:bCs/>
          </w:rPr>
          <w:t>11033, in</w:t>
        </w:r>
      </w:smartTag>
      <w:r w:rsidRPr="00274339">
        <w:rPr>
          <w:bCs/>
        </w:rPr>
        <w:t xml:space="preserve"> </w:t>
      </w:r>
      <w:r w:rsidRPr="00274339">
        <w:rPr>
          <w:bCs/>
          <w:i/>
        </w:rPr>
        <w:t xml:space="preserve">Banca Dati De </w:t>
      </w:r>
      <w:proofErr w:type="spellStart"/>
      <w:r w:rsidRPr="00274339">
        <w:rPr>
          <w:bCs/>
          <w:i/>
        </w:rPr>
        <w:t>Jure</w:t>
      </w:r>
      <w:proofErr w:type="spellEnd"/>
      <w:r w:rsidRPr="00274339">
        <w:rPr>
          <w:bCs/>
        </w:rPr>
        <w:t xml:space="preserve">; Cass. 23.3.2004, n. </w:t>
      </w:r>
      <w:smartTag w:uri="urn:schemas-microsoft-com:office:smarttags" w:element="metricconverter">
        <w:smartTagPr>
          <w:attr w:name="ProductID" w:val="5808, in"/>
        </w:smartTagPr>
        <w:r w:rsidRPr="00274339">
          <w:rPr>
            <w:bCs/>
          </w:rPr>
          <w:t>5808, in</w:t>
        </w:r>
      </w:smartTag>
      <w:r w:rsidRPr="00274339">
        <w:rPr>
          <w:bCs/>
        </w:rPr>
        <w:t xml:space="preserve"> </w:t>
      </w:r>
      <w:r w:rsidRPr="00274339">
        <w:rPr>
          <w:bCs/>
          <w:i/>
        </w:rPr>
        <w:t xml:space="preserve">Banca Dati De </w:t>
      </w:r>
      <w:proofErr w:type="spellStart"/>
      <w:r w:rsidRPr="00274339">
        <w:rPr>
          <w:bCs/>
          <w:i/>
        </w:rPr>
        <w:t>Jure</w:t>
      </w:r>
      <w:proofErr w:type="spellEnd"/>
      <w:r w:rsidRPr="00274339">
        <w:rPr>
          <w:bCs/>
        </w:rPr>
        <w:t xml:space="preserve">; </w:t>
      </w:r>
      <w:proofErr w:type="spellStart"/>
      <w:r w:rsidRPr="00274339">
        <w:rPr>
          <w:bCs/>
        </w:rPr>
        <w:t>Pret</w:t>
      </w:r>
      <w:proofErr w:type="spellEnd"/>
      <w:r w:rsidRPr="00274339">
        <w:rPr>
          <w:bCs/>
        </w:rPr>
        <w:t xml:space="preserve">. Milano 13.5.1987, in </w:t>
      </w:r>
      <w:r w:rsidRPr="00274339">
        <w:rPr>
          <w:bCs/>
          <w:i/>
        </w:rPr>
        <w:t>Lavoro 80</w:t>
      </w:r>
      <w:r w:rsidRPr="00274339">
        <w:rPr>
          <w:bCs/>
        </w:rPr>
        <w:t xml:space="preserve">, 1987, 1092; </w:t>
      </w:r>
      <w:proofErr w:type="spellStart"/>
      <w:r w:rsidRPr="00274339">
        <w:rPr>
          <w:bCs/>
        </w:rPr>
        <w:t>Pret</w:t>
      </w:r>
      <w:proofErr w:type="spellEnd"/>
      <w:r w:rsidRPr="00274339">
        <w:rPr>
          <w:bCs/>
        </w:rPr>
        <w:t xml:space="preserve">. Padova 21.10.1988, in </w:t>
      </w:r>
      <w:proofErr w:type="spellStart"/>
      <w:r w:rsidRPr="00274339">
        <w:rPr>
          <w:bCs/>
          <w:i/>
        </w:rPr>
        <w:t>Riv.It.Dir.Lav</w:t>
      </w:r>
      <w:proofErr w:type="spellEnd"/>
      <w:r w:rsidRPr="00274339">
        <w:rPr>
          <w:bCs/>
          <w:i/>
        </w:rPr>
        <w:t>.</w:t>
      </w:r>
      <w:r w:rsidRPr="00274339">
        <w:rPr>
          <w:bCs/>
        </w:rPr>
        <w:t xml:space="preserve">, 1989, II, 523; </w:t>
      </w:r>
      <w:proofErr w:type="spellStart"/>
      <w:r w:rsidRPr="00274339">
        <w:rPr>
          <w:bCs/>
        </w:rPr>
        <w:t>Pret</w:t>
      </w:r>
      <w:proofErr w:type="spellEnd"/>
      <w:r w:rsidRPr="00274339">
        <w:rPr>
          <w:bCs/>
        </w:rPr>
        <w:t xml:space="preserve">. Napoli 13.1.1995, in </w:t>
      </w:r>
      <w:r w:rsidRPr="00274339">
        <w:rPr>
          <w:bCs/>
          <w:i/>
        </w:rPr>
        <w:t>D&amp;L</w:t>
      </w:r>
      <w:r w:rsidRPr="00274339">
        <w:rPr>
          <w:bCs/>
        </w:rPr>
        <w:t xml:space="preserve">, 1995, 690; </w:t>
      </w:r>
      <w:proofErr w:type="spellStart"/>
      <w:r w:rsidRPr="00274339">
        <w:rPr>
          <w:bCs/>
        </w:rPr>
        <w:t>Pret</w:t>
      </w:r>
      <w:proofErr w:type="spellEnd"/>
      <w:r w:rsidRPr="00274339">
        <w:rPr>
          <w:bCs/>
        </w:rPr>
        <w:t xml:space="preserve">. Roma 28.11.1995, in </w:t>
      </w:r>
      <w:r w:rsidRPr="00274339">
        <w:rPr>
          <w:bCs/>
          <w:i/>
        </w:rPr>
        <w:t>RGL</w:t>
      </w:r>
      <w:r w:rsidRPr="00274339">
        <w:rPr>
          <w:bCs/>
        </w:rPr>
        <w:t xml:space="preserve">, 1996, II, 43; </w:t>
      </w:r>
      <w:proofErr w:type="spellStart"/>
      <w:r w:rsidRPr="00274339">
        <w:rPr>
          <w:bCs/>
        </w:rPr>
        <w:t>Pret</w:t>
      </w:r>
      <w:proofErr w:type="spellEnd"/>
      <w:r w:rsidRPr="00274339">
        <w:rPr>
          <w:bCs/>
        </w:rPr>
        <w:t xml:space="preserve">. Trento 5.7.1996, in </w:t>
      </w:r>
      <w:r w:rsidRPr="00274339">
        <w:rPr>
          <w:bCs/>
          <w:i/>
        </w:rPr>
        <w:t>D&amp;L</w:t>
      </w:r>
      <w:r w:rsidRPr="00274339">
        <w:rPr>
          <w:bCs/>
        </w:rPr>
        <w:t xml:space="preserve">, 1997, 164; Trib. Milano 25.6.2005, in </w:t>
      </w:r>
      <w:r w:rsidRPr="00274339">
        <w:rPr>
          <w:bCs/>
          <w:i/>
        </w:rPr>
        <w:t>O</w:t>
      </w:r>
      <w:r w:rsidR="00394813">
        <w:rPr>
          <w:bCs/>
          <w:i/>
        </w:rPr>
        <w:t>GL</w:t>
      </w:r>
      <w:r w:rsidRPr="00274339">
        <w:rPr>
          <w:bCs/>
        </w:rPr>
        <w:t xml:space="preserve">, 2005, I, 805, Trib. Treviso 16.4.2009, in </w:t>
      </w:r>
      <w:r w:rsidRPr="00274339">
        <w:rPr>
          <w:bCs/>
          <w:i/>
        </w:rPr>
        <w:t xml:space="preserve">Foro </w:t>
      </w:r>
      <w:proofErr w:type="spellStart"/>
      <w:proofErr w:type="gramStart"/>
      <w:r w:rsidRPr="00274339">
        <w:rPr>
          <w:bCs/>
          <w:i/>
        </w:rPr>
        <w:t>it</w:t>
      </w:r>
      <w:proofErr w:type="spellEnd"/>
      <w:r w:rsidRPr="00274339">
        <w:rPr>
          <w:bCs/>
          <w:i/>
        </w:rPr>
        <w:t>.</w:t>
      </w:r>
      <w:r w:rsidRPr="00274339">
        <w:rPr>
          <w:bCs/>
        </w:rPr>
        <w:t>,</w:t>
      </w:r>
      <w:proofErr w:type="gramEnd"/>
      <w:r w:rsidRPr="00274339">
        <w:rPr>
          <w:bCs/>
        </w:rPr>
        <w:t xml:space="preserve"> Rep. 2009, voce </w:t>
      </w:r>
      <w:r w:rsidRPr="00274339">
        <w:rPr>
          <w:bCs/>
          <w:i/>
        </w:rPr>
        <w:t>Lavoro (rapporto)</w:t>
      </w:r>
      <w:r w:rsidRPr="00274339">
        <w:rPr>
          <w:bCs/>
        </w:rPr>
        <w:t xml:space="preserve">, n. 768; </w:t>
      </w:r>
      <w:r w:rsidRPr="00274339">
        <w:rPr>
          <w:bCs/>
          <w:i/>
        </w:rPr>
        <w:t>contra</w:t>
      </w:r>
      <w:r w:rsidRPr="00274339">
        <w:rPr>
          <w:bCs/>
        </w:rPr>
        <w:t xml:space="preserve">, Cass. 10.11.1997, n. </w:t>
      </w:r>
      <w:smartTag w:uri="urn:schemas-microsoft-com:office:smarttags" w:element="metricconverter">
        <w:smartTagPr>
          <w:attr w:name="ProductID" w:val="11092, in"/>
        </w:smartTagPr>
        <w:r w:rsidRPr="00274339">
          <w:rPr>
            <w:bCs/>
          </w:rPr>
          <w:t>11092, in</w:t>
        </w:r>
      </w:smartTag>
      <w:r w:rsidRPr="00274339">
        <w:rPr>
          <w:bCs/>
        </w:rPr>
        <w:t xml:space="preserve"> </w:t>
      </w:r>
      <w:proofErr w:type="spellStart"/>
      <w:r w:rsidRPr="00274339">
        <w:rPr>
          <w:bCs/>
          <w:i/>
        </w:rPr>
        <w:t>Riv.It.Dir.Lav</w:t>
      </w:r>
      <w:proofErr w:type="spellEnd"/>
      <w:r w:rsidRPr="00274339">
        <w:rPr>
          <w:bCs/>
          <w:i/>
        </w:rPr>
        <w:t>.</w:t>
      </w:r>
      <w:r w:rsidRPr="00274339">
        <w:rPr>
          <w:bCs/>
        </w:rPr>
        <w:t xml:space="preserve">, 1998, II, 303; Cass. 1.4.1999, n. </w:t>
      </w:r>
      <w:smartTag w:uri="urn:schemas-microsoft-com:office:smarttags" w:element="metricconverter">
        <w:smartTagPr>
          <w:attr w:name="ProductID" w:val="3136, in"/>
        </w:smartTagPr>
        <w:r w:rsidRPr="00274339">
          <w:rPr>
            <w:bCs/>
          </w:rPr>
          <w:t>3136, in</w:t>
        </w:r>
      </w:smartTag>
      <w:r w:rsidRPr="00274339">
        <w:rPr>
          <w:bCs/>
        </w:rPr>
        <w:t xml:space="preserve"> </w:t>
      </w:r>
      <w:r w:rsidRPr="00274339">
        <w:rPr>
          <w:bCs/>
          <w:i/>
        </w:rPr>
        <w:t xml:space="preserve">Dir. </w:t>
      </w:r>
      <w:proofErr w:type="spellStart"/>
      <w:r w:rsidRPr="00274339">
        <w:rPr>
          <w:bCs/>
          <w:i/>
        </w:rPr>
        <w:t>Prat</w:t>
      </w:r>
      <w:proofErr w:type="spellEnd"/>
      <w:r w:rsidRPr="00274339">
        <w:rPr>
          <w:bCs/>
          <w:i/>
        </w:rPr>
        <w:t xml:space="preserve">. Lav., </w:t>
      </w:r>
      <w:r w:rsidRPr="00274339">
        <w:rPr>
          <w:bCs/>
        </w:rPr>
        <w:t>1999, 2486.</w:t>
      </w:r>
    </w:p>
  </w:footnote>
  <w:footnote w:id="48">
    <w:p w:rsidR="00DA3C87" w:rsidRPr="00274339" w:rsidRDefault="00DA3C87" w:rsidP="00274339">
      <w:pPr>
        <w:ind w:right="1178"/>
        <w:jc w:val="both"/>
        <w:rPr>
          <w:bCs/>
          <w:sz w:val="20"/>
          <w:szCs w:val="20"/>
          <w:u w:val="single"/>
        </w:rPr>
      </w:pPr>
      <w:r w:rsidRPr="00274339">
        <w:rPr>
          <w:rStyle w:val="Rimandonotaapidipagina"/>
          <w:sz w:val="20"/>
          <w:szCs w:val="20"/>
        </w:rPr>
        <w:footnoteRef/>
      </w:r>
      <w:r w:rsidRPr="00274339">
        <w:rPr>
          <w:sz w:val="20"/>
          <w:szCs w:val="20"/>
        </w:rPr>
        <w:t xml:space="preserve"> A favore dell’applicabilità dell’art. </w:t>
      </w:r>
      <w:smartTag w:uri="urn:schemas-microsoft-com:office:smarttags" w:element="metricconverter">
        <w:smartTagPr>
          <w:attr w:name="ProductID" w:val="4 L"/>
        </w:smartTagPr>
        <w:r w:rsidRPr="00274339">
          <w:rPr>
            <w:sz w:val="20"/>
            <w:szCs w:val="20"/>
          </w:rPr>
          <w:t>4 L</w:t>
        </w:r>
      </w:smartTag>
      <w:r w:rsidRPr="00274339">
        <w:rPr>
          <w:sz w:val="20"/>
          <w:szCs w:val="20"/>
        </w:rPr>
        <w:t xml:space="preserve">. 223/1991, v. Cass. 6.4.2004, n. </w:t>
      </w:r>
      <w:smartTag w:uri="urn:schemas-microsoft-com:office:smarttags" w:element="metricconverter">
        <w:smartTagPr>
          <w:attr w:name="ProductID" w:val="6707, in"/>
        </w:smartTagPr>
        <w:r w:rsidRPr="00274339">
          <w:rPr>
            <w:sz w:val="20"/>
            <w:szCs w:val="20"/>
          </w:rPr>
          <w:t>6707, in</w:t>
        </w:r>
      </w:smartTag>
      <w:r w:rsidRPr="00274339">
        <w:rPr>
          <w:sz w:val="20"/>
          <w:szCs w:val="20"/>
        </w:rPr>
        <w:t xml:space="preserve"> </w:t>
      </w:r>
      <w:r w:rsidRPr="00274339">
        <w:rPr>
          <w:i/>
          <w:sz w:val="20"/>
          <w:szCs w:val="20"/>
        </w:rPr>
        <w:t xml:space="preserve">Banca Dati De </w:t>
      </w:r>
      <w:proofErr w:type="spellStart"/>
      <w:r w:rsidRPr="00274339">
        <w:rPr>
          <w:i/>
          <w:sz w:val="20"/>
          <w:szCs w:val="20"/>
        </w:rPr>
        <w:t>Jure</w:t>
      </w:r>
      <w:proofErr w:type="spellEnd"/>
      <w:r w:rsidRPr="00274339">
        <w:rPr>
          <w:sz w:val="20"/>
          <w:szCs w:val="20"/>
        </w:rPr>
        <w:t xml:space="preserve">. </w:t>
      </w:r>
      <w:r w:rsidRPr="00274339">
        <w:rPr>
          <w:i/>
          <w:sz w:val="20"/>
          <w:szCs w:val="20"/>
        </w:rPr>
        <w:t>Contra</w:t>
      </w:r>
      <w:r w:rsidRPr="00274339">
        <w:rPr>
          <w:sz w:val="20"/>
          <w:szCs w:val="20"/>
        </w:rPr>
        <w:t xml:space="preserve"> Trib. Milano 16.7.2008, in </w:t>
      </w:r>
      <w:r w:rsidRPr="00274339">
        <w:rPr>
          <w:i/>
          <w:sz w:val="20"/>
          <w:szCs w:val="20"/>
        </w:rPr>
        <w:t>ADL</w:t>
      </w:r>
      <w:r w:rsidRPr="00274339">
        <w:rPr>
          <w:sz w:val="20"/>
          <w:szCs w:val="20"/>
        </w:rPr>
        <w:t>, 2011, 4-5, 992, secondo cui, per quanto profondo, il collegamento societario non rileva ai fini della determinazione del numero complessivo dei lavoratori licenziati, propedeutica all’applicazione della L. 223/1991.</w:t>
      </w:r>
    </w:p>
  </w:footnote>
  <w:footnote w:id="49">
    <w:p w:rsidR="00DA3C87" w:rsidRPr="00274339" w:rsidRDefault="00DA3C87" w:rsidP="00274339">
      <w:pPr>
        <w:pStyle w:val="Testonotaapidipagina"/>
        <w:ind w:right="1178"/>
        <w:jc w:val="both"/>
      </w:pPr>
      <w:r w:rsidRPr="00274339">
        <w:rPr>
          <w:rStyle w:val="Rimandonotaapidipagina"/>
        </w:rPr>
        <w:footnoteRef/>
      </w:r>
      <w:r w:rsidR="007B51FC">
        <w:t xml:space="preserve"> Attribuiscono</w:t>
      </w:r>
      <w:r w:rsidRPr="00274339">
        <w:t xml:space="preserve"> rilievo alla possibilità di ricollocare il lavoratore nell’ambito dell’intero complesso, ai fini dell’assolvimento dell’obbligo di </w:t>
      </w:r>
      <w:r w:rsidRPr="00274339">
        <w:rPr>
          <w:i/>
        </w:rPr>
        <w:t>repèchage</w:t>
      </w:r>
      <w:r w:rsidRPr="00274339">
        <w:t xml:space="preserve">, Trib. Milano 14.3.2003, in </w:t>
      </w:r>
      <w:r w:rsidRPr="00274339">
        <w:rPr>
          <w:i/>
        </w:rPr>
        <w:t>D&amp;L</w:t>
      </w:r>
      <w:r w:rsidRPr="00274339">
        <w:t xml:space="preserve">, 2003, 787 e, più di recente, Trib. Milano 11.3.2010, in </w:t>
      </w:r>
      <w:r w:rsidRPr="00274339">
        <w:rPr>
          <w:i/>
        </w:rPr>
        <w:t>D&amp;L</w:t>
      </w:r>
      <w:r w:rsidRPr="00274339">
        <w:t xml:space="preserve">, 2010, 2, 586, con nota di G. </w:t>
      </w:r>
      <w:proofErr w:type="spellStart"/>
      <w:r w:rsidRPr="00274339">
        <w:t>Bulgarini</w:t>
      </w:r>
      <w:proofErr w:type="spellEnd"/>
      <w:r w:rsidRPr="00274339">
        <w:t xml:space="preserve"> d’Elci, </w:t>
      </w:r>
      <w:r w:rsidRPr="00274339">
        <w:rPr>
          <w:i/>
        </w:rPr>
        <w:t>Sul giustificato motivo oggettivo nell’ambito di un’impresa multinazionale e sulla computabilità ai fini dell’art. 18 S.L. di collaboratori a progetto fittizi</w:t>
      </w:r>
      <w:r w:rsidR="007B51FC">
        <w:t xml:space="preserve">, nonché </w:t>
      </w:r>
      <w:r w:rsidRPr="00274339">
        <w:t xml:space="preserve">Trib. Pordenone 10.2.2011, n. 21/2011, inedita a quanto consta, </w:t>
      </w:r>
      <w:r w:rsidR="007B51FC">
        <w:t>secondo cui</w:t>
      </w:r>
      <w:r w:rsidRPr="00274339">
        <w:t>, in ipotesi di licenziamento di dirigente per giustificato motivo oggettivo, il datore di lavoro, per rendere giustificato il recesso, avrebbe dovuto “</w:t>
      </w:r>
      <w:r w:rsidRPr="00274339">
        <w:rPr>
          <w:i/>
        </w:rPr>
        <w:t>valutare l’esistenza di alternative nell’ambito dell’intero Gruppo, nell’interesse del quale ha prevalentemente svolto le proprie mansioni nel corso della sua ventennale esperienza professionale, ravvisandosi a ragione in quest’ultimo un unico centro di imputazione giuridica</w:t>
      </w:r>
      <w:r w:rsidRPr="00274339">
        <w:t xml:space="preserve">”. </w:t>
      </w:r>
      <w:r w:rsidRPr="00274339">
        <w:rPr>
          <w:i/>
        </w:rPr>
        <w:t>Contra</w:t>
      </w:r>
      <w:r w:rsidRPr="00274339">
        <w:t xml:space="preserve">, Cass. 23.10.2001, n. </w:t>
      </w:r>
      <w:smartTag w:uri="urn:schemas-microsoft-com:office:smarttags" w:element="metricconverter">
        <w:smartTagPr>
          <w:attr w:name="ProductID" w:val="1302, in"/>
        </w:smartTagPr>
        <w:r w:rsidRPr="00274339">
          <w:t>1302, in</w:t>
        </w:r>
      </w:smartTag>
      <w:r w:rsidRPr="00274339">
        <w:t xml:space="preserve"> </w:t>
      </w:r>
      <w:r w:rsidRPr="00274339">
        <w:rPr>
          <w:i/>
        </w:rPr>
        <w:t xml:space="preserve">Rep. Foro </w:t>
      </w:r>
      <w:proofErr w:type="spellStart"/>
      <w:proofErr w:type="gramStart"/>
      <w:r w:rsidRPr="00274339">
        <w:rPr>
          <w:i/>
        </w:rPr>
        <w:t>it</w:t>
      </w:r>
      <w:proofErr w:type="spellEnd"/>
      <w:r w:rsidRPr="00274339">
        <w:rPr>
          <w:i/>
        </w:rPr>
        <w:t>.</w:t>
      </w:r>
      <w:r w:rsidR="007B51FC">
        <w:t>,</w:t>
      </w:r>
      <w:proofErr w:type="gramEnd"/>
      <w:r w:rsidR="007B51FC">
        <w:t xml:space="preserve"> 2001, voce</w:t>
      </w:r>
      <w:r w:rsidRPr="00274339">
        <w:t xml:space="preserve"> </w:t>
      </w:r>
      <w:r w:rsidRPr="00274339">
        <w:rPr>
          <w:i/>
        </w:rPr>
        <w:t>Lavoro (rapporto)</w:t>
      </w:r>
      <w:r w:rsidRPr="00274339">
        <w:t xml:space="preserve">, n. 1374; Cass. 1.2.2003, n. </w:t>
      </w:r>
      <w:smartTag w:uri="urn:schemas-microsoft-com:office:smarttags" w:element="metricconverter">
        <w:smartTagPr>
          <w:attr w:name="ProductID" w:val="1527, in"/>
        </w:smartTagPr>
        <w:r w:rsidRPr="00274339">
          <w:t>1527, in</w:t>
        </w:r>
      </w:smartTag>
      <w:r w:rsidRPr="00274339">
        <w:t xml:space="preserve"> </w:t>
      </w:r>
      <w:r w:rsidRPr="00274339">
        <w:rPr>
          <w:i/>
        </w:rPr>
        <w:t xml:space="preserve">Dir. </w:t>
      </w:r>
      <w:proofErr w:type="spellStart"/>
      <w:r w:rsidRPr="00274339">
        <w:rPr>
          <w:i/>
        </w:rPr>
        <w:t>Prat</w:t>
      </w:r>
      <w:proofErr w:type="spellEnd"/>
      <w:r w:rsidRPr="00274339">
        <w:rPr>
          <w:i/>
        </w:rPr>
        <w:t>. Lav.</w:t>
      </w:r>
      <w:r w:rsidRPr="00274339">
        <w:t xml:space="preserve">, 2003, 1281; Appello Milano 10.9.2010, in </w:t>
      </w:r>
      <w:r w:rsidRPr="00274339">
        <w:rPr>
          <w:i/>
        </w:rPr>
        <w:t>ADL</w:t>
      </w:r>
      <w:r w:rsidRPr="00274339">
        <w:t>, 2011, 4-5, 995, secondo cui, per quanto le connessioni e le commistioni tra soggetti giuridici appartenenti ad un Gruppo siano di intensità tale da escludere una formale e sostanziale autonomia di tali soggetti, esse non incidono, “</w:t>
      </w:r>
      <w:r w:rsidRPr="00274339">
        <w:rPr>
          <w:i/>
        </w:rPr>
        <w:t>stante l’irrilevanza di tale coordinamento</w:t>
      </w:r>
      <w:r w:rsidRPr="00274339">
        <w:t xml:space="preserve">”, sul corretto assolvimento dell’onere di </w:t>
      </w:r>
      <w:r w:rsidR="00A003E8">
        <w:rPr>
          <w:i/>
        </w:rPr>
        <w:t>repè</w:t>
      </w:r>
      <w:r w:rsidRPr="00274339">
        <w:rPr>
          <w:i/>
        </w:rPr>
        <w:t>chage</w:t>
      </w:r>
      <w:r w:rsidRPr="00274339">
        <w:t xml:space="preserve"> da parte del datore di lavoro.</w:t>
      </w:r>
    </w:p>
  </w:footnote>
  <w:footnote w:id="50">
    <w:p w:rsidR="00DA3C87" w:rsidRPr="00274339" w:rsidRDefault="00DA3C87" w:rsidP="00274339">
      <w:pPr>
        <w:pStyle w:val="Testonotaapidipagina"/>
        <w:ind w:right="1178"/>
        <w:jc w:val="both"/>
      </w:pPr>
      <w:r w:rsidRPr="00274339">
        <w:rPr>
          <w:rStyle w:val="Rimandonotaapidipagina"/>
        </w:rPr>
        <w:footnoteRef/>
      </w:r>
      <w:r w:rsidRPr="00274339">
        <w:t xml:space="preserve"> Circa la </w:t>
      </w:r>
      <w:r w:rsidRPr="00274339">
        <w:rPr>
          <w:bCs/>
        </w:rPr>
        <w:t>natura solidale dell’obbligazione in capo alle società che</w:t>
      </w:r>
      <w:r w:rsidR="00A003E8">
        <w:rPr>
          <w:bCs/>
        </w:rPr>
        <w:t xml:space="preserve"> componenti del Gruppo, v. Cass.</w:t>
      </w:r>
      <w:r w:rsidRPr="00274339">
        <w:rPr>
          <w:bCs/>
        </w:rPr>
        <w:t xml:space="preserve"> 22.2.1995, n. </w:t>
      </w:r>
      <w:smartTag w:uri="urn:schemas-microsoft-com:office:smarttags" w:element="metricconverter">
        <w:smartTagPr>
          <w:attr w:name="ProductID" w:val="2008, in"/>
        </w:smartTagPr>
        <w:r w:rsidRPr="00274339">
          <w:rPr>
            <w:bCs/>
          </w:rPr>
          <w:t>2008, in</w:t>
        </w:r>
      </w:smartTag>
      <w:r w:rsidRPr="00274339">
        <w:rPr>
          <w:bCs/>
        </w:rPr>
        <w:t xml:space="preserve"> </w:t>
      </w:r>
      <w:r w:rsidRPr="00274339">
        <w:rPr>
          <w:bCs/>
          <w:i/>
        </w:rPr>
        <w:t>D&amp;L</w:t>
      </w:r>
      <w:r w:rsidRPr="00274339">
        <w:rPr>
          <w:bCs/>
        </w:rPr>
        <w:t>, 1995, 4, secondo cui “</w:t>
      </w:r>
      <w:r w:rsidRPr="00274339">
        <w:rPr>
          <w:bCs/>
          <w:i/>
        </w:rPr>
        <w:t>nell’ipotesi di un Gruppo di società così strettamente collegate tra loro da costituire un unico centro di imputazione di rapporti giuridici si configura una responsabilità solidale tra le imprese del Gruppo nei confronti dei crediti retributivi dei dipendenti</w:t>
      </w:r>
      <w:r w:rsidRPr="00274339">
        <w:rPr>
          <w:bCs/>
        </w:rPr>
        <w:t xml:space="preserve">”; nello stesso senso, </w:t>
      </w:r>
      <w:proofErr w:type="spellStart"/>
      <w:r w:rsidRPr="00274339">
        <w:rPr>
          <w:bCs/>
        </w:rPr>
        <w:t>Pret</w:t>
      </w:r>
      <w:proofErr w:type="spellEnd"/>
      <w:r w:rsidRPr="00274339">
        <w:rPr>
          <w:bCs/>
        </w:rPr>
        <w:t xml:space="preserve">. Milano 2.8.1995, in </w:t>
      </w:r>
      <w:r w:rsidRPr="00274339">
        <w:rPr>
          <w:bCs/>
          <w:i/>
        </w:rPr>
        <w:t>D&amp;L</w:t>
      </w:r>
      <w:r w:rsidRPr="00274339">
        <w:rPr>
          <w:bCs/>
        </w:rPr>
        <w:t xml:space="preserve">, 1995, 1050; Trib. Ravenna 12.6.2006, in </w:t>
      </w:r>
      <w:r w:rsidRPr="00274339">
        <w:rPr>
          <w:bCs/>
          <w:i/>
        </w:rPr>
        <w:t xml:space="preserve">Lav. nella </w:t>
      </w:r>
      <w:proofErr w:type="gramStart"/>
      <w:r w:rsidRPr="00274339">
        <w:rPr>
          <w:bCs/>
          <w:i/>
        </w:rPr>
        <w:t>Giur.</w:t>
      </w:r>
      <w:r w:rsidRPr="00274339">
        <w:rPr>
          <w:bCs/>
        </w:rPr>
        <w:t>,</w:t>
      </w:r>
      <w:proofErr w:type="gramEnd"/>
      <w:r w:rsidRPr="00274339">
        <w:rPr>
          <w:bCs/>
        </w:rPr>
        <w:t xml:space="preserve"> 2006, 10, 993; Trib. Roma </w:t>
      </w:r>
      <w:r w:rsidRPr="00274339">
        <w:t>6.4.2011, n. 6536, inedita a quanto consta.</w:t>
      </w:r>
    </w:p>
  </w:footnote>
  <w:footnote w:id="51">
    <w:p w:rsidR="00DA3C87" w:rsidRPr="00274339" w:rsidRDefault="00DA3C87" w:rsidP="00274339">
      <w:pPr>
        <w:pStyle w:val="Testonotaapidipagina"/>
        <w:ind w:right="1178"/>
        <w:jc w:val="both"/>
      </w:pPr>
      <w:r w:rsidRPr="00274339">
        <w:rPr>
          <w:rStyle w:val="Rimandonotaapidipagina"/>
        </w:rPr>
        <w:footnoteRef/>
      </w:r>
      <w:r w:rsidRPr="00274339">
        <w:t xml:space="preserve"> </w:t>
      </w:r>
      <w:r w:rsidR="00AB7197">
        <w:t>V.</w:t>
      </w:r>
      <w:r w:rsidR="00A003E8">
        <w:t>,</w:t>
      </w:r>
      <w:r w:rsidR="00AB7197">
        <w:t xml:space="preserve"> infatti,</w:t>
      </w:r>
      <w:r w:rsidRPr="00274339">
        <w:t xml:space="preserve"> G. </w:t>
      </w:r>
      <w:proofErr w:type="spellStart"/>
      <w:r w:rsidRPr="00274339">
        <w:t>Vardaro</w:t>
      </w:r>
      <w:proofErr w:type="spellEnd"/>
      <w:r w:rsidRPr="00274339">
        <w:t xml:space="preserve">, </w:t>
      </w:r>
      <w:r w:rsidRPr="00274339">
        <w:rPr>
          <w:i/>
        </w:rPr>
        <w:t>Prima e dopo la persona giuridica: sindacati, imprese di gruppo e relazioni industriali</w:t>
      </w:r>
      <w:r w:rsidRPr="00274339">
        <w:t xml:space="preserve">, in </w:t>
      </w:r>
      <w:r w:rsidRPr="00274339">
        <w:rPr>
          <w:i/>
        </w:rPr>
        <w:t>G.L.D.R.I.</w:t>
      </w:r>
      <w:r w:rsidRPr="00274339">
        <w:t>, 1988, 2, 210, secondo cui anche l’approccio “</w:t>
      </w:r>
      <w:r w:rsidRPr="00274339">
        <w:rPr>
          <w:i/>
        </w:rPr>
        <w:t>realistico</w:t>
      </w:r>
      <w:r w:rsidRPr="00274339">
        <w:t>” al fenomeno dei gruppi si rivelerebbe formalistico, in quanto condizionato dal problema (“</w:t>
      </w:r>
      <w:r w:rsidRPr="00274339">
        <w:rPr>
          <w:i/>
        </w:rPr>
        <w:t>sindrome</w:t>
      </w:r>
      <w:r w:rsidRPr="00274339">
        <w:t>”) della mancanza della personalità giuridica del gruppo e da una visione semplicistica del gruppo, inteso unicamente in senso verticale/gerarchico.</w:t>
      </w:r>
    </w:p>
  </w:footnote>
  <w:footnote w:id="52">
    <w:p w:rsidR="00CC2171" w:rsidRPr="00274339" w:rsidRDefault="00CC2171" w:rsidP="00274339">
      <w:pPr>
        <w:pStyle w:val="Testonotaapidipagina"/>
        <w:ind w:right="1178"/>
        <w:jc w:val="both"/>
      </w:pPr>
      <w:r w:rsidRPr="00274339">
        <w:rPr>
          <w:rStyle w:val="Rimandonotaapidipagina"/>
        </w:rPr>
        <w:footnoteRef/>
      </w:r>
      <w:r w:rsidRPr="00274339">
        <w:t xml:space="preserve"> Del resto, </w:t>
      </w:r>
      <w:r w:rsidR="005606E6" w:rsidRPr="00274339">
        <w:t xml:space="preserve">è noto che, </w:t>
      </w:r>
      <w:r w:rsidRPr="00274339">
        <w:t>con riferimento a</w:t>
      </w:r>
      <w:r w:rsidR="005606E6" w:rsidRPr="00274339">
        <w:t>lle ipotesi di utilizzo strumentale del gruppo (c.d. “</w:t>
      </w:r>
      <w:r w:rsidR="005606E6" w:rsidRPr="00274339">
        <w:rPr>
          <w:i/>
        </w:rPr>
        <w:t>pseudo gruppi</w:t>
      </w:r>
      <w:r w:rsidR="005606E6" w:rsidRPr="00274339">
        <w:t>”),</w:t>
      </w:r>
      <w:r w:rsidRPr="00274339">
        <w:t xml:space="preserve"> parte della giurisprudenza ha addirittura ritenuto applicabili addirittura le disposizioni dell’art. 1344 del codice civile, in tema di “</w:t>
      </w:r>
      <w:r w:rsidRPr="00274339">
        <w:rPr>
          <w:i/>
        </w:rPr>
        <w:t>contratto in frode alla legge</w:t>
      </w:r>
      <w:r w:rsidRPr="00274339">
        <w:t>”, ritenendo illecita l’articolazione e la formale separa</w:t>
      </w:r>
      <w:r w:rsidR="005606E6" w:rsidRPr="00274339">
        <w:t>zione di diverse società in un g</w:t>
      </w:r>
      <w:r w:rsidRPr="00274339">
        <w:t>ruppo al fine di “</w:t>
      </w:r>
      <w:r w:rsidRPr="00274339">
        <w:rPr>
          <w:i/>
        </w:rPr>
        <w:t>eludere l’applicazione di norme imperative</w:t>
      </w:r>
      <w:r w:rsidRPr="00274339">
        <w:t>”, quali le disposizioni in materia di lavor</w:t>
      </w:r>
      <w:r w:rsidR="005606E6" w:rsidRPr="00274339">
        <w:t>o subordinato (Cass. 7.2.2008, n</w:t>
      </w:r>
      <w:r w:rsidRPr="00274339">
        <w:t xml:space="preserve">. 28764, in </w:t>
      </w:r>
      <w:proofErr w:type="spellStart"/>
      <w:r w:rsidRPr="00274339">
        <w:rPr>
          <w:i/>
        </w:rPr>
        <w:t>Riv.It.Dir.Lav</w:t>
      </w:r>
      <w:proofErr w:type="spellEnd"/>
      <w:r w:rsidRPr="00274339">
        <w:rPr>
          <w:i/>
        </w:rPr>
        <w:t>.</w:t>
      </w:r>
      <w:r w:rsidRPr="00274339">
        <w:t xml:space="preserve">, 2008, </w:t>
      </w:r>
      <w:r w:rsidR="005606E6" w:rsidRPr="00274339">
        <w:t>2</w:t>
      </w:r>
      <w:r w:rsidRPr="00274339">
        <w:t xml:space="preserve">, 641; Appello Napoli 23.3.2001, in </w:t>
      </w:r>
      <w:r w:rsidRPr="00274339">
        <w:rPr>
          <w:i/>
        </w:rPr>
        <w:t>RGL</w:t>
      </w:r>
      <w:r w:rsidRPr="00274339">
        <w:t xml:space="preserve">, 2002, II, 283; Trib. Nocera Inferiore 29.5.2001, in </w:t>
      </w:r>
      <w:r w:rsidRPr="00274339">
        <w:rPr>
          <w:i/>
        </w:rPr>
        <w:t>RGL</w:t>
      </w:r>
      <w:r w:rsidRPr="00274339">
        <w:t>, 2002, II, 564)</w:t>
      </w:r>
      <w:r w:rsidR="000D5AD7" w:rsidRPr="00274339">
        <w:t>.</w:t>
      </w:r>
    </w:p>
  </w:footnote>
  <w:footnote w:id="53">
    <w:p w:rsidR="00DA3C87" w:rsidRPr="00274339" w:rsidRDefault="00DA3C87" w:rsidP="00274339">
      <w:pPr>
        <w:pStyle w:val="Testonotaapidipagina"/>
        <w:ind w:right="1178"/>
        <w:jc w:val="both"/>
      </w:pPr>
      <w:r w:rsidRPr="00274339">
        <w:rPr>
          <w:rStyle w:val="Rimandonotaapidipagina"/>
        </w:rPr>
        <w:footnoteRef/>
      </w:r>
      <w:r w:rsidRPr="00274339">
        <w:t xml:space="preserve"> Tale </w:t>
      </w:r>
      <w:proofErr w:type="gramStart"/>
      <w:r w:rsidRPr="00274339">
        <w:t>conclusione,  ad</w:t>
      </w:r>
      <w:proofErr w:type="gramEnd"/>
      <w:r w:rsidRPr="00274339">
        <w:t xml:space="preserve"> avviso di M.T. Carinci, </w:t>
      </w:r>
      <w:r w:rsidRPr="00274339">
        <w:rPr>
          <w:i/>
        </w:rPr>
        <w:t xml:space="preserve">L’unicità del datore di lavoro – quale parte del contratto di lavoro, creditore della prestazione e titolare di tutte le posizioni di diritto, potere, obbligo ad esso connesse – è regola generale nell’ordinamento </w:t>
      </w:r>
      <w:proofErr w:type="spellStart"/>
      <w:r w:rsidRPr="00274339">
        <w:rPr>
          <w:i/>
        </w:rPr>
        <w:t>giuslavoritico</w:t>
      </w:r>
      <w:proofErr w:type="spellEnd"/>
      <w:r w:rsidRPr="00274339">
        <w:t xml:space="preserve">, in </w:t>
      </w:r>
      <w:r w:rsidRPr="00274339">
        <w:rPr>
          <w:i/>
        </w:rPr>
        <w:t>ADL</w:t>
      </w:r>
      <w:r w:rsidRPr="00274339">
        <w:t xml:space="preserve">, 2007, 1033, costituirebbe il corollario del divieto di dissociazione tra datore di lavoro ed utilizzatore della prestazione, confermato dalla pronuncia delle Sezioni Unite 22910/2006, sopra richiamata. </w:t>
      </w:r>
      <w:r w:rsidRPr="00274339">
        <w:rPr>
          <w:i/>
        </w:rPr>
        <w:t>Contra</w:t>
      </w:r>
      <w:r w:rsidRPr="00274339">
        <w:t xml:space="preserve">, E. </w:t>
      </w:r>
      <w:proofErr w:type="spellStart"/>
      <w:r w:rsidRPr="00274339">
        <w:t>Raimondi</w:t>
      </w:r>
      <w:proofErr w:type="spellEnd"/>
      <w:r w:rsidRPr="00274339">
        <w:t xml:space="preserve">, </w:t>
      </w:r>
      <w:r w:rsidRPr="00274339">
        <w:rPr>
          <w:i/>
        </w:rPr>
        <w:t>Il datore di lavoro nei gruppi imprenditoriali</w:t>
      </w:r>
      <w:r w:rsidRPr="00274339">
        <w:t xml:space="preserve">, Relazione al seminario </w:t>
      </w:r>
      <w:proofErr w:type="spellStart"/>
      <w:r w:rsidRPr="00274339">
        <w:t>Aidlass</w:t>
      </w:r>
      <w:proofErr w:type="spellEnd"/>
      <w:r w:rsidRPr="00274339">
        <w:t xml:space="preserve"> di Bari “I giovani giuslavoristi e gli studi di diritto del lavoro”, 11-12 novembre 2011, testo reperibile in </w:t>
      </w:r>
      <w:hyperlink r:id="rId1" w:history="1">
        <w:r w:rsidRPr="00274339">
          <w:rPr>
            <w:rStyle w:val="Collegamentoipertestuale"/>
          </w:rPr>
          <w:t>www.adlass.org/attività/2011</w:t>
        </w:r>
      </w:hyperlink>
      <w:r w:rsidRPr="00274339">
        <w:t>, ad avviso del quale una condivisione delle discipline del lavoro subordinato non è incompatibile con l’art. 2094 c.c., che non impone l’unicità del datore di lavoro, per la cui individuazione “</w:t>
      </w:r>
      <w:r w:rsidRPr="00274339">
        <w:rPr>
          <w:i/>
        </w:rPr>
        <w:t>è necessario fare riferimento al concetto di impresa-organizzazione</w:t>
      </w:r>
      <w:r w:rsidR="0050133F" w:rsidRPr="00274339">
        <w:t>”, che solo tradizionalmente, ma</w:t>
      </w:r>
      <w:r w:rsidRPr="00274339">
        <w:t xml:space="preserve"> non </w:t>
      </w:r>
      <w:r w:rsidR="0050133F" w:rsidRPr="00274339">
        <w:t>necessariamente,  coincide</w:t>
      </w:r>
      <w:r w:rsidRPr="00274339">
        <w:t xml:space="preserve"> con una singola impresa.  </w:t>
      </w:r>
    </w:p>
  </w:footnote>
  <w:footnote w:id="54">
    <w:p w:rsidR="00DA3C87" w:rsidRPr="00274339" w:rsidRDefault="00DA3C87" w:rsidP="00274339">
      <w:pPr>
        <w:pStyle w:val="Testonotaapidipagina"/>
        <w:ind w:right="1178"/>
        <w:jc w:val="both"/>
        <w:rPr>
          <w:i/>
        </w:rPr>
      </w:pPr>
      <w:r w:rsidRPr="00274339">
        <w:rPr>
          <w:rStyle w:val="Rimandonotaapidipagina"/>
        </w:rPr>
        <w:footnoteRef/>
      </w:r>
      <w:r w:rsidRPr="00274339">
        <w:t xml:space="preserve"> </w:t>
      </w:r>
      <w:r w:rsidR="00E432A9" w:rsidRPr="00274339">
        <w:t xml:space="preserve">Per la possibile riconducibilità della prestazione al gruppo, come unico datore di lavoro, v. </w:t>
      </w:r>
      <w:r w:rsidRPr="00274339">
        <w:t xml:space="preserve">M.T. Carinci, </w:t>
      </w:r>
      <w:r w:rsidRPr="00274339">
        <w:rPr>
          <w:i/>
        </w:rPr>
        <w:t xml:space="preserve">L’unicità del datore di lavoro – quale parte del contratto di lavoro, creditore della prestazione e titolare di tutte le posizioni di diritto, potere, obbligo ad esso connesse – è regola generale nell’ordinamento </w:t>
      </w:r>
      <w:proofErr w:type="spellStart"/>
      <w:r w:rsidRPr="00274339">
        <w:rPr>
          <w:i/>
        </w:rPr>
        <w:t>giuslavoritico</w:t>
      </w:r>
      <w:proofErr w:type="spellEnd"/>
      <w:r w:rsidRPr="00274339">
        <w:t xml:space="preserve">, cit., 1033, nonché, sia pure in accezione difforme, R. Scognamiglio, </w:t>
      </w:r>
      <w:proofErr w:type="spellStart"/>
      <w:r w:rsidRPr="00274339">
        <w:rPr>
          <w:i/>
        </w:rPr>
        <w:t>Inttervento</w:t>
      </w:r>
      <w:proofErr w:type="spellEnd"/>
      <w:r w:rsidRPr="00274339">
        <w:rPr>
          <w:i/>
        </w:rPr>
        <w:t xml:space="preserve"> alla tavola rotonda su &lt;Gruppi di società, imprese collegate e rapporti di lavoro&gt;</w:t>
      </w:r>
      <w:r w:rsidRPr="00274339">
        <w:t xml:space="preserve">, in </w:t>
      </w:r>
      <w:r w:rsidRPr="00274339">
        <w:rPr>
          <w:i/>
        </w:rPr>
        <w:t>RGL</w:t>
      </w:r>
      <w:r w:rsidRPr="00274339">
        <w:t>, 1979, I, 385, che riconduce l’unico datore di lavoro, risultante dagli stretti collegamenti tra le imprese del gruppo, ad un’ipotesi di “</w:t>
      </w:r>
      <w:r w:rsidRPr="00274339">
        <w:rPr>
          <w:i/>
        </w:rPr>
        <w:t>ente collettivo a carattere associativo</w:t>
      </w:r>
      <w:r w:rsidRPr="00274339">
        <w:t xml:space="preserve">”; </w:t>
      </w:r>
      <w:r w:rsidRPr="00274339">
        <w:rPr>
          <w:i/>
        </w:rPr>
        <w:t>contra</w:t>
      </w:r>
      <w:r w:rsidRPr="00274339">
        <w:t xml:space="preserve"> V. Pinto, </w:t>
      </w:r>
      <w:r w:rsidRPr="00274339">
        <w:rPr>
          <w:i/>
        </w:rPr>
        <w:t>I Gruppi imprenditoriali tra diritto dell’unione europea e diritto nazionale</w:t>
      </w:r>
      <w:r w:rsidRPr="00274339">
        <w:t xml:space="preserve">, in </w:t>
      </w:r>
      <w:r w:rsidRPr="00274339">
        <w:rPr>
          <w:i/>
        </w:rPr>
        <w:t>ADL</w:t>
      </w:r>
      <w:r w:rsidRPr="00274339">
        <w:t>, 2011, 4-5, 891, secondo cui i dati normativi non consentono di attribuire rilevanza sul piano giuridico, “</w:t>
      </w:r>
      <w:r w:rsidRPr="00274339">
        <w:rPr>
          <w:i/>
        </w:rPr>
        <w:t>mediante una riconduzione ad unità, al Gruppo in  sé e per sé</w:t>
      </w:r>
      <w:r w:rsidRPr="00274339">
        <w:t xml:space="preserve">”, nonché M.G. </w:t>
      </w:r>
      <w:proofErr w:type="spellStart"/>
      <w:r w:rsidRPr="00274339">
        <w:t>Mattarolo</w:t>
      </w:r>
      <w:proofErr w:type="spellEnd"/>
      <w:r w:rsidRPr="00274339">
        <w:t xml:space="preserve">, </w:t>
      </w:r>
      <w:r w:rsidRPr="00274339">
        <w:rPr>
          <w:i/>
        </w:rPr>
        <w:t>Gruppi di imprese e diritto del lavoro</w:t>
      </w:r>
      <w:r w:rsidRPr="00274339">
        <w:t xml:space="preserve">, in </w:t>
      </w:r>
      <w:r w:rsidRPr="00274339">
        <w:rPr>
          <w:i/>
        </w:rPr>
        <w:t>RGL</w:t>
      </w:r>
      <w:r w:rsidRPr="00274339">
        <w:t>, 1990, I, 512 che l’individuazione del Gruppo come unico datore di lavoro si risolverebbe in un “</w:t>
      </w:r>
      <w:r w:rsidRPr="00274339">
        <w:rPr>
          <w:i/>
        </w:rPr>
        <w:t>puntello giustificativo</w:t>
      </w:r>
      <w:r w:rsidRPr="00274339">
        <w:t xml:space="preserve">” alla – potenzialmente continua – mobilità del lavoratore. Ed infatti, come ricorda S. </w:t>
      </w:r>
      <w:proofErr w:type="spellStart"/>
      <w:r w:rsidRPr="00274339">
        <w:t>Ouchi</w:t>
      </w:r>
      <w:proofErr w:type="spellEnd"/>
      <w:r w:rsidRPr="00274339">
        <w:t xml:space="preserve">, </w:t>
      </w:r>
      <w:r w:rsidRPr="00274339">
        <w:rPr>
          <w:i/>
        </w:rPr>
        <w:t>La rappresentanza dei lavoratori a livello d’impresa in Giappone: relazioni industriali “interne” e diritto del lavoro</w:t>
      </w:r>
      <w:r w:rsidRPr="00274339">
        <w:t xml:space="preserve">, in </w:t>
      </w:r>
      <w:proofErr w:type="spellStart"/>
      <w:r w:rsidRPr="00274339">
        <w:rPr>
          <w:i/>
        </w:rPr>
        <w:t>Dir.Rel.Ind</w:t>
      </w:r>
      <w:proofErr w:type="spellEnd"/>
      <w:r w:rsidRPr="00274339">
        <w:rPr>
          <w:i/>
        </w:rPr>
        <w:t>.</w:t>
      </w:r>
      <w:r w:rsidRPr="00274339">
        <w:t>, 1993, 2, 59, la mobilità infragruppo è caratteristica tipica del sistema giapponese, almeno tra i lavoratori “</w:t>
      </w:r>
      <w:r w:rsidRPr="00274339">
        <w:rPr>
          <w:i/>
        </w:rPr>
        <w:t>regolari</w:t>
      </w:r>
      <w:r w:rsidRPr="00274339">
        <w:t xml:space="preserve">” (ossia a tempo a tempo indeterminato e, tendenzialmente, con impiego a vita) </w:t>
      </w:r>
      <w:r w:rsidR="00103F19" w:rsidRPr="00274339">
        <w:t xml:space="preserve">impiegati </w:t>
      </w:r>
      <w:r w:rsidRPr="00274339">
        <w:t xml:space="preserve">all’interno de gruppi di imprese, essendo prevista la possibilità per il datore di lavoro di disporre </w:t>
      </w:r>
      <w:r w:rsidR="00103F19" w:rsidRPr="00274339">
        <w:t xml:space="preserve">in qualsiasi momento </w:t>
      </w:r>
      <w:r w:rsidRPr="00274339">
        <w:t>un trasferim</w:t>
      </w:r>
      <w:r w:rsidR="00103F19" w:rsidRPr="00274339">
        <w:t>ento (si badi, non un distacco)</w:t>
      </w:r>
      <w:r w:rsidRPr="00274339">
        <w:t xml:space="preserve"> dal da</w:t>
      </w:r>
      <w:r w:rsidR="00103F19" w:rsidRPr="00274339">
        <w:t xml:space="preserve">tore di lavoro originario ad </w:t>
      </w:r>
      <w:r w:rsidRPr="00274339">
        <w:t xml:space="preserve">altra impresa appartenente al medesimo gruppo, principalmente </w:t>
      </w:r>
      <w:r w:rsidR="00103F19" w:rsidRPr="00274339">
        <w:t>al</w:t>
      </w:r>
      <w:r w:rsidRPr="00274339">
        <w:t>o scopo di “</w:t>
      </w:r>
      <w:r w:rsidRPr="00274339">
        <w:rPr>
          <w:i/>
        </w:rPr>
        <w:t>impedire l’invecchiamento complessivo della popolazione</w:t>
      </w:r>
      <w:r w:rsidRPr="00274339">
        <w:t xml:space="preserve">”. </w:t>
      </w:r>
    </w:p>
  </w:footnote>
  <w:footnote w:id="55">
    <w:p w:rsidR="00274339" w:rsidRPr="00274339" w:rsidRDefault="00274339" w:rsidP="00274339">
      <w:pPr>
        <w:pStyle w:val="Testonotaapidipagina"/>
        <w:ind w:right="1178"/>
        <w:jc w:val="both"/>
      </w:pPr>
      <w:r w:rsidRPr="00274339">
        <w:rPr>
          <w:rStyle w:val="Rimandonotaapidipagina"/>
        </w:rPr>
        <w:footnoteRef/>
      </w:r>
      <w:r w:rsidRPr="00274339">
        <w:t xml:space="preserve"> Su cui v., diffusamente, V Pinto, </w:t>
      </w:r>
      <w:r w:rsidRPr="00274339">
        <w:rPr>
          <w:i/>
        </w:rPr>
        <w:t>I Gruppi imprenditoriali tra diritto dell’unione europea e diritto nazionale</w:t>
      </w:r>
      <w:r w:rsidRPr="00274339">
        <w:t>, cit., 891.</w:t>
      </w:r>
    </w:p>
  </w:footnote>
  <w:footnote w:id="56">
    <w:p w:rsidR="00DA3C87" w:rsidRPr="00274339" w:rsidRDefault="00DA3C87" w:rsidP="00274339">
      <w:pPr>
        <w:autoSpaceDE w:val="0"/>
        <w:autoSpaceDN w:val="0"/>
        <w:adjustRightInd w:val="0"/>
        <w:ind w:right="1178"/>
        <w:jc w:val="both"/>
        <w:rPr>
          <w:sz w:val="20"/>
          <w:szCs w:val="20"/>
        </w:rPr>
      </w:pPr>
      <w:r w:rsidRPr="00274339">
        <w:rPr>
          <w:rStyle w:val="Rimandonotaapidipagina"/>
          <w:sz w:val="20"/>
          <w:szCs w:val="20"/>
        </w:rPr>
        <w:footnoteRef/>
      </w:r>
      <w:r w:rsidR="00472352" w:rsidRPr="00274339">
        <w:rPr>
          <w:sz w:val="20"/>
          <w:szCs w:val="20"/>
        </w:rPr>
        <w:t xml:space="preserve"> In tema v.</w:t>
      </w:r>
      <w:r w:rsidRPr="00274339">
        <w:rPr>
          <w:sz w:val="20"/>
          <w:szCs w:val="20"/>
        </w:rPr>
        <w:t xml:space="preserve"> O. </w:t>
      </w:r>
      <w:proofErr w:type="spellStart"/>
      <w:r w:rsidRPr="00274339">
        <w:rPr>
          <w:sz w:val="20"/>
          <w:szCs w:val="20"/>
        </w:rPr>
        <w:t>Razzolini</w:t>
      </w:r>
      <w:proofErr w:type="spellEnd"/>
      <w:r w:rsidRPr="00274339">
        <w:rPr>
          <w:sz w:val="20"/>
          <w:szCs w:val="20"/>
        </w:rPr>
        <w:t xml:space="preserve">, </w:t>
      </w:r>
      <w:r w:rsidRPr="00274339">
        <w:rPr>
          <w:i/>
          <w:sz w:val="20"/>
          <w:szCs w:val="20"/>
        </w:rPr>
        <w:t>Contitolarità del rapporto di lavoro nel gruppo caratterizzato da “unicità di impresa”</w:t>
      </w:r>
      <w:r w:rsidRPr="00274339">
        <w:rPr>
          <w:sz w:val="20"/>
          <w:szCs w:val="20"/>
        </w:rPr>
        <w:t>, cit., 24, che ritiene che</w:t>
      </w:r>
      <w:r w:rsidR="002E4619" w:rsidRPr="00274339">
        <w:rPr>
          <w:sz w:val="20"/>
          <w:szCs w:val="20"/>
        </w:rPr>
        <w:t>,</w:t>
      </w:r>
      <w:r w:rsidRPr="00274339">
        <w:rPr>
          <w:sz w:val="20"/>
          <w:szCs w:val="20"/>
        </w:rPr>
        <w:t xml:space="preserve"> ove nei fatti risulti che la prestazione del lavoratore sia destinata all’impresa di gruppo, l’attribuzione della qualità di datore di lavoro, scartata l’ipotesi della </w:t>
      </w:r>
      <w:proofErr w:type="spellStart"/>
      <w:r w:rsidRPr="00274339">
        <w:rPr>
          <w:sz w:val="20"/>
          <w:szCs w:val="20"/>
        </w:rPr>
        <w:t>soggettivizzazione</w:t>
      </w:r>
      <w:proofErr w:type="spellEnd"/>
      <w:r w:rsidRPr="00274339">
        <w:rPr>
          <w:sz w:val="20"/>
          <w:szCs w:val="20"/>
        </w:rPr>
        <w:t xml:space="preserve"> dell’impresa di gruppo o del gruppo di imprese, debba avvenire nella pluralità delle società facenti parte del gruppo, secondo lo schema dell’“</w:t>
      </w:r>
      <w:r w:rsidRPr="00274339">
        <w:rPr>
          <w:i/>
          <w:sz w:val="20"/>
          <w:szCs w:val="20"/>
        </w:rPr>
        <w:t>obbligazione soggettivamente complessa</w:t>
      </w:r>
      <w:r w:rsidR="002E4619" w:rsidRPr="00274339">
        <w:rPr>
          <w:sz w:val="20"/>
          <w:szCs w:val="20"/>
        </w:rPr>
        <w:t>”; v.</w:t>
      </w:r>
      <w:r w:rsidRPr="00274339">
        <w:rPr>
          <w:sz w:val="20"/>
          <w:szCs w:val="20"/>
        </w:rPr>
        <w:t xml:space="preserve"> </w:t>
      </w:r>
      <w:r w:rsidR="002E4619" w:rsidRPr="00274339">
        <w:rPr>
          <w:sz w:val="20"/>
          <w:szCs w:val="20"/>
        </w:rPr>
        <w:t xml:space="preserve">anche </w:t>
      </w:r>
      <w:r w:rsidRPr="00274339">
        <w:rPr>
          <w:sz w:val="20"/>
          <w:szCs w:val="20"/>
        </w:rPr>
        <w:t xml:space="preserve">L. </w:t>
      </w:r>
      <w:proofErr w:type="spellStart"/>
      <w:r w:rsidRPr="00274339">
        <w:rPr>
          <w:sz w:val="20"/>
          <w:szCs w:val="20"/>
        </w:rPr>
        <w:t>Nogler</w:t>
      </w:r>
      <w:proofErr w:type="spellEnd"/>
      <w:r w:rsidRPr="00274339">
        <w:rPr>
          <w:sz w:val="20"/>
          <w:szCs w:val="20"/>
        </w:rPr>
        <w:t xml:space="preserve">, </w:t>
      </w:r>
      <w:r w:rsidRPr="00274339">
        <w:rPr>
          <w:i/>
          <w:sz w:val="20"/>
          <w:szCs w:val="20"/>
        </w:rPr>
        <w:t>Gruppo di imprese e diritto del lavoro</w:t>
      </w:r>
      <w:r w:rsidRPr="00274339">
        <w:rPr>
          <w:sz w:val="20"/>
          <w:szCs w:val="20"/>
        </w:rPr>
        <w:t xml:space="preserve">, in </w:t>
      </w:r>
      <w:r w:rsidRPr="00274339">
        <w:rPr>
          <w:i/>
          <w:sz w:val="20"/>
          <w:szCs w:val="20"/>
        </w:rPr>
        <w:t>Lav. Dir.</w:t>
      </w:r>
      <w:r w:rsidRPr="00274339">
        <w:rPr>
          <w:sz w:val="20"/>
          <w:szCs w:val="20"/>
        </w:rPr>
        <w:t xml:space="preserve">, 1992, 2, 308 (nonché, più di recente, Id., </w:t>
      </w:r>
      <w:r w:rsidRPr="00274339">
        <w:rPr>
          <w:i/>
          <w:sz w:val="20"/>
          <w:szCs w:val="20"/>
        </w:rPr>
        <w:t xml:space="preserve">The </w:t>
      </w:r>
      <w:proofErr w:type="spellStart"/>
      <w:r w:rsidRPr="00274339">
        <w:rPr>
          <w:i/>
          <w:sz w:val="20"/>
          <w:szCs w:val="20"/>
        </w:rPr>
        <w:t>concept</w:t>
      </w:r>
      <w:proofErr w:type="spellEnd"/>
      <w:r w:rsidRPr="00274339">
        <w:rPr>
          <w:i/>
          <w:sz w:val="20"/>
          <w:szCs w:val="20"/>
        </w:rPr>
        <w:t xml:space="preserve"> of </w:t>
      </w:r>
      <w:proofErr w:type="spellStart"/>
      <w:r w:rsidRPr="00274339">
        <w:rPr>
          <w:i/>
          <w:sz w:val="20"/>
          <w:szCs w:val="20"/>
        </w:rPr>
        <w:t>Subordination</w:t>
      </w:r>
      <w:proofErr w:type="spellEnd"/>
      <w:r w:rsidRPr="00274339">
        <w:rPr>
          <w:i/>
          <w:sz w:val="20"/>
          <w:szCs w:val="20"/>
        </w:rPr>
        <w:t xml:space="preserve"> in </w:t>
      </w:r>
      <w:proofErr w:type="spellStart"/>
      <w:r w:rsidRPr="00274339">
        <w:rPr>
          <w:i/>
          <w:sz w:val="20"/>
          <w:szCs w:val="20"/>
        </w:rPr>
        <w:t>European</w:t>
      </w:r>
      <w:proofErr w:type="spellEnd"/>
      <w:r w:rsidRPr="00274339">
        <w:rPr>
          <w:i/>
          <w:sz w:val="20"/>
          <w:szCs w:val="20"/>
        </w:rPr>
        <w:t xml:space="preserve"> and Comparative Law</w:t>
      </w:r>
      <w:r w:rsidRPr="00274339">
        <w:rPr>
          <w:sz w:val="20"/>
          <w:szCs w:val="20"/>
        </w:rPr>
        <w:t>, Università di Trento-Quaderni del Dipartimento, 2009, 68), che pure ritiene prefigurabile, a seconda delle circostanze concrete, sia lo schema dell’unico rapporto di lavoro con più datori di lavoro, rientrante nella categoria civilistica dell’“</w:t>
      </w:r>
      <w:r w:rsidRPr="00274339">
        <w:rPr>
          <w:i/>
          <w:sz w:val="20"/>
          <w:szCs w:val="20"/>
        </w:rPr>
        <w:t xml:space="preserve">obbligazione </w:t>
      </w:r>
      <w:proofErr w:type="spellStart"/>
      <w:r w:rsidRPr="00274339">
        <w:rPr>
          <w:i/>
          <w:sz w:val="20"/>
          <w:szCs w:val="20"/>
        </w:rPr>
        <w:t>correale</w:t>
      </w:r>
      <w:proofErr w:type="spellEnd"/>
      <w:r w:rsidRPr="00274339">
        <w:rPr>
          <w:sz w:val="20"/>
          <w:szCs w:val="20"/>
        </w:rPr>
        <w:t>”, sia quello della pluralità di rapporti di lavoro con datori di lavoro solidali, secondo lo schema civilistico dell’“</w:t>
      </w:r>
      <w:r w:rsidRPr="00274339">
        <w:rPr>
          <w:i/>
          <w:sz w:val="20"/>
          <w:szCs w:val="20"/>
        </w:rPr>
        <w:t>obbligazione collettiva</w:t>
      </w:r>
      <w:r w:rsidRPr="00274339">
        <w:rPr>
          <w:sz w:val="20"/>
          <w:szCs w:val="20"/>
        </w:rPr>
        <w:t>”. In termini di “</w:t>
      </w:r>
      <w:r w:rsidRPr="00274339">
        <w:rPr>
          <w:i/>
          <w:sz w:val="20"/>
          <w:szCs w:val="20"/>
        </w:rPr>
        <w:t>obbligazione collettiva – con solidarietà passiva</w:t>
      </w:r>
      <w:r w:rsidRPr="00274339">
        <w:rPr>
          <w:sz w:val="20"/>
          <w:szCs w:val="20"/>
        </w:rPr>
        <w:t xml:space="preserve">” si esprime G. De Simone, </w:t>
      </w:r>
      <w:r w:rsidRPr="00274339">
        <w:rPr>
          <w:i/>
          <w:sz w:val="20"/>
          <w:szCs w:val="20"/>
        </w:rPr>
        <w:t>Titolarità dei rapporti di lavoro e regole di trasparenza. Interposizione, imprese di gruppo, lavoro interinale</w:t>
      </w:r>
      <w:r w:rsidRPr="00274339">
        <w:rPr>
          <w:sz w:val="20"/>
          <w:szCs w:val="20"/>
        </w:rPr>
        <w:t>, Franco Angeli, Milano, 1995, 276</w:t>
      </w:r>
      <w:r w:rsidR="002E4619" w:rsidRPr="00274339">
        <w:rPr>
          <w:sz w:val="20"/>
          <w:szCs w:val="20"/>
        </w:rPr>
        <w:t>,</w:t>
      </w:r>
      <w:r w:rsidRPr="00274339">
        <w:rPr>
          <w:sz w:val="20"/>
          <w:szCs w:val="20"/>
        </w:rPr>
        <w:t xml:space="preserve"> ed in termini</w:t>
      </w:r>
      <w:r w:rsidR="002E4619" w:rsidRPr="00274339">
        <w:rPr>
          <w:sz w:val="20"/>
          <w:szCs w:val="20"/>
        </w:rPr>
        <w:t xml:space="preserve"> di</w:t>
      </w:r>
      <w:r w:rsidRPr="00274339">
        <w:rPr>
          <w:sz w:val="20"/>
          <w:szCs w:val="20"/>
        </w:rPr>
        <w:t xml:space="preserve"> “</w:t>
      </w:r>
      <w:r w:rsidRPr="00274339">
        <w:rPr>
          <w:i/>
          <w:sz w:val="20"/>
          <w:szCs w:val="20"/>
        </w:rPr>
        <w:t>obbligazione collettiva di lavoro</w:t>
      </w:r>
      <w:r w:rsidRPr="00274339">
        <w:rPr>
          <w:sz w:val="20"/>
          <w:szCs w:val="20"/>
        </w:rPr>
        <w:t xml:space="preserve">” L. Mariucci, </w:t>
      </w:r>
      <w:r w:rsidRPr="00274339">
        <w:rPr>
          <w:i/>
          <w:sz w:val="20"/>
          <w:szCs w:val="20"/>
        </w:rPr>
        <w:t>Il lavoro decentrato. Discipline legislative e contrattuali</w:t>
      </w:r>
      <w:r w:rsidRPr="00274339">
        <w:rPr>
          <w:sz w:val="20"/>
          <w:szCs w:val="20"/>
        </w:rPr>
        <w:t xml:space="preserve">, Franco Angeli, Milano, 1979, 193. Da ultimo, con riferimento al problema della </w:t>
      </w:r>
      <w:proofErr w:type="spellStart"/>
      <w:r w:rsidRPr="00274339">
        <w:rPr>
          <w:sz w:val="20"/>
          <w:szCs w:val="20"/>
        </w:rPr>
        <w:t>codatorialità</w:t>
      </w:r>
      <w:proofErr w:type="spellEnd"/>
      <w:r w:rsidRPr="00274339">
        <w:rPr>
          <w:sz w:val="20"/>
          <w:szCs w:val="20"/>
        </w:rPr>
        <w:t xml:space="preserve"> nell’ambito delle integrazioni contrattuale tra imprese in genere, v. V. Speziale, </w:t>
      </w:r>
      <w:r w:rsidRPr="00274339">
        <w:rPr>
          <w:i/>
          <w:sz w:val="20"/>
          <w:szCs w:val="20"/>
        </w:rPr>
        <w:t>Il datore di lavoro nell’impresa integrata</w:t>
      </w:r>
      <w:r w:rsidRPr="00274339">
        <w:rPr>
          <w:sz w:val="20"/>
          <w:szCs w:val="20"/>
        </w:rPr>
        <w:t xml:space="preserve">, in </w:t>
      </w:r>
      <w:proofErr w:type="spellStart"/>
      <w:r w:rsidRPr="00274339">
        <w:rPr>
          <w:i/>
          <w:sz w:val="20"/>
          <w:szCs w:val="20"/>
        </w:rPr>
        <w:t>Dir.Lav.Rel.Ind</w:t>
      </w:r>
      <w:proofErr w:type="spellEnd"/>
      <w:r w:rsidRPr="00274339">
        <w:rPr>
          <w:i/>
          <w:sz w:val="20"/>
          <w:szCs w:val="20"/>
        </w:rPr>
        <w:t>.</w:t>
      </w:r>
      <w:r w:rsidRPr="00274339">
        <w:rPr>
          <w:sz w:val="20"/>
          <w:szCs w:val="20"/>
        </w:rPr>
        <w:t xml:space="preserve">, 2010, 1 ss., nonché L. Corazza, </w:t>
      </w:r>
      <w:r w:rsidRPr="00274339">
        <w:rPr>
          <w:i/>
          <w:sz w:val="20"/>
          <w:szCs w:val="20"/>
        </w:rPr>
        <w:t>“</w:t>
      </w:r>
      <w:proofErr w:type="spellStart"/>
      <w:r w:rsidRPr="00274339">
        <w:rPr>
          <w:i/>
          <w:sz w:val="20"/>
          <w:szCs w:val="20"/>
        </w:rPr>
        <w:t>Contractual</w:t>
      </w:r>
      <w:proofErr w:type="spellEnd"/>
      <w:r w:rsidRPr="00274339">
        <w:rPr>
          <w:i/>
          <w:sz w:val="20"/>
          <w:szCs w:val="20"/>
        </w:rPr>
        <w:t xml:space="preserve"> Integration” e rapporti di lavoro: uno studio sulle tecniche di tutela del lavoratore</w:t>
      </w:r>
      <w:r w:rsidRPr="00274339">
        <w:rPr>
          <w:sz w:val="20"/>
          <w:szCs w:val="20"/>
        </w:rPr>
        <w:t>, Cedam, Padova, 2004, 245</w:t>
      </w:r>
      <w:r w:rsidRPr="00274339">
        <w:rPr>
          <w:i/>
          <w:sz w:val="20"/>
          <w:szCs w:val="20"/>
        </w:rPr>
        <w:t xml:space="preserve"> ss.</w:t>
      </w:r>
      <w:r w:rsidRPr="00274339">
        <w:rPr>
          <w:sz w:val="20"/>
          <w:szCs w:val="20"/>
        </w:rPr>
        <w:t xml:space="preserve"> </w:t>
      </w:r>
    </w:p>
  </w:footnote>
  <w:footnote w:id="57">
    <w:p w:rsidR="00DA3C87" w:rsidRPr="00274339" w:rsidRDefault="00DA3C87" w:rsidP="00274339">
      <w:pPr>
        <w:pStyle w:val="Testonotaapidipagina"/>
        <w:ind w:right="1178"/>
        <w:jc w:val="both"/>
      </w:pPr>
      <w:r w:rsidRPr="00274339">
        <w:rPr>
          <w:rStyle w:val="Rimandonotaapidipagina"/>
        </w:rPr>
        <w:footnoteRef/>
      </w:r>
      <w:r w:rsidRPr="00274339">
        <w:t xml:space="preserve"> Cass. 24.3.2003, n. 4274, in </w:t>
      </w:r>
      <w:r w:rsidRPr="00274339">
        <w:rPr>
          <w:i/>
        </w:rPr>
        <w:t>D&amp;L</w:t>
      </w:r>
      <w:r w:rsidRPr="00274339">
        <w:t xml:space="preserve">, 2003, con nota adesiva di S. Muggia, </w:t>
      </w:r>
      <w:r w:rsidRPr="00274339">
        <w:rPr>
          <w:i/>
        </w:rPr>
        <w:t>Il lento cammino della giurisprudenza sul tema del collegamento societario nel diritto del lavoro</w:t>
      </w:r>
      <w:r w:rsidR="00D44B2F" w:rsidRPr="00274339">
        <w:t>, 779.</w:t>
      </w:r>
    </w:p>
    <w:p w:rsidR="00DA3C87" w:rsidRPr="00274339" w:rsidRDefault="00DA3C87" w:rsidP="00274339">
      <w:pPr>
        <w:pStyle w:val="Testonotaapidipagina"/>
        <w:ind w:right="1178"/>
        <w:jc w:val="both"/>
      </w:pPr>
      <w:r w:rsidRPr="00274339">
        <w:t xml:space="preserve">Nello stesso senso, Trib. Monza 24.4.2004, in </w:t>
      </w:r>
      <w:proofErr w:type="spellStart"/>
      <w:r w:rsidRPr="00274339">
        <w:rPr>
          <w:i/>
        </w:rPr>
        <w:t>Riv.It.Dir.Lav</w:t>
      </w:r>
      <w:proofErr w:type="spellEnd"/>
      <w:r w:rsidRPr="00274339">
        <w:rPr>
          <w:i/>
        </w:rPr>
        <w:t>.</w:t>
      </w:r>
      <w:r w:rsidRPr="00274339">
        <w:t xml:space="preserve">, 2004, II, 540, con nota di A. </w:t>
      </w:r>
      <w:proofErr w:type="spellStart"/>
      <w:r w:rsidRPr="00274339">
        <w:t>Fortunat</w:t>
      </w:r>
      <w:proofErr w:type="spellEnd"/>
      <w:r w:rsidRPr="00274339">
        <w:t xml:space="preserve">, </w:t>
      </w:r>
      <w:r w:rsidRPr="00274339">
        <w:rPr>
          <w:i/>
        </w:rPr>
        <w:t>Due imprese e una stessa organizzazione imprenditoriale: quando il lavoratore è a servizio di due padroni</w:t>
      </w:r>
      <w:r w:rsidRPr="00274339">
        <w:t>, ove, in presenza di un gruppo fortemente integrato dal punto di vista patrimoniale, è stata accertata la contitolarità dei rapporti di lavoro “</w:t>
      </w:r>
      <w:r w:rsidRPr="00274339">
        <w:rPr>
          <w:i/>
        </w:rPr>
        <w:t>congiuntamente</w:t>
      </w:r>
      <w:r w:rsidRPr="00274339">
        <w:t>” in capo alla società controllante e al datore di lavoro formale dei lavoratori impiegati “</w:t>
      </w:r>
      <w:r w:rsidRPr="00274339">
        <w:rPr>
          <w:i/>
        </w:rPr>
        <w:t>per il perseguimento di un interesse comune, per così dire di gruppo</w:t>
      </w:r>
      <w:r w:rsidR="008A1D54" w:rsidRPr="00274339">
        <w:t>”.</w:t>
      </w:r>
    </w:p>
  </w:footnote>
  <w:footnote w:id="58">
    <w:p w:rsidR="000C6677" w:rsidRPr="00274339" w:rsidRDefault="000C6677" w:rsidP="00274339">
      <w:pPr>
        <w:pStyle w:val="Testonotaapidipagina"/>
        <w:ind w:right="1178"/>
        <w:jc w:val="both"/>
      </w:pPr>
      <w:r w:rsidRPr="00274339">
        <w:rPr>
          <w:rStyle w:val="Rimandonotaapidipagina"/>
        </w:rPr>
        <w:footnoteRef/>
      </w:r>
      <w:r w:rsidRPr="00274339">
        <w:t xml:space="preserve"> </w:t>
      </w:r>
      <w:r w:rsidR="000C16BD">
        <w:t>Aspetto già sottolineato</w:t>
      </w:r>
      <w:r w:rsidR="009D58C6" w:rsidRPr="00274339">
        <w:t xml:space="preserve"> </w:t>
      </w:r>
      <w:r w:rsidR="000C16BD">
        <w:t xml:space="preserve">da chi scrive in </w:t>
      </w:r>
      <w:r w:rsidRPr="00274339">
        <w:rPr>
          <w:i/>
        </w:rPr>
        <w:t>I dubbi sull’attuale rilevanza dei Gruppi di Imprese nel diritto del lavoro. Le oscillazioni della giurisprudenza e la necessità di un intervento organico del Legislatore in materia</w:t>
      </w:r>
      <w:r w:rsidRPr="00274339">
        <w:t xml:space="preserve">, in </w:t>
      </w:r>
      <w:r w:rsidRPr="00274339">
        <w:rPr>
          <w:i/>
        </w:rPr>
        <w:t>ADL</w:t>
      </w:r>
      <w:r w:rsidRPr="00274339">
        <w:t>, 2011, 4-5, 990.</w:t>
      </w:r>
    </w:p>
  </w:footnote>
  <w:footnote w:id="59">
    <w:p w:rsidR="00DA3C87" w:rsidRPr="009A2425" w:rsidRDefault="00DA3C87" w:rsidP="00274339">
      <w:pPr>
        <w:pStyle w:val="Testonotaapidipagina"/>
        <w:ind w:right="1178"/>
        <w:jc w:val="both"/>
      </w:pPr>
      <w:r w:rsidRPr="00274339">
        <w:rPr>
          <w:rStyle w:val="Rimandonotaapidipagina"/>
        </w:rPr>
        <w:footnoteRef/>
      </w:r>
      <w:r w:rsidRPr="00274339">
        <w:t xml:space="preserve"> </w:t>
      </w:r>
      <w:r w:rsidR="009A2425">
        <w:t xml:space="preserve">Così già </w:t>
      </w:r>
      <w:r w:rsidRPr="00274339">
        <w:t xml:space="preserve">B. Veneziani, </w:t>
      </w:r>
      <w:r w:rsidRPr="00274339">
        <w:rPr>
          <w:i/>
        </w:rPr>
        <w:t>Gruppi di imprese e diritto del lavoro</w:t>
      </w:r>
      <w:r w:rsidRPr="00274339">
        <w:t xml:space="preserve">, in </w:t>
      </w:r>
      <w:proofErr w:type="spellStart"/>
      <w:r w:rsidRPr="00274339">
        <w:rPr>
          <w:i/>
        </w:rPr>
        <w:t>Lav.Dir</w:t>
      </w:r>
      <w:proofErr w:type="spellEnd"/>
      <w:r w:rsidRPr="00274339">
        <w:rPr>
          <w:i/>
        </w:rPr>
        <w:t>.</w:t>
      </w:r>
      <w:r w:rsidRPr="00274339">
        <w:t>, 1990, 609.</w:t>
      </w:r>
      <w:r w:rsidR="009A2425">
        <w:t xml:space="preserve"> Peraltro, non potrà sfuggire che il tema della contrattazione nell’ambito dei gruppi transnazionali risulti afferente a quello, </w:t>
      </w:r>
      <w:proofErr w:type="spellStart"/>
      <w:r w:rsidR="009A2425">
        <w:t>assia</w:t>
      </w:r>
      <w:proofErr w:type="spellEnd"/>
      <w:r w:rsidR="009A2425">
        <w:t xml:space="preserve"> attuale, della negoziazione transnazionale, al cui proposito si rinvia a E. Ales, </w:t>
      </w:r>
      <w:r w:rsidR="009A2425">
        <w:rPr>
          <w:i/>
        </w:rPr>
        <w:t>La contrattazione collettiva transnazionale tra passato, presente e futuro</w:t>
      </w:r>
      <w:r w:rsidR="009A2425">
        <w:t xml:space="preserve">, in </w:t>
      </w:r>
      <w:r w:rsidR="009A2425" w:rsidRPr="009A2425">
        <w:rPr>
          <w:i/>
        </w:rPr>
        <w:t>D</w:t>
      </w:r>
      <w:r w:rsidR="009A2425">
        <w:rPr>
          <w:i/>
        </w:rPr>
        <w:t>LRI</w:t>
      </w:r>
      <w:r w:rsidR="009A2425">
        <w:t xml:space="preserve">, 2007, 541; A. </w:t>
      </w:r>
      <w:proofErr w:type="spellStart"/>
      <w:r w:rsidR="009A2425">
        <w:t>Perulli</w:t>
      </w:r>
      <w:proofErr w:type="spellEnd"/>
      <w:r w:rsidR="009A2425">
        <w:t xml:space="preserve">, </w:t>
      </w:r>
      <w:r w:rsidR="009A2425">
        <w:rPr>
          <w:i/>
        </w:rPr>
        <w:t>La contrattazione collettiva europea cd. Autonoma. Funzioni attuali e possibili inquadramenti teorici</w:t>
      </w:r>
      <w:r w:rsidR="009A2425">
        <w:t>, in</w:t>
      </w:r>
      <w:r w:rsidR="009A2425">
        <w:rPr>
          <w:i/>
        </w:rPr>
        <w:t xml:space="preserve"> DLM</w:t>
      </w:r>
      <w:r w:rsidR="009A2425">
        <w:t xml:space="preserve">, 2008, 577; A. Lo Faro, </w:t>
      </w:r>
      <w:r w:rsidR="009A2425">
        <w:rPr>
          <w:i/>
        </w:rPr>
        <w:t xml:space="preserve">La contrattazione collettiva transnazionale: prove di ripresa del dialogo sociale in </w:t>
      </w:r>
      <w:proofErr w:type="gramStart"/>
      <w:r w:rsidR="009A2425">
        <w:rPr>
          <w:i/>
        </w:rPr>
        <w:t>Europa?</w:t>
      </w:r>
      <w:r w:rsidR="009A2425">
        <w:t>,</w:t>
      </w:r>
      <w:proofErr w:type="gramEnd"/>
      <w:r w:rsidR="009A2425">
        <w:t xml:space="preserve"> in </w:t>
      </w:r>
      <w:r w:rsidR="009A2425">
        <w:rPr>
          <w:i/>
        </w:rPr>
        <w:t>DLRI</w:t>
      </w:r>
      <w:r w:rsidR="009A2425">
        <w:t>, 2007, 551.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7.2pt" o:bullet="t">
        <v:imagedata r:id="rId1" o:title="clip_image001"/>
      </v:shape>
    </w:pict>
  </w:numPicBullet>
  <w:abstractNum w:abstractNumId="0">
    <w:nsid w:val="08652CD8"/>
    <w:multiLevelType w:val="hybridMultilevel"/>
    <w:tmpl w:val="886CFD1C"/>
    <w:lvl w:ilvl="0" w:tplc="B47EF0C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101F2DA6"/>
    <w:multiLevelType w:val="hybridMultilevel"/>
    <w:tmpl w:val="5ECC1A38"/>
    <w:lvl w:ilvl="0" w:tplc="E56614E8">
      <w:start w:val="1"/>
      <w:numFmt w:val="lowerLetter"/>
      <w:lvlText w:val="%1)"/>
      <w:lvlJc w:val="left"/>
      <w:pPr>
        <w:tabs>
          <w:tab w:val="num" w:pos="420"/>
        </w:tabs>
        <w:ind w:left="420" w:hanging="360"/>
      </w:pPr>
      <w:rPr>
        <w:rFonts w:hint="default"/>
      </w:rPr>
    </w:lvl>
    <w:lvl w:ilvl="1" w:tplc="04100019" w:tentative="1">
      <w:start w:val="1"/>
      <w:numFmt w:val="lowerLetter"/>
      <w:lvlText w:val="%2."/>
      <w:lvlJc w:val="left"/>
      <w:pPr>
        <w:tabs>
          <w:tab w:val="num" w:pos="1140"/>
        </w:tabs>
        <w:ind w:left="1140" w:hanging="360"/>
      </w:pPr>
    </w:lvl>
    <w:lvl w:ilvl="2" w:tplc="0410001B" w:tentative="1">
      <w:start w:val="1"/>
      <w:numFmt w:val="lowerRoman"/>
      <w:lvlText w:val="%3."/>
      <w:lvlJc w:val="right"/>
      <w:pPr>
        <w:tabs>
          <w:tab w:val="num" w:pos="1860"/>
        </w:tabs>
        <w:ind w:left="1860" w:hanging="180"/>
      </w:pPr>
    </w:lvl>
    <w:lvl w:ilvl="3" w:tplc="0410000F" w:tentative="1">
      <w:start w:val="1"/>
      <w:numFmt w:val="decimal"/>
      <w:lvlText w:val="%4."/>
      <w:lvlJc w:val="left"/>
      <w:pPr>
        <w:tabs>
          <w:tab w:val="num" w:pos="2580"/>
        </w:tabs>
        <w:ind w:left="2580" w:hanging="360"/>
      </w:pPr>
    </w:lvl>
    <w:lvl w:ilvl="4" w:tplc="04100019" w:tentative="1">
      <w:start w:val="1"/>
      <w:numFmt w:val="lowerLetter"/>
      <w:lvlText w:val="%5."/>
      <w:lvlJc w:val="left"/>
      <w:pPr>
        <w:tabs>
          <w:tab w:val="num" w:pos="3300"/>
        </w:tabs>
        <w:ind w:left="3300" w:hanging="360"/>
      </w:pPr>
    </w:lvl>
    <w:lvl w:ilvl="5" w:tplc="0410001B" w:tentative="1">
      <w:start w:val="1"/>
      <w:numFmt w:val="lowerRoman"/>
      <w:lvlText w:val="%6."/>
      <w:lvlJc w:val="right"/>
      <w:pPr>
        <w:tabs>
          <w:tab w:val="num" w:pos="4020"/>
        </w:tabs>
        <w:ind w:left="4020" w:hanging="180"/>
      </w:pPr>
    </w:lvl>
    <w:lvl w:ilvl="6" w:tplc="0410000F" w:tentative="1">
      <w:start w:val="1"/>
      <w:numFmt w:val="decimal"/>
      <w:lvlText w:val="%7."/>
      <w:lvlJc w:val="left"/>
      <w:pPr>
        <w:tabs>
          <w:tab w:val="num" w:pos="4740"/>
        </w:tabs>
        <w:ind w:left="4740" w:hanging="360"/>
      </w:pPr>
    </w:lvl>
    <w:lvl w:ilvl="7" w:tplc="04100019" w:tentative="1">
      <w:start w:val="1"/>
      <w:numFmt w:val="lowerLetter"/>
      <w:lvlText w:val="%8."/>
      <w:lvlJc w:val="left"/>
      <w:pPr>
        <w:tabs>
          <w:tab w:val="num" w:pos="5460"/>
        </w:tabs>
        <w:ind w:left="5460" w:hanging="360"/>
      </w:pPr>
    </w:lvl>
    <w:lvl w:ilvl="8" w:tplc="0410001B" w:tentative="1">
      <w:start w:val="1"/>
      <w:numFmt w:val="lowerRoman"/>
      <w:lvlText w:val="%9."/>
      <w:lvlJc w:val="right"/>
      <w:pPr>
        <w:tabs>
          <w:tab w:val="num" w:pos="6180"/>
        </w:tabs>
        <w:ind w:left="6180" w:hanging="180"/>
      </w:pPr>
    </w:lvl>
  </w:abstractNum>
  <w:abstractNum w:abstractNumId="2">
    <w:nsid w:val="55FA30EF"/>
    <w:multiLevelType w:val="hybridMultilevel"/>
    <w:tmpl w:val="9B6CF402"/>
    <w:lvl w:ilvl="0" w:tplc="3732DD2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59E150C8"/>
    <w:multiLevelType w:val="hybridMultilevel"/>
    <w:tmpl w:val="A4061132"/>
    <w:lvl w:ilvl="0" w:tplc="E01E9FD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6A301041"/>
    <w:multiLevelType w:val="hybridMultilevel"/>
    <w:tmpl w:val="C9ECDF68"/>
    <w:lvl w:ilvl="0" w:tplc="4E4C3D1C">
      <w:start w:val="1"/>
      <w:numFmt w:val="bullet"/>
      <w:lvlText w:val=""/>
      <w:lvlPicBulletId w:val="0"/>
      <w:lvlJc w:val="left"/>
      <w:pPr>
        <w:tabs>
          <w:tab w:val="num" w:pos="357"/>
        </w:tabs>
        <w:ind w:left="357" w:hanging="357"/>
      </w:pPr>
      <w:rPr>
        <w:rFonts w:ascii="Symbol" w:hAnsi="Symbol" w:hint="default"/>
        <w:color w:val="auto"/>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nsid w:val="711D2EE6"/>
    <w:multiLevelType w:val="hybridMultilevel"/>
    <w:tmpl w:val="4F2A766C"/>
    <w:lvl w:ilvl="0" w:tplc="957EAAC2">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51E70"/>
    <w:rsid w:val="00000668"/>
    <w:rsid w:val="00003C9C"/>
    <w:rsid w:val="00010517"/>
    <w:rsid w:val="000114B7"/>
    <w:rsid w:val="00015313"/>
    <w:rsid w:val="000160AF"/>
    <w:rsid w:val="000164B2"/>
    <w:rsid w:val="00021F41"/>
    <w:rsid w:val="00023760"/>
    <w:rsid w:val="00024B06"/>
    <w:rsid w:val="0003127F"/>
    <w:rsid w:val="00031F31"/>
    <w:rsid w:val="0003207D"/>
    <w:rsid w:val="00032FEB"/>
    <w:rsid w:val="000345C0"/>
    <w:rsid w:val="00044833"/>
    <w:rsid w:val="00047C2A"/>
    <w:rsid w:val="000500BE"/>
    <w:rsid w:val="00050C15"/>
    <w:rsid w:val="00051D37"/>
    <w:rsid w:val="00055156"/>
    <w:rsid w:val="000564E7"/>
    <w:rsid w:val="00056E6D"/>
    <w:rsid w:val="000577B4"/>
    <w:rsid w:val="00057891"/>
    <w:rsid w:val="00062B6F"/>
    <w:rsid w:val="00063598"/>
    <w:rsid w:val="00064BCB"/>
    <w:rsid w:val="000664B0"/>
    <w:rsid w:val="00066652"/>
    <w:rsid w:val="000706AA"/>
    <w:rsid w:val="00070D08"/>
    <w:rsid w:val="00072100"/>
    <w:rsid w:val="00073AAF"/>
    <w:rsid w:val="00077B76"/>
    <w:rsid w:val="00080057"/>
    <w:rsid w:val="00084FC0"/>
    <w:rsid w:val="00086F52"/>
    <w:rsid w:val="00087443"/>
    <w:rsid w:val="00087AD8"/>
    <w:rsid w:val="00092210"/>
    <w:rsid w:val="000961DC"/>
    <w:rsid w:val="000A1A91"/>
    <w:rsid w:val="000A2005"/>
    <w:rsid w:val="000A25D7"/>
    <w:rsid w:val="000A3883"/>
    <w:rsid w:val="000A3C6B"/>
    <w:rsid w:val="000A6265"/>
    <w:rsid w:val="000A7D89"/>
    <w:rsid w:val="000B2EC0"/>
    <w:rsid w:val="000B6427"/>
    <w:rsid w:val="000B6C1B"/>
    <w:rsid w:val="000C16BD"/>
    <w:rsid w:val="000C1A63"/>
    <w:rsid w:val="000C1F1A"/>
    <w:rsid w:val="000C3547"/>
    <w:rsid w:val="000C6677"/>
    <w:rsid w:val="000C7A03"/>
    <w:rsid w:val="000D0AD5"/>
    <w:rsid w:val="000D1265"/>
    <w:rsid w:val="000D45C2"/>
    <w:rsid w:val="000D5AD7"/>
    <w:rsid w:val="000D7179"/>
    <w:rsid w:val="000D7BFD"/>
    <w:rsid w:val="000E0384"/>
    <w:rsid w:val="000E1376"/>
    <w:rsid w:val="000E48F2"/>
    <w:rsid w:val="000E5B8E"/>
    <w:rsid w:val="000E6118"/>
    <w:rsid w:val="000E7A2D"/>
    <w:rsid w:val="000F2130"/>
    <w:rsid w:val="000F25E5"/>
    <w:rsid w:val="000F26E9"/>
    <w:rsid w:val="000F2A16"/>
    <w:rsid w:val="000F3537"/>
    <w:rsid w:val="000F3683"/>
    <w:rsid w:val="000F7012"/>
    <w:rsid w:val="000F7691"/>
    <w:rsid w:val="00100B23"/>
    <w:rsid w:val="00103F19"/>
    <w:rsid w:val="00104ADF"/>
    <w:rsid w:val="00105A6F"/>
    <w:rsid w:val="0010696E"/>
    <w:rsid w:val="00106AE1"/>
    <w:rsid w:val="00107C79"/>
    <w:rsid w:val="00110496"/>
    <w:rsid w:val="00116A59"/>
    <w:rsid w:val="0011738D"/>
    <w:rsid w:val="00117FB2"/>
    <w:rsid w:val="0012137F"/>
    <w:rsid w:val="00123137"/>
    <w:rsid w:val="00123DF2"/>
    <w:rsid w:val="00123E70"/>
    <w:rsid w:val="00124FE4"/>
    <w:rsid w:val="00125C07"/>
    <w:rsid w:val="0012627C"/>
    <w:rsid w:val="00127163"/>
    <w:rsid w:val="001271C1"/>
    <w:rsid w:val="00133AA1"/>
    <w:rsid w:val="00136B03"/>
    <w:rsid w:val="00137606"/>
    <w:rsid w:val="001452AA"/>
    <w:rsid w:val="00150872"/>
    <w:rsid w:val="00151053"/>
    <w:rsid w:val="00151D43"/>
    <w:rsid w:val="00152A92"/>
    <w:rsid w:val="00152D4E"/>
    <w:rsid w:val="001533BD"/>
    <w:rsid w:val="0015452D"/>
    <w:rsid w:val="00155789"/>
    <w:rsid w:val="0015757E"/>
    <w:rsid w:val="00157B15"/>
    <w:rsid w:val="00157B85"/>
    <w:rsid w:val="00164F17"/>
    <w:rsid w:val="001656F6"/>
    <w:rsid w:val="0017053B"/>
    <w:rsid w:val="00174A82"/>
    <w:rsid w:val="00174C1B"/>
    <w:rsid w:val="0017526B"/>
    <w:rsid w:val="0017535F"/>
    <w:rsid w:val="00175C44"/>
    <w:rsid w:val="00181829"/>
    <w:rsid w:val="00182772"/>
    <w:rsid w:val="00183F73"/>
    <w:rsid w:val="001869CA"/>
    <w:rsid w:val="00186CCD"/>
    <w:rsid w:val="00186DD4"/>
    <w:rsid w:val="00186EFD"/>
    <w:rsid w:val="00190EB5"/>
    <w:rsid w:val="00191438"/>
    <w:rsid w:val="00192780"/>
    <w:rsid w:val="001937E8"/>
    <w:rsid w:val="00193BE6"/>
    <w:rsid w:val="00194AED"/>
    <w:rsid w:val="00196CEC"/>
    <w:rsid w:val="001A1B9C"/>
    <w:rsid w:val="001A218B"/>
    <w:rsid w:val="001A3160"/>
    <w:rsid w:val="001A422E"/>
    <w:rsid w:val="001A4831"/>
    <w:rsid w:val="001A6447"/>
    <w:rsid w:val="001A7E83"/>
    <w:rsid w:val="001B0D6E"/>
    <w:rsid w:val="001B145D"/>
    <w:rsid w:val="001B1575"/>
    <w:rsid w:val="001B17BB"/>
    <w:rsid w:val="001B2D1E"/>
    <w:rsid w:val="001B338D"/>
    <w:rsid w:val="001B5191"/>
    <w:rsid w:val="001B5C94"/>
    <w:rsid w:val="001B6D39"/>
    <w:rsid w:val="001C07C7"/>
    <w:rsid w:val="001C3489"/>
    <w:rsid w:val="001C511C"/>
    <w:rsid w:val="001C5993"/>
    <w:rsid w:val="001C5A60"/>
    <w:rsid w:val="001D0A9E"/>
    <w:rsid w:val="001D147E"/>
    <w:rsid w:val="001D1C46"/>
    <w:rsid w:val="001D228E"/>
    <w:rsid w:val="001D416E"/>
    <w:rsid w:val="001D4595"/>
    <w:rsid w:val="001D78E0"/>
    <w:rsid w:val="001E1813"/>
    <w:rsid w:val="001E22D3"/>
    <w:rsid w:val="001E6981"/>
    <w:rsid w:val="001F1350"/>
    <w:rsid w:val="001F1380"/>
    <w:rsid w:val="001F18A8"/>
    <w:rsid w:val="001F2181"/>
    <w:rsid w:val="001F2589"/>
    <w:rsid w:val="001F2F08"/>
    <w:rsid w:val="001F4148"/>
    <w:rsid w:val="001F466D"/>
    <w:rsid w:val="001F52B7"/>
    <w:rsid w:val="001F6DBD"/>
    <w:rsid w:val="002014B2"/>
    <w:rsid w:val="00202D27"/>
    <w:rsid w:val="002039BB"/>
    <w:rsid w:val="002042A9"/>
    <w:rsid w:val="00206E74"/>
    <w:rsid w:val="00210202"/>
    <w:rsid w:val="002107F4"/>
    <w:rsid w:val="002108E4"/>
    <w:rsid w:val="00210DB2"/>
    <w:rsid w:val="002111FD"/>
    <w:rsid w:val="00212CB3"/>
    <w:rsid w:val="00212F85"/>
    <w:rsid w:val="0021422B"/>
    <w:rsid w:val="002146A8"/>
    <w:rsid w:val="0021701B"/>
    <w:rsid w:val="00221831"/>
    <w:rsid w:val="00223C10"/>
    <w:rsid w:val="0022639D"/>
    <w:rsid w:val="00226C02"/>
    <w:rsid w:val="0023170D"/>
    <w:rsid w:val="002346D8"/>
    <w:rsid w:val="002347E4"/>
    <w:rsid w:val="0023498D"/>
    <w:rsid w:val="00235506"/>
    <w:rsid w:val="00236DF4"/>
    <w:rsid w:val="002402C5"/>
    <w:rsid w:val="00242250"/>
    <w:rsid w:val="00242575"/>
    <w:rsid w:val="0024260B"/>
    <w:rsid w:val="00242AEC"/>
    <w:rsid w:val="0024319F"/>
    <w:rsid w:val="002442EC"/>
    <w:rsid w:val="00244B29"/>
    <w:rsid w:val="00245A3B"/>
    <w:rsid w:val="0024775D"/>
    <w:rsid w:val="00250B4C"/>
    <w:rsid w:val="00250DEC"/>
    <w:rsid w:val="00250E57"/>
    <w:rsid w:val="00252A9B"/>
    <w:rsid w:val="00255451"/>
    <w:rsid w:val="00256D8A"/>
    <w:rsid w:val="00257A70"/>
    <w:rsid w:val="00262B9F"/>
    <w:rsid w:val="00263404"/>
    <w:rsid w:val="00266AB6"/>
    <w:rsid w:val="00266CEF"/>
    <w:rsid w:val="00270E36"/>
    <w:rsid w:val="0027125E"/>
    <w:rsid w:val="00271432"/>
    <w:rsid w:val="0027386C"/>
    <w:rsid w:val="00274339"/>
    <w:rsid w:val="0027443D"/>
    <w:rsid w:val="002817E8"/>
    <w:rsid w:val="00282049"/>
    <w:rsid w:val="002828C3"/>
    <w:rsid w:val="00286748"/>
    <w:rsid w:val="00286937"/>
    <w:rsid w:val="00287A84"/>
    <w:rsid w:val="002909C5"/>
    <w:rsid w:val="00292A20"/>
    <w:rsid w:val="00293473"/>
    <w:rsid w:val="002942BC"/>
    <w:rsid w:val="00294DD0"/>
    <w:rsid w:val="00295186"/>
    <w:rsid w:val="00295C7F"/>
    <w:rsid w:val="002A1949"/>
    <w:rsid w:val="002A290B"/>
    <w:rsid w:val="002A5511"/>
    <w:rsid w:val="002A5621"/>
    <w:rsid w:val="002A76DD"/>
    <w:rsid w:val="002A7BA4"/>
    <w:rsid w:val="002A7E20"/>
    <w:rsid w:val="002B00D9"/>
    <w:rsid w:val="002B0A4C"/>
    <w:rsid w:val="002B1F00"/>
    <w:rsid w:val="002B2169"/>
    <w:rsid w:val="002B3722"/>
    <w:rsid w:val="002B64D5"/>
    <w:rsid w:val="002B69A9"/>
    <w:rsid w:val="002C139A"/>
    <w:rsid w:val="002C221A"/>
    <w:rsid w:val="002C2816"/>
    <w:rsid w:val="002C350A"/>
    <w:rsid w:val="002C60D0"/>
    <w:rsid w:val="002C6AC5"/>
    <w:rsid w:val="002C6FEA"/>
    <w:rsid w:val="002C797C"/>
    <w:rsid w:val="002C7D94"/>
    <w:rsid w:val="002D0C17"/>
    <w:rsid w:val="002D0E65"/>
    <w:rsid w:val="002D4A5E"/>
    <w:rsid w:val="002D7C99"/>
    <w:rsid w:val="002E1754"/>
    <w:rsid w:val="002E1CD6"/>
    <w:rsid w:val="002E2434"/>
    <w:rsid w:val="002E3A8E"/>
    <w:rsid w:val="002E3F0A"/>
    <w:rsid w:val="002E4619"/>
    <w:rsid w:val="002E472A"/>
    <w:rsid w:val="002E5DB5"/>
    <w:rsid w:val="002E72DA"/>
    <w:rsid w:val="002F474D"/>
    <w:rsid w:val="002F4F86"/>
    <w:rsid w:val="002F501D"/>
    <w:rsid w:val="002F5314"/>
    <w:rsid w:val="00300440"/>
    <w:rsid w:val="00300485"/>
    <w:rsid w:val="0030101E"/>
    <w:rsid w:val="003010C9"/>
    <w:rsid w:val="0030118B"/>
    <w:rsid w:val="00303FBD"/>
    <w:rsid w:val="0030446A"/>
    <w:rsid w:val="003045F8"/>
    <w:rsid w:val="00305058"/>
    <w:rsid w:val="00305253"/>
    <w:rsid w:val="00306375"/>
    <w:rsid w:val="0030781E"/>
    <w:rsid w:val="00310E48"/>
    <w:rsid w:val="003133E6"/>
    <w:rsid w:val="00314218"/>
    <w:rsid w:val="00316974"/>
    <w:rsid w:val="00316BFE"/>
    <w:rsid w:val="00317642"/>
    <w:rsid w:val="00317954"/>
    <w:rsid w:val="00321003"/>
    <w:rsid w:val="003220A8"/>
    <w:rsid w:val="00322CA3"/>
    <w:rsid w:val="00324DF3"/>
    <w:rsid w:val="0032516F"/>
    <w:rsid w:val="0032625D"/>
    <w:rsid w:val="00326BDF"/>
    <w:rsid w:val="00327A61"/>
    <w:rsid w:val="00327AD0"/>
    <w:rsid w:val="00330469"/>
    <w:rsid w:val="003304F5"/>
    <w:rsid w:val="003332FE"/>
    <w:rsid w:val="00334411"/>
    <w:rsid w:val="00334DA3"/>
    <w:rsid w:val="003352B0"/>
    <w:rsid w:val="00337B89"/>
    <w:rsid w:val="00340364"/>
    <w:rsid w:val="00340901"/>
    <w:rsid w:val="00340F91"/>
    <w:rsid w:val="00341D96"/>
    <w:rsid w:val="00342BBA"/>
    <w:rsid w:val="00343516"/>
    <w:rsid w:val="00343D92"/>
    <w:rsid w:val="0034465E"/>
    <w:rsid w:val="00345D93"/>
    <w:rsid w:val="00351A45"/>
    <w:rsid w:val="00352A27"/>
    <w:rsid w:val="00354444"/>
    <w:rsid w:val="00355DFB"/>
    <w:rsid w:val="00357913"/>
    <w:rsid w:val="00357BDE"/>
    <w:rsid w:val="00360B39"/>
    <w:rsid w:val="00362531"/>
    <w:rsid w:val="00362E83"/>
    <w:rsid w:val="00363780"/>
    <w:rsid w:val="003638BB"/>
    <w:rsid w:val="00363E0F"/>
    <w:rsid w:val="003643AE"/>
    <w:rsid w:val="0036689B"/>
    <w:rsid w:val="0036752A"/>
    <w:rsid w:val="00370E71"/>
    <w:rsid w:val="003719FB"/>
    <w:rsid w:val="0037455F"/>
    <w:rsid w:val="0037693F"/>
    <w:rsid w:val="0038078B"/>
    <w:rsid w:val="00382113"/>
    <w:rsid w:val="0038282D"/>
    <w:rsid w:val="003830A6"/>
    <w:rsid w:val="00383894"/>
    <w:rsid w:val="00384FC4"/>
    <w:rsid w:val="0038570E"/>
    <w:rsid w:val="00385956"/>
    <w:rsid w:val="00386658"/>
    <w:rsid w:val="0039017A"/>
    <w:rsid w:val="0039359B"/>
    <w:rsid w:val="00394813"/>
    <w:rsid w:val="00396863"/>
    <w:rsid w:val="00397303"/>
    <w:rsid w:val="003A0A9D"/>
    <w:rsid w:val="003A1FF4"/>
    <w:rsid w:val="003A21AA"/>
    <w:rsid w:val="003A40B9"/>
    <w:rsid w:val="003A497C"/>
    <w:rsid w:val="003A5F0D"/>
    <w:rsid w:val="003B2125"/>
    <w:rsid w:val="003B239B"/>
    <w:rsid w:val="003B324D"/>
    <w:rsid w:val="003B43F3"/>
    <w:rsid w:val="003B6763"/>
    <w:rsid w:val="003C0B5B"/>
    <w:rsid w:val="003C2783"/>
    <w:rsid w:val="003C2892"/>
    <w:rsid w:val="003C28AA"/>
    <w:rsid w:val="003C34CD"/>
    <w:rsid w:val="003C354B"/>
    <w:rsid w:val="003C48FF"/>
    <w:rsid w:val="003C4E1D"/>
    <w:rsid w:val="003C53F3"/>
    <w:rsid w:val="003C6840"/>
    <w:rsid w:val="003C7F14"/>
    <w:rsid w:val="003D3AC8"/>
    <w:rsid w:val="003D60E8"/>
    <w:rsid w:val="003E0172"/>
    <w:rsid w:val="003E225D"/>
    <w:rsid w:val="003E41FD"/>
    <w:rsid w:val="003E5C4B"/>
    <w:rsid w:val="003E6B68"/>
    <w:rsid w:val="003F3A7D"/>
    <w:rsid w:val="003F46EA"/>
    <w:rsid w:val="003F7538"/>
    <w:rsid w:val="003F7E40"/>
    <w:rsid w:val="004007CE"/>
    <w:rsid w:val="00400BFB"/>
    <w:rsid w:val="00400F3A"/>
    <w:rsid w:val="00404D68"/>
    <w:rsid w:val="00407571"/>
    <w:rsid w:val="00410CB3"/>
    <w:rsid w:val="00412474"/>
    <w:rsid w:val="0041434F"/>
    <w:rsid w:val="004147A4"/>
    <w:rsid w:val="0041651D"/>
    <w:rsid w:val="00416E8F"/>
    <w:rsid w:val="0041765D"/>
    <w:rsid w:val="00420837"/>
    <w:rsid w:val="0042098E"/>
    <w:rsid w:val="00420CF9"/>
    <w:rsid w:val="004215AF"/>
    <w:rsid w:val="00421700"/>
    <w:rsid w:val="00422B1A"/>
    <w:rsid w:val="00427DE2"/>
    <w:rsid w:val="00431337"/>
    <w:rsid w:val="00435841"/>
    <w:rsid w:val="00435DC4"/>
    <w:rsid w:val="0043769D"/>
    <w:rsid w:val="00442F20"/>
    <w:rsid w:val="004430EC"/>
    <w:rsid w:val="004436CB"/>
    <w:rsid w:val="00443F6F"/>
    <w:rsid w:val="00450344"/>
    <w:rsid w:val="00450629"/>
    <w:rsid w:val="00450739"/>
    <w:rsid w:val="004530CF"/>
    <w:rsid w:val="00454495"/>
    <w:rsid w:val="004547E6"/>
    <w:rsid w:val="00454DA4"/>
    <w:rsid w:val="00454E84"/>
    <w:rsid w:val="00457006"/>
    <w:rsid w:val="00460E22"/>
    <w:rsid w:val="0046143A"/>
    <w:rsid w:val="00462F50"/>
    <w:rsid w:val="00463A93"/>
    <w:rsid w:val="00465E28"/>
    <w:rsid w:val="004660E5"/>
    <w:rsid w:val="00467582"/>
    <w:rsid w:val="00470280"/>
    <w:rsid w:val="004705AE"/>
    <w:rsid w:val="00471DC4"/>
    <w:rsid w:val="00472352"/>
    <w:rsid w:val="00473E78"/>
    <w:rsid w:val="00473E9B"/>
    <w:rsid w:val="0047413E"/>
    <w:rsid w:val="00474A85"/>
    <w:rsid w:val="00474A9E"/>
    <w:rsid w:val="00474CCE"/>
    <w:rsid w:val="004758FE"/>
    <w:rsid w:val="0047712E"/>
    <w:rsid w:val="004803C4"/>
    <w:rsid w:val="00481754"/>
    <w:rsid w:val="004841F3"/>
    <w:rsid w:val="00485879"/>
    <w:rsid w:val="0049084C"/>
    <w:rsid w:val="0049308C"/>
    <w:rsid w:val="00493A16"/>
    <w:rsid w:val="00495062"/>
    <w:rsid w:val="00495BDE"/>
    <w:rsid w:val="00495EEB"/>
    <w:rsid w:val="00496122"/>
    <w:rsid w:val="004965F5"/>
    <w:rsid w:val="00496BDB"/>
    <w:rsid w:val="004A18E8"/>
    <w:rsid w:val="004A2AB4"/>
    <w:rsid w:val="004A3167"/>
    <w:rsid w:val="004A4C33"/>
    <w:rsid w:val="004A514B"/>
    <w:rsid w:val="004A74E3"/>
    <w:rsid w:val="004A7FFA"/>
    <w:rsid w:val="004B014C"/>
    <w:rsid w:val="004B26B9"/>
    <w:rsid w:val="004B3082"/>
    <w:rsid w:val="004B30D7"/>
    <w:rsid w:val="004B3799"/>
    <w:rsid w:val="004B3C29"/>
    <w:rsid w:val="004B3C7F"/>
    <w:rsid w:val="004B520F"/>
    <w:rsid w:val="004B561D"/>
    <w:rsid w:val="004B6126"/>
    <w:rsid w:val="004B7F39"/>
    <w:rsid w:val="004C2435"/>
    <w:rsid w:val="004C39D1"/>
    <w:rsid w:val="004C568E"/>
    <w:rsid w:val="004C6EF2"/>
    <w:rsid w:val="004D0E93"/>
    <w:rsid w:val="004D0F51"/>
    <w:rsid w:val="004D2156"/>
    <w:rsid w:val="004D239B"/>
    <w:rsid w:val="004D45D6"/>
    <w:rsid w:val="004D4DA2"/>
    <w:rsid w:val="004D53DC"/>
    <w:rsid w:val="004D6E76"/>
    <w:rsid w:val="004D7563"/>
    <w:rsid w:val="004E0C1A"/>
    <w:rsid w:val="004E31AF"/>
    <w:rsid w:val="004E4761"/>
    <w:rsid w:val="004E6FE1"/>
    <w:rsid w:val="004E74CD"/>
    <w:rsid w:val="004E7DBC"/>
    <w:rsid w:val="004F02E7"/>
    <w:rsid w:val="004F2279"/>
    <w:rsid w:val="004F2E5D"/>
    <w:rsid w:val="004F46FC"/>
    <w:rsid w:val="004F4CC3"/>
    <w:rsid w:val="004F5007"/>
    <w:rsid w:val="004F5D4C"/>
    <w:rsid w:val="004F6123"/>
    <w:rsid w:val="004F6817"/>
    <w:rsid w:val="004F7372"/>
    <w:rsid w:val="0050133F"/>
    <w:rsid w:val="00504295"/>
    <w:rsid w:val="0050471B"/>
    <w:rsid w:val="00504749"/>
    <w:rsid w:val="00506238"/>
    <w:rsid w:val="0050703C"/>
    <w:rsid w:val="00507309"/>
    <w:rsid w:val="00510605"/>
    <w:rsid w:val="00511B61"/>
    <w:rsid w:val="0051410C"/>
    <w:rsid w:val="005151B4"/>
    <w:rsid w:val="00517DCA"/>
    <w:rsid w:val="00517E21"/>
    <w:rsid w:val="00520E6E"/>
    <w:rsid w:val="00521AAE"/>
    <w:rsid w:val="00530051"/>
    <w:rsid w:val="00533835"/>
    <w:rsid w:val="00537D7A"/>
    <w:rsid w:val="00541C9C"/>
    <w:rsid w:val="0054685E"/>
    <w:rsid w:val="0054786B"/>
    <w:rsid w:val="0055161A"/>
    <w:rsid w:val="00551E75"/>
    <w:rsid w:val="005536DD"/>
    <w:rsid w:val="00555C37"/>
    <w:rsid w:val="005603B9"/>
    <w:rsid w:val="005606E6"/>
    <w:rsid w:val="0056321D"/>
    <w:rsid w:val="00563862"/>
    <w:rsid w:val="00565D40"/>
    <w:rsid w:val="0056609E"/>
    <w:rsid w:val="00567A3D"/>
    <w:rsid w:val="00567CCD"/>
    <w:rsid w:val="00570E8D"/>
    <w:rsid w:val="00573357"/>
    <w:rsid w:val="00576842"/>
    <w:rsid w:val="00576FAF"/>
    <w:rsid w:val="005776A3"/>
    <w:rsid w:val="00582343"/>
    <w:rsid w:val="005834B9"/>
    <w:rsid w:val="005847EB"/>
    <w:rsid w:val="00584FB3"/>
    <w:rsid w:val="00586B48"/>
    <w:rsid w:val="00591835"/>
    <w:rsid w:val="0059443B"/>
    <w:rsid w:val="0059515D"/>
    <w:rsid w:val="005957F4"/>
    <w:rsid w:val="00596191"/>
    <w:rsid w:val="005A0177"/>
    <w:rsid w:val="005A07BA"/>
    <w:rsid w:val="005A4693"/>
    <w:rsid w:val="005A4FA3"/>
    <w:rsid w:val="005A610B"/>
    <w:rsid w:val="005A729E"/>
    <w:rsid w:val="005B02F3"/>
    <w:rsid w:val="005B07F1"/>
    <w:rsid w:val="005B087F"/>
    <w:rsid w:val="005B0D83"/>
    <w:rsid w:val="005B29DD"/>
    <w:rsid w:val="005B3B03"/>
    <w:rsid w:val="005B4F99"/>
    <w:rsid w:val="005B55AF"/>
    <w:rsid w:val="005B5A11"/>
    <w:rsid w:val="005B5BBD"/>
    <w:rsid w:val="005C126A"/>
    <w:rsid w:val="005C1C30"/>
    <w:rsid w:val="005C3334"/>
    <w:rsid w:val="005C3A34"/>
    <w:rsid w:val="005C4FE0"/>
    <w:rsid w:val="005C505A"/>
    <w:rsid w:val="005C6364"/>
    <w:rsid w:val="005C63D0"/>
    <w:rsid w:val="005C757A"/>
    <w:rsid w:val="005D24C7"/>
    <w:rsid w:val="005D7200"/>
    <w:rsid w:val="005E0901"/>
    <w:rsid w:val="005E14FA"/>
    <w:rsid w:val="005E508A"/>
    <w:rsid w:val="005E6715"/>
    <w:rsid w:val="005E6F3A"/>
    <w:rsid w:val="005F00D0"/>
    <w:rsid w:val="005F0B06"/>
    <w:rsid w:val="005F13D7"/>
    <w:rsid w:val="005F300A"/>
    <w:rsid w:val="005F327B"/>
    <w:rsid w:val="005F43B5"/>
    <w:rsid w:val="005F68C5"/>
    <w:rsid w:val="005F74C1"/>
    <w:rsid w:val="006002C8"/>
    <w:rsid w:val="006021BC"/>
    <w:rsid w:val="00602B8A"/>
    <w:rsid w:val="006030DF"/>
    <w:rsid w:val="0060332A"/>
    <w:rsid w:val="00603C86"/>
    <w:rsid w:val="00604C38"/>
    <w:rsid w:val="00605C12"/>
    <w:rsid w:val="00606676"/>
    <w:rsid w:val="00610B3E"/>
    <w:rsid w:val="00610B8E"/>
    <w:rsid w:val="00610FEA"/>
    <w:rsid w:val="00611639"/>
    <w:rsid w:val="00612780"/>
    <w:rsid w:val="00613356"/>
    <w:rsid w:val="00615791"/>
    <w:rsid w:val="00622A14"/>
    <w:rsid w:val="00624DFD"/>
    <w:rsid w:val="0062581A"/>
    <w:rsid w:val="006279B3"/>
    <w:rsid w:val="006325F2"/>
    <w:rsid w:val="006347AB"/>
    <w:rsid w:val="00635070"/>
    <w:rsid w:val="006351C4"/>
    <w:rsid w:val="00636488"/>
    <w:rsid w:val="00636899"/>
    <w:rsid w:val="00636B7B"/>
    <w:rsid w:val="00636C27"/>
    <w:rsid w:val="0063760A"/>
    <w:rsid w:val="0064042C"/>
    <w:rsid w:val="00640976"/>
    <w:rsid w:val="00640CCF"/>
    <w:rsid w:val="00645C83"/>
    <w:rsid w:val="006469B9"/>
    <w:rsid w:val="00647ABB"/>
    <w:rsid w:val="00650BFC"/>
    <w:rsid w:val="00651259"/>
    <w:rsid w:val="006528FA"/>
    <w:rsid w:val="00652CC6"/>
    <w:rsid w:val="00652D53"/>
    <w:rsid w:val="00653770"/>
    <w:rsid w:val="00653BCA"/>
    <w:rsid w:val="0065545F"/>
    <w:rsid w:val="00656769"/>
    <w:rsid w:val="00657B08"/>
    <w:rsid w:val="00664351"/>
    <w:rsid w:val="00664C92"/>
    <w:rsid w:val="006706F7"/>
    <w:rsid w:val="00671ABE"/>
    <w:rsid w:val="00672438"/>
    <w:rsid w:val="00673673"/>
    <w:rsid w:val="006742B1"/>
    <w:rsid w:val="00675E3A"/>
    <w:rsid w:val="00676E40"/>
    <w:rsid w:val="0068054E"/>
    <w:rsid w:val="006808A4"/>
    <w:rsid w:val="006818C6"/>
    <w:rsid w:val="00681D74"/>
    <w:rsid w:val="00682E3F"/>
    <w:rsid w:val="00684724"/>
    <w:rsid w:val="00690BC7"/>
    <w:rsid w:val="0069121F"/>
    <w:rsid w:val="00691C80"/>
    <w:rsid w:val="0069355B"/>
    <w:rsid w:val="00695055"/>
    <w:rsid w:val="006962E1"/>
    <w:rsid w:val="0069787E"/>
    <w:rsid w:val="006A0ECE"/>
    <w:rsid w:val="006A1115"/>
    <w:rsid w:val="006A121C"/>
    <w:rsid w:val="006A18F8"/>
    <w:rsid w:val="006A2E34"/>
    <w:rsid w:val="006A381D"/>
    <w:rsid w:val="006A3B58"/>
    <w:rsid w:val="006A5EB4"/>
    <w:rsid w:val="006A68C3"/>
    <w:rsid w:val="006B022C"/>
    <w:rsid w:val="006B10A7"/>
    <w:rsid w:val="006B1330"/>
    <w:rsid w:val="006B2967"/>
    <w:rsid w:val="006B36A0"/>
    <w:rsid w:val="006B4357"/>
    <w:rsid w:val="006B58D5"/>
    <w:rsid w:val="006B5CF6"/>
    <w:rsid w:val="006B68D9"/>
    <w:rsid w:val="006B6A30"/>
    <w:rsid w:val="006B7646"/>
    <w:rsid w:val="006B7EF5"/>
    <w:rsid w:val="006C158F"/>
    <w:rsid w:val="006C227C"/>
    <w:rsid w:val="006C28C5"/>
    <w:rsid w:val="006C2AC2"/>
    <w:rsid w:val="006C32BD"/>
    <w:rsid w:val="006C4D10"/>
    <w:rsid w:val="006C5BBC"/>
    <w:rsid w:val="006C6665"/>
    <w:rsid w:val="006C6840"/>
    <w:rsid w:val="006C6D94"/>
    <w:rsid w:val="006C79AC"/>
    <w:rsid w:val="006C7F83"/>
    <w:rsid w:val="006D287E"/>
    <w:rsid w:val="006D4A46"/>
    <w:rsid w:val="006D5970"/>
    <w:rsid w:val="006D64C6"/>
    <w:rsid w:val="006D718D"/>
    <w:rsid w:val="006E020D"/>
    <w:rsid w:val="006E0A96"/>
    <w:rsid w:val="006E1AE9"/>
    <w:rsid w:val="006E1B55"/>
    <w:rsid w:val="006E23BB"/>
    <w:rsid w:val="006E4A7F"/>
    <w:rsid w:val="006F06DD"/>
    <w:rsid w:val="006F2B80"/>
    <w:rsid w:val="006F30D1"/>
    <w:rsid w:val="006F3B41"/>
    <w:rsid w:val="006F5022"/>
    <w:rsid w:val="007002E3"/>
    <w:rsid w:val="00700B62"/>
    <w:rsid w:val="00701A5E"/>
    <w:rsid w:val="007023E1"/>
    <w:rsid w:val="0070264D"/>
    <w:rsid w:val="007037A4"/>
    <w:rsid w:val="00703808"/>
    <w:rsid w:val="00703992"/>
    <w:rsid w:val="0070472B"/>
    <w:rsid w:val="00707353"/>
    <w:rsid w:val="00710324"/>
    <w:rsid w:val="00710495"/>
    <w:rsid w:val="00713AA1"/>
    <w:rsid w:val="00715273"/>
    <w:rsid w:val="00720234"/>
    <w:rsid w:val="00720B86"/>
    <w:rsid w:val="00721FC7"/>
    <w:rsid w:val="007224E0"/>
    <w:rsid w:val="007226D1"/>
    <w:rsid w:val="00723926"/>
    <w:rsid w:val="00723DD0"/>
    <w:rsid w:val="0072535D"/>
    <w:rsid w:val="00726832"/>
    <w:rsid w:val="007268F6"/>
    <w:rsid w:val="00730ABB"/>
    <w:rsid w:val="00731290"/>
    <w:rsid w:val="00736460"/>
    <w:rsid w:val="007365B1"/>
    <w:rsid w:val="0073791E"/>
    <w:rsid w:val="007420C3"/>
    <w:rsid w:val="00742756"/>
    <w:rsid w:val="00742BA9"/>
    <w:rsid w:val="00743725"/>
    <w:rsid w:val="007471B0"/>
    <w:rsid w:val="00747491"/>
    <w:rsid w:val="00752C61"/>
    <w:rsid w:val="00754393"/>
    <w:rsid w:val="00754498"/>
    <w:rsid w:val="00755022"/>
    <w:rsid w:val="00755EA0"/>
    <w:rsid w:val="00755F98"/>
    <w:rsid w:val="00756B76"/>
    <w:rsid w:val="00756F82"/>
    <w:rsid w:val="00757C21"/>
    <w:rsid w:val="007601D9"/>
    <w:rsid w:val="007627F0"/>
    <w:rsid w:val="00764B41"/>
    <w:rsid w:val="00766C47"/>
    <w:rsid w:val="00770928"/>
    <w:rsid w:val="00771467"/>
    <w:rsid w:val="00771F63"/>
    <w:rsid w:val="00772246"/>
    <w:rsid w:val="00772397"/>
    <w:rsid w:val="007733BE"/>
    <w:rsid w:val="00773481"/>
    <w:rsid w:val="00776282"/>
    <w:rsid w:val="00776E5B"/>
    <w:rsid w:val="00780051"/>
    <w:rsid w:val="00782CD5"/>
    <w:rsid w:val="007875A5"/>
    <w:rsid w:val="00791692"/>
    <w:rsid w:val="00794C46"/>
    <w:rsid w:val="0079533D"/>
    <w:rsid w:val="00796B24"/>
    <w:rsid w:val="00797E13"/>
    <w:rsid w:val="007A0464"/>
    <w:rsid w:val="007A164D"/>
    <w:rsid w:val="007A1725"/>
    <w:rsid w:val="007A1805"/>
    <w:rsid w:val="007A3546"/>
    <w:rsid w:val="007A65F9"/>
    <w:rsid w:val="007A79B9"/>
    <w:rsid w:val="007B05B7"/>
    <w:rsid w:val="007B0B32"/>
    <w:rsid w:val="007B17A4"/>
    <w:rsid w:val="007B1A23"/>
    <w:rsid w:val="007B22E1"/>
    <w:rsid w:val="007B2E2E"/>
    <w:rsid w:val="007B35BA"/>
    <w:rsid w:val="007B36C2"/>
    <w:rsid w:val="007B46C9"/>
    <w:rsid w:val="007B4AEA"/>
    <w:rsid w:val="007B51FC"/>
    <w:rsid w:val="007B5417"/>
    <w:rsid w:val="007B5B2A"/>
    <w:rsid w:val="007B706E"/>
    <w:rsid w:val="007B7328"/>
    <w:rsid w:val="007C07BA"/>
    <w:rsid w:val="007C0FDA"/>
    <w:rsid w:val="007C1EFA"/>
    <w:rsid w:val="007C24A6"/>
    <w:rsid w:val="007C3BF8"/>
    <w:rsid w:val="007C6B61"/>
    <w:rsid w:val="007D45C0"/>
    <w:rsid w:val="007D4B94"/>
    <w:rsid w:val="007D4DD4"/>
    <w:rsid w:val="007D5B1F"/>
    <w:rsid w:val="007D5DD3"/>
    <w:rsid w:val="007E1514"/>
    <w:rsid w:val="007E2089"/>
    <w:rsid w:val="007E2613"/>
    <w:rsid w:val="007E33F3"/>
    <w:rsid w:val="007E3D14"/>
    <w:rsid w:val="007E58B7"/>
    <w:rsid w:val="007E5DBB"/>
    <w:rsid w:val="007E5E5B"/>
    <w:rsid w:val="007E6557"/>
    <w:rsid w:val="007E6C51"/>
    <w:rsid w:val="007F066D"/>
    <w:rsid w:val="007F22B3"/>
    <w:rsid w:val="007F3217"/>
    <w:rsid w:val="007F737B"/>
    <w:rsid w:val="007F7A41"/>
    <w:rsid w:val="00800CF2"/>
    <w:rsid w:val="00800DE9"/>
    <w:rsid w:val="00806A86"/>
    <w:rsid w:val="0081023A"/>
    <w:rsid w:val="0081062C"/>
    <w:rsid w:val="0081082F"/>
    <w:rsid w:val="008140D8"/>
    <w:rsid w:val="00814C13"/>
    <w:rsid w:val="00816546"/>
    <w:rsid w:val="00821198"/>
    <w:rsid w:val="008236AF"/>
    <w:rsid w:val="008302E8"/>
    <w:rsid w:val="0083098D"/>
    <w:rsid w:val="00832027"/>
    <w:rsid w:val="00833660"/>
    <w:rsid w:val="00835551"/>
    <w:rsid w:val="00840A41"/>
    <w:rsid w:val="00840D95"/>
    <w:rsid w:val="00841087"/>
    <w:rsid w:val="00844CAC"/>
    <w:rsid w:val="00845571"/>
    <w:rsid w:val="0084604C"/>
    <w:rsid w:val="0084613F"/>
    <w:rsid w:val="00846704"/>
    <w:rsid w:val="00850032"/>
    <w:rsid w:val="00852545"/>
    <w:rsid w:val="00853547"/>
    <w:rsid w:val="008556E6"/>
    <w:rsid w:val="00856463"/>
    <w:rsid w:val="00856475"/>
    <w:rsid w:val="008564DB"/>
    <w:rsid w:val="008572B2"/>
    <w:rsid w:val="008575F0"/>
    <w:rsid w:val="00861495"/>
    <w:rsid w:val="00863605"/>
    <w:rsid w:val="00864CF6"/>
    <w:rsid w:val="00865913"/>
    <w:rsid w:val="00865A73"/>
    <w:rsid w:val="00866259"/>
    <w:rsid w:val="00870C00"/>
    <w:rsid w:val="008712BE"/>
    <w:rsid w:val="00873952"/>
    <w:rsid w:val="00873DD1"/>
    <w:rsid w:val="0087440F"/>
    <w:rsid w:val="00874EB8"/>
    <w:rsid w:val="008751AC"/>
    <w:rsid w:val="00875CEE"/>
    <w:rsid w:val="00875FFF"/>
    <w:rsid w:val="008775AD"/>
    <w:rsid w:val="008810AC"/>
    <w:rsid w:val="008829BB"/>
    <w:rsid w:val="00882D91"/>
    <w:rsid w:val="00883433"/>
    <w:rsid w:val="00884375"/>
    <w:rsid w:val="008852BC"/>
    <w:rsid w:val="008859CE"/>
    <w:rsid w:val="00885E65"/>
    <w:rsid w:val="008875DF"/>
    <w:rsid w:val="00890327"/>
    <w:rsid w:val="00890B50"/>
    <w:rsid w:val="008916F7"/>
    <w:rsid w:val="00891DD1"/>
    <w:rsid w:val="008933D2"/>
    <w:rsid w:val="008953BE"/>
    <w:rsid w:val="00896814"/>
    <w:rsid w:val="008A03FA"/>
    <w:rsid w:val="008A0620"/>
    <w:rsid w:val="008A06FA"/>
    <w:rsid w:val="008A1C1F"/>
    <w:rsid w:val="008A1D54"/>
    <w:rsid w:val="008A46FF"/>
    <w:rsid w:val="008A5A4D"/>
    <w:rsid w:val="008A7B90"/>
    <w:rsid w:val="008B2289"/>
    <w:rsid w:val="008B2A2B"/>
    <w:rsid w:val="008B35F5"/>
    <w:rsid w:val="008B3BAD"/>
    <w:rsid w:val="008B45F1"/>
    <w:rsid w:val="008C21BB"/>
    <w:rsid w:val="008C231F"/>
    <w:rsid w:val="008C2E61"/>
    <w:rsid w:val="008C60E3"/>
    <w:rsid w:val="008C6FEF"/>
    <w:rsid w:val="008C7068"/>
    <w:rsid w:val="008D4598"/>
    <w:rsid w:val="008E0733"/>
    <w:rsid w:val="008E0B35"/>
    <w:rsid w:val="008E0E6D"/>
    <w:rsid w:val="008E10A3"/>
    <w:rsid w:val="008E32F0"/>
    <w:rsid w:val="008E558D"/>
    <w:rsid w:val="008E5A39"/>
    <w:rsid w:val="008E7B75"/>
    <w:rsid w:val="008F184D"/>
    <w:rsid w:val="008F2B67"/>
    <w:rsid w:val="008F2F68"/>
    <w:rsid w:val="008F5173"/>
    <w:rsid w:val="008F6DAF"/>
    <w:rsid w:val="0090293C"/>
    <w:rsid w:val="0090488A"/>
    <w:rsid w:val="009059F5"/>
    <w:rsid w:val="0090641A"/>
    <w:rsid w:val="009074E1"/>
    <w:rsid w:val="009075E2"/>
    <w:rsid w:val="00907D02"/>
    <w:rsid w:val="0091147D"/>
    <w:rsid w:val="0091185A"/>
    <w:rsid w:val="009124AA"/>
    <w:rsid w:val="00912750"/>
    <w:rsid w:val="0091300F"/>
    <w:rsid w:val="00915B71"/>
    <w:rsid w:val="00915C46"/>
    <w:rsid w:val="00915F90"/>
    <w:rsid w:val="00920B91"/>
    <w:rsid w:val="00923849"/>
    <w:rsid w:val="00925910"/>
    <w:rsid w:val="009302F1"/>
    <w:rsid w:val="00931556"/>
    <w:rsid w:val="00931CCE"/>
    <w:rsid w:val="0093545E"/>
    <w:rsid w:val="009354E4"/>
    <w:rsid w:val="00935841"/>
    <w:rsid w:val="009364DE"/>
    <w:rsid w:val="00936930"/>
    <w:rsid w:val="009369DF"/>
    <w:rsid w:val="00937793"/>
    <w:rsid w:val="0094015F"/>
    <w:rsid w:val="00942932"/>
    <w:rsid w:val="00943FEC"/>
    <w:rsid w:val="00946432"/>
    <w:rsid w:val="009472D2"/>
    <w:rsid w:val="00950B9D"/>
    <w:rsid w:val="00951A63"/>
    <w:rsid w:val="00951D1B"/>
    <w:rsid w:val="009540B0"/>
    <w:rsid w:val="0095460F"/>
    <w:rsid w:val="00954E2D"/>
    <w:rsid w:val="00957BDC"/>
    <w:rsid w:val="00957E21"/>
    <w:rsid w:val="00962FDC"/>
    <w:rsid w:val="00963483"/>
    <w:rsid w:val="00963BF4"/>
    <w:rsid w:val="00966800"/>
    <w:rsid w:val="00966C65"/>
    <w:rsid w:val="00967245"/>
    <w:rsid w:val="009737DB"/>
    <w:rsid w:val="00973B9C"/>
    <w:rsid w:val="00976211"/>
    <w:rsid w:val="0098346D"/>
    <w:rsid w:val="0098583A"/>
    <w:rsid w:val="00985C64"/>
    <w:rsid w:val="00986AFA"/>
    <w:rsid w:val="00993B29"/>
    <w:rsid w:val="00994417"/>
    <w:rsid w:val="0099703B"/>
    <w:rsid w:val="009A00CE"/>
    <w:rsid w:val="009A205E"/>
    <w:rsid w:val="009A2425"/>
    <w:rsid w:val="009A2DF6"/>
    <w:rsid w:val="009A2E27"/>
    <w:rsid w:val="009A3550"/>
    <w:rsid w:val="009A3F34"/>
    <w:rsid w:val="009A4547"/>
    <w:rsid w:val="009A52D6"/>
    <w:rsid w:val="009A5933"/>
    <w:rsid w:val="009A6FA9"/>
    <w:rsid w:val="009A7D99"/>
    <w:rsid w:val="009A7EDA"/>
    <w:rsid w:val="009B0402"/>
    <w:rsid w:val="009B0744"/>
    <w:rsid w:val="009B13C9"/>
    <w:rsid w:val="009B172B"/>
    <w:rsid w:val="009B322A"/>
    <w:rsid w:val="009B5F2C"/>
    <w:rsid w:val="009B7193"/>
    <w:rsid w:val="009C121E"/>
    <w:rsid w:val="009C21B8"/>
    <w:rsid w:val="009C2239"/>
    <w:rsid w:val="009C2A6C"/>
    <w:rsid w:val="009C57EC"/>
    <w:rsid w:val="009C6EFE"/>
    <w:rsid w:val="009C789F"/>
    <w:rsid w:val="009C7A15"/>
    <w:rsid w:val="009D007C"/>
    <w:rsid w:val="009D0E1B"/>
    <w:rsid w:val="009D1B46"/>
    <w:rsid w:val="009D58C6"/>
    <w:rsid w:val="009D7D35"/>
    <w:rsid w:val="009E1947"/>
    <w:rsid w:val="009E346B"/>
    <w:rsid w:val="009E3B75"/>
    <w:rsid w:val="009E5732"/>
    <w:rsid w:val="009E7995"/>
    <w:rsid w:val="009F0581"/>
    <w:rsid w:val="009F061A"/>
    <w:rsid w:val="009F0BF7"/>
    <w:rsid w:val="009F2014"/>
    <w:rsid w:val="009F2682"/>
    <w:rsid w:val="009F26A3"/>
    <w:rsid w:val="009F34C3"/>
    <w:rsid w:val="009F391D"/>
    <w:rsid w:val="009F3D9C"/>
    <w:rsid w:val="009F5F4D"/>
    <w:rsid w:val="00A003E8"/>
    <w:rsid w:val="00A0051A"/>
    <w:rsid w:val="00A00B2B"/>
    <w:rsid w:val="00A01243"/>
    <w:rsid w:val="00A0127F"/>
    <w:rsid w:val="00A017B5"/>
    <w:rsid w:val="00A01832"/>
    <w:rsid w:val="00A02C10"/>
    <w:rsid w:val="00A041AF"/>
    <w:rsid w:val="00A053B4"/>
    <w:rsid w:val="00A11862"/>
    <w:rsid w:val="00A12F46"/>
    <w:rsid w:val="00A13BBD"/>
    <w:rsid w:val="00A14981"/>
    <w:rsid w:val="00A14D27"/>
    <w:rsid w:val="00A15032"/>
    <w:rsid w:val="00A1534A"/>
    <w:rsid w:val="00A157EF"/>
    <w:rsid w:val="00A167A6"/>
    <w:rsid w:val="00A16C07"/>
    <w:rsid w:val="00A1724B"/>
    <w:rsid w:val="00A20604"/>
    <w:rsid w:val="00A20F34"/>
    <w:rsid w:val="00A21536"/>
    <w:rsid w:val="00A227CE"/>
    <w:rsid w:val="00A22C54"/>
    <w:rsid w:val="00A240B7"/>
    <w:rsid w:val="00A25477"/>
    <w:rsid w:val="00A30DF6"/>
    <w:rsid w:val="00A31802"/>
    <w:rsid w:val="00A32105"/>
    <w:rsid w:val="00A33B6B"/>
    <w:rsid w:val="00A35210"/>
    <w:rsid w:val="00A3569F"/>
    <w:rsid w:val="00A41ABC"/>
    <w:rsid w:val="00A4470D"/>
    <w:rsid w:val="00A44C91"/>
    <w:rsid w:val="00A46C23"/>
    <w:rsid w:val="00A46DA5"/>
    <w:rsid w:val="00A46FEE"/>
    <w:rsid w:val="00A53519"/>
    <w:rsid w:val="00A55AF5"/>
    <w:rsid w:val="00A565A3"/>
    <w:rsid w:val="00A5674E"/>
    <w:rsid w:val="00A61F66"/>
    <w:rsid w:val="00A63B13"/>
    <w:rsid w:val="00A64DD4"/>
    <w:rsid w:val="00A6534C"/>
    <w:rsid w:val="00A65D53"/>
    <w:rsid w:val="00A65E72"/>
    <w:rsid w:val="00A701E4"/>
    <w:rsid w:val="00A7234F"/>
    <w:rsid w:val="00A728C7"/>
    <w:rsid w:val="00A72E6A"/>
    <w:rsid w:val="00A74325"/>
    <w:rsid w:val="00A76163"/>
    <w:rsid w:val="00A77C20"/>
    <w:rsid w:val="00A80F95"/>
    <w:rsid w:val="00A81A1A"/>
    <w:rsid w:val="00A851FC"/>
    <w:rsid w:val="00A86425"/>
    <w:rsid w:val="00A8684B"/>
    <w:rsid w:val="00A901D0"/>
    <w:rsid w:val="00A92508"/>
    <w:rsid w:val="00A93178"/>
    <w:rsid w:val="00A93A9F"/>
    <w:rsid w:val="00A93D18"/>
    <w:rsid w:val="00A95BA7"/>
    <w:rsid w:val="00A971A1"/>
    <w:rsid w:val="00A97399"/>
    <w:rsid w:val="00A97DB5"/>
    <w:rsid w:val="00AA13DA"/>
    <w:rsid w:val="00AA2A71"/>
    <w:rsid w:val="00AA2D3C"/>
    <w:rsid w:val="00AA361E"/>
    <w:rsid w:val="00AA5003"/>
    <w:rsid w:val="00AA6084"/>
    <w:rsid w:val="00AA6319"/>
    <w:rsid w:val="00AA637E"/>
    <w:rsid w:val="00AA7322"/>
    <w:rsid w:val="00AB0B4B"/>
    <w:rsid w:val="00AB4C9A"/>
    <w:rsid w:val="00AB6986"/>
    <w:rsid w:val="00AB7197"/>
    <w:rsid w:val="00AB7EBB"/>
    <w:rsid w:val="00AC13E9"/>
    <w:rsid w:val="00AC3B27"/>
    <w:rsid w:val="00AC44E8"/>
    <w:rsid w:val="00AC6B7F"/>
    <w:rsid w:val="00AC7375"/>
    <w:rsid w:val="00AD0893"/>
    <w:rsid w:val="00AD222A"/>
    <w:rsid w:val="00AD2B44"/>
    <w:rsid w:val="00AD3371"/>
    <w:rsid w:val="00AD38D8"/>
    <w:rsid w:val="00AD4FAE"/>
    <w:rsid w:val="00AD7C10"/>
    <w:rsid w:val="00AD7EAA"/>
    <w:rsid w:val="00AE0F1D"/>
    <w:rsid w:val="00AE0FD1"/>
    <w:rsid w:val="00AE2426"/>
    <w:rsid w:val="00AE3CBD"/>
    <w:rsid w:val="00AE5D70"/>
    <w:rsid w:val="00AE6404"/>
    <w:rsid w:val="00AE6B50"/>
    <w:rsid w:val="00AF1556"/>
    <w:rsid w:val="00AF4255"/>
    <w:rsid w:val="00AF681B"/>
    <w:rsid w:val="00AF6CA1"/>
    <w:rsid w:val="00AF7611"/>
    <w:rsid w:val="00AF763E"/>
    <w:rsid w:val="00AF7EC2"/>
    <w:rsid w:val="00B00821"/>
    <w:rsid w:val="00B015F3"/>
    <w:rsid w:val="00B018C1"/>
    <w:rsid w:val="00B04CAA"/>
    <w:rsid w:val="00B06E71"/>
    <w:rsid w:val="00B11B0C"/>
    <w:rsid w:val="00B12604"/>
    <w:rsid w:val="00B14160"/>
    <w:rsid w:val="00B143E6"/>
    <w:rsid w:val="00B1469A"/>
    <w:rsid w:val="00B147A7"/>
    <w:rsid w:val="00B15860"/>
    <w:rsid w:val="00B16013"/>
    <w:rsid w:val="00B16C79"/>
    <w:rsid w:val="00B21D85"/>
    <w:rsid w:val="00B2285A"/>
    <w:rsid w:val="00B24E02"/>
    <w:rsid w:val="00B27119"/>
    <w:rsid w:val="00B27F06"/>
    <w:rsid w:val="00B30E57"/>
    <w:rsid w:val="00B31E05"/>
    <w:rsid w:val="00B31FDE"/>
    <w:rsid w:val="00B336ED"/>
    <w:rsid w:val="00B34E83"/>
    <w:rsid w:val="00B36237"/>
    <w:rsid w:val="00B3624F"/>
    <w:rsid w:val="00B40C9E"/>
    <w:rsid w:val="00B46A15"/>
    <w:rsid w:val="00B53A7C"/>
    <w:rsid w:val="00B552DE"/>
    <w:rsid w:val="00B60108"/>
    <w:rsid w:val="00B613BB"/>
    <w:rsid w:val="00B61437"/>
    <w:rsid w:val="00B618EA"/>
    <w:rsid w:val="00B646E7"/>
    <w:rsid w:val="00B6528A"/>
    <w:rsid w:val="00B662EA"/>
    <w:rsid w:val="00B70F03"/>
    <w:rsid w:val="00B718DD"/>
    <w:rsid w:val="00B73276"/>
    <w:rsid w:val="00B757EC"/>
    <w:rsid w:val="00B77292"/>
    <w:rsid w:val="00B7777A"/>
    <w:rsid w:val="00B80BC9"/>
    <w:rsid w:val="00B82BEC"/>
    <w:rsid w:val="00B82DC0"/>
    <w:rsid w:val="00B85B9E"/>
    <w:rsid w:val="00B85D8F"/>
    <w:rsid w:val="00B860A6"/>
    <w:rsid w:val="00B867A0"/>
    <w:rsid w:val="00B9093A"/>
    <w:rsid w:val="00B90D41"/>
    <w:rsid w:val="00B9134E"/>
    <w:rsid w:val="00B92166"/>
    <w:rsid w:val="00B9240F"/>
    <w:rsid w:val="00B932B7"/>
    <w:rsid w:val="00B9584B"/>
    <w:rsid w:val="00B95BB7"/>
    <w:rsid w:val="00B9767A"/>
    <w:rsid w:val="00BA14D5"/>
    <w:rsid w:val="00BA1F61"/>
    <w:rsid w:val="00BA2441"/>
    <w:rsid w:val="00BA43F9"/>
    <w:rsid w:val="00BA5889"/>
    <w:rsid w:val="00BA5BC0"/>
    <w:rsid w:val="00BB2E8B"/>
    <w:rsid w:val="00BB4617"/>
    <w:rsid w:val="00BB5C8D"/>
    <w:rsid w:val="00BB5CF1"/>
    <w:rsid w:val="00BB7D3A"/>
    <w:rsid w:val="00BB7F57"/>
    <w:rsid w:val="00BC175F"/>
    <w:rsid w:val="00BC4559"/>
    <w:rsid w:val="00BC60FC"/>
    <w:rsid w:val="00BC6DF9"/>
    <w:rsid w:val="00BC734E"/>
    <w:rsid w:val="00BD56E9"/>
    <w:rsid w:val="00BD7678"/>
    <w:rsid w:val="00BE0AE7"/>
    <w:rsid w:val="00BE1844"/>
    <w:rsid w:val="00BE3CEC"/>
    <w:rsid w:val="00BE4058"/>
    <w:rsid w:val="00BF0356"/>
    <w:rsid w:val="00BF0DD8"/>
    <w:rsid w:val="00BF257D"/>
    <w:rsid w:val="00BF53B8"/>
    <w:rsid w:val="00BF54DA"/>
    <w:rsid w:val="00BF6980"/>
    <w:rsid w:val="00BF765E"/>
    <w:rsid w:val="00BF79D9"/>
    <w:rsid w:val="00C018DF"/>
    <w:rsid w:val="00C03426"/>
    <w:rsid w:val="00C03626"/>
    <w:rsid w:val="00C03C0B"/>
    <w:rsid w:val="00C03E4C"/>
    <w:rsid w:val="00C060FA"/>
    <w:rsid w:val="00C07BCC"/>
    <w:rsid w:val="00C07BDF"/>
    <w:rsid w:val="00C10639"/>
    <w:rsid w:val="00C10C33"/>
    <w:rsid w:val="00C13661"/>
    <w:rsid w:val="00C155E0"/>
    <w:rsid w:val="00C166EA"/>
    <w:rsid w:val="00C16792"/>
    <w:rsid w:val="00C173DC"/>
    <w:rsid w:val="00C17447"/>
    <w:rsid w:val="00C20D58"/>
    <w:rsid w:val="00C234E5"/>
    <w:rsid w:val="00C25C78"/>
    <w:rsid w:val="00C30039"/>
    <w:rsid w:val="00C30659"/>
    <w:rsid w:val="00C31FB6"/>
    <w:rsid w:val="00C32E81"/>
    <w:rsid w:val="00C41D90"/>
    <w:rsid w:val="00C455F9"/>
    <w:rsid w:val="00C473D9"/>
    <w:rsid w:val="00C507BF"/>
    <w:rsid w:val="00C51C69"/>
    <w:rsid w:val="00C51C84"/>
    <w:rsid w:val="00C51E70"/>
    <w:rsid w:val="00C52117"/>
    <w:rsid w:val="00C5293E"/>
    <w:rsid w:val="00C540C2"/>
    <w:rsid w:val="00C559D9"/>
    <w:rsid w:val="00C55AEC"/>
    <w:rsid w:val="00C55C28"/>
    <w:rsid w:val="00C57714"/>
    <w:rsid w:val="00C57883"/>
    <w:rsid w:val="00C61CB5"/>
    <w:rsid w:val="00C636E7"/>
    <w:rsid w:val="00C63EAF"/>
    <w:rsid w:val="00C64ADE"/>
    <w:rsid w:val="00C64BA1"/>
    <w:rsid w:val="00C65421"/>
    <w:rsid w:val="00C66260"/>
    <w:rsid w:val="00C67A3D"/>
    <w:rsid w:val="00C67F20"/>
    <w:rsid w:val="00C70BF6"/>
    <w:rsid w:val="00C756D6"/>
    <w:rsid w:val="00C75FA5"/>
    <w:rsid w:val="00C7642A"/>
    <w:rsid w:val="00C8010C"/>
    <w:rsid w:val="00C8036F"/>
    <w:rsid w:val="00C80FAD"/>
    <w:rsid w:val="00C810C8"/>
    <w:rsid w:val="00C814F8"/>
    <w:rsid w:val="00C81C5B"/>
    <w:rsid w:val="00C82EA3"/>
    <w:rsid w:val="00C83AF4"/>
    <w:rsid w:val="00C8528D"/>
    <w:rsid w:val="00C85F5E"/>
    <w:rsid w:val="00C86918"/>
    <w:rsid w:val="00C91C6F"/>
    <w:rsid w:val="00C92264"/>
    <w:rsid w:val="00C92D18"/>
    <w:rsid w:val="00C97AA6"/>
    <w:rsid w:val="00C97E78"/>
    <w:rsid w:val="00C97FE9"/>
    <w:rsid w:val="00CA02AD"/>
    <w:rsid w:val="00CA1433"/>
    <w:rsid w:val="00CA2948"/>
    <w:rsid w:val="00CA3270"/>
    <w:rsid w:val="00CA4037"/>
    <w:rsid w:val="00CA5312"/>
    <w:rsid w:val="00CA634E"/>
    <w:rsid w:val="00CB0319"/>
    <w:rsid w:val="00CB4900"/>
    <w:rsid w:val="00CB4D57"/>
    <w:rsid w:val="00CB6514"/>
    <w:rsid w:val="00CB71C2"/>
    <w:rsid w:val="00CC1539"/>
    <w:rsid w:val="00CC2171"/>
    <w:rsid w:val="00CC4FB3"/>
    <w:rsid w:val="00CC52E0"/>
    <w:rsid w:val="00CD57AC"/>
    <w:rsid w:val="00CD5A99"/>
    <w:rsid w:val="00CD7941"/>
    <w:rsid w:val="00CD7A70"/>
    <w:rsid w:val="00CE0221"/>
    <w:rsid w:val="00CE267E"/>
    <w:rsid w:val="00CE3CA0"/>
    <w:rsid w:val="00CE4684"/>
    <w:rsid w:val="00CE6D08"/>
    <w:rsid w:val="00CE7850"/>
    <w:rsid w:val="00CF1C78"/>
    <w:rsid w:val="00CF2250"/>
    <w:rsid w:val="00CF23A9"/>
    <w:rsid w:val="00CF338B"/>
    <w:rsid w:val="00CF58F2"/>
    <w:rsid w:val="00CF6D04"/>
    <w:rsid w:val="00CF71DC"/>
    <w:rsid w:val="00CF777A"/>
    <w:rsid w:val="00D023AE"/>
    <w:rsid w:val="00D02ABD"/>
    <w:rsid w:val="00D02BDE"/>
    <w:rsid w:val="00D03283"/>
    <w:rsid w:val="00D03F16"/>
    <w:rsid w:val="00D05A79"/>
    <w:rsid w:val="00D07584"/>
    <w:rsid w:val="00D07A61"/>
    <w:rsid w:val="00D07BA0"/>
    <w:rsid w:val="00D10993"/>
    <w:rsid w:val="00D10A99"/>
    <w:rsid w:val="00D1185C"/>
    <w:rsid w:val="00D12DE0"/>
    <w:rsid w:val="00D1396F"/>
    <w:rsid w:val="00D13F9C"/>
    <w:rsid w:val="00D149BF"/>
    <w:rsid w:val="00D15359"/>
    <w:rsid w:val="00D15BA5"/>
    <w:rsid w:val="00D16E85"/>
    <w:rsid w:val="00D17833"/>
    <w:rsid w:val="00D2246F"/>
    <w:rsid w:val="00D24DFE"/>
    <w:rsid w:val="00D25784"/>
    <w:rsid w:val="00D26551"/>
    <w:rsid w:val="00D270A6"/>
    <w:rsid w:val="00D305D2"/>
    <w:rsid w:val="00D316DF"/>
    <w:rsid w:val="00D32869"/>
    <w:rsid w:val="00D3482F"/>
    <w:rsid w:val="00D34FD6"/>
    <w:rsid w:val="00D373EC"/>
    <w:rsid w:val="00D3759A"/>
    <w:rsid w:val="00D408F8"/>
    <w:rsid w:val="00D4349E"/>
    <w:rsid w:val="00D44B2F"/>
    <w:rsid w:val="00D453EB"/>
    <w:rsid w:val="00D456C6"/>
    <w:rsid w:val="00D45D03"/>
    <w:rsid w:val="00D46B57"/>
    <w:rsid w:val="00D46DC0"/>
    <w:rsid w:val="00D50E13"/>
    <w:rsid w:val="00D5186F"/>
    <w:rsid w:val="00D546C6"/>
    <w:rsid w:val="00D57195"/>
    <w:rsid w:val="00D60131"/>
    <w:rsid w:val="00D60613"/>
    <w:rsid w:val="00D60A16"/>
    <w:rsid w:val="00D60A36"/>
    <w:rsid w:val="00D60A7A"/>
    <w:rsid w:val="00D60D1F"/>
    <w:rsid w:val="00D6250C"/>
    <w:rsid w:val="00D628EF"/>
    <w:rsid w:val="00D63414"/>
    <w:rsid w:val="00D63FC3"/>
    <w:rsid w:val="00D6458D"/>
    <w:rsid w:val="00D64591"/>
    <w:rsid w:val="00D64A63"/>
    <w:rsid w:val="00D6553C"/>
    <w:rsid w:val="00D65DA0"/>
    <w:rsid w:val="00D666BD"/>
    <w:rsid w:val="00D67DEA"/>
    <w:rsid w:val="00D73FD8"/>
    <w:rsid w:val="00D7797B"/>
    <w:rsid w:val="00D77F8A"/>
    <w:rsid w:val="00D83CB8"/>
    <w:rsid w:val="00D85069"/>
    <w:rsid w:val="00D8616E"/>
    <w:rsid w:val="00D90477"/>
    <w:rsid w:val="00D91D23"/>
    <w:rsid w:val="00D9289F"/>
    <w:rsid w:val="00D92E65"/>
    <w:rsid w:val="00D9354F"/>
    <w:rsid w:val="00D95448"/>
    <w:rsid w:val="00D95A9F"/>
    <w:rsid w:val="00D975CE"/>
    <w:rsid w:val="00D97D98"/>
    <w:rsid w:val="00DA0830"/>
    <w:rsid w:val="00DA3028"/>
    <w:rsid w:val="00DA33C3"/>
    <w:rsid w:val="00DA3AFE"/>
    <w:rsid w:val="00DA3B6F"/>
    <w:rsid w:val="00DA3C87"/>
    <w:rsid w:val="00DA684D"/>
    <w:rsid w:val="00DA6F6C"/>
    <w:rsid w:val="00DA7574"/>
    <w:rsid w:val="00DA76C6"/>
    <w:rsid w:val="00DB0014"/>
    <w:rsid w:val="00DB380E"/>
    <w:rsid w:val="00DB64D4"/>
    <w:rsid w:val="00DB6AE9"/>
    <w:rsid w:val="00DB7C70"/>
    <w:rsid w:val="00DC019A"/>
    <w:rsid w:val="00DC1971"/>
    <w:rsid w:val="00DC2DC8"/>
    <w:rsid w:val="00DC444B"/>
    <w:rsid w:val="00DC5674"/>
    <w:rsid w:val="00DC79A1"/>
    <w:rsid w:val="00DD01B6"/>
    <w:rsid w:val="00DD0E27"/>
    <w:rsid w:val="00DD16CC"/>
    <w:rsid w:val="00DD2A02"/>
    <w:rsid w:val="00DD2C84"/>
    <w:rsid w:val="00DD3768"/>
    <w:rsid w:val="00DD3DBA"/>
    <w:rsid w:val="00DD768C"/>
    <w:rsid w:val="00DD7862"/>
    <w:rsid w:val="00DD7B9B"/>
    <w:rsid w:val="00DE3402"/>
    <w:rsid w:val="00DE3A42"/>
    <w:rsid w:val="00DE45FF"/>
    <w:rsid w:val="00DE6AC0"/>
    <w:rsid w:val="00DF0C13"/>
    <w:rsid w:val="00DF15BC"/>
    <w:rsid w:val="00DF50E1"/>
    <w:rsid w:val="00DF5C12"/>
    <w:rsid w:val="00DF68C7"/>
    <w:rsid w:val="00E015A9"/>
    <w:rsid w:val="00E048A9"/>
    <w:rsid w:val="00E05C08"/>
    <w:rsid w:val="00E062A1"/>
    <w:rsid w:val="00E06ED5"/>
    <w:rsid w:val="00E12443"/>
    <w:rsid w:val="00E12838"/>
    <w:rsid w:val="00E12B58"/>
    <w:rsid w:val="00E13534"/>
    <w:rsid w:val="00E13774"/>
    <w:rsid w:val="00E157CA"/>
    <w:rsid w:val="00E15ABB"/>
    <w:rsid w:val="00E15B38"/>
    <w:rsid w:val="00E164F3"/>
    <w:rsid w:val="00E17100"/>
    <w:rsid w:val="00E22164"/>
    <w:rsid w:val="00E26746"/>
    <w:rsid w:val="00E26D4F"/>
    <w:rsid w:val="00E27A86"/>
    <w:rsid w:val="00E30B7E"/>
    <w:rsid w:val="00E30C45"/>
    <w:rsid w:val="00E317EE"/>
    <w:rsid w:val="00E318E3"/>
    <w:rsid w:val="00E325F7"/>
    <w:rsid w:val="00E33B01"/>
    <w:rsid w:val="00E3448C"/>
    <w:rsid w:val="00E349A8"/>
    <w:rsid w:val="00E35469"/>
    <w:rsid w:val="00E35ABB"/>
    <w:rsid w:val="00E3751E"/>
    <w:rsid w:val="00E42161"/>
    <w:rsid w:val="00E42ED0"/>
    <w:rsid w:val="00E432A9"/>
    <w:rsid w:val="00E4670E"/>
    <w:rsid w:val="00E46736"/>
    <w:rsid w:val="00E4724C"/>
    <w:rsid w:val="00E479DB"/>
    <w:rsid w:val="00E50AF5"/>
    <w:rsid w:val="00E512B9"/>
    <w:rsid w:val="00E52691"/>
    <w:rsid w:val="00E5285C"/>
    <w:rsid w:val="00E636C8"/>
    <w:rsid w:val="00E66145"/>
    <w:rsid w:val="00E67027"/>
    <w:rsid w:val="00E76BFE"/>
    <w:rsid w:val="00E76F1D"/>
    <w:rsid w:val="00E80B8F"/>
    <w:rsid w:val="00E832D1"/>
    <w:rsid w:val="00E8371A"/>
    <w:rsid w:val="00E84BE6"/>
    <w:rsid w:val="00E851D0"/>
    <w:rsid w:val="00E87E94"/>
    <w:rsid w:val="00E920FC"/>
    <w:rsid w:val="00E92218"/>
    <w:rsid w:val="00E949B4"/>
    <w:rsid w:val="00E95118"/>
    <w:rsid w:val="00E964C9"/>
    <w:rsid w:val="00E96E31"/>
    <w:rsid w:val="00E979B9"/>
    <w:rsid w:val="00EA0859"/>
    <w:rsid w:val="00EA11D1"/>
    <w:rsid w:val="00EA1CCB"/>
    <w:rsid w:val="00EB4450"/>
    <w:rsid w:val="00EB5019"/>
    <w:rsid w:val="00EB5189"/>
    <w:rsid w:val="00EB6E54"/>
    <w:rsid w:val="00EB7959"/>
    <w:rsid w:val="00EB7AD3"/>
    <w:rsid w:val="00EB7BBE"/>
    <w:rsid w:val="00EC1AE2"/>
    <w:rsid w:val="00EC2C7D"/>
    <w:rsid w:val="00EC493C"/>
    <w:rsid w:val="00EC5E76"/>
    <w:rsid w:val="00EC6443"/>
    <w:rsid w:val="00EC671A"/>
    <w:rsid w:val="00EC7226"/>
    <w:rsid w:val="00EC7BF9"/>
    <w:rsid w:val="00ED3B16"/>
    <w:rsid w:val="00ED4436"/>
    <w:rsid w:val="00ED500B"/>
    <w:rsid w:val="00ED5DCA"/>
    <w:rsid w:val="00ED765F"/>
    <w:rsid w:val="00EE1296"/>
    <w:rsid w:val="00EE28BF"/>
    <w:rsid w:val="00EE3077"/>
    <w:rsid w:val="00EE33E4"/>
    <w:rsid w:val="00EE410D"/>
    <w:rsid w:val="00EE5631"/>
    <w:rsid w:val="00EE59AF"/>
    <w:rsid w:val="00EE5DD4"/>
    <w:rsid w:val="00EF002D"/>
    <w:rsid w:val="00EF2170"/>
    <w:rsid w:val="00EF32ED"/>
    <w:rsid w:val="00EF3E2A"/>
    <w:rsid w:val="00EF45FE"/>
    <w:rsid w:val="00EF5ABB"/>
    <w:rsid w:val="00EF64C9"/>
    <w:rsid w:val="00EF64CD"/>
    <w:rsid w:val="00EF6E6B"/>
    <w:rsid w:val="00F00673"/>
    <w:rsid w:val="00F0096F"/>
    <w:rsid w:val="00F04258"/>
    <w:rsid w:val="00F04CE8"/>
    <w:rsid w:val="00F05E6D"/>
    <w:rsid w:val="00F109F1"/>
    <w:rsid w:val="00F1119E"/>
    <w:rsid w:val="00F12820"/>
    <w:rsid w:val="00F12EA6"/>
    <w:rsid w:val="00F16857"/>
    <w:rsid w:val="00F16A0C"/>
    <w:rsid w:val="00F2166C"/>
    <w:rsid w:val="00F219CF"/>
    <w:rsid w:val="00F22170"/>
    <w:rsid w:val="00F2266D"/>
    <w:rsid w:val="00F22A8D"/>
    <w:rsid w:val="00F23B0C"/>
    <w:rsid w:val="00F2468D"/>
    <w:rsid w:val="00F25B1B"/>
    <w:rsid w:val="00F3090E"/>
    <w:rsid w:val="00F31A5F"/>
    <w:rsid w:val="00F31F46"/>
    <w:rsid w:val="00F32062"/>
    <w:rsid w:val="00F3230D"/>
    <w:rsid w:val="00F332C6"/>
    <w:rsid w:val="00F33A1E"/>
    <w:rsid w:val="00F34BD0"/>
    <w:rsid w:val="00F36A3E"/>
    <w:rsid w:val="00F3720D"/>
    <w:rsid w:val="00F401BC"/>
    <w:rsid w:val="00F401F9"/>
    <w:rsid w:val="00F40875"/>
    <w:rsid w:val="00F41956"/>
    <w:rsid w:val="00F4299B"/>
    <w:rsid w:val="00F44A50"/>
    <w:rsid w:val="00F462F5"/>
    <w:rsid w:val="00F46AEB"/>
    <w:rsid w:val="00F474A6"/>
    <w:rsid w:val="00F50B3A"/>
    <w:rsid w:val="00F51DE0"/>
    <w:rsid w:val="00F52585"/>
    <w:rsid w:val="00F530A6"/>
    <w:rsid w:val="00F54177"/>
    <w:rsid w:val="00F543AD"/>
    <w:rsid w:val="00F55155"/>
    <w:rsid w:val="00F55CDF"/>
    <w:rsid w:val="00F56E88"/>
    <w:rsid w:val="00F57156"/>
    <w:rsid w:val="00F57F54"/>
    <w:rsid w:val="00F60659"/>
    <w:rsid w:val="00F60A15"/>
    <w:rsid w:val="00F632EB"/>
    <w:rsid w:val="00F64112"/>
    <w:rsid w:val="00F64848"/>
    <w:rsid w:val="00F65008"/>
    <w:rsid w:val="00F6730A"/>
    <w:rsid w:val="00F70764"/>
    <w:rsid w:val="00F70EDF"/>
    <w:rsid w:val="00F73643"/>
    <w:rsid w:val="00F758F5"/>
    <w:rsid w:val="00F76B93"/>
    <w:rsid w:val="00F77B21"/>
    <w:rsid w:val="00F8110A"/>
    <w:rsid w:val="00F81432"/>
    <w:rsid w:val="00F81560"/>
    <w:rsid w:val="00F8177E"/>
    <w:rsid w:val="00F82F74"/>
    <w:rsid w:val="00F831FA"/>
    <w:rsid w:val="00F83B48"/>
    <w:rsid w:val="00F841B9"/>
    <w:rsid w:val="00F84484"/>
    <w:rsid w:val="00F85030"/>
    <w:rsid w:val="00F857BD"/>
    <w:rsid w:val="00F85DE8"/>
    <w:rsid w:val="00F91375"/>
    <w:rsid w:val="00F92B84"/>
    <w:rsid w:val="00F9317A"/>
    <w:rsid w:val="00F9385C"/>
    <w:rsid w:val="00F960DB"/>
    <w:rsid w:val="00F97D87"/>
    <w:rsid w:val="00FA0705"/>
    <w:rsid w:val="00FA1220"/>
    <w:rsid w:val="00FA1FFE"/>
    <w:rsid w:val="00FA35BF"/>
    <w:rsid w:val="00FA45F1"/>
    <w:rsid w:val="00FA4965"/>
    <w:rsid w:val="00FA4AF5"/>
    <w:rsid w:val="00FA668C"/>
    <w:rsid w:val="00FA695F"/>
    <w:rsid w:val="00FA6DBD"/>
    <w:rsid w:val="00FA78BC"/>
    <w:rsid w:val="00FA7EA3"/>
    <w:rsid w:val="00FB201C"/>
    <w:rsid w:val="00FB7002"/>
    <w:rsid w:val="00FB7B3E"/>
    <w:rsid w:val="00FC139F"/>
    <w:rsid w:val="00FC13AD"/>
    <w:rsid w:val="00FC2D03"/>
    <w:rsid w:val="00FC68F0"/>
    <w:rsid w:val="00FD2066"/>
    <w:rsid w:val="00FD2164"/>
    <w:rsid w:val="00FD560E"/>
    <w:rsid w:val="00FD5DE3"/>
    <w:rsid w:val="00FD71CE"/>
    <w:rsid w:val="00FE219C"/>
    <w:rsid w:val="00FE3BE6"/>
    <w:rsid w:val="00FE3F85"/>
    <w:rsid w:val="00FE4034"/>
    <w:rsid w:val="00FE56EC"/>
    <w:rsid w:val="00FE6D85"/>
    <w:rsid w:val="00FF02E5"/>
    <w:rsid w:val="00FF1DF3"/>
    <w:rsid w:val="00FF32D7"/>
    <w:rsid w:val="00FF6927"/>
    <w:rsid w:val="00FF6CF7"/>
    <w:rsid w:val="00FF72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4ACA68CD-B286-4577-B9E2-1C4794CCC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styleId="Testonotaapidipagina">
    <w:name w:val="footnote text"/>
    <w:basedOn w:val="Normale"/>
    <w:semiHidden/>
    <w:rsid w:val="009A4547"/>
    <w:rPr>
      <w:sz w:val="20"/>
      <w:szCs w:val="20"/>
    </w:rPr>
  </w:style>
  <w:style w:type="character" w:styleId="Rimandonotaapidipagina">
    <w:name w:val="footnote reference"/>
    <w:semiHidden/>
    <w:rsid w:val="009A4547"/>
    <w:rPr>
      <w:vertAlign w:val="superscript"/>
    </w:rPr>
  </w:style>
  <w:style w:type="character" w:styleId="Collegamentoipertestuale">
    <w:name w:val="Hyperlink"/>
    <w:rsid w:val="00D6458D"/>
    <w:rPr>
      <w:color w:val="0000FF"/>
      <w:u w:val="single"/>
    </w:rPr>
  </w:style>
  <w:style w:type="paragraph" w:styleId="Pidipagina">
    <w:name w:val="footer"/>
    <w:basedOn w:val="Normale"/>
    <w:rsid w:val="00D07A61"/>
    <w:pPr>
      <w:tabs>
        <w:tab w:val="center" w:pos="4819"/>
        <w:tab w:val="right" w:pos="9638"/>
      </w:tabs>
    </w:pPr>
  </w:style>
  <w:style w:type="character" w:styleId="Numeropagina">
    <w:name w:val="page number"/>
    <w:basedOn w:val="Carpredefinitoparagrafo"/>
    <w:rsid w:val="00D07A61"/>
  </w:style>
  <w:style w:type="character" w:styleId="Enfasigrassetto">
    <w:name w:val="Strong"/>
    <w:qFormat/>
    <w:rsid w:val="001B33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757985">
      <w:bodyDiv w:val="1"/>
      <w:marLeft w:val="0"/>
      <w:marRight w:val="0"/>
      <w:marTop w:val="0"/>
      <w:marBottom w:val="0"/>
      <w:divBdr>
        <w:top w:val="none" w:sz="0" w:space="0" w:color="auto"/>
        <w:left w:val="none" w:sz="0" w:space="0" w:color="auto"/>
        <w:bottom w:val="none" w:sz="0" w:space="0" w:color="auto"/>
        <w:right w:val="none" w:sz="0" w:space="0" w:color="auto"/>
      </w:divBdr>
    </w:div>
    <w:div w:id="187376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dlass.org/attivit&#224;/20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3580</Words>
  <Characters>20409</Characters>
  <Application>Microsoft Office Word</Application>
  <DocSecurity>0</DocSecurity>
  <Lines>170</Lines>
  <Paragraphs>47</Paragraphs>
  <ScaleCrop>false</ScaleCrop>
  <HeadingPairs>
    <vt:vector size="2" baseType="variant">
      <vt:variant>
        <vt:lpstr>Titolo</vt:lpstr>
      </vt:variant>
      <vt:variant>
        <vt:i4>1</vt:i4>
      </vt:variant>
    </vt:vector>
  </HeadingPairs>
  <TitlesOfParts>
    <vt:vector size="1" baseType="lpstr">
      <vt:lpstr>La specificità della causale “sostitutiva al vaglio del tribunale di Milano</vt:lpstr>
    </vt:vector>
  </TitlesOfParts>
  <Company>Universita' Luigi Bocconi</Company>
  <LinksUpToDate>false</LinksUpToDate>
  <CharactersWithSpaces>23942</CharactersWithSpaces>
  <SharedDoc>false</SharedDoc>
  <HLinks>
    <vt:vector size="6" baseType="variant">
      <vt:variant>
        <vt:i4>11599910</vt:i4>
      </vt:variant>
      <vt:variant>
        <vt:i4>0</vt:i4>
      </vt:variant>
      <vt:variant>
        <vt:i4>0</vt:i4>
      </vt:variant>
      <vt:variant>
        <vt:i4>5</vt:i4>
      </vt:variant>
      <vt:variant>
        <vt:lpwstr>http://www.adlass.org/attività/2011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specificità della causale “sostitutiva al vaglio del tribunale di Milano</dc:title>
  <dc:subject/>
  <dc:creator>Marcus</dc:creator>
  <cp:keywords/>
  <cp:lastModifiedBy>Marcus Biasi</cp:lastModifiedBy>
  <cp:revision>2</cp:revision>
  <cp:lastPrinted>2011-05-10T15:17:00Z</cp:lastPrinted>
  <dcterms:created xsi:type="dcterms:W3CDTF">2014-07-04T15:07:00Z</dcterms:created>
  <dcterms:modified xsi:type="dcterms:W3CDTF">2014-07-04T15:07:00Z</dcterms:modified>
</cp:coreProperties>
</file>