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3FA0" w:rsidRPr="00EE3FA0" w:rsidRDefault="00EE3FA0" w:rsidP="00EE3FA0">
      <w:pPr>
        <w:spacing w:after="0" w:line="480" w:lineRule="auto"/>
        <w:ind w:firstLine="720"/>
        <w:rPr>
          <w:rFonts w:ascii="Times New Roman" w:hAnsi="Times New Roman" w:cs="Times New Roman"/>
          <w:sz w:val="24"/>
          <w:szCs w:val="24"/>
        </w:rPr>
      </w:pPr>
      <w:r w:rsidRPr="00EE3FA0">
        <w:rPr>
          <w:rFonts w:ascii="Times New Roman" w:hAnsi="Times New Roman" w:cs="Times New Roman"/>
          <w:sz w:val="24"/>
          <w:szCs w:val="24"/>
        </w:rPr>
        <w:t xml:space="preserve">Alvise Cornaro, </w:t>
      </w:r>
      <w:r w:rsidRPr="00BD555A">
        <w:rPr>
          <w:rFonts w:ascii="Times New Roman" w:hAnsi="Times New Roman" w:cs="Times New Roman"/>
          <w:i/>
          <w:sz w:val="24"/>
          <w:szCs w:val="24"/>
        </w:rPr>
        <w:t>Writings on the Sober Life: the Art and Grace of Living Long</w:t>
      </w:r>
      <w:r w:rsidRPr="00EE3FA0">
        <w:rPr>
          <w:rFonts w:ascii="Times New Roman" w:hAnsi="Times New Roman" w:cs="Times New Roman"/>
          <w:sz w:val="24"/>
          <w:szCs w:val="24"/>
        </w:rPr>
        <w:t>. Introduction and Essay by Marisa Milani. Translated by Hiroko Fudemoto. Toronto: University of Toronto Press, 2014. 251 pp. ISBN 9781442645097.</w:t>
      </w:r>
    </w:p>
    <w:p w:rsidR="00EE3FA0" w:rsidRDefault="00EE3FA0" w:rsidP="00EE3FA0">
      <w:pPr>
        <w:spacing w:after="0" w:line="480" w:lineRule="auto"/>
        <w:ind w:firstLine="720"/>
        <w:rPr>
          <w:rFonts w:ascii="Times New Roman" w:hAnsi="Times New Roman" w:cs="Times New Roman"/>
          <w:sz w:val="24"/>
          <w:szCs w:val="24"/>
        </w:rPr>
      </w:pPr>
    </w:p>
    <w:p w:rsidR="00217EBE" w:rsidRPr="00EE3FA0" w:rsidRDefault="00217EBE" w:rsidP="00EE3FA0">
      <w:pPr>
        <w:spacing w:after="0" w:line="480" w:lineRule="auto"/>
        <w:ind w:firstLine="720"/>
        <w:rPr>
          <w:rFonts w:ascii="Times New Roman" w:hAnsi="Times New Roman" w:cs="Times New Roman"/>
          <w:sz w:val="24"/>
          <w:szCs w:val="24"/>
        </w:rPr>
      </w:pPr>
    </w:p>
    <w:p w:rsidR="006F31C9" w:rsidRDefault="00EE3FA0" w:rsidP="00EE3FA0">
      <w:pPr>
        <w:spacing w:after="0" w:line="480" w:lineRule="auto"/>
        <w:ind w:firstLine="720"/>
        <w:rPr>
          <w:rFonts w:ascii="Times New Roman" w:hAnsi="Times New Roman" w:cs="Times New Roman"/>
          <w:sz w:val="24"/>
          <w:szCs w:val="24"/>
        </w:rPr>
      </w:pPr>
      <w:r w:rsidRPr="00EE3FA0">
        <w:rPr>
          <w:rFonts w:ascii="Times New Roman" w:hAnsi="Times New Roman" w:cs="Times New Roman"/>
          <w:sz w:val="24"/>
          <w:szCs w:val="24"/>
        </w:rPr>
        <w:t>I</w:t>
      </w:r>
      <w:r w:rsidR="00BD555A">
        <w:rPr>
          <w:rFonts w:ascii="Times New Roman" w:hAnsi="Times New Roman" w:cs="Times New Roman"/>
          <w:sz w:val="24"/>
          <w:szCs w:val="24"/>
        </w:rPr>
        <w:t xml:space="preserve">n a world full of health guides, </w:t>
      </w:r>
      <w:r w:rsidRPr="00EE3FA0">
        <w:rPr>
          <w:rFonts w:ascii="Times New Roman" w:hAnsi="Times New Roman" w:cs="Times New Roman"/>
          <w:sz w:val="24"/>
          <w:szCs w:val="24"/>
        </w:rPr>
        <w:t xml:space="preserve">dietary fads </w:t>
      </w:r>
      <w:r w:rsidR="00BD555A">
        <w:rPr>
          <w:rFonts w:ascii="Times New Roman" w:hAnsi="Times New Roman" w:cs="Times New Roman"/>
          <w:sz w:val="24"/>
          <w:szCs w:val="24"/>
        </w:rPr>
        <w:t xml:space="preserve">and secrets to a long life, </w:t>
      </w:r>
      <w:r w:rsidRPr="00EE3FA0">
        <w:rPr>
          <w:rFonts w:ascii="Times New Roman" w:hAnsi="Times New Roman" w:cs="Times New Roman"/>
          <w:sz w:val="24"/>
          <w:szCs w:val="24"/>
        </w:rPr>
        <w:t xml:space="preserve">one book has stood the test of time: Alvise Cornaro’s </w:t>
      </w:r>
      <w:r w:rsidRPr="008C0AFD">
        <w:rPr>
          <w:rFonts w:ascii="Times New Roman" w:hAnsi="Times New Roman" w:cs="Times New Roman"/>
          <w:i/>
          <w:sz w:val="24"/>
          <w:szCs w:val="24"/>
        </w:rPr>
        <w:t>On th</w:t>
      </w:r>
      <w:r w:rsidR="008C0AFD" w:rsidRPr="008C0AFD">
        <w:rPr>
          <w:rFonts w:ascii="Times New Roman" w:hAnsi="Times New Roman" w:cs="Times New Roman"/>
          <w:i/>
          <w:sz w:val="24"/>
          <w:szCs w:val="24"/>
        </w:rPr>
        <w:t>e Sober Life</w:t>
      </w:r>
      <w:r w:rsidRPr="00EE3FA0">
        <w:rPr>
          <w:rFonts w:ascii="Times New Roman" w:hAnsi="Times New Roman" w:cs="Times New Roman"/>
          <w:sz w:val="24"/>
          <w:szCs w:val="24"/>
        </w:rPr>
        <w:t>.</w:t>
      </w:r>
      <w:r w:rsidR="00BD555A">
        <w:rPr>
          <w:rFonts w:ascii="Times New Roman" w:hAnsi="Times New Roman" w:cs="Times New Roman"/>
          <w:sz w:val="24"/>
          <w:szCs w:val="24"/>
        </w:rPr>
        <w:t xml:space="preserve"> First published in Padua in 1558</w:t>
      </w:r>
      <w:r w:rsidR="008C0AFD">
        <w:rPr>
          <w:rFonts w:ascii="Times New Roman" w:hAnsi="Times New Roman" w:cs="Times New Roman"/>
          <w:sz w:val="24"/>
          <w:szCs w:val="24"/>
        </w:rPr>
        <w:t xml:space="preserve"> as the </w:t>
      </w:r>
      <w:r w:rsidR="006F31C9">
        <w:rPr>
          <w:rFonts w:ascii="Times New Roman" w:hAnsi="Times New Roman" w:cs="Times New Roman"/>
          <w:i/>
          <w:sz w:val="24"/>
          <w:szCs w:val="24"/>
        </w:rPr>
        <w:t xml:space="preserve">Trattato de </w:t>
      </w:r>
      <w:r w:rsidR="008C0AFD" w:rsidRPr="008C0AFD">
        <w:rPr>
          <w:rFonts w:ascii="Times New Roman" w:hAnsi="Times New Roman" w:cs="Times New Roman"/>
          <w:i/>
          <w:sz w:val="24"/>
          <w:szCs w:val="24"/>
        </w:rPr>
        <w:t>la vita sobria</w:t>
      </w:r>
      <w:r w:rsidR="00BD555A">
        <w:rPr>
          <w:rFonts w:ascii="Times New Roman" w:hAnsi="Times New Roman" w:cs="Times New Roman"/>
          <w:sz w:val="24"/>
          <w:szCs w:val="24"/>
        </w:rPr>
        <w:t xml:space="preserve">, its author was </w:t>
      </w:r>
      <w:r w:rsidR="008C0AFD">
        <w:rPr>
          <w:rFonts w:ascii="Times New Roman" w:hAnsi="Times New Roman" w:cs="Times New Roman"/>
          <w:sz w:val="24"/>
          <w:szCs w:val="24"/>
        </w:rPr>
        <w:t xml:space="preserve">a Venetian nobleman whose branch of the family had fallen on hard times. Cornaro successfully built up his wealth—and the lifestyle of </w:t>
      </w:r>
      <w:r w:rsidR="00107AF6">
        <w:rPr>
          <w:rFonts w:ascii="Times New Roman" w:hAnsi="Times New Roman" w:cs="Times New Roman"/>
          <w:sz w:val="24"/>
          <w:szCs w:val="24"/>
        </w:rPr>
        <w:t xml:space="preserve">dietary </w:t>
      </w:r>
      <w:r w:rsidR="008C0AFD">
        <w:rPr>
          <w:rFonts w:ascii="Times New Roman" w:hAnsi="Times New Roman" w:cs="Times New Roman"/>
          <w:sz w:val="24"/>
          <w:szCs w:val="24"/>
        </w:rPr>
        <w:t xml:space="preserve">excess that went with it. When this began to have a deleterious effect on his health, </w:t>
      </w:r>
      <w:r w:rsidR="00107AF6">
        <w:rPr>
          <w:rFonts w:ascii="Times New Roman" w:hAnsi="Times New Roman" w:cs="Times New Roman"/>
          <w:sz w:val="24"/>
          <w:szCs w:val="24"/>
        </w:rPr>
        <w:t>resulting in a perpetual thirst (most likely diabetes), gout and arthritis, his doctors told him he was a</w:t>
      </w:r>
      <w:r w:rsidR="00514691">
        <w:rPr>
          <w:rFonts w:ascii="Times New Roman" w:hAnsi="Times New Roman" w:cs="Times New Roman"/>
          <w:sz w:val="24"/>
          <w:szCs w:val="24"/>
        </w:rPr>
        <w:t>t</w:t>
      </w:r>
      <w:r w:rsidR="00107AF6">
        <w:rPr>
          <w:rFonts w:ascii="Times New Roman" w:hAnsi="Times New Roman" w:cs="Times New Roman"/>
          <w:sz w:val="24"/>
          <w:szCs w:val="24"/>
        </w:rPr>
        <w:t xml:space="preserve"> death’s doorstep. </w:t>
      </w:r>
      <w:r w:rsidR="008C0AFD">
        <w:rPr>
          <w:rFonts w:ascii="Times New Roman" w:hAnsi="Times New Roman" w:cs="Times New Roman"/>
          <w:sz w:val="24"/>
          <w:szCs w:val="24"/>
        </w:rPr>
        <w:t>Cornaro resolved to undertake a radical</w:t>
      </w:r>
      <w:r w:rsidR="00107AF6">
        <w:rPr>
          <w:rFonts w:ascii="Times New Roman" w:hAnsi="Times New Roman" w:cs="Times New Roman"/>
          <w:sz w:val="24"/>
          <w:szCs w:val="24"/>
        </w:rPr>
        <w:t xml:space="preserve"> change in habit. He drastically reduced his consumption of food and wine, vowing to leave the table still hungry and thirsty</w:t>
      </w:r>
      <w:r w:rsidR="00514691">
        <w:rPr>
          <w:rFonts w:ascii="Times New Roman" w:hAnsi="Times New Roman" w:cs="Times New Roman"/>
          <w:sz w:val="24"/>
          <w:szCs w:val="24"/>
        </w:rPr>
        <w:t xml:space="preserve">, </w:t>
      </w:r>
      <w:r w:rsidR="006F31C9">
        <w:rPr>
          <w:rFonts w:ascii="Times New Roman" w:hAnsi="Times New Roman" w:cs="Times New Roman"/>
          <w:sz w:val="24"/>
          <w:szCs w:val="24"/>
        </w:rPr>
        <w:t>and subsisted</w:t>
      </w:r>
      <w:r w:rsidR="00514691">
        <w:rPr>
          <w:rFonts w:ascii="Times New Roman" w:hAnsi="Times New Roman" w:cs="Times New Roman"/>
          <w:sz w:val="24"/>
          <w:szCs w:val="24"/>
        </w:rPr>
        <w:t xml:space="preserve"> largely on a bread-based pap called </w:t>
      </w:r>
      <w:r w:rsidR="00514691" w:rsidRPr="00514691">
        <w:rPr>
          <w:rFonts w:ascii="Times New Roman" w:hAnsi="Times New Roman" w:cs="Times New Roman"/>
          <w:i/>
          <w:sz w:val="24"/>
          <w:szCs w:val="24"/>
        </w:rPr>
        <w:t>panatella</w:t>
      </w:r>
      <w:r w:rsidR="00107AF6">
        <w:rPr>
          <w:rFonts w:ascii="Times New Roman" w:hAnsi="Times New Roman" w:cs="Times New Roman"/>
          <w:sz w:val="24"/>
          <w:szCs w:val="24"/>
        </w:rPr>
        <w:t>. The result: new</w:t>
      </w:r>
      <w:r w:rsidR="006F31C9">
        <w:rPr>
          <w:rFonts w:ascii="Times New Roman" w:hAnsi="Times New Roman" w:cs="Times New Roman"/>
          <w:sz w:val="24"/>
          <w:szCs w:val="24"/>
        </w:rPr>
        <w:t>-</w:t>
      </w:r>
      <w:r w:rsidR="00107AF6">
        <w:rPr>
          <w:rFonts w:ascii="Times New Roman" w:hAnsi="Times New Roman" w:cs="Times New Roman"/>
          <w:sz w:val="24"/>
          <w:szCs w:val="24"/>
        </w:rPr>
        <w:t xml:space="preserve">found health and, eventually, a long life. </w:t>
      </w:r>
    </w:p>
    <w:p w:rsidR="006D34C4" w:rsidRDefault="00107AF6" w:rsidP="00EE3FA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w:t>
      </w:r>
      <w:r w:rsidRPr="00107AF6">
        <w:rPr>
          <w:rFonts w:ascii="Times New Roman" w:hAnsi="Times New Roman" w:cs="Times New Roman"/>
          <w:i/>
          <w:sz w:val="24"/>
          <w:szCs w:val="24"/>
        </w:rPr>
        <w:t>very</w:t>
      </w:r>
      <w:r>
        <w:rPr>
          <w:rFonts w:ascii="Times New Roman" w:hAnsi="Times New Roman" w:cs="Times New Roman"/>
          <w:sz w:val="24"/>
          <w:szCs w:val="24"/>
        </w:rPr>
        <w:t xml:space="preserve"> long life, in fact.</w:t>
      </w:r>
      <w:r w:rsidR="006F31C9">
        <w:rPr>
          <w:rFonts w:ascii="Times New Roman" w:hAnsi="Times New Roman" w:cs="Times New Roman"/>
          <w:sz w:val="24"/>
          <w:szCs w:val="24"/>
        </w:rPr>
        <w:t xml:space="preserve"> </w:t>
      </w:r>
      <w:r w:rsidR="003C0FD9" w:rsidRPr="003C0FD9">
        <w:rPr>
          <w:rFonts w:ascii="Times New Roman" w:hAnsi="Times New Roman" w:cs="Times New Roman"/>
          <w:sz w:val="24"/>
          <w:szCs w:val="24"/>
        </w:rPr>
        <w:t>It used to be claimed that Cornaro was born in 1464 or 1467 and died in 1566; but more recent studies have suggested that he contributed to his own longevity by increasingly exaggerating his age as time went on, claiming to be 56 in 1540 but 95 twenty-five years later.</w:t>
      </w:r>
      <w:r w:rsidR="003C0FD9" w:rsidRPr="003C0FD9">
        <w:rPr>
          <w:rFonts w:ascii="Times New Roman" w:hAnsi="Times New Roman" w:cs="Times New Roman"/>
          <w:sz w:val="24"/>
          <w:szCs w:val="24"/>
          <w:vertAlign w:val="superscript"/>
        </w:rPr>
        <w:endnoteReference w:id="1"/>
      </w:r>
      <w:r w:rsidR="003C0FD9" w:rsidRPr="003C0FD9">
        <w:rPr>
          <w:rFonts w:ascii="Times New Roman" w:hAnsi="Times New Roman" w:cs="Times New Roman"/>
          <w:sz w:val="24"/>
          <w:szCs w:val="24"/>
        </w:rPr>
        <w:t xml:space="preserve"> </w:t>
      </w:r>
      <w:r w:rsidR="00F72EEA">
        <w:rPr>
          <w:rFonts w:ascii="Times New Roman" w:hAnsi="Times New Roman" w:cs="Times New Roman"/>
          <w:sz w:val="24"/>
          <w:szCs w:val="24"/>
        </w:rPr>
        <w:t>In any case, the book was an immediate success and was soon</w:t>
      </w:r>
      <w:r w:rsidR="003C0FD9" w:rsidRPr="003C0FD9">
        <w:rPr>
          <w:rFonts w:ascii="Times New Roman" w:hAnsi="Times New Roman" w:cs="Times New Roman"/>
          <w:sz w:val="24"/>
          <w:szCs w:val="24"/>
        </w:rPr>
        <w:t xml:space="preserve"> ‘in everybody’s hands’</w:t>
      </w:r>
      <w:r w:rsidR="00A134AE">
        <w:rPr>
          <w:rFonts w:ascii="Times New Roman" w:hAnsi="Times New Roman" w:cs="Times New Roman"/>
          <w:sz w:val="24"/>
          <w:szCs w:val="24"/>
        </w:rPr>
        <w:t>, according to his envious contemporary, the polymath Girolamo Cardano</w:t>
      </w:r>
      <w:r w:rsidR="003C0FD9" w:rsidRPr="003C0FD9">
        <w:rPr>
          <w:rFonts w:ascii="Times New Roman" w:hAnsi="Times New Roman" w:cs="Times New Roman"/>
          <w:sz w:val="24"/>
          <w:szCs w:val="24"/>
        </w:rPr>
        <w:t>.</w:t>
      </w:r>
      <w:r w:rsidR="003C0FD9" w:rsidRPr="003C0FD9">
        <w:rPr>
          <w:rFonts w:ascii="Times New Roman" w:hAnsi="Times New Roman" w:cs="Times New Roman"/>
          <w:sz w:val="24"/>
          <w:szCs w:val="24"/>
          <w:vertAlign w:val="superscript"/>
        </w:rPr>
        <w:endnoteReference w:id="2"/>
      </w:r>
      <w:r w:rsidR="003C0FD9" w:rsidRPr="003C0FD9">
        <w:rPr>
          <w:rFonts w:ascii="Times New Roman" w:hAnsi="Times New Roman" w:cs="Times New Roman"/>
          <w:sz w:val="24"/>
          <w:szCs w:val="24"/>
        </w:rPr>
        <w:t xml:space="preserve"> </w:t>
      </w:r>
      <w:r w:rsidR="00A134AE" w:rsidRPr="00A134AE">
        <w:rPr>
          <w:rFonts w:ascii="Times New Roman" w:hAnsi="Times New Roman" w:cs="Times New Roman"/>
          <w:sz w:val="24"/>
          <w:szCs w:val="24"/>
        </w:rPr>
        <w:t xml:space="preserve">Cornaro </w:t>
      </w:r>
      <w:r w:rsidR="00A134AE">
        <w:rPr>
          <w:rFonts w:ascii="Times New Roman" w:hAnsi="Times New Roman" w:cs="Times New Roman"/>
          <w:sz w:val="24"/>
          <w:szCs w:val="24"/>
        </w:rPr>
        <w:t>even</w:t>
      </w:r>
      <w:r w:rsidR="00A134AE" w:rsidRPr="00A134AE">
        <w:rPr>
          <w:rFonts w:ascii="Times New Roman" w:hAnsi="Times New Roman" w:cs="Times New Roman"/>
          <w:sz w:val="24"/>
          <w:szCs w:val="24"/>
        </w:rPr>
        <w:t xml:space="preserve"> boasted that ‘Germany has begun to ban excessive drinking’ as result of it</w:t>
      </w:r>
      <w:r w:rsidR="00A134AE">
        <w:rPr>
          <w:rFonts w:ascii="Times New Roman" w:hAnsi="Times New Roman" w:cs="Times New Roman"/>
          <w:sz w:val="24"/>
          <w:szCs w:val="24"/>
        </w:rPr>
        <w:t xml:space="preserve"> (p. 173).</w:t>
      </w:r>
      <w:r w:rsidR="00A134AE" w:rsidRPr="00A134AE">
        <w:rPr>
          <w:rFonts w:ascii="Times New Roman" w:hAnsi="Times New Roman" w:cs="Times New Roman"/>
          <w:sz w:val="24"/>
          <w:szCs w:val="24"/>
        </w:rPr>
        <w:t xml:space="preserve"> </w:t>
      </w:r>
      <w:r w:rsidR="006D34C4">
        <w:rPr>
          <w:rFonts w:ascii="Times New Roman" w:hAnsi="Times New Roman" w:cs="Times New Roman"/>
          <w:sz w:val="24"/>
          <w:szCs w:val="24"/>
        </w:rPr>
        <w:t>It</w:t>
      </w:r>
      <w:r w:rsidR="003C0FD9" w:rsidRPr="003C0FD9">
        <w:rPr>
          <w:rFonts w:ascii="Times New Roman" w:hAnsi="Times New Roman" w:cs="Times New Roman"/>
          <w:sz w:val="24"/>
          <w:szCs w:val="24"/>
        </w:rPr>
        <w:t xml:space="preserve"> became widely known </w:t>
      </w:r>
      <w:r w:rsidR="00F72EEA">
        <w:rPr>
          <w:rFonts w:ascii="Times New Roman" w:hAnsi="Times New Roman" w:cs="Times New Roman"/>
          <w:sz w:val="24"/>
          <w:szCs w:val="24"/>
        </w:rPr>
        <w:t>outside</w:t>
      </w:r>
      <w:r w:rsidR="003C0FD9" w:rsidRPr="003C0FD9">
        <w:rPr>
          <w:rFonts w:ascii="Times New Roman" w:hAnsi="Times New Roman" w:cs="Times New Roman"/>
          <w:sz w:val="24"/>
          <w:szCs w:val="24"/>
        </w:rPr>
        <w:t xml:space="preserve"> </w:t>
      </w:r>
      <w:r w:rsidR="000F21F7">
        <w:rPr>
          <w:rFonts w:ascii="Times New Roman" w:hAnsi="Times New Roman" w:cs="Times New Roman"/>
          <w:sz w:val="24"/>
          <w:szCs w:val="24"/>
        </w:rPr>
        <w:t xml:space="preserve">of </w:t>
      </w:r>
      <w:r w:rsidR="003C0FD9" w:rsidRPr="003C0FD9">
        <w:rPr>
          <w:rFonts w:ascii="Times New Roman" w:hAnsi="Times New Roman" w:cs="Times New Roman"/>
          <w:sz w:val="24"/>
          <w:szCs w:val="24"/>
        </w:rPr>
        <w:t xml:space="preserve">Italy when the Flemish Jesuit and moral theologian Lenaert Leys </w:t>
      </w:r>
      <w:r w:rsidR="003C0FD9" w:rsidRPr="003C0FD9">
        <w:rPr>
          <w:rFonts w:ascii="Times New Roman" w:hAnsi="Times New Roman" w:cs="Times New Roman"/>
          <w:bCs/>
          <w:sz w:val="24"/>
          <w:szCs w:val="24"/>
        </w:rPr>
        <w:t xml:space="preserve">(Leonardus Lessius) </w:t>
      </w:r>
      <w:r w:rsidR="003C0FD9" w:rsidRPr="003C0FD9">
        <w:rPr>
          <w:rFonts w:ascii="Times New Roman" w:hAnsi="Times New Roman" w:cs="Times New Roman"/>
          <w:sz w:val="24"/>
          <w:szCs w:val="24"/>
        </w:rPr>
        <w:t xml:space="preserve">translated it into Latin and published it alongside his own work, the </w:t>
      </w:r>
      <w:r w:rsidR="003C0FD9" w:rsidRPr="003C0FD9">
        <w:rPr>
          <w:rFonts w:ascii="Times New Roman" w:hAnsi="Times New Roman" w:cs="Times New Roman"/>
          <w:i/>
          <w:sz w:val="24"/>
          <w:szCs w:val="24"/>
        </w:rPr>
        <w:t>Hygiasticon</w:t>
      </w:r>
      <w:r w:rsidR="003C0FD9" w:rsidRPr="003C0FD9">
        <w:rPr>
          <w:rFonts w:ascii="Times New Roman" w:hAnsi="Times New Roman" w:cs="Times New Roman"/>
          <w:sz w:val="24"/>
          <w:szCs w:val="24"/>
        </w:rPr>
        <w:t xml:space="preserve">, in 1613. </w:t>
      </w:r>
    </w:p>
    <w:p w:rsidR="00514691" w:rsidRDefault="00F72EEA" w:rsidP="00EE3FA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Guides to health, diet and long life constituted a popular literary genre (then as now). Over the next two centuries, </w:t>
      </w:r>
      <w:r w:rsidR="003C0FD9" w:rsidRPr="003C0FD9">
        <w:rPr>
          <w:rFonts w:ascii="Times New Roman" w:hAnsi="Times New Roman" w:cs="Times New Roman"/>
          <w:sz w:val="24"/>
          <w:szCs w:val="24"/>
        </w:rPr>
        <w:t xml:space="preserve">Cornaro’s diet and his own longevity were frequently mentioned in European </w:t>
      </w:r>
      <w:r w:rsidR="006F31C9">
        <w:rPr>
          <w:rFonts w:ascii="Times New Roman" w:hAnsi="Times New Roman" w:cs="Times New Roman"/>
          <w:sz w:val="24"/>
          <w:szCs w:val="24"/>
        </w:rPr>
        <w:t>books of regimen and health manuals when their medical authors</w:t>
      </w:r>
      <w:r w:rsidR="003C0FD9" w:rsidRPr="003C0FD9">
        <w:rPr>
          <w:rFonts w:ascii="Times New Roman" w:hAnsi="Times New Roman" w:cs="Times New Roman"/>
          <w:sz w:val="24"/>
          <w:szCs w:val="24"/>
        </w:rPr>
        <w:t xml:space="preserve"> wanted to impress upon their readers the virtues of moderation, temperance and simplicity. However, it was rarely more than a mention—not surprising, given Cornaro’s claims that his recommendations would do away with the need for physicians and an individually-tailored regimen. In its place, Cornaro advised sobriety in food and drink, a message that (he argued) was applicable to all, regardless of </w:t>
      </w:r>
      <w:r w:rsidR="00217EBE">
        <w:rPr>
          <w:rFonts w:ascii="Times New Roman" w:hAnsi="Times New Roman" w:cs="Times New Roman"/>
          <w:sz w:val="24"/>
          <w:szCs w:val="24"/>
        </w:rPr>
        <w:t xml:space="preserve">one’s state of health </w:t>
      </w:r>
      <w:r w:rsidR="003C0FD9" w:rsidRPr="003C0FD9">
        <w:rPr>
          <w:rFonts w:ascii="Times New Roman" w:hAnsi="Times New Roman" w:cs="Times New Roman"/>
          <w:sz w:val="24"/>
          <w:szCs w:val="24"/>
        </w:rPr>
        <w:t>or class.</w:t>
      </w:r>
    </w:p>
    <w:p w:rsidR="00514691" w:rsidRDefault="000F21F7" w:rsidP="00EE3FA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simple message helps explain its success. </w:t>
      </w:r>
      <w:r w:rsidR="00514691" w:rsidRPr="00C035C5">
        <w:rPr>
          <w:rFonts w:ascii="Times New Roman" w:hAnsi="Times New Roman" w:cs="Times New Roman"/>
          <w:sz w:val="24"/>
          <w:szCs w:val="24"/>
        </w:rPr>
        <w:t xml:space="preserve">In English alone, </w:t>
      </w:r>
      <w:r w:rsidR="00BA2258" w:rsidRPr="00BA2258">
        <w:rPr>
          <w:rFonts w:ascii="Times New Roman" w:hAnsi="Times New Roman" w:cs="Times New Roman"/>
          <w:i/>
          <w:sz w:val="24"/>
          <w:szCs w:val="24"/>
        </w:rPr>
        <w:t>On the Sober Life</w:t>
      </w:r>
      <w:r w:rsidR="00514691" w:rsidRPr="00C035C5">
        <w:rPr>
          <w:rFonts w:ascii="Times New Roman" w:hAnsi="Times New Roman" w:cs="Times New Roman"/>
          <w:sz w:val="24"/>
          <w:szCs w:val="24"/>
        </w:rPr>
        <w:t xml:space="preserve"> went through twenty-five editions between 1634 and 1777 and a further thirty over the next fifty-five years—not to mention a ‘ten cent pocket series’ edition published in </w:t>
      </w:r>
      <w:r w:rsidR="006F31C9">
        <w:rPr>
          <w:rFonts w:ascii="Times New Roman" w:hAnsi="Times New Roman" w:cs="Times New Roman"/>
          <w:sz w:val="24"/>
          <w:szCs w:val="24"/>
        </w:rPr>
        <w:t>Girard, Kansas in 1918</w:t>
      </w:r>
      <w:r w:rsidR="00514691">
        <w:rPr>
          <w:rFonts w:ascii="Times New Roman" w:hAnsi="Times New Roman" w:cs="Times New Roman"/>
          <w:sz w:val="24"/>
          <w:szCs w:val="24"/>
        </w:rPr>
        <w:t xml:space="preserve"> (pp. </w:t>
      </w:r>
      <w:r w:rsidR="00514691" w:rsidRPr="000E228F">
        <w:rPr>
          <w:rFonts w:ascii="Times New Roman" w:hAnsi="Times New Roman" w:cs="Times New Roman"/>
          <w:sz w:val="24"/>
          <w:szCs w:val="24"/>
        </w:rPr>
        <w:t>xxii, 199, 207</w:t>
      </w:r>
      <w:r w:rsidR="00514691">
        <w:rPr>
          <w:rFonts w:ascii="Times New Roman" w:hAnsi="Times New Roman" w:cs="Times New Roman"/>
          <w:sz w:val="24"/>
          <w:szCs w:val="24"/>
        </w:rPr>
        <w:t>).</w:t>
      </w:r>
      <w:r w:rsidR="006F31C9">
        <w:rPr>
          <w:rFonts w:ascii="Times New Roman" w:hAnsi="Times New Roman" w:cs="Times New Roman"/>
          <w:sz w:val="24"/>
          <w:szCs w:val="24"/>
        </w:rPr>
        <w:t xml:space="preserve"> </w:t>
      </w:r>
      <w:r>
        <w:rPr>
          <w:rFonts w:ascii="Times New Roman" w:hAnsi="Times New Roman" w:cs="Times New Roman"/>
          <w:sz w:val="24"/>
          <w:szCs w:val="24"/>
        </w:rPr>
        <w:t xml:space="preserve">Its publishers always intended it for a broad readership. </w:t>
      </w:r>
      <w:r w:rsidR="00F72EEA">
        <w:rPr>
          <w:rFonts w:ascii="Times New Roman" w:hAnsi="Times New Roman" w:cs="Times New Roman"/>
          <w:sz w:val="24"/>
          <w:szCs w:val="24"/>
        </w:rPr>
        <w:t>When we consider</w:t>
      </w:r>
      <w:r w:rsidR="006F31C9">
        <w:rPr>
          <w:rFonts w:ascii="Times New Roman" w:hAnsi="Times New Roman" w:cs="Times New Roman"/>
          <w:sz w:val="24"/>
          <w:szCs w:val="24"/>
        </w:rPr>
        <w:t xml:space="preserve"> the many languages into which it was translated throughout its long history, the book has probably never been out of print since 1558.</w:t>
      </w:r>
      <w:r>
        <w:rPr>
          <w:rFonts w:ascii="Times New Roman" w:hAnsi="Times New Roman" w:cs="Times New Roman"/>
          <w:sz w:val="24"/>
          <w:szCs w:val="24"/>
        </w:rPr>
        <w:t xml:space="preserve"> And today</w:t>
      </w:r>
      <w:r w:rsidR="00BA2258">
        <w:rPr>
          <w:rFonts w:ascii="Times New Roman" w:hAnsi="Times New Roman" w:cs="Times New Roman"/>
          <w:sz w:val="24"/>
          <w:szCs w:val="24"/>
        </w:rPr>
        <w:t xml:space="preserve"> it is freely available on the internet, reaching more readers than ever before. Given this, do we need another English edition? Hiroko Fudemoto’s translation </w:t>
      </w:r>
      <w:r w:rsidR="00217EBE">
        <w:rPr>
          <w:rFonts w:ascii="Times New Roman" w:hAnsi="Times New Roman" w:cs="Times New Roman"/>
          <w:sz w:val="24"/>
          <w:szCs w:val="24"/>
        </w:rPr>
        <w:t>suggests</w:t>
      </w:r>
      <w:r w:rsidR="00BA2258">
        <w:rPr>
          <w:rFonts w:ascii="Times New Roman" w:hAnsi="Times New Roman" w:cs="Times New Roman"/>
          <w:sz w:val="24"/>
          <w:szCs w:val="24"/>
        </w:rPr>
        <w:t xml:space="preserve"> that we do. </w:t>
      </w:r>
      <w:r w:rsidR="00B009FF">
        <w:rPr>
          <w:rFonts w:ascii="Times New Roman" w:hAnsi="Times New Roman" w:cs="Times New Roman"/>
          <w:sz w:val="24"/>
          <w:szCs w:val="24"/>
        </w:rPr>
        <w:t>There might be</w:t>
      </w:r>
      <w:r w:rsidR="00DF1182">
        <w:rPr>
          <w:rFonts w:ascii="Times New Roman" w:hAnsi="Times New Roman" w:cs="Times New Roman"/>
          <w:sz w:val="24"/>
          <w:szCs w:val="24"/>
        </w:rPr>
        <w:t xml:space="preserve"> a certain delight in reading the old English translations, </w:t>
      </w:r>
      <w:r w:rsidR="003D6DAC">
        <w:rPr>
          <w:rFonts w:ascii="Times New Roman" w:hAnsi="Times New Roman" w:cs="Times New Roman"/>
          <w:sz w:val="24"/>
          <w:szCs w:val="24"/>
        </w:rPr>
        <w:t>replete with</w:t>
      </w:r>
      <w:r w:rsidR="00DF1182">
        <w:rPr>
          <w:rFonts w:ascii="Times New Roman" w:hAnsi="Times New Roman" w:cs="Times New Roman"/>
          <w:sz w:val="24"/>
          <w:szCs w:val="24"/>
        </w:rPr>
        <w:t xml:space="preserve"> references to </w:t>
      </w:r>
      <w:r w:rsidR="000A69B1">
        <w:rPr>
          <w:rFonts w:ascii="Times New Roman" w:hAnsi="Times New Roman" w:cs="Times New Roman"/>
          <w:sz w:val="24"/>
          <w:szCs w:val="24"/>
        </w:rPr>
        <w:t>‘intemperance’</w:t>
      </w:r>
      <w:r w:rsidR="003D6DAC">
        <w:rPr>
          <w:rFonts w:ascii="Times New Roman" w:hAnsi="Times New Roman" w:cs="Times New Roman"/>
          <w:sz w:val="24"/>
          <w:szCs w:val="24"/>
        </w:rPr>
        <w:t xml:space="preserve">, </w:t>
      </w:r>
      <w:r w:rsidR="000A69B1">
        <w:rPr>
          <w:rFonts w:ascii="Times New Roman" w:hAnsi="Times New Roman" w:cs="Times New Roman"/>
          <w:sz w:val="24"/>
          <w:szCs w:val="24"/>
        </w:rPr>
        <w:t>‘gluttony’</w:t>
      </w:r>
      <w:r w:rsidR="003D6DAC">
        <w:rPr>
          <w:rFonts w:ascii="Times New Roman" w:hAnsi="Times New Roman" w:cs="Times New Roman"/>
          <w:sz w:val="24"/>
          <w:szCs w:val="24"/>
        </w:rPr>
        <w:t xml:space="preserve"> and ‘perturbations of the mind’</w:t>
      </w:r>
      <w:r w:rsidR="000A69B1">
        <w:rPr>
          <w:rFonts w:ascii="Times New Roman" w:hAnsi="Times New Roman" w:cs="Times New Roman"/>
          <w:sz w:val="24"/>
          <w:szCs w:val="24"/>
        </w:rPr>
        <w:t>; but these</w:t>
      </w:r>
      <w:r w:rsidR="00DF1182">
        <w:rPr>
          <w:rFonts w:ascii="Times New Roman" w:hAnsi="Times New Roman" w:cs="Times New Roman"/>
          <w:sz w:val="24"/>
          <w:szCs w:val="24"/>
        </w:rPr>
        <w:t xml:space="preserve"> were mostly based on a single translation</w:t>
      </w:r>
      <w:r w:rsidR="00B009FF">
        <w:rPr>
          <w:rFonts w:ascii="Times New Roman" w:hAnsi="Times New Roman" w:cs="Times New Roman"/>
          <w:sz w:val="24"/>
          <w:szCs w:val="24"/>
        </w:rPr>
        <w:t>, copied over and over</w:t>
      </w:r>
      <w:r w:rsidR="00DF1182">
        <w:rPr>
          <w:rFonts w:ascii="Times New Roman" w:hAnsi="Times New Roman" w:cs="Times New Roman"/>
          <w:sz w:val="24"/>
          <w:szCs w:val="24"/>
        </w:rPr>
        <w:t xml:space="preserve">—and this from a French rather than Italian </w:t>
      </w:r>
      <w:r w:rsidR="00B009FF">
        <w:rPr>
          <w:rFonts w:ascii="Times New Roman" w:hAnsi="Times New Roman" w:cs="Times New Roman"/>
          <w:sz w:val="24"/>
          <w:szCs w:val="24"/>
        </w:rPr>
        <w:t>original</w:t>
      </w:r>
      <w:r w:rsidR="000A69B1">
        <w:rPr>
          <w:rFonts w:ascii="Times New Roman" w:hAnsi="Times New Roman" w:cs="Times New Roman"/>
          <w:sz w:val="24"/>
          <w:szCs w:val="24"/>
        </w:rPr>
        <w:t>.</w:t>
      </w:r>
      <w:r w:rsidR="003D6DAC">
        <w:rPr>
          <w:rFonts w:ascii="Times New Roman" w:hAnsi="Times New Roman" w:cs="Times New Roman"/>
          <w:sz w:val="24"/>
          <w:szCs w:val="24"/>
        </w:rPr>
        <w:t xml:space="preserve"> </w:t>
      </w:r>
    </w:p>
    <w:p w:rsidR="003D6DAC" w:rsidRPr="00EE3FA0" w:rsidRDefault="003D6DAC" w:rsidP="00EE3FA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University of Toronto Press translation is based on a Italian </w:t>
      </w:r>
      <w:r w:rsidR="00DC33D7">
        <w:rPr>
          <w:rFonts w:ascii="Times New Roman" w:hAnsi="Times New Roman" w:cs="Times New Roman"/>
          <w:sz w:val="24"/>
          <w:szCs w:val="24"/>
        </w:rPr>
        <w:t xml:space="preserve">critical </w:t>
      </w:r>
      <w:r>
        <w:rPr>
          <w:rFonts w:ascii="Times New Roman" w:hAnsi="Times New Roman" w:cs="Times New Roman"/>
          <w:sz w:val="24"/>
          <w:szCs w:val="24"/>
        </w:rPr>
        <w:t xml:space="preserve">edition edited by the literary historian Marisa Milani </w:t>
      </w:r>
      <w:r w:rsidR="003510F3">
        <w:rPr>
          <w:rFonts w:ascii="Times New Roman" w:hAnsi="Times New Roman" w:cs="Times New Roman"/>
          <w:sz w:val="24"/>
          <w:szCs w:val="24"/>
        </w:rPr>
        <w:t xml:space="preserve">in the 1980s </w:t>
      </w:r>
      <w:r>
        <w:rPr>
          <w:rFonts w:ascii="Times New Roman" w:hAnsi="Times New Roman" w:cs="Times New Roman"/>
          <w:sz w:val="24"/>
          <w:szCs w:val="24"/>
        </w:rPr>
        <w:t>and includes a lengthy essay of hers on the fortunes of Cornaro’s book in the Anglo-Saxon world, in particular during the seventeenth and eighteenth centuries.</w:t>
      </w:r>
      <w:r w:rsidR="00DC33D7">
        <w:rPr>
          <w:rStyle w:val="EndnoteReference"/>
          <w:rFonts w:ascii="Times New Roman" w:hAnsi="Times New Roman" w:cs="Times New Roman"/>
          <w:sz w:val="24"/>
          <w:szCs w:val="24"/>
        </w:rPr>
        <w:endnoteReference w:id="3"/>
      </w:r>
      <w:r w:rsidR="00B009FF">
        <w:rPr>
          <w:rFonts w:ascii="Times New Roman" w:hAnsi="Times New Roman" w:cs="Times New Roman"/>
          <w:sz w:val="24"/>
          <w:szCs w:val="24"/>
        </w:rPr>
        <w:t xml:space="preserve"> </w:t>
      </w:r>
      <w:r w:rsidR="00183A07">
        <w:rPr>
          <w:rFonts w:ascii="Times New Roman" w:hAnsi="Times New Roman" w:cs="Times New Roman"/>
          <w:sz w:val="24"/>
          <w:szCs w:val="24"/>
        </w:rPr>
        <w:t xml:space="preserve">It makes this definitive edition, Milani’s extensive notes and commentary, as well as sources from Cornaro’s own time, such as letters, available to English readers. </w:t>
      </w:r>
      <w:r w:rsidR="00C52AD2">
        <w:rPr>
          <w:rFonts w:ascii="Times New Roman" w:hAnsi="Times New Roman" w:cs="Times New Roman"/>
          <w:sz w:val="24"/>
          <w:szCs w:val="24"/>
        </w:rPr>
        <w:t>There is also a handy glossary of terms at the end</w:t>
      </w:r>
      <w:r w:rsidR="00D76C0A">
        <w:rPr>
          <w:rFonts w:ascii="Times New Roman" w:hAnsi="Times New Roman" w:cs="Times New Roman"/>
          <w:sz w:val="24"/>
          <w:szCs w:val="24"/>
        </w:rPr>
        <w:t xml:space="preserve">, for those not up to </w:t>
      </w:r>
      <w:r w:rsidR="00D76C0A">
        <w:rPr>
          <w:rFonts w:ascii="Times New Roman" w:hAnsi="Times New Roman" w:cs="Times New Roman"/>
          <w:sz w:val="24"/>
          <w:szCs w:val="24"/>
        </w:rPr>
        <w:lastRenderedPageBreak/>
        <w:t xml:space="preserve">scratch on their early modern medical terms. </w:t>
      </w:r>
      <w:r w:rsidR="00183A07">
        <w:rPr>
          <w:rFonts w:ascii="Times New Roman" w:hAnsi="Times New Roman" w:cs="Times New Roman"/>
          <w:sz w:val="24"/>
          <w:szCs w:val="24"/>
        </w:rPr>
        <w:t xml:space="preserve">Fudemoto’s translation of the </w:t>
      </w:r>
      <w:r w:rsidR="006D34C4">
        <w:rPr>
          <w:rFonts w:ascii="Times New Roman" w:hAnsi="Times New Roman" w:cs="Times New Roman"/>
          <w:sz w:val="24"/>
          <w:szCs w:val="24"/>
        </w:rPr>
        <w:t>Milani edition</w:t>
      </w:r>
      <w:r w:rsidR="00183A07">
        <w:rPr>
          <w:rFonts w:ascii="Times New Roman" w:hAnsi="Times New Roman" w:cs="Times New Roman"/>
          <w:sz w:val="24"/>
          <w:szCs w:val="24"/>
        </w:rPr>
        <w:t xml:space="preserve"> is </w:t>
      </w:r>
      <w:r w:rsidR="006D34C4">
        <w:rPr>
          <w:rFonts w:ascii="Times New Roman" w:hAnsi="Times New Roman" w:cs="Times New Roman"/>
          <w:sz w:val="24"/>
          <w:szCs w:val="24"/>
        </w:rPr>
        <w:t xml:space="preserve">(almost) </w:t>
      </w:r>
      <w:r w:rsidR="00183A07">
        <w:rPr>
          <w:rFonts w:ascii="Times New Roman" w:hAnsi="Times New Roman" w:cs="Times New Roman"/>
          <w:sz w:val="24"/>
          <w:szCs w:val="24"/>
        </w:rPr>
        <w:t xml:space="preserve">always accurate and non intrusive. </w:t>
      </w:r>
      <w:r w:rsidR="00C52AD2">
        <w:rPr>
          <w:rFonts w:ascii="Times New Roman" w:hAnsi="Times New Roman" w:cs="Times New Roman"/>
          <w:sz w:val="24"/>
          <w:szCs w:val="24"/>
        </w:rPr>
        <w:t xml:space="preserve">And yet, as welcome as all of this supplementary material is, it all but swamps Cornaro’s simple book: ‘A treatise on the sober life’ occupies only 25 of the book’s 222 pages of text (or just over ten percent). That said, </w:t>
      </w:r>
      <w:r w:rsidR="00B009FF">
        <w:rPr>
          <w:rFonts w:ascii="Times New Roman" w:hAnsi="Times New Roman" w:cs="Times New Roman"/>
          <w:sz w:val="24"/>
          <w:szCs w:val="24"/>
        </w:rPr>
        <w:t xml:space="preserve">Fudemoto has </w:t>
      </w:r>
      <w:r w:rsidR="006D34C4">
        <w:rPr>
          <w:rFonts w:ascii="Times New Roman" w:hAnsi="Times New Roman" w:cs="Times New Roman"/>
          <w:sz w:val="24"/>
          <w:szCs w:val="24"/>
        </w:rPr>
        <w:t>sought to keep</w:t>
      </w:r>
      <w:r w:rsidR="00B009FF">
        <w:rPr>
          <w:rFonts w:ascii="Times New Roman" w:hAnsi="Times New Roman" w:cs="Times New Roman"/>
          <w:sz w:val="24"/>
          <w:szCs w:val="24"/>
        </w:rPr>
        <w:t xml:space="preserve"> a fine balance between rendering </w:t>
      </w:r>
      <w:r w:rsidR="00C52AD2">
        <w:rPr>
          <w:rFonts w:ascii="Times New Roman" w:hAnsi="Times New Roman" w:cs="Times New Roman"/>
          <w:sz w:val="24"/>
          <w:szCs w:val="24"/>
        </w:rPr>
        <w:t>Cornaro’s</w:t>
      </w:r>
      <w:r w:rsidR="00B009FF">
        <w:rPr>
          <w:rFonts w:ascii="Times New Roman" w:hAnsi="Times New Roman" w:cs="Times New Roman"/>
          <w:sz w:val="24"/>
          <w:szCs w:val="24"/>
        </w:rPr>
        <w:t xml:space="preserve"> Italian into fluent modern English, whilst keeping the flavour</w:t>
      </w:r>
      <w:r w:rsidR="00183A07">
        <w:rPr>
          <w:rFonts w:ascii="Times New Roman" w:hAnsi="Times New Roman" w:cs="Times New Roman"/>
          <w:sz w:val="24"/>
          <w:szCs w:val="24"/>
        </w:rPr>
        <w:t xml:space="preserve"> of the Italian original. </w:t>
      </w:r>
    </w:p>
    <w:p w:rsidR="00EE3FA0" w:rsidRPr="00EE3FA0" w:rsidRDefault="00EE3FA0" w:rsidP="00EE3FA0">
      <w:pPr>
        <w:spacing w:after="0" w:line="480" w:lineRule="auto"/>
        <w:ind w:firstLine="720"/>
        <w:rPr>
          <w:rFonts w:ascii="Times New Roman" w:hAnsi="Times New Roman" w:cs="Times New Roman"/>
          <w:sz w:val="24"/>
          <w:szCs w:val="24"/>
        </w:rPr>
      </w:pPr>
    </w:p>
    <w:p w:rsidR="00EE3FA0" w:rsidRPr="00EE3FA0" w:rsidRDefault="00EE3FA0" w:rsidP="00EE3FA0">
      <w:pPr>
        <w:spacing w:after="0" w:line="480" w:lineRule="auto"/>
        <w:ind w:firstLine="720"/>
        <w:rPr>
          <w:rFonts w:ascii="Times New Roman" w:hAnsi="Times New Roman" w:cs="Times New Roman"/>
          <w:sz w:val="24"/>
          <w:szCs w:val="24"/>
        </w:rPr>
      </w:pPr>
      <w:r w:rsidRPr="00EE3FA0">
        <w:rPr>
          <w:rFonts w:ascii="Times New Roman" w:hAnsi="Times New Roman" w:cs="Times New Roman"/>
          <w:sz w:val="24"/>
          <w:szCs w:val="24"/>
        </w:rPr>
        <w:t>David Gentilcore</w:t>
      </w:r>
    </w:p>
    <w:p w:rsidR="00EE3FA0" w:rsidRPr="00EE3FA0" w:rsidRDefault="00EE3FA0" w:rsidP="00EE3FA0">
      <w:pPr>
        <w:spacing w:after="0" w:line="480" w:lineRule="auto"/>
        <w:ind w:firstLine="720"/>
        <w:rPr>
          <w:rFonts w:ascii="Times New Roman" w:hAnsi="Times New Roman" w:cs="Times New Roman"/>
          <w:sz w:val="24"/>
          <w:szCs w:val="24"/>
        </w:rPr>
      </w:pPr>
      <w:r w:rsidRPr="00EE3FA0">
        <w:rPr>
          <w:rFonts w:ascii="Times New Roman" w:hAnsi="Times New Roman" w:cs="Times New Roman"/>
          <w:sz w:val="24"/>
          <w:szCs w:val="24"/>
        </w:rPr>
        <w:t>School of History and Centre for Medical Humanities</w:t>
      </w:r>
    </w:p>
    <w:p w:rsidR="00EE3FA0" w:rsidRPr="00EE3FA0" w:rsidRDefault="00EE3FA0" w:rsidP="00EE3FA0">
      <w:pPr>
        <w:spacing w:after="0" w:line="480" w:lineRule="auto"/>
        <w:ind w:firstLine="720"/>
        <w:rPr>
          <w:rFonts w:ascii="Times New Roman" w:hAnsi="Times New Roman" w:cs="Times New Roman"/>
          <w:sz w:val="24"/>
          <w:szCs w:val="24"/>
        </w:rPr>
      </w:pPr>
      <w:r w:rsidRPr="00EE3FA0">
        <w:rPr>
          <w:rFonts w:ascii="Times New Roman" w:hAnsi="Times New Roman" w:cs="Times New Roman"/>
          <w:sz w:val="24"/>
          <w:szCs w:val="24"/>
        </w:rPr>
        <w:t>University of Leicester</w:t>
      </w:r>
    </w:p>
    <w:p w:rsidR="00217EBE" w:rsidRDefault="002B30D3" w:rsidP="00EE3FA0">
      <w:pPr>
        <w:spacing w:after="0" w:line="480" w:lineRule="auto"/>
        <w:ind w:firstLine="720"/>
        <w:rPr>
          <w:rFonts w:ascii="Times New Roman" w:hAnsi="Times New Roman" w:cs="Times New Roman"/>
          <w:sz w:val="24"/>
          <w:szCs w:val="24"/>
        </w:rPr>
      </w:pPr>
      <w:hyperlink r:id="rId7" w:history="1">
        <w:r w:rsidR="00B009FF" w:rsidRPr="00191B13">
          <w:rPr>
            <w:rStyle w:val="Hyperlink"/>
            <w:rFonts w:ascii="Times New Roman" w:hAnsi="Times New Roman" w:cs="Times New Roman"/>
            <w:sz w:val="24"/>
            <w:szCs w:val="24"/>
          </w:rPr>
          <w:t>dcg2@le.ac.uk</w:t>
        </w:r>
      </w:hyperlink>
    </w:p>
    <w:p w:rsidR="00217EBE" w:rsidRDefault="00217EBE" w:rsidP="00EE3FA0">
      <w:pPr>
        <w:spacing w:after="0" w:line="480" w:lineRule="auto"/>
        <w:ind w:firstLine="720"/>
        <w:rPr>
          <w:rFonts w:ascii="Times New Roman" w:hAnsi="Times New Roman" w:cs="Times New Roman"/>
          <w:sz w:val="24"/>
          <w:szCs w:val="24"/>
        </w:rPr>
      </w:pPr>
    </w:p>
    <w:p w:rsidR="00EE3FA0" w:rsidRPr="00EE3FA0" w:rsidRDefault="00EE3FA0" w:rsidP="00EE3FA0">
      <w:pPr>
        <w:spacing w:after="0" w:line="480" w:lineRule="auto"/>
        <w:ind w:firstLine="720"/>
        <w:rPr>
          <w:rFonts w:ascii="Times New Roman" w:hAnsi="Times New Roman" w:cs="Times New Roman"/>
          <w:sz w:val="24"/>
          <w:szCs w:val="24"/>
        </w:rPr>
      </w:pPr>
      <w:r w:rsidRPr="00EE3FA0">
        <w:rPr>
          <w:rFonts w:ascii="Times New Roman" w:hAnsi="Times New Roman" w:cs="Times New Roman"/>
          <w:sz w:val="24"/>
          <w:szCs w:val="24"/>
        </w:rPr>
        <w:t xml:space="preserve"> </w:t>
      </w:r>
    </w:p>
    <w:sectPr w:rsidR="00EE3FA0" w:rsidRPr="00EE3FA0" w:rsidSect="00F4233B">
      <w:endnotePr>
        <w:numFmt w:val="decimal"/>
      </w:endnotePr>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59FE" w:rsidRDefault="00F559FE" w:rsidP="003C0FD9">
      <w:pPr>
        <w:spacing w:after="0" w:line="240" w:lineRule="auto"/>
      </w:pPr>
      <w:r>
        <w:separator/>
      </w:r>
    </w:p>
  </w:endnote>
  <w:endnote w:type="continuationSeparator" w:id="0">
    <w:p w:rsidR="00F559FE" w:rsidRDefault="00F559FE" w:rsidP="003C0FD9">
      <w:pPr>
        <w:spacing w:after="0" w:line="240" w:lineRule="auto"/>
      </w:pPr>
      <w:r>
        <w:continuationSeparator/>
      </w:r>
    </w:p>
  </w:endnote>
  <w:endnote w:id="1">
    <w:p w:rsidR="003C0FD9" w:rsidRPr="00B009FF" w:rsidRDefault="003C0FD9" w:rsidP="003C0FD9">
      <w:pPr>
        <w:pStyle w:val="EndnoteText"/>
        <w:spacing w:line="480" w:lineRule="auto"/>
        <w:rPr>
          <w:sz w:val="24"/>
          <w:szCs w:val="24"/>
          <w:lang w:val="it-IT"/>
        </w:rPr>
      </w:pPr>
      <w:r w:rsidRPr="00E7467F">
        <w:rPr>
          <w:rStyle w:val="EndnoteReference"/>
          <w:sz w:val="24"/>
          <w:szCs w:val="24"/>
        </w:rPr>
        <w:endnoteRef/>
      </w:r>
      <w:r w:rsidRPr="003C0FD9">
        <w:rPr>
          <w:sz w:val="24"/>
          <w:szCs w:val="24"/>
          <w:lang w:val="it-IT"/>
        </w:rPr>
        <w:t xml:space="preserve"> </w:t>
      </w:r>
      <w:r w:rsidR="00B009FF">
        <w:rPr>
          <w:sz w:val="24"/>
          <w:szCs w:val="24"/>
          <w:lang w:val="it-IT"/>
        </w:rPr>
        <w:t>G. Gullino</w:t>
      </w:r>
      <w:r w:rsidRPr="003C0FD9">
        <w:rPr>
          <w:sz w:val="24"/>
          <w:szCs w:val="24"/>
          <w:lang w:val="it-IT"/>
        </w:rPr>
        <w:t xml:space="preserve">, ‘Corner, Alvise’, in </w:t>
      </w:r>
      <w:r w:rsidRPr="003C0FD9">
        <w:rPr>
          <w:i/>
          <w:sz w:val="24"/>
          <w:szCs w:val="24"/>
          <w:lang w:val="it-IT"/>
        </w:rPr>
        <w:t>Dizionario biografico degli Italiani</w:t>
      </w:r>
      <w:r w:rsidRPr="003C0FD9">
        <w:rPr>
          <w:sz w:val="24"/>
          <w:szCs w:val="24"/>
          <w:lang w:val="it-IT"/>
        </w:rPr>
        <w:t xml:space="preserve">. </w:t>
      </w:r>
      <w:r w:rsidRPr="00B009FF">
        <w:rPr>
          <w:sz w:val="24"/>
          <w:szCs w:val="24"/>
          <w:lang w:val="it-IT"/>
        </w:rPr>
        <w:t>Rome: Treccani, vol. 29</w:t>
      </w:r>
      <w:r w:rsidR="00B009FF">
        <w:rPr>
          <w:sz w:val="24"/>
          <w:szCs w:val="24"/>
          <w:lang w:val="it-IT"/>
        </w:rPr>
        <w:t xml:space="preserve"> (1983)</w:t>
      </w:r>
      <w:r w:rsidRPr="00B009FF">
        <w:rPr>
          <w:sz w:val="24"/>
          <w:szCs w:val="24"/>
          <w:lang w:val="it-IT"/>
        </w:rPr>
        <w:t xml:space="preserve">, online at: </w:t>
      </w:r>
      <w:hyperlink r:id="rId1" w:history="1">
        <w:r w:rsidRPr="00B009FF">
          <w:rPr>
            <w:rStyle w:val="Hyperlink"/>
            <w:sz w:val="24"/>
            <w:szCs w:val="24"/>
            <w:lang w:val="it-IT"/>
          </w:rPr>
          <w:t>http://www.treccani.it/enciclopedia/alvise-corner_(Dizionario-Biografico)/</w:t>
        </w:r>
      </w:hyperlink>
      <w:r w:rsidRPr="00B009FF">
        <w:rPr>
          <w:sz w:val="24"/>
          <w:szCs w:val="24"/>
          <w:lang w:val="it-IT"/>
        </w:rPr>
        <w:t>.</w:t>
      </w:r>
    </w:p>
  </w:endnote>
  <w:endnote w:id="2">
    <w:p w:rsidR="003C0FD9" w:rsidRPr="00E7467F" w:rsidRDefault="003C0FD9" w:rsidP="003C0FD9">
      <w:pPr>
        <w:pStyle w:val="EndnoteText"/>
        <w:spacing w:line="480" w:lineRule="auto"/>
        <w:rPr>
          <w:sz w:val="24"/>
          <w:szCs w:val="24"/>
          <w:lang w:val="it-IT"/>
        </w:rPr>
      </w:pPr>
      <w:r w:rsidRPr="00E7467F">
        <w:rPr>
          <w:rStyle w:val="EndnoteReference"/>
          <w:sz w:val="24"/>
          <w:szCs w:val="24"/>
        </w:rPr>
        <w:endnoteRef/>
      </w:r>
      <w:r w:rsidRPr="00B009FF">
        <w:rPr>
          <w:sz w:val="24"/>
          <w:szCs w:val="24"/>
          <w:lang w:val="it-IT"/>
        </w:rPr>
        <w:t xml:space="preserve"> </w:t>
      </w:r>
      <w:r w:rsidR="00B009FF" w:rsidRPr="00B009FF">
        <w:rPr>
          <w:sz w:val="24"/>
          <w:szCs w:val="24"/>
          <w:lang w:val="it-IT"/>
        </w:rPr>
        <w:t xml:space="preserve">Girolamo </w:t>
      </w:r>
      <w:r w:rsidRPr="00B009FF">
        <w:rPr>
          <w:sz w:val="24"/>
          <w:szCs w:val="24"/>
          <w:lang w:val="it-IT"/>
        </w:rPr>
        <w:t>Card</w:t>
      </w:r>
      <w:r w:rsidR="00B009FF">
        <w:rPr>
          <w:sz w:val="24"/>
          <w:szCs w:val="24"/>
          <w:lang w:val="it-IT"/>
        </w:rPr>
        <w:t>ano</w:t>
      </w:r>
      <w:r w:rsidRPr="00B009FF">
        <w:rPr>
          <w:sz w:val="24"/>
          <w:szCs w:val="24"/>
          <w:lang w:val="it-IT"/>
        </w:rPr>
        <w:t xml:space="preserve">, </w:t>
      </w:r>
      <w:r w:rsidRPr="00B009FF">
        <w:rPr>
          <w:i/>
          <w:sz w:val="24"/>
          <w:szCs w:val="24"/>
          <w:lang w:val="it-IT"/>
        </w:rPr>
        <w:t>Opus novum cunctis de sanitate tuenda</w:t>
      </w:r>
      <w:r w:rsidR="00B009FF">
        <w:rPr>
          <w:sz w:val="24"/>
          <w:szCs w:val="24"/>
          <w:lang w:val="it-IT"/>
        </w:rPr>
        <w:t xml:space="preserve"> (</w:t>
      </w:r>
      <w:r>
        <w:rPr>
          <w:sz w:val="24"/>
          <w:szCs w:val="24"/>
          <w:lang w:val="it-IT"/>
        </w:rPr>
        <w:t>Rome: Francesco Zanetti</w:t>
      </w:r>
      <w:r w:rsidR="00B009FF">
        <w:rPr>
          <w:sz w:val="24"/>
          <w:szCs w:val="24"/>
          <w:lang w:val="it-IT"/>
        </w:rPr>
        <w:t>: 1580)</w:t>
      </w:r>
      <w:r w:rsidRPr="00E7467F">
        <w:rPr>
          <w:sz w:val="24"/>
          <w:szCs w:val="24"/>
          <w:lang w:val="it-IT"/>
        </w:rPr>
        <w:t>, p. 8.</w:t>
      </w:r>
    </w:p>
  </w:endnote>
  <w:endnote w:id="3">
    <w:p w:rsidR="00DC33D7" w:rsidRPr="003510F3" w:rsidRDefault="00DC33D7" w:rsidP="003510F3">
      <w:pPr>
        <w:pStyle w:val="EndnoteText"/>
        <w:spacing w:line="480" w:lineRule="auto"/>
        <w:rPr>
          <w:sz w:val="24"/>
          <w:szCs w:val="24"/>
          <w:lang w:val="it-IT"/>
        </w:rPr>
      </w:pPr>
      <w:r w:rsidRPr="003510F3">
        <w:rPr>
          <w:rStyle w:val="EndnoteReference"/>
          <w:sz w:val="24"/>
          <w:szCs w:val="24"/>
        </w:rPr>
        <w:endnoteRef/>
      </w:r>
      <w:r w:rsidRPr="003510F3">
        <w:rPr>
          <w:sz w:val="24"/>
          <w:szCs w:val="24"/>
          <w:lang w:val="it-IT"/>
        </w:rPr>
        <w:t xml:space="preserve"> </w:t>
      </w:r>
      <w:r w:rsidRPr="003510F3">
        <w:rPr>
          <w:sz w:val="24"/>
          <w:szCs w:val="24"/>
          <w:lang w:val="it-IT"/>
        </w:rPr>
        <w:t xml:space="preserve">Alvise Cornaro, </w:t>
      </w:r>
      <w:r w:rsidRPr="003510F3">
        <w:rPr>
          <w:i/>
          <w:sz w:val="24"/>
          <w:szCs w:val="24"/>
          <w:lang w:val="it-IT"/>
        </w:rPr>
        <w:t xml:space="preserve">Scritti sulla </w:t>
      </w:r>
      <w:r w:rsidR="003510F3">
        <w:rPr>
          <w:i/>
          <w:sz w:val="24"/>
          <w:szCs w:val="24"/>
          <w:lang w:val="it-IT"/>
        </w:rPr>
        <w:t>vita sobria</w:t>
      </w:r>
      <w:r w:rsidRPr="003510F3">
        <w:rPr>
          <w:i/>
          <w:sz w:val="24"/>
          <w:szCs w:val="24"/>
          <w:lang w:val="it-IT"/>
        </w:rPr>
        <w:t>: elogio e lettere</w:t>
      </w:r>
      <w:r w:rsidRPr="003510F3">
        <w:rPr>
          <w:sz w:val="24"/>
          <w:szCs w:val="24"/>
          <w:lang w:val="it-IT"/>
        </w:rPr>
        <w:t>, ed. Marisa Milani (Venice: Corbo e Fiore, 1983); Marisa Milani, ‘Come raggiungere l’immortalità vivendo cent’anni, ovvero La fortuna della ‘Vita Sobria’ nel mondo anglosassone’</w:t>
      </w:r>
      <w:r w:rsidR="003510F3" w:rsidRPr="003510F3">
        <w:rPr>
          <w:sz w:val="24"/>
          <w:szCs w:val="24"/>
          <w:lang w:val="it-IT"/>
        </w:rPr>
        <w:t xml:space="preserve">, </w:t>
      </w:r>
      <w:r w:rsidR="003510F3" w:rsidRPr="003510F3">
        <w:rPr>
          <w:i/>
          <w:sz w:val="24"/>
          <w:szCs w:val="24"/>
          <w:lang w:val="it-IT"/>
        </w:rPr>
        <w:t>Cultura Neolatina</w:t>
      </w:r>
      <w:r w:rsidR="003510F3" w:rsidRPr="003510F3">
        <w:rPr>
          <w:sz w:val="24"/>
          <w:szCs w:val="24"/>
          <w:lang w:val="it-IT"/>
        </w:rPr>
        <w:t>, vol. 40 (1980), pp. 333-356.</w:t>
      </w:r>
    </w:p>
    <w:tbl>
      <w:tblPr>
        <w:tblW w:w="0" w:type="auto"/>
        <w:tblCellMar>
          <w:left w:w="0" w:type="dxa"/>
          <w:right w:w="0" w:type="dxa"/>
        </w:tblCellMar>
        <w:tblLook w:val="04A0"/>
      </w:tblPr>
      <w:tblGrid>
        <w:gridCol w:w="6"/>
      </w:tblGrid>
      <w:tr w:rsidR="00DC33D7" w:rsidRPr="005110EB" w:rsidTr="00DC33D7">
        <w:tc>
          <w:tcPr>
            <w:tcW w:w="0" w:type="auto"/>
            <w:vAlign w:val="center"/>
            <w:hideMark/>
          </w:tcPr>
          <w:p w:rsidR="00DC33D7" w:rsidRPr="00DC33D7" w:rsidRDefault="00DC33D7" w:rsidP="00DC33D7">
            <w:pPr>
              <w:pStyle w:val="EndnoteText"/>
              <w:rPr>
                <w:lang w:val="it-IT"/>
              </w:rPr>
            </w:pPr>
          </w:p>
        </w:tc>
      </w:tr>
    </w:tbl>
    <w:p w:rsidR="00DC33D7" w:rsidRPr="00DC33D7" w:rsidRDefault="00DC33D7">
      <w:pPr>
        <w:pStyle w:val="EndnoteText"/>
        <w:rPr>
          <w:lang w:val="it-IT"/>
        </w:rPr>
      </w:pP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59FE" w:rsidRDefault="00F559FE" w:rsidP="003C0FD9">
      <w:pPr>
        <w:spacing w:after="0" w:line="240" w:lineRule="auto"/>
      </w:pPr>
      <w:r>
        <w:separator/>
      </w:r>
    </w:p>
  </w:footnote>
  <w:footnote w:type="continuationSeparator" w:id="0">
    <w:p w:rsidR="00F559FE" w:rsidRDefault="00F559FE" w:rsidP="003C0FD9">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89"/>
  <w:doNotDisplayPageBoundaries/>
  <w:proofState w:spelling="clean"/>
  <w:defaultTabStop w:val="720"/>
  <w:characterSpacingControl w:val="doNotCompress"/>
  <w:footnotePr>
    <w:footnote w:id="-1"/>
    <w:footnote w:id="0"/>
  </w:footnotePr>
  <w:endnotePr>
    <w:numFmt w:val="decimal"/>
    <w:endnote w:id="-1"/>
    <w:endnote w:id="0"/>
  </w:endnotePr>
  <w:compat/>
  <w:rsids>
    <w:rsidRoot w:val="00EE3FA0"/>
    <w:rsid w:val="000A69B1"/>
    <w:rsid w:val="000F21F7"/>
    <w:rsid w:val="00107AF6"/>
    <w:rsid w:val="00183A07"/>
    <w:rsid w:val="00217EBE"/>
    <w:rsid w:val="002B30D3"/>
    <w:rsid w:val="003510F3"/>
    <w:rsid w:val="003C0FD9"/>
    <w:rsid w:val="003D6DAC"/>
    <w:rsid w:val="004A41D5"/>
    <w:rsid w:val="005110EB"/>
    <w:rsid w:val="00514691"/>
    <w:rsid w:val="006D34C4"/>
    <w:rsid w:val="006F31C9"/>
    <w:rsid w:val="008C0AFD"/>
    <w:rsid w:val="00A134AE"/>
    <w:rsid w:val="00B009FF"/>
    <w:rsid w:val="00BA2258"/>
    <w:rsid w:val="00BD555A"/>
    <w:rsid w:val="00C52AD2"/>
    <w:rsid w:val="00D05F76"/>
    <w:rsid w:val="00D76C0A"/>
    <w:rsid w:val="00DC33D7"/>
    <w:rsid w:val="00DF1182"/>
    <w:rsid w:val="00EE3FA0"/>
    <w:rsid w:val="00F4233B"/>
    <w:rsid w:val="00F559FE"/>
    <w:rsid w:val="00F72EEA"/>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233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E3FA0"/>
    <w:rPr>
      <w:color w:val="0000FF" w:themeColor="hyperlink"/>
      <w:u w:val="single"/>
    </w:rPr>
  </w:style>
  <w:style w:type="paragraph" w:styleId="EndnoteText">
    <w:name w:val="endnote text"/>
    <w:basedOn w:val="Normal"/>
    <w:link w:val="EndnoteTextChar"/>
    <w:rsid w:val="003C0FD9"/>
    <w:pPr>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rsid w:val="003C0FD9"/>
    <w:rPr>
      <w:rFonts w:ascii="Times New Roman" w:eastAsia="Times New Roman" w:hAnsi="Times New Roman" w:cs="Times New Roman"/>
      <w:sz w:val="20"/>
      <w:szCs w:val="20"/>
    </w:rPr>
  </w:style>
  <w:style w:type="character" w:styleId="EndnoteReference">
    <w:name w:val="endnote reference"/>
    <w:basedOn w:val="DefaultParagraphFont"/>
    <w:rsid w:val="003C0FD9"/>
    <w:rPr>
      <w:vertAlign w:val="superscript"/>
    </w:rPr>
  </w:style>
</w:styles>
</file>

<file path=word/webSettings.xml><?xml version="1.0" encoding="utf-8"?>
<w:webSettings xmlns:r="http://schemas.openxmlformats.org/officeDocument/2006/relationships" xmlns:w="http://schemas.openxmlformats.org/wordprocessingml/2006/main">
  <w:divs>
    <w:div w:id="48918195">
      <w:bodyDiv w:val="1"/>
      <w:marLeft w:val="0"/>
      <w:marRight w:val="0"/>
      <w:marTop w:val="0"/>
      <w:marBottom w:val="0"/>
      <w:divBdr>
        <w:top w:val="none" w:sz="0" w:space="0" w:color="auto"/>
        <w:left w:val="none" w:sz="0" w:space="0" w:color="auto"/>
        <w:bottom w:val="none" w:sz="0" w:space="0" w:color="auto"/>
        <w:right w:val="none" w:sz="0" w:space="0" w:color="auto"/>
      </w:divBdr>
      <w:divsChild>
        <w:div w:id="1106772418">
          <w:marLeft w:val="0"/>
          <w:marRight w:val="0"/>
          <w:marTop w:val="0"/>
          <w:marBottom w:val="0"/>
          <w:divBdr>
            <w:top w:val="none" w:sz="0" w:space="0" w:color="auto"/>
            <w:left w:val="none" w:sz="0" w:space="0" w:color="auto"/>
            <w:bottom w:val="none" w:sz="0" w:space="0" w:color="auto"/>
            <w:right w:val="none" w:sz="0" w:space="0" w:color="auto"/>
          </w:divBdr>
          <w:divsChild>
            <w:div w:id="1409186082">
              <w:marLeft w:val="0"/>
              <w:marRight w:val="0"/>
              <w:marTop w:val="0"/>
              <w:marBottom w:val="0"/>
              <w:divBdr>
                <w:top w:val="none" w:sz="0" w:space="0" w:color="auto"/>
                <w:left w:val="none" w:sz="0" w:space="0" w:color="auto"/>
                <w:bottom w:val="none" w:sz="0" w:space="0" w:color="auto"/>
                <w:right w:val="none" w:sz="0" w:space="0" w:color="auto"/>
              </w:divBdr>
              <w:divsChild>
                <w:div w:id="639388075">
                  <w:marLeft w:val="0"/>
                  <w:marRight w:val="0"/>
                  <w:marTop w:val="0"/>
                  <w:marBottom w:val="0"/>
                  <w:divBdr>
                    <w:top w:val="none" w:sz="0" w:space="0" w:color="auto"/>
                    <w:left w:val="none" w:sz="0" w:space="0" w:color="auto"/>
                    <w:bottom w:val="none" w:sz="0" w:space="0" w:color="auto"/>
                    <w:right w:val="none" w:sz="0" w:space="0" w:color="auto"/>
                  </w:divBdr>
                  <w:divsChild>
                    <w:div w:id="1945646295">
                      <w:marLeft w:val="0"/>
                      <w:marRight w:val="0"/>
                      <w:marTop w:val="0"/>
                      <w:marBottom w:val="0"/>
                      <w:divBdr>
                        <w:top w:val="none" w:sz="0" w:space="0" w:color="auto"/>
                        <w:left w:val="none" w:sz="0" w:space="0" w:color="auto"/>
                        <w:bottom w:val="none" w:sz="0" w:space="0" w:color="auto"/>
                        <w:right w:val="none" w:sz="0" w:space="0" w:color="auto"/>
                      </w:divBdr>
                      <w:divsChild>
                        <w:div w:id="1674069170">
                          <w:marLeft w:val="0"/>
                          <w:marRight w:val="0"/>
                          <w:marTop w:val="0"/>
                          <w:marBottom w:val="0"/>
                          <w:divBdr>
                            <w:top w:val="none" w:sz="0" w:space="0" w:color="auto"/>
                            <w:left w:val="none" w:sz="0" w:space="0" w:color="auto"/>
                            <w:bottom w:val="none" w:sz="0" w:space="0" w:color="auto"/>
                            <w:right w:val="none" w:sz="0" w:space="0" w:color="auto"/>
                          </w:divBdr>
                          <w:divsChild>
                            <w:div w:id="1758597134">
                              <w:marLeft w:val="0"/>
                              <w:marRight w:val="0"/>
                              <w:marTop w:val="0"/>
                              <w:marBottom w:val="0"/>
                              <w:divBdr>
                                <w:top w:val="none" w:sz="0" w:space="0" w:color="auto"/>
                                <w:left w:val="none" w:sz="0" w:space="0" w:color="auto"/>
                                <w:bottom w:val="none" w:sz="0" w:space="0" w:color="auto"/>
                                <w:right w:val="none" w:sz="0" w:space="0" w:color="auto"/>
                              </w:divBdr>
                              <w:divsChild>
                                <w:div w:id="1084567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2504310">
      <w:bodyDiv w:val="1"/>
      <w:marLeft w:val="0"/>
      <w:marRight w:val="0"/>
      <w:marTop w:val="0"/>
      <w:marBottom w:val="0"/>
      <w:divBdr>
        <w:top w:val="none" w:sz="0" w:space="0" w:color="auto"/>
        <w:left w:val="none" w:sz="0" w:space="0" w:color="auto"/>
        <w:bottom w:val="none" w:sz="0" w:space="0" w:color="auto"/>
        <w:right w:val="none" w:sz="0" w:space="0" w:color="auto"/>
      </w:divBdr>
      <w:divsChild>
        <w:div w:id="1389302767">
          <w:marLeft w:val="0"/>
          <w:marRight w:val="0"/>
          <w:marTop w:val="0"/>
          <w:marBottom w:val="0"/>
          <w:divBdr>
            <w:top w:val="none" w:sz="0" w:space="0" w:color="auto"/>
            <w:left w:val="none" w:sz="0" w:space="0" w:color="auto"/>
            <w:bottom w:val="none" w:sz="0" w:space="0" w:color="auto"/>
            <w:right w:val="none" w:sz="0" w:space="0" w:color="auto"/>
          </w:divBdr>
          <w:divsChild>
            <w:div w:id="179666208">
              <w:marLeft w:val="0"/>
              <w:marRight w:val="0"/>
              <w:marTop w:val="0"/>
              <w:marBottom w:val="0"/>
              <w:divBdr>
                <w:top w:val="none" w:sz="0" w:space="0" w:color="auto"/>
                <w:left w:val="none" w:sz="0" w:space="0" w:color="auto"/>
                <w:bottom w:val="none" w:sz="0" w:space="0" w:color="auto"/>
                <w:right w:val="none" w:sz="0" w:space="0" w:color="auto"/>
              </w:divBdr>
              <w:divsChild>
                <w:div w:id="294070238">
                  <w:marLeft w:val="0"/>
                  <w:marRight w:val="0"/>
                  <w:marTop w:val="0"/>
                  <w:marBottom w:val="0"/>
                  <w:divBdr>
                    <w:top w:val="none" w:sz="0" w:space="0" w:color="auto"/>
                    <w:left w:val="none" w:sz="0" w:space="0" w:color="auto"/>
                    <w:bottom w:val="none" w:sz="0" w:space="0" w:color="auto"/>
                    <w:right w:val="none" w:sz="0" w:space="0" w:color="auto"/>
                  </w:divBdr>
                  <w:divsChild>
                    <w:div w:id="96759212">
                      <w:marLeft w:val="0"/>
                      <w:marRight w:val="0"/>
                      <w:marTop w:val="0"/>
                      <w:marBottom w:val="0"/>
                      <w:divBdr>
                        <w:top w:val="none" w:sz="0" w:space="0" w:color="auto"/>
                        <w:left w:val="none" w:sz="0" w:space="0" w:color="auto"/>
                        <w:bottom w:val="none" w:sz="0" w:space="0" w:color="auto"/>
                        <w:right w:val="none" w:sz="0" w:space="0" w:color="auto"/>
                      </w:divBdr>
                      <w:divsChild>
                        <w:div w:id="237327619">
                          <w:marLeft w:val="0"/>
                          <w:marRight w:val="0"/>
                          <w:marTop w:val="0"/>
                          <w:marBottom w:val="0"/>
                          <w:divBdr>
                            <w:top w:val="none" w:sz="0" w:space="0" w:color="auto"/>
                            <w:left w:val="none" w:sz="0" w:space="0" w:color="auto"/>
                            <w:bottom w:val="none" w:sz="0" w:space="0" w:color="auto"/>
                            <w:right w:val="none" w:sz="0" w:space="0" w:color="auto"/>
                          </w:divBdr>
                          <w:divsChild>
                            <w:div w:id="41949273">
                              <w:marLeft w:val="0"/>
                              <w:marRight w:val="0"/>
                              <w:marTop w:val="0"/>
                              <w:marBottom w:val="0"/>
                              <w:divBdr>
                                <w:top w:val="none" w:sz="0" w:space="0" w:color="auto"/>
                                <w:left w:val="none" w:sz="0" w:space="0" w:color="auto"/>
                                <w:bottom w:val="none" w:sz="0" w:space="0" w:color="auto"/>
                                <w:right w:val="none" w:sz="0" w:space="0" w:color="auto"/>
                              </w:divBdr>
                              <w:divsChild>
                                <w:div w:id="49777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dcg2@le.ac.uk"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endnotes.xml.rels><?xml version="1.0" encoding="UTF-8" standalone="yes"?>
<Relationships xmlns="http://schemas.openxmlformats.org/package/2006/relationships"><Relationship Id="rId1" Type="http://schemas.openxmlformats.org/officeDocument/2006/relationships/hyperlink" Target="http://www.treccani.it/enciclopedia/alvise-corner_(Dizionario-Biografic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62E3E66-63E8-4565-A31B-2F744026A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3</Pages>
  <Words>707</Words>
  <Characters>4034</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6</cp:revision>
  <dcterms:created xsi:type="dcterms:W3CDTF">2014-10-07T09:17:00Z</dcterms:created>
  <dcterms:modified xsi:type="dcterms:W3CDTF">2014-10-07T11:36:00Z</dcterms:modified>
</cp:coreProperties>
</file>