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04" w:rsidRDefault="00D23504" w:rsidP="00D23504">
      <w:pPr>
        <w:widowControl w:val="0"/>
        <w:spacing w:after="0" w:line="480" w:lineRule="exact"/>
        <w:ind w:left="720" w:hanging="720"/>
        <w:contextualSpacing/>
        <w:rPr>
          <w:rFonts w:ascii="Times New Roman" w:hAnsi="Times New Roman"/>
          <w:bCs/>
          <w:iCs/>
          <w:sz w:val="24"/>
          <w:szCs w:val="24"/>
          <w:lang w:val="en-US"/>
        </w:rPr>
      </w:pPr>
      <w:r w:rsidRPr="00D23504">
        <w:rPr>
          <w:rFonts w:ascii="Times New Roman" w:hAnsi="Times New Roman"/>
          <w:bCs/>
          <w:iCs/>
          <w:sz w:val="24"/>
          <w:szCs w:val="24"/>
          <w:lang w:val="en-US"/>
        </w:rPr>
        <w:t xml:space="preserve">Daniel Heider. </w:t>
      </w:r>
      <w:r w:rsidRPr="00D23504">
        <w:rPr>
          <w:rFonts w:ascii="Times New Roman" w:hAnsi="Times New Roman"/>
          <w:bCs/>
          <w:i/>
          <w:iCs/>
          <w:sz w:val="24"/>
          <w:szCs w:val="24"/>
          <w:lang w:val="en-US"/>
        </w:rPr>
        <w:t>Universals in Second Scholasticism: A Comparative Study with Focus on the Theories of Francisco Suárez S. J. (1548–1617), João Poinsot O. P. (1589–1644) and Bartolomeo Mastri da Meldola O. F. M. Conv. (1602–1673)/Bonaventura Belluto O. F. M. Conv. (1600–1676)</w:t>
      </w:r>
      <w:r w:rsidRPr="00D23504">
        <w:rPr>
          <w:rFonts w:ascii="Times New Roman" w:hAnsi="Times New Roman"/>
          <w:bCs/>
          <w:iCs/>
          <w:sz w:val="24"/>
          <w:szCs w:val="24"/>
          <w:lang w:val="en-US"/>
        </w:rPr>
        <w:t xml:space="preserve">. Bochumer Studien zur Philosophie, 54. Amsterdam-Philadelphia: John Benjamins, 2014. Pp. xii + 344. Cloth, $158.00. </w:t>
      </w:r>
    </w:p>
    <w:p w:rsidR="00D23504" w:rsidRDefault="00D23504" w:rsidP="00D23504">
      <w:pPr>
        <w:widowControl w:val="0"/>
        <w:spacing w:after="0" w:line="480" w:lineRule="exact"/>
        <w:contextualSpacing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ED29D2" w:rsidRPr="009606F9" w:rsidRDefault="00ED29D2" w:rsidP="00D23504">
      <w:pPr>
        <w:widowControl w:val="0"/>
        <w:spacing w:after="0" w:line="480" w:lineRule="exact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debate on </w:t>
      </w:r>
      <w:r w:rsidR="00EE51EC">
        <w:rPr>
          <w:rFonts w:ascii="Times New Roman" w:hAnsi="Times New Roman"/>
          <w:sz w:val="24"/>
          <w:szCs w:val="24"/>
          <w:lang w:val="en-US"/>
        </w:rPr>
        <w:t>(</w:t>
      </w:r>
      <w:r w:rsidR="000C055C">
        <w:rPr>
          <w:rFonts w:ascii="Times New Roman" w:hAnsi="Times New Roman"/>
          <w:sz w:val="24"/>
          <w:szCs w:val="24"/>
          <w:lang w:val="en-US"/>
        </w:rPr>
        <w:t>predicamental</w:t>
      </w:r>
      <w:r w:rsidR="00EE51EC">
        <w:rPr>
          <w:rFonts w:ascii="Times New Roman" w:hAnsi="Times New Roman"/>
          <w:sz w:val="24"/>
          <w:szCs w:val="24"/>
          <w:lang w:val="en-US"/>
        </w:rPr>
        <w:t>)</w:t>
      </w:r>
      <w:r w:rsidR="000C055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universals is, generally speaking, a well-known subject </w:t>
      </w:r>
      <w:r w:rsidR="0078573E">
        <w:rPr>
          <w:rFonts w:ascii="Times New Roman" w:hAnsi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/>
          <w:sz w:val="24"/>
          <w:szCs w:val="24"/>
          <w:lang w:val="en-US"/>
        </w:rPr>
        <w:t xml:space="preserve">the history of philosophy, but views on universals from the end of </w:t>
      </w:r>
      <w:r w:rsidRPr="00866D03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6E7C33">
        <w:rPr>
          <w:rFonts w:ascii="Times New Roman" w:hAnsi="Times New Roman"/>
          <w:sz w:val="24"/>
          <w:szCs w:val="24"/>
          <w:lang w:val="en-US"/>
        </w:rPr>
        <w:t>sixteenth</w:t>
      </w:r>
      <w:r w:rsidR="006E7C33" w:rsidRPr="00866D0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66D03">
        <w:rPr>
          <w:rFonts w:ascii="Times New Roman" w:hAnsi="Times New Roman"/>
          <w:sz w:val="24"/>
          <w:szCs w:val="24"/>
          <w:lang w:val="en-US"/>
        </w:rPr>
        <w:t>to the mid-</w:t>
      </w:r>
      <w:r w:rsidR="006E7C33">
        <w:rPr>
          <w:rFonts w:ascii="Times New Roman" w:hAnsi="Times New Roman"/>
          <w:sz w:val="24"/>
          <w:szCs w:val="24"/>
          <w:lang w:val="en-US"/>
        </w:rPr>
        <w:t xml:space="preserve">seventeenth </w:t>
      </w:r>
      <w:r>
        <w:rPr>
          <w:rFonts w:ascii="Times New Roman" w:hAnsi="Times New Roman"/>
          <w:sz w:val="24"/>
          <w:szCs w:val="24"/>
          <w:lang w:val="en-US"/>
        </w:rPr>
        <w:t>century</w:t>
      </w:r>
      <w:r w:rsidR="00D23504">
        <w:rPr>
          <w:rFonts w:ascii="Times New Roman" w:hAnsi="Times New Roman"/>
          <w:sz w:val="24"/>
          <w:szCs w:val="24"/>
          <w:lang w:val="en-US"/>
        </w:rPr>
        <w:t>—</w:t>
      </w:r>
      <w:r>
        <w:rPr>
          <w:rFonts w:ascii="Times New Roman" w:hAnsi="Times New Roman"/>
          <w:sz w:val="24"/>
          <w:szCs w:val="24"/>
          <w:lang w:val="en-US"/>
        </w:rPr>
        <w:t>the object of Heider</w:t>
      </w:r>
      <w:r w:rsidRPr="00147BD7">
        <w:rPr>
          <w:rFonts w:ascii="Times New Roman" w:hAnsi="Times New Roman"/>
          <w:spacing w:val="-4"/>
          <w:sz w:val="24"/>
          <w:szCs w:val="24"/>
          <w:lang w:val="en-US"/>
        </w:rPr>
        <w:t>’</w:t>
      </w:r>
      <w:r w:rsidRPr="00866D03">
        <w:rPr>
          <w:rFonts w:ascii="Times New Roman" w:hAnsi="Times New Roman"/>
          <w:sz w:val="24"/>
          <w:szCs w:val="24"/>
          <w:lang w:val="en-US"/>
        </w:rPr>
        <w:t>s welcome contribution</w:t>
      </w:r>
      <w:r w:rsidR="00D23504">
        <w:rPr>
          <w:rFonts w:ascii="Times New Roman" w:hAnsi="Times New Roman"/>
          <w:sz w:val="24"/>
          <w:szCs w:val="24"/>
          <w:lang w:val="en-US"/>
        </w:rPr>
        <w:t>—</w:t>
      </w:r>
      <w:r w:rsidRPr="00866D03">
        <w:rPr>
          <w:rFonts w:ascii="Times New Roman" w:hAnsi="Times New Roman"/>
          <w:sz w:val="24"/>
          <w:szCs w:val="24"/>
          <w:lang w:val="en-US"/>
        </w:rPr>
        <w:t>are quite neglected. Such views are ext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866D03">
        <w:rPr>
          <w:rFonts w:ascii="Times New Roman" w:hAnsi="Times New Roman"/>
          <w:sz w:val="24"/>
          <w:szCs w:val="24"/>
          <w:lang w:val="en-US"/>
        </w:rPr>
        <w:t xml:space="preserve">emely sophisticated, drawing on </w:t>
      </w:r>
      <w:r w:rsidR="006E7C33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866D03">
        <w:rPr>
          <w:rFonts w:ascii="Times New Roman" w:hAnsi="Times New Roman"/>
          <w:sz w:val="24"/>
          <w:szCs w:val="24"/>
          <w:lang w:val="en-US"/>
        </w:rPr>
        <w:t>established traditions of Thomism and Scotism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866D0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C0DD9">
        <w:rPr>
          <w:rFonts w:ascii="Times New Roman" w:hAnsi="Times New Roman"/>
          <w:sz w:val="24"/>
          <w:szCs w:val="24"/>
          <w:lang w:val="en-US"/>
        </w:rPr>
        <w:t xml:space="preserve">in particular, </w:t>
      </w:r>
      <w:r w:rsidRPr="00866D03">
        <w:rPr>
          <w:rFonts w:ascii="Times New Roman" w:hAnsi="Times New Roman"/>
          <w:sz w:val="24"/>
          <w:szCs w:val="24"/>
          <w:lang w:val="en-US"/>
        </w:rPr>
        <w:t>but bringing them to a new level of technicality. Heider investigates three major positions, those of Francisco Suárez, João Poinsot</w:t>
      </w:r>
      <w:r w:rsidRPr="00866D0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866D03">
        <w:rPr>
          <w:rFonts w:ascii="Times New Roman" w:hAnsi="Times New Roman"/>
          <w:sz w:val="24"/>
          <w:szCs w:val="24"/>
          <w:lang w:val="en-US"/>
        </w:rPr>
        <w:t xml:space="preserve">(Ioannes a S. Thoma) and the joint position of Bartolomeo Mastri and Bonaventura Belluto (who co-author most of their all-embracing </w:t>
      </w:r>
      <w:r w:rsidRPr="00866D03">
        <w:rPr>
          <w:rFonts w:ascii="Times New Roman" w:hAnsi="Times New Roman"/>
          <w:i/>
          <w:sz w:val="24"/>
          <w:szCs w:val="24"/>
          <w:lang w:val="en-US"/>
        </w:rPr>
        <w:t>Cursus philosophicus ad mentem Scoti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Pr="00866D03">
        <w:rPr>
          <w:rFonts w:ascii="Times New Roman" w:hAnsi="Times New Roman"/>
          <w:sz w:val="24"/>
          <w:szCs w:val="24"/>
          <w:lang w:val="en-US"/>
        </w:rPr>
        <w:t xml:space="preserve">. The three views are chosen to represent Jesuit philosophy, Thomism, </w:t>
      </w:r>
      <w:r w:rsidRPr="0010706C">
        <w:rPr>
          <w:rFonts w:ascii="Times New Roman" w:hAnsi="Times New Roman"/>
          <w:sz w:val="24"/>
          <w:szCs w:val="24"/>
          <w:lang w:val="en-US"/>
        </w:rPr>
        <w:t>and Scotism respectively, and are</w:t>
      </w:r>
      <w:r w:rsidRPr="001070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0706C">
        <w:rPr>
          <w:rFonts w:ascii="Times New Roman" w:hAnsi="Times New Roman"/>
          <w:sz w:val="24"/>
          <w:szCs w:val="24"/>
          <w:lang w:val="en-US"/>
        </w:rPr>
        <w:t xml:space="preserve">forms of </w:t>
      </w:r>
      <w:r>
        <w:rPr>
          <w:rFonts w:ascii="Times New Roman" w:hAnsi="Times New Roman"/>
          <w:sz w:val="24"/>
          <w:szCs w:val="24"/>
          <w:lang w:val="en-US"/>
        </w:rPr>
        <w:t>“</w:t>
      </w:r>
      <w:r w:rsidRPr="0010706C">
        <w:rPr>
          <w:rFonts w:ascii="Times New Roman" w:hAnsi="Times New Roman"/>
          <w:sz w:val="24"/>
          <w:szCs w:val="24"/>
          <w:lang w:val="en-US"/>
        </w:rPr>
        <w:t>moderate realism</w:t>
      </w:r>
      <w:r w:rsidR="00D23504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”</w:t>
      </w:r>
      <w:r w:rsidRPr="0010706C">
        <w:rPr>
          <w:rFonts w:ascii="Times New Roman" w:hAnsi="Times New Roman"/>
          <w:sz w:val="24"/>
          <w:szCs w:val="24"/>
          <w:lang w:val="en-US"/>
        </w:rPr>
        <w:t xml:space="preserve"> Nominalism and conceptualism </w:t>
      </w:r>
      <w:r w:rsidRPr="00B76B9E">
        <w:rPr>
          <w:rFonts w:ascii="Times New Roman" w:hAnsi="Times New Roman"/>
          <w:sz w:val="24"/>
          <w:szCs w:val="24"/>
          <w:lang w:val="en-US"/>
        </w:rPr>
        <w:t>(rejecting the universal in being), Platonism (endorsing separate universals), and ultra</w:t>
      </w:r>
      <w:r w:rsidR="006E7C33">
        <w:rPr>
          <w:rFonts w:ascii="Times New Roman" w:hAnsi="Times New Roman"/>
          <w:sz w:val="24"/>
          <w:szCs w:val="24"/>
          <w:lang w:val="en-US"/>
        </w:rPr>
        <w:t>-</w:t>
      </w:r>
      <w:r w:rsidR="00D23504">
        <w:rPr>
          <w:rFonts w:ascii="Times New Roman" w:hAnsi="Times New Roman"/>
          <w:sz w:val="24"/>
          <w:szCs w:val="24"/>
          <w:lang w:val="en-US"/>
        </w:rPr>
        <w:t>realism or—as Heider also calls it—</w:t>
      </w:r>
      <w:r w:rsidRPr="00B76B9E">
        <w:rPr>
          <w:rFonts w:ascii="Times New Roman" w:hAnsi="Times New Roman"/>
          <w:sz w:val="24"/>
          <w:szCs w:val="24"/>
          <w:lang w:val="en-US"/>
        </w:rPr>
        <w:t xml:space="preserve">“immanent Platonism” (95, the view “assuming the immanent existence of the </w:t>
      </w:r>
      <w:r w:rsidRPr="00B76B9E">
        <w:rPr>
          <w:rFonts w:ascii="Times New Roman" w:hAnsi="Times New Roman"/>
          <w:i/>
          <w:sz w:val="24"/>
          <w:szCs w:val="24"/>
          <w:lang w:val="en-US"/>
        </w:rPr>
        <w:t>universale in actu</w:t>
      </w:r>
      <w:r w:rsidRPr="00B76B9E">
        <w:rPr>
          <w:rFonts w:ascii="Times New Roman" w:hAnsi="Times New Roman"/>
          <w:sz w:val="24"/>
          <w:szCs w:val="24"/>
          <w:lang w:val="en-US"/>
        </w:rPr>
        <w:t xml:space="preserve"> in extramental things”) are contrasted with moderate realism. Moderate realism claims that a nature exists in extram</w:t>
      </w:r>
      <w:r w:rsidR="00D23504">
        <w:rPr>
          <w:rFonts w:ascii="Times New Roman" w:hAnsi="Times New Roman"/>
          <w:sz w:val="24"/>
          <w:szCs w:val="24"/>
          <w:lang w:val="en-US"/>
        </w:rPr>
        <w:t>ental things; it is particulariz</w:t>
      </w:r>
      <w:r w:rsidRPr="00B76B9E">
        <w:rPr>
          <w:rFonts w:ascii="Times New Roman" w:hAnsi="Times New Roman"/>
          <w:sz w:val="24"/>
          <w:szCs w:val="24"/>
          <w:lang w:val="en-US"/>
        </w:rPr>
        <w:t>ed there but retains an aptitude to being in many or be</w:t>
      </w:r>
      <w:r w:rsidR="006E7C33">
        <w:rPr>
          <w:rFonts w:ascii="Times New Roman" w:hAnsi="Times New Roman"/>
          <w:sz w:val="24"/>
          <w:szCs w:val="24"/>
          <w:lang w:val="en-US"/>
        </w:rPr>
        <w:t>ing</w:t>
      </w:r>
      <w:r w:rsidRPr="00B76B9E">
        <w:rPr>
          <w:rFonts w:ascii="Times New Roman" w:hAnsi="Times New Roman"/>
          <w:sz w:val="24"/>
          <w:szCs w:val="24"/>
          <w:lang w:val="en-US"/>
        </w:rPr>
        <w:t xml:space="preserve"> common to many (although not e</w:t>
      </w:r>
      <w:r w:rsidR="00D23504">
        <w:rPr>
          <w:rFonts w:ascii="Times New Roman" w:hAnsi="Times New Roman"/>
          <w:sz w:val="24"/>
          <w:szCs w:val="24"/>
          <w:lang w:val="en-US"/>
        </w:rPr>
        <w:t>veryone accepts this characteriz</w:t>
      </w:r>
      <w:r w:rsidRPr="00B76B9E">
        <w:rPr>
          <w:rFonts w:ascii="Times New Roman" w:hAnsi="Times New Roman"/>
          <w:sz w:val="24"/>
          <w:szCs w:val="24"/>
          <w:lang w:val="en-US"/>
        </w:rPr>
        <w:t xml:space="preserve">ation, </w:t>
      </w:r>
      <w:r w:rsidR="00CA134F" w:rsidRPr="00B76B9E">
        <w:rPr>
          <w:rFonts w:ascii="Times New Roman" w:hAnsi="Times New Roman"/>
          <w:sz w:val="24"/>
          <w:szCs w:val="24"/>
          <w:lang w:val="en-US"/>
        </w:rPr>
        <w:t>particularly</w:t>
      </w:r>
      <w:r w:rsidRPr="00B76B9E">
        <w:rPr>
          <w:rFonts w:ascii="Times New Roman" w:hAnsi="Times New Roman"/>
          <w:sz w:val="24"/>
          <w:szCs w:val="24"/>
          <w:lang w:val="en-US"/>
        </w:rPr>
        <w:t xml:space="preserve"> not Poinsot), and is therefore universal in potency. Consequent</w:t>
      </w:r>
      <w:r>
        <w:rPr>
          <w:rFonts w:ascii="Times New Roman" w:hAnsi="Times New Roman"/>
          <w:sz w:val="24"/>
          <w:szCs w:val="24"/>
          <w:lang w:val="en-US"/>
        </w:rPr>
        <w:t>ly</w:t>
      </w:r>
      <w:r w:rsidRPr="004D4F47">
        <w:rPr>
          <w:rFonts w:ascii="Times New Roman" w:hAnsi="Times New Roman"/>
          <w:sz w:val="24"/>
          <w:szCs w:val="24"/>
          <w:lang w:val="en-US"/>
        </w:rPr>
        <w:t xml:space="preserve"> nature </w:t>
      </w:r>
      <w:r w:rsidRPr="00516470">
        <w:rPr>
          <w:rFonts w:ascii="Times New Roman" w:hAnsi="Times New Roman"/>
          <w:i/>
          <w:sz w:val="24"/>
          <w:szCs w:val="24"/>
          <w:lang w:val="en-US"/>
        </w:rPr>
        <w:t>in re</w:t>
      </w:r>
      <w:r w:rsidRPr="00516470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D4F47">
        <w:rPr>
          <w:rFonts w:ascii="Times New Roman" w:hAnsi="Times New Roman"/>
          <w:sz w:val="24"/>
          <w:szCs w:val="24"/>
          <w:lang w:val="en-US"/>
        </w:rPr>
        <w:t xml:space="preserve">also called </w:t>
      </w:r>
      <w:r w:rsidRPr="004D4F47">
        <w:rPr>
          <w:rFonts w:ascii="Times New Roman" w:hAnsi="Times New Roman"/>
          <w:i/>
          <w:sz w:val="24"/>
          <w:szCs w:val="24"/>
          <w:lang w:val="en-US"/>
        </w:rPr>
        <w:t>universale physicum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4D4F47">
        <w:rPr>
          <w:rFonts w:ascii="Times New Roman" w:hAnsi="Times New Roman"/>
          <w:sz w:val="24"/>
          <w:szCs w:val="24"/>
          <w:lang w:val="en-US"/>
        </w:rPr>
        <w:t xml:space="preserve"> is the foundation for the abstraction process leading first</w:t>
      </w:r>
      <w:r w:rsidRPr="00BB1EBD">
        <w:rPr>
          <w:rFonts w:ascii="Times New Roman" w:hAnsi="Times New Roman"/>
          <w:sz w:val="24"/>
          <w:szCs w:val="24"/>
          <w:lang w:val="en-US"/>
        </w:rPr>
        <w:t xml:space="preserve"> to the abstracted (absolute) nature, or </w:t>
      </w:r>
      <w:r w:rsidRPr="00BB1EBD">
        <w:rPr>
          <w:rFonts w:ascii="Times New Roman" w:hAnsi="Times New Roman"/>
          <w:i/>
          <w:sz w:val="24"/>
          <w:szCs w:val="24"/>
          <w:lang w:val="en-US"/>
        </w:rPr>
        <w:t>universale metaphysicum</w:t>
      </w:r>
      <w:r w:rsidRPr="00BB1EBD">
        <w:rPr>
          <w:rFonts w:ascii="Times New Roman" w:hAnsi="Times New Roman"/>
          <w:sz w:val="24"/>
          <w:szCs w:val="24"/>
          <w:lang w:val="en-US"/>
        </w:rPr>
        <w:t>, and finally to the logical fully</w:t>
      </w:r>
      <w:r w:rsidR="006E7C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1EBD">
        <w:rPr>
          <w:rFonts w:ascii="Times New Roman" w:hAnsi="Times New Roman"/>
          <w:sz w:val="24"/>
          <w:szCs w:val="24"/>
          <w:lang w:val="en-US"/>
        </w:rPr>
        <w:t xml:space="preserve">fledged </w:t>
      </w:r>
      <w:r>
        <w:rPr>
          <w:rFonts w:ascii="Times New Roman" w:hAnsi="Times New Roman"/>
          <w:sz w:val="24"/>
          <w:szCs w:val="24"/>
          <w:lang w:val="en-US"/>
        </w:rPr>
        <w:t xml:space="preserve">(relational) universal, </w:t>
      </w:r>
      <w:r w:rsidRPr="000C779B">
        <w:rPr>
          <w:rFonts w:ascii="Times New Roman" w:hAnsi="Times New Roman"/>
          <w:i/>
          <w:sz w:val="24"/>
          <w:szCs w:val="24"/>
          <w:lang w:val="en-US"/>
        </w:rPr>
        <w:t>universale logicum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1EBD"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r universal in act</w:t>
      </w:r>
      <w:r w:rsidRPr="00BB1EBD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Universality</w:t>
      </w:r>
      <w:r w:rsidR="006E7C33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properly speaking</w:t>
      </w:r>
      <w:r w:rsidR="006E7C33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pertains to the realm of logic, but </w:t>
      </w:r>
      <w:r w:rsidRPr="00E37C52">
        <w:rPr>
          <w:rFonts w:ascii="Times New Roman" w:hAnsi="Times New Roman"/>
          <w:sz w:val="24"/>
          <w:szCs w:val="24"/>
          <w:lang w:val="en-US"/>
        </w:rPr>
        <w:t xml:space="preserve">has a remote foundation </w:t>
      </w:r>
      <w:r w:rsidRPr="00E37C52">
        <w:rPr>
          <w:rFonts w:ascii="Times New Roman" w:hAnsi="Times New Roman"/>
          <w:i/>
          <w:sz w:val="24"/>
          <w:szCs w:val="24"/>
          <w:lang w:val="en-US"/>
        </w:rPr>
        <w:t xml:space="preserve">in re </w:t>
      </w:r>
      <w:r w:rsidRPr="00E37C52">
        <w:rPr>
          <w:rFonts w:ascii="Times New Roman" w:hAnsi="Times New Roman"/>
          <w:sz w:val="24"/>
          <w:szCs w:val="24"/>
          <w:lang w:val="en-US"/>
        </w:rPr>
        <w:t xml:space="preserve">and a proximate foundation in the </w:t>
      </w:r>
      <w:r w:rsidRPr="00E37C52">
        <w:rPr>
          <w:rFonts w:ascii="Times New Roman" w:hAnsi="Times New Roman"/>
          <w:i/>
          <w:sz w:val="24"/>
          <w:szCs w:val="24"/>
          <w:lang w:val="en-US"/>
        </w:rPr>
        <w:t>universale metaphysicu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 w:rsidRPr="00E37C52">
        <w:rPr>
          <w:rFonts w:ascii="Times New Roman" w:hAnsi="Times New Roman"/>
          <w:sz w:val="24"/>
          <w:szCs w:val="24"/>
          <w:lang w:val="en-US"/>
        </w:rPr>
        <w:t xml:space="preserve">. In 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general terms, Heider considers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he compatibility of universality (understood </w:t>
      </w:r>
      <w:r w:rsidRPr="005F69BF">
        <w:rPr>
          <w:rFonts w:ascii="Times New Roman" w:hAnsi="Times New Roman"/>
          <w:sz w:val="24"/>
          <w:szCs w:val="24"/>
          <w:lang w:val="en-US"/>
        </w:rPr>
        <w:lastRenderedPageBreak/>
        <w:t xml:space="preserve">as commonality) and singularity in a thing </w:t>
      </w:r>
      <w:r w:rsidR="006E7C33">
        <w:rPr>
          <w:rFonts w:ascii="Times New Roman" w:hAnsi="Times New Roman"/>
          <w:sz w:val="24"/>
          <w:szCs w:val="24"/>
          <w:lang w:val="en-US"/>
        </w:rPr>
        <w:t xml:space="preserve">to be 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the common trait of moderate realism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5F69BF">
        <w:rPr>
          <w:rFonts w:ascii="Times New Roman" w:hAnsi="Times New Roman"/>
          <w:sz w:val="24"/>
          <w:szCs w:val="24"/>
          <w:lang w:val="en-US"/>
        </w:rPr>
        <w:t>301</w:t>
      </w:r>
      <w:r w:rsidR="006E7C33">
        <w:rPr>
          <w:rFonts w:ascii="Times New Roman" w:hAnsi="Times New Roman"/>
          <w:sz w:val="24"/>
          <w:szCs w:val="24"/>
          <w:lang w:val="en-US"/>
        </w:rPr>
        <w:t>–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2). In more detail, however, he considers </w:t>
      </w:r>
      <w:r>
        <w:rPr>
          <w:rFonts w:ascii="Times New Roman" w:hAnsi="Times New Roman"/>
          <w:sz w:val="24"/>
          <w:szCs w:val="24"/>
          <w:lang w:val="en-US"/>
        </w:rPr>
        <w:t xml:space="preserve">endorsing </w:t>
      </w:r>
      <w:r w:rsidRPr="005F69BF">
        <w:rPr>
          <w:rFonts w:ascii="Times New Roman" w:hAnsi="Times New Roman"/>
          <w:i/>
          <w:sz w:val="24"/>
          <w:szCs w:val="24"/>
          <w:lang w:val="en-US"/>
        </w:rPr>
        <w:t>praecisio objectiva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as 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/>
          <w:sz w:val="24"/>
          <w:szCs w:val="24"/>
          <w:lang w:val="en-US"/>
        </w:rPr>
        <w:t>“</w:t>
      </w:r>
      <w:r w:rsidRPr="005F69BF">
        <w:rPr>
          <w:rFonts w:ascii="Times New Roman" w:hAnsi="Times New Roman"/>
          <w:sz w:val="24"/>
          <w:szCs w:val="24"/>
          <w:lang w:val="en-US"/>
        </w:rPr>
        <w:t>litmus paper</w:t>
      </w:r>
      <w:r>
        <w:rPr>
          <w:rFonts w:ascii="Times New Roman" w:hAnsi="Times New Roman"/>
          <w:sz w:val="24"/>
          <w:szCs w:val="24"/>
          <w:lang w:val="en-US"/>
        </w:rPr>
        <w:t>”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 for distinguishing </w:t>
      </w:r>
      <w:r>
        <w:rPr>
          <w:rFonts w:ascii="Times New Roman" w:hAnsi="Times New Roman"/>
          <w:sz w:val="24"/>
          <w:szCs w:val="24"/>
          <w:lang w:val="en-US"/>
        </w:rPr>
        <w:t>it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 from, especially, conceptualism. Objective precision is</w:t>
      </w:r>
      <w:r>
        <w:rPr>
          <w:rFonts w:ascii="Times New Roman" w:hAnsi="Times New Roman"/>
          <w:sz w:val="24"/>
          <w:szCs w:val="24"/>
          <w:lang w:val="en-US"/>
        </w:rPr>
        <w:t xml:space="preserve"> “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854C63">
        <w:rPr>
          <w:rFonts w:ascii="Times New Roman" w:hAnsi="Times New Roman"/>
          <w:sz w:val="24"/>
          <w:szCs w:val="24"/>
          <w:lang w:val="en-US"/>
        </w:rPr>
        <w:t>intellectual separation of two predicates in the way that one predicate (</w:t>
      </w:r>
      <w:r w:rsidRPr="00854C63">
        <w:rPr>
          <w:rFonts w:ascii="Times New Roman" w:hAnsi="Times New Roman"/>
          <w:i/>
          <w:sz w:val="24"/>
          <w:szCs w:val="24"/>
          <w:lang w:val="en-US"/>
        </w:rPr>
        <w:t>rational</w:t>
      </w:r>
      <w:r w:rsidRPr="00854C63">
        <w:rPr>
          <w:rFonts w:ascii="Times New Roman" w:hAnsi="Times New Roman"/>
          <w:sz w:val="24"/>
          <w:szCs w:val="24"/>
          <w:lang w:val="en-US"/>
        </w:rPr>
        <w:t xml:space="preserve">), or rather its counterpart </w:t>
      </w:r>
      <w:r w:rsidRPr="00854C63">
        <w:rPr>
          <w:rFonts w:ascii="Times New Roman" w:hAnsi="Times New Roman"/>
          <w:i/>
          <w:sz w:val="24"/>
          <w:szCs w:val="24"/>
          <w:lang w:val="en-US"/>
        </w:rPr>
        <w:t>in re</w:t>
      </w:r>
      <w:r w:rsidRPr="00854C63">
        <w:rPr>
          <w:rFonts w:ascii="Times New Roman" w:hAnsi="Times New Roman"/>
          <w:sz w:val="24"/>
          <w:szCs w:val="24"/>
          <w:lang w:val="en-US"/>
        </w:rPr>
        <w:t xml:space="preserve"> can be cognized without the formal and immediate cognition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 of the other (</w:t>
      </w:r>
      <w:r w:rsidRPr="005F69BF">
        <w:rPr>
          <w:rFonts w:ascii="Times New Roman" w:hAnsi="Times New Roman"/>
          <w:i/>
          <w:sz w:val="24"/>
          <w:szCs w:val="24"/>
          <w:lang w:val="en-US"/>
        </w:rPr>
        <w:t>animal</w:t>
      </w:r>
      <w:r>
        <w:rPr>
          <w:rFonts w:ascii="Times New Roman" w:hAnsi="Times New Roman"/>
          <w:sz w:val="24"/>
          <w:szCs w:val="24"/>
          <w:lang w:val="en-US"/>
        </w:rPr>
        <w:t>)” (</w:t>
      </w:r>
      <w:r w:rsidRPr="005F69BF">
        <w:rPr>
          <w:rFonts w:ascii="Times New Roman" w:hAnsi="Times New Roman"/>
          <w:sz w:val="24"/>
          <w:szCs w:val="24"/>
          <w:lang w:val="en-US"/>
        </w:rPr>
        <w:t>16</w:t>
      </w:r>
      <w:r>
        <w:rPr>
          <w:rFonts w:ascii="Times New Roman" w:hAnsi="Times New Roman"/>
          <w:sz w:val="24"/>
          <w:szCs w:val="24"/>
          <w:lang w:val="en-US"/>
        </w:rPr>
        <w:t>).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By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following this particular </w:t>
      </w:r>
      <w:r w:rsidRPr="009C1AEA">
        <w:rPr>
          <w:rFonts w:ascii="Times New Roman" w:hAnsi="Times New Roman"/>
          <w:sz w:val="24"/>
          <w:szCs w:val="24"/>
          <w:lang w:val="en-US"/>
        </w:rPr>
        <w:t>feature</w:t>
      </w:r>
      <w:r>
        <w:rPr>
          <w:rFonts w:ascii="Times New Roman" w:hAnsi="Times New Roman"/>
          <w:sz w:val="24"/>
          <w:szCs w:val="24"/>
          <w:lang w:val="en-US"/>
        </w:rPr>
        <w:t>, Heider distinguishes Su</w:t>
      </w:r>
      <w:r w:rsidRPr="00866D03">
        <w:rPr>
          <w:rFonts w:ascii="Times New Roman" w:hAnsi="Times New Roman"/>
          <w:sz w:val="24"/>
          <w:szCs w:val="24"/>
          <w:lang w:val="en-US"/>
        </w:rPr>
        <w:t>á</w:t>
      </w:r>
      <w:r w:rsidRPr="005F69BF">
        <w:rPr>
          <w:rFonts w:ascii="Times New Roman" w:hAnsi="Times New Roman"/>
          <w:sz w:val="24"/>
          <w:szCs w:val="24"/>
          <w:lang w:val="en-US"/>
        </w:rPr>
        <w:t>rez</w:t>
      </w:r>
      <w:r>
        <w:rPr>
          <w:rFonts w:ascii="Times New Roman" w:hAnsi="Times New Roman"/>
          <w:sz w:val="24"/>
          <w:szCs w:val="24"/>
          <w:lang w:val="en-US"/>
        </w:rPr>
        <w:t>’</w:t>
      </w:r>
      <w:r w:rsidRPr="005F69BF">
        <w:rPr>
          <w:rFonts w:ascii="Times New Roman" w:hAnsi="Times New Roman"/>
          <w:sz w:val="24"/>
          <w:szCs w:val="24"/>
          <w:lang w:val="en-US"/>
        </w:rPr>
        <w:t xml:space="preserve">s moderate </w:t>
      </w:r>
      <w:r w:rsidRPr="009606F9">
        <w:rPr>
          <w:rFonts w:ascii="Times New Roman" w:hAnsi="Times New Roman"/>
          <w:sz w:val="24"/>
          <w:szCs w:val="24"/>
          <w:lang w:val="en-US"/>
        </w:rPr>
        <w:t>realism from the conceptualism of Pedro Hurtado de Mendoza, to whom he dedicates an interesting excursus (87</w:t>
      </w:r>
      <w:r w:rsidR="006E7C33">
        <w:rPr>
          <w:rFonts w:ascii="Times New Roman" w:hAnsi="Times New Roman"/>
          <w:sz w:val="24"/>
          <w:szCs w:val="24"/>
          <w:lang w:val="en-US"/>
        </w:rPr>
        <w:t>–</w:t>
      </w:r>
      <w:r w:rsidRPr="009606F9">
        <w:rPr>
          <w:rFonts w:ascii="Times New Roman" w:hAnsi="Times New Roman"/>
          <w:sz w:val="24"/>
          <w:szCs w:val="24"/>
          <w:lang w:val="en-US"/>
        </w:rPr>
        <w:t>94).</w:t>
      </w:r>
    </w:p>
    <w:p w:rsidR="00ED29D2" w:rsidRPr="00503A48" w:rsidRDefault="00D23504" w:rsidP="00D23504">
      <w:pPr>
        <w:widowControl w:val="0"/>
        <w:tabs>
          <w:tab w:val="left" w:pos="720"/>
        </w:tabs>
        <w:spacing w:after="0" w:line="480" w:lineRule="exact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>The structure of the book is</w:t>
      </w:r>
      <w:r w:rsidR="00ED29D2" w:rsidRPr="001070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A9089C">
        <w:rPr>
          <w:rFonts w:ascii="Times New Roman" w:hAnsi="Times New Roman"/>
          <w:sz w:val="24"/>
          <w:szCs w:val="24"/>
          <w:lang w:val="en-US"/>
        </w:rPr>
        <w:t>clear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>, with an introduction (</w:t>
      </w:r>
      <w:r w:rsidR="00FD1E4A">
        <w:rPr>
          <w:rFonts w:ascii="Times New Roman" w:hAnsi="Times New Roman"/>
          <w:sz w:val="24"/>
          <w:szCs w:val="24"/>
          <w:lang w:val="en-US"/>
        </w:rPr>
        <w:t>c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hapter 1) followed by one </w:t>
      </w:r>
      <w:r w:rsidR="00ED29D2">
        <w:rPr>
          <w:rFonts w:ascii="Times New Roman" w:hAnsi="Times New Roman"/>
          <w:sz w:val="24"/>
          <w:szCs w:val="24"/>
          <w:lang w:val="en-US"/>
        </w:rPr>
        <w:t>section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 per author, in chronological order</w:t>
      </w:r>
      <w:r w:rsidR="00CA134F">
        <w:rPr>
          <w:rFonts w:ascii="Times New Roman" w:hAnsi="Times New Roman"/>
          <w:sz w:val="24"/>
          <w:szCs w:val="24"/>
          <w:lang w:val="en-US"/>
        </w:rPr>
        <w:t>,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 from Suárez (</w:t>
      </w:r>
      <w:r w:rsidR="00FD1E4A">
        <w:rPr>
          <w:rFonts w:ascii="Times New Roman" w:hAnsi="Times New Roman"/>
          <w:sz w:val="24"/>
          <w:szCs w:val="24"/>
          <w:lang w:val="en-US"/>
        </w:rPr>
        <w:t>c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>hapter 2) to Poinsot (</w:t>
      </w:r>
      <w:r w:rsidR="00FD1E4A">
        <w:rPr>
          <w:rFonts w:ascii="Times New Roman" w:hAnsi="Times New Roman"/>
          <w:sz w:val="24"/>
          <w:szCs w:val="24"/>
          <w:lang w:val="en-US"/>
        </w:rPr>
        <w:t>c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>hapter 3) to Mastri/Belluto (</w:t>
      </w:r>
      <w:r w:rsidR="00FD1E4A">
        <w:rPr>
          <w:rFonts w:ascii="Times New Roman" w:hAnsi="Times New Roman"/>
          <w:sz w:val="24"/>
          <w:szCs w:val="24"/>
          <w:lang w:val="en-US"/>
        </w:rPr>
        <w:t>c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hapter 4). 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However, 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>Suárez</w:t>
      </w:r>
      <w:r w:rsidR="00ED29D2">
        <w:rPr>
          <w:rFonts w:ascii="Times New Roman" w:hAnsi="Times New Roman"/>
          <w:sz w:val="24"/>
          <w:szCs w:val="24"/>
          <w:lang w:val="en-US"/>
        </w:rPr>
        <w:t>’</w:t>
      </w:r>
      <w:r w:rsidR="00ED29D2" w:rsidRPr="005F69BF">
        <w:rPr>
          <w:rFonts w:ascii="Times New Roman" w:hAnsi="Times New Roman"/>
          <w:sz w:val="24"/>
          <w:szCs w:val="24"/>
          <w:lang w:val="en-US"/>
        </w:rPr>
        <w:t>s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29D2">
        <w:rPr>
          <w:rFonts w:ascii="Times New Roman" w:hAnsi="Times New Roman"/>
          <w:sz w:val="24"/>
          <w:szCs w:val="24"/>
          <w:lang w:val="en-US"/>
        </w:rPr>
        <w:t>view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 is influenced by Thomism and Scotism, presented in purer </w:t>
      </w:r>
      <w:r w:rsidR="00ED29D2">
        <w:rPr>
          <w:rFonts w:ascii="Times New Roman" w:hAnsi="Times New Roman"/>
          <w:sz w:val="24"/>
          <w:szCs w:val="24"/>
          <w:lang w:val="en-US"/>
        </w:rPr>
        <w:t>f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>o</w:t>
      </w:r>
      <w:r w:rsidR="00ED29D2">
        <w:rPr>
          <w:rFonts w:ascii="Times New Roman" w:hAnsi="Times New Roman"/>
          <w:sz w:val="24"/>
          <w:szCs w:val="24"/>
          <w:lang w:val="en-US"/>
        </w:rPr>
        <w:t>r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>ms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 in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 the two following chapters, as well as incorporatin</w:t>
      </w:r>
      <w:r w:rsidR="00ED29D2">
        <w:rPr>
          <w:rFonts w:ascii="Times New Roman" w:hAnsi="Times New Roman"/>
          <w:sz w:val="24"/>
          <w:szCs w:val="24"/>
          <w:lang w:val="en-US"/>
        </w:rPr>
        <w:t>g elements of nominalism. The narrative is therefore far from linear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>. Heider</w:t>
      </w:r>
      <w:r w:rsidR="00ED29D2" w:rsidRPr="00567291">
        <w:rPr>
          <w:rFonts w:ascii="Times New Roman" w:hAnsi="Times New Roman"/>
          <w:spacing w:val="-4"/>
          <w:sz w:val="24"/>
          <w:szCs w:val="24"/>
          <w:lang w:val="en-US"/>
        </w:rPr>
        <w:t>’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s clever investigation </w:t>
      </w:r>
      <w:r w:rsidR="006E7C33">
        <w:rPr>
          <w:rFonts w:ascii="Times New Roman" w:hAnsi="Times New Roman"/>
          <w:sz w:val="24"/>
          <w:szCs w:val="24"/>
          <w:lang w:val="en-US"/>
        </w:rPr>
        <w:t>comprises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roughly, two components. The first (quantitatively making up for most of the book) is a detailed analysis of the relevant texts, </w:t>
      </w:r>
      <w:r w:rsidR="006810EF">
        <w:rPr>
          <w:rFonts w:ascii="Times New Roman" w:hAnsi="Times New Roman"/>
          <w:sz w:val="24"/>
          <w:szCs w:val="24"/>
          <w:lang w:val="en-US"/>
        </w:rPr>
        <w:t>that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 xml:space="preserve"> follows their arguments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ED29D2" w:rsidRPr="00866D03">
        <w:rPr>
          <w:rFonts w:ascii="Times New Roman" w:hAnsi="Times New Roman"/>
          <w:sz w:val="24"/>
          <w:szCs w:val="24"/>
          <w:lang w:val="en-US"/>
        </w:rPr>
        <w:t>developments</w:t>
      </w:r>
      <w:r w:rsidR="006810EF">
        <w:rPr>
          <w:rFonts w:ascii="Times New Roman" w:hAnsi="Times New Roman"/>
          <w:sz w:val="24"/>
          <w:szCs w:val="24"/>
          <w:lang w:val="en-US"/>
        </w:rPr>
        <w:t>,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29D2" w:rsidRPr="00E37C52">
        <w:rPr>
          <w:rFonts w:ascii="Times New Roman" w:hAnsi="Times New Roman"/>
          <w:sz w:val="24"/>
          <w:szCs w:val="24"/>
          <w:lang w:val="en-US"/>
        </w:rPr>
        <w:t>and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extremely 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>elaborate terminology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 very closely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 xml:space="preserve">. For each author, the analysis </w:t>
      </w:r>
      <w:r w:rsidR="00ED29D2">
        <w:rPr>
          <w:rFonts w:ascii="Times New Roman" w:hAnsi="Times New Roman"/>
          <w:sz w:val="24"/>
          <w:szCs w:val="24"/>
          <w:lang w:val="en-US"/>
        </w:rPr>
        <w:t>is structured around</w:t>
      </w:r>
      <w:r w:rsidR="00FD1E4A">
        <w:rPr>
          <w:rFonts w:ascii="Times New Roman" w:hAnsi="Times New Roman"/>
          <w:sz w:val="24"/>
          <w:szCs w:val="24"/>
          <w:lang w:val="en-US"/>
        </w:rPr>
        <w:t xml:space="preserve"> the degrees of actualiz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>ation of the universal</w:t>
      </w:r>
      <w:r w:rsidR="00ED29D2">
        <w:rPr>
          <w:rFonts w:ascii="Times New Roman" w:hAnsi="Times New Roman"/>
          <w:sz w:val="24"/>
          <w:szCs w:val="24"/>
          <w:lang w:val="en-US"/>
        </w:rPr>
        <w:t>,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 xml:space="preserve"> from physics, to metaphysics, and finally to logic.</w:t>
      </w:r>
      <w:r w:rsidR="000C055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>The second component (found especially in the conclusions to individual chapters and in the general concluding rema</w:t>
      </w:r>
      <w:r w:rsidR="006E7C33">
        <w:rPr>
          <w:rFonts w:ascii="Times New Roman" w:hAnsi="Times New Roman"/>
          <w:sz w:val="24"/>
          <w:szCs w:val="24"/>
          <w:lang w:val="en-US"/>
        </w:rPr>
        <w:t>r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 xml:space="preserve">ks, </w:t>
      </w:r>
      <w:r w:rsidR="00FD1E4A">
        <w:rPr>
          <w:rFonts w:ascii="Times New Roman" w:hAnsi="Times New Roman"/>
          <w:sz w:val="24"/>
          <w:szCs w:val="24"/>
          <w:lang w:val="en-US"/>
        </w:rPr>
        <w:t>c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 xml:space="preserve">hapter 5) is a comparison </w:t>
      </w:r>
      <w:r w:rsidR="006E7C33">
        <w:rPr>
          <w:rFonts w:ascii="Times New Roman" w:hAnsi="Times New Roman"/>
          <w:sz w:val="24"/>
          <w:szCs w:val="24"/>
          <w:lang w:val="en-US"/>
        </w:rPr>
        <w:t>of</w:t>
      </w:r>
      <w:r w:rsidR="006E7C33" w:rsidRPr="004D4F4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>the three authors. It adopts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 an “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>accumulative method</w:t>
      </w:r>
      <w:r w:rsidR="00ED29D2">
        <w:rPr>
          <w:rFonts w:ascii="Times New Roman" w:hAnsi="Times New Roman"/>
          <w:sz w:val="24"/>
          <w:szCs w:val="24"/>
          <w:lang w:val="en-US"/>
        </w:rPr>
        <w:t>”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29D2">
        <w:rPr>
          <w:rFonts w:ascii="Times New Roman" w:hAnsi="Times New Roman"/>
          <w:sz w:val="24"/>
          <w:szCs w:val="24"/>
          <w:lang w:val="en-US"/>
        </w:rPr>
        <w:t>(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>17)</w:t>
      </w:r>
      <w:r w:rsidR="006E7C33">
        <w:rPr>
          <w:rFonts w:ascii="Times New Roman" w:hAnsi="Times New Roman"/>
          <w:sz w:val="24"/>
          <w:szCs w:val="24"/>
          <w:lang w:val="en-US"/>
        </w:rPr>
        <w:t>,</w:t>
      </w:r>
      <w:r w:rsidR="00ED29D2" w:rsidRPr="004D4F47">
        <w:rPr>
          <w:rFonts w:ascii="Times New Roman" w:hAnsi="Times New Roman"/>
          <w:sz w:val="24"/>
          <w:szCs w:val="24"/>
          <w:lang w:val="en-US"/>
        </w:rPr>
        <w:t xml:space="preserve"> whereby the analysis is progressively 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 xml:space="preserve">enriched 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by reference to previously considered doctrines. </w:t>
      </w:r>
    </w:p>
    <w:p w:rsidR="00ED29D2" w:rsidRPr="00B76B9E" w:rsidRDefault="00D23504" w:rsidP="00D23504">
      <w:pPr>
        <w:widowControl w:val="0"/>
        <w:tabs>
          <w:tab w:val="left" w:pos="720"/>
        </w:tabs>
        <w:spacing w:after="0" w:line="480" w:lineRule="exact"/>
        <w:contextualSpacing/>
        <w:rPr>
          <w:rFonts w:ascii="Times New Roman" w:hAnsi="Times New Roman"/>
          <w:sz w:val="24"/>
          <w:szCs w:val="24"/>
          <w:highlight w:val="yellow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A number of points are raised in Heider’s highly technical analysis, but </w:t>
      </w:r>
      <w:r w:rsidR="00ED29D2">
        <w:rPr>
          <w:rFonts w:ascii="Times New Roman" w:hAnsi="Times New Roman"/>
          <w:sz w:val="24"/>
          <w:szCs w:val="24"/>
          <w:lang w:val="en-US"/>
        </w:rPr>
        <w:t>four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, to my eyes, stand out. First, there is the issue of the formal unity and community of nature </w:t>
      </w:r>
      <w:r w:rsidR="00ED29D2" w:rsidRPr="00503A48">
        <w:rPr>
          <w:rFonts w:ascii="Times New Roman" w:hAnsi="Times New Roman"/>
          <w:i/>
          <w:sz w:val="24"/>
          <w:szCs w:val="24"/>
          <w:lang w:val="en-US"/>
        </w:rPr>
        <w:t>in re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E7C33">
        <w:rPr>
          <w:rFonts w:ascii="Times New Roman" w:hAnsi="Times New Roman"/>
          <w:sz w:val="24"/>
          <w:szCs w:val="24"/>
          <w:lang w:val="en-US"/>
        </w:rPr>
        <w:t>From</w:t>
      </w:r>
      <w:r w:rsidR="006E7C33" w:rsidRPr="00503A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this perspective, Heider seems willing to rank the </w:t>
      </w:r>
      <w:r w:rsidR="006E7C33" w:rsidRPr="00503A48">
        <w:rPr>
          <w:rFonts w:ascii="Times New Roman" w:hAnsi="Times New Roman"/>
          <w:sz w:val="24"/>
          <w:szCs w:val="24"/>
          <w:lang w:val="en-US"/>
        </w:rPr>
        <w:t>strength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 of each author’s realism (e.g. 217, n. 704</w:t>
      </w:r>
      <w:r w:rsidR="00FD1E4A">
        <w:rPr>
          <w:rFonts w:ascii="Times New Roman" w:hAnsi="Times New Roman"/>
          <w:sz w:val="24"/>
          <w:szCs w:val="24"/>
          <w:lang w:val="en-US"/>
        </w:rPr>
        <w:t>;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 296), from the strongest form of Mastri/Belluto (nature </w:t>
      </w:r>
      <w:r w:rsidR="00ED29D2" w:rsidRPr="00503A48">
        <w:rPr>
          <w:rFonts w:ascii="Times New Roman" w:hAnsi="Times New Roman"/>
          <w:i/>
          <w:sz w:val="24"/>
          <w:szCs w:val="24"/>
          <w:lang w:val="en-US"/>
        </w:rPr>
        <w:t>in re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 is common</w:t>
      </w:r>
      <w:r w:rsidR="00CA134F">
        <w:rPr>
          <w:rFonts w:ascii="Times New Roman" w:hAnsi="Times New Roman"/>
          <w:sz w:val="24"/>
          <w:szCs w:val="24"/>
          <w:lang w:val="en-US"/>
        </w:rPr>
        <w:t>,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 and community</w:t>
      </w:r>
      <w:r w:rsidR="00FD1E4A">
        <w:rPr>
          <w:rFonts w:ascii="Times New Roman" w:hAnsi="Times New Roman"/>
          <w:sz w:val="24"/>
          <w:szCs w:val="24"/>
          <w:lang w:val="en-US"/>
        </w:rPr>
        <w:t>—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understood specifically as 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disjunctive 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community </w:t>
      </w:r>
      <w:r w:rsidR="00ED29D2" w:rsidRPr="00503A48">
        <w:rPr>
          <w:rFonts w:ascii="Times New Roman" w:hAnsi="Times New Roman"/>
          <w:i/>
          <w:sz w:val="24"/>
          <w:szCs w:val="24"/>
          <w:lang w:val="en-US"/>
        </w:rPr>
        <w:t>per indifferentiam</w:t>
      </w:r>
      <w:r w:rsidR="00FD1E4A">
        <w:rPr>
          <w:rFonts w:ascii="Times New Roman" w:hAnsi="Times New Roman"/>
          <w:sz w:val="24"/>
          <w:szCs w:val="24"/>
          <w:lang w:val="en-US"/>
        </w:rPr>
        <w:t>—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is to be understood as a real and positive feature); to Suárez (nature </w:t>
      </w:r>
      <w:r w:rsidR="00ED29D2" w:rsidRPr="00503A48">
        <w:rPr>
          <w:rFonts w:ascii="Times New Roman" w:hAnsi="Times New Roman"/>
          <w:i/>
          <w:sz w:val="24"/>
          <w:szCs w:val="24"/>
          <w:lang w:val="en-US"/>
        </w:rPr>
        <w:t>in re</w:t>
      </w:r>
      <w:r w:rsidR="00FD1E4A">
        <w:rPr>
          <w:rFonts w:ascii="Times New Roman" w:hAnsi="Times New Roman"/>
          <w:sz w:val="24"/>
          <w:szCs w:val="24"/>
          <w:lang w:val="en-US"/>
        </w:rPr>
        <w:t xml:space="preserve"> is not common—not even negatively </w:t>
      </w:r>
      <w:r w:rsidR="00FD1E4A">
        <w:rPr>
          <w:rFonts w:ascii="Times New Roman" w:hAnsi="Times New Roman"/>
          <w:sz w:val="24"/>
          <w:szCs w:val="24"/>
          <w:lang w:val="en-US"/>
        </w:rPr>
        <w:lastRenderedPageBreak/>
        <w:t>common—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but retains a remote aptitude to being in the many); to the weakest form of Poinsot (nature </w:t>
      </w:r>
      <w:r w:rsidR="00ED29D2" w:rsidRPr="00503A48">
        <w:rPr>
          <w:rFonts w:ascii="Times New Roman" w:hAnsi="Times New Roman"/>
          <w:i/>
          <w:sz w:val="24"/>
          <w:szCs w:val="24"/>
          <w:lang w:val="en-US"/>
        </w:rPr>
        <w:t>in re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 is deprived of either community or aptitude to being in the many; nature’s form</w:t>
      </w:r>
      <w:r w:rsidR="00FD1E4A">
        <w:rPr>
          <w:rFonts w:ascii="Times New Roman" w:hAnsi="Times New Roman"/>
          <w:sz w:val="24"/>
          <w:szCs w:val="24"/>
          <w:lang w:val="en-US"/>
        </w:rPr>
        <w:t>al unity is utterly particulariz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ed and “absorbed” by the individual unity, so that what exists </w:t>
      </w:r>
      <w:r w:rsidR="00ED29D2" w:rsidRPr="00503A48">
        <w:rPr>
          <w:rFonts w:ascii="Times New Roman" w:hAnsi="Times New Roman"/>
          <w:i/>
          <w:sz w:val="24"/>
          <w:szCs w:val="24"/>
          <w:lang w:val="en-US"/>
        </w:rPr>
        <w:t>in re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 xml:space="preserve"> is only a plurality of essentially similar individuals of the same species). The second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 xml:space="preserve"> main topic is the distinction of the </w:t>
      </w:r>
      <w:r w:rsidR="00ED29D2" w:rsidRPr="009D115B">
        <w:rPr>
          <w:rFonts w:ascii="Times New Roman" w:hAnsi="Times New Roman"/>
          <w:i/>
          <w:sz w:val="24"/>
          <w:szCs w:val="24"/>
          <w:lang w:val="en-US"/>
        </w:rPr>
        <w:t>gradus metaphysici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 xml:space="preserve"> corresponding to the predicates of Porphyry</w:t>
      </w:r>
      <w:r w:rsidR="00ED29D2" w:rsidRPr="00503A48">
        <w:rPr>
          <w:rFonts w:ascii="Times New Roman" w:hAnsi="Times New Roman"/>
          <w:sz w:val="24"/>
          <w:szCs w:val="24"/>
          <w:lang w:val="en-US"/>
        </w:rPr>
        <w:t>’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>s tree. This also includes considerations o</w:t>
      </w:r>
      <w:r w:rsidR="006E7C33">
        <w:rPr>
          <w:rFonts w:ascii="Times New Roman" w:hAnsi="Times New Roman"/>
          <w:sz w:val="24"/>
          <w:szCs w:val="24"/>
          <w:lang w:val="en-US"/>
        </w:rPr>
        <w:t>f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 xml:space="preserve"> the distinction betwe</w:t>
      </w:r>
      <w:r w:rsidR="006E7C33">
        <w:rPr>
          <w:rFonts w:ascii="Times New Roman" w:hAnsi="Times New Roman"/>
          <w:sz w:val="24"/>
          <w:szCs w:val="24"/>
          <w:lang w:val="en-US"/>
        </w:rPr>
        <w:t>e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>n the common nature and the individuating difference (haecceity), and is structured around two main sorts of distinction</w:t>
      </w:r>
      <w:r w:rsidR="006E7C33">
        <w:rPr>
          <w:rFonts w:ascii="Times New Roman" w:hAnsi="Times New Roman"/>
          <w:sz w:val="24"/>
          <w:szCs w:val="24"/>
          <w:lang w:val="en-US"/>
        </w:rPr>
        <w:t>: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 xml:space="preserve"> virtual distinction (Suárez, Poinsot) and formal distinction (Scotists). </w:t>
      </w:r>
      <w:r w:rsidR="00ED29D2">
        <w:rPr>
          <w:rFonts w:ascii="Times New Roman" w:hAnsi="Times New Roman"/>
          <w:sz w:val="24"/>
          <w:szCs w:val="24"/>
          <w:lang w:val="en-US"/>
        </w:rPr>
        <w:t>Third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>, Heider importantly investigates the psychogenesis of universals within each author’s theory of cognition</w:t>
      </w:r>
      <w:r w:rsidR="00ED29D2">
        <w:rPr>
          <w:rFonts w:ascii="Times New Roman" w:hAnsi="Times New Roman"/>
          <w:sz w:val="24"/>
          <w:szCs w:val="24"/>
          <w:lang w:val="en-US"/>
        </w:rPr>
        <w:t>. Finally, there is the issue of the quiddity of the logical universal, particularly with respect to the features of being in many (</w:t>
      </w:r>
      <w:r w:rsidR="00ED29D2" w:rsidRPr="00B76B9E">
        <w:rPr>
          <w:rFonts w:ascii="Times New Roman" w:hAnsi="Times New Roman"/>
          <w:i/>
          <w:sz w:val="24"/>
          <w:szCs w:val="24"/>
          <w:lang w:val="en-US"/>
        </w:rPr>
        <w:t>esse in</w:t>
      </w:r>
      <w:r w:rsidR="00ED29D2">
        <w:rPr>
          <w:rFonts w:ascii="Times New Roman" w:hAnsi="Times New Roman"/>
          <w:sz w:val="24"/>
          <w:szCs w:val="24"/>
          <w:lang w:val="en-US"/>
        </w:rPr>
        <w:t>) and being said of many (</w:t>
      </w:r>
      <w:r w:rsidR="00ED29D2" w:rsidRPr="00B76B9E">
        <w:rPr>
          <w:rFonts w:ascii="Times New Roman" w:hAnsi="Times New Roman"/>
          <w:i/>
          <w:sz w:val="24"/>
          <w:szCs w:val="24"/>
          <w:lang w:val="en-US"/>
        </w:rPr>
        <w:t>dici de</w:t>
      </w:r>
      <w:r w:rsidR="00ED29D2">
        <w:rPr>
          <w:rFonts w:ascii="Times New Roman" w:hAnsi="Times New Roman"/>
          <w:sz w:val="24"/>
          <w:szCs w:val="24"/>
          <w:lang w:val="en-US"/>
        </w:rPr>
        <w:t>).</w:t>
      </w:r>
    </w:p>
    <w:p w:rsidR="00ED29D2" w:rsidRDefault="00D23504" w:rsidP="00D23504">
      <w:pPr>
        <w:widowControl w:val="0"/>
        <w:tabs>
          <w:tab w:val="left" w:pos="720"/>
        </w:tabs>
        <w:spacing w:after="0" w:line="480" w:lineRule="exact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>The virtue of the book</w:t>
      </w:r>
      <w:r w:rsidR="00ED29D2">
        <w:rPr>
          <w:rFonts w:ascii="Times New Roman" w:hAnsi="Times New Roman"/>
          <w:sz w:val="24"/>
          <w:szCs w:val="24"/>
          <w:lang w:val="en-US"/>
        </w:rPr>
        <w:t>, no doubt a reference for research on the subject,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 xml:space="preserve"> lies in painstakingly following the full complexities of the debate </w:t>
      </w:r>
      <w:r w:rsidR="00CA134F">
        <w:rPr>
          <w:rFonts w:ascii="Times New Roman" w:hAnsi="Times New Roman"/>
          <w:sz w:val="24"/>
          <w:szCs w:val="24"/>
          <w:lang w:val="en-US"/>
        </w:rPr>
        <w:t xml:space="preserve">being </w:t>
      </w:r>
      <w:r w:rsidR="003718B6">
        <w:rPr>
          <w:rFonts w:ascii="Times New Roman" w:hAnsi="Times New Roman"/>
          <w:sz w:val="24"/>
          <w:szCs w:val="24"/>
          <w:lang w:val="en-US"/>
        </w:rPr>
        <w:t>analyz</w:t>
      </w:r>
      <w:r w:rsidR="00ED29D2" w:rsidRPr="009D115B">
        <w:rPr>
          <w:rFonts w:ascii="Times New Roman" w:hAnsi="Times New Roman"/>
          <w:sz w:val="24"/>
          <w:szCs w:val="24"/>
          <w:lang w:val="en-US"/>
        </w:rPr>
        <w:t>ed. It is also successful in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 approaching the subject in a comparative </w:t>
      </w:r>
      <w:r w:rsidR="00ED29D2" w:rsidRPr="009E091E">
        <w:rPr>
          <w:rFonts w:ascii="Times New Roman" w:hAnsi="Times New Roman"/>
          <w:sz w:val="24"/>
          <w:szCs w:val="24"/>
          <w:lang w:val="en-US"/>
        </w:rPr>
        <w:t>way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 (Heider’</w:t>
      </w:r>
      <w:r w:rsidR="00ED29D2" w:rsidRPr="009E091E">
        <w:rPr>
          <w:rFonts w:ascii="Times New Roman" w:hAnsi="Times New Roman"/>
          <w:sz w:val="24"/>
          <w:szCs w:val="24"/>
          <w:lang w:val="en-US"/>
        </w:rPr>
        <w:t>s comparisons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 extend</w:t>
      </w:r>
      <w:r w:rsidR="00ED29D2" w:rsidRPr="009E091E">
        <w:rPr>
          <w:rFonts w:ascii="Times New Roman" w:hAnsi="Times New Roman"/>
          <w:sz w:val="24"/>
          <w:szCs w:val="24"/>
          <w:lang w:val="en-US"/>
        </w:rPr>
        <w:t xml:space="preserve">, in fact, 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to </w:t>
      </w:r>
      <w:r w:rsidR="00ED29D2" w:rsidRPr="009E091E">
        <w:rPr>
          <w:rFonts w:ascii="Times New Roman" w:hAnsi="Times New Roman"/>
          <w:sz w:val="24"/>
          <w:szCs w:val="24"/>
          <w:lang w:val="en-US"/>
        </w:rPr>
        <w:t>many more authors than the three main ones structuring the volume)</w:t>
      </w:r>
      <w:r w:rsidR="00ED29D2">
        <w:rPr>
          <w:rFonts w:ascii="Times New Roman" w:hAnsi="Times New Roman"/>
          <w:sz w:val="24"/>
          <w:szCs w:val="24"/>
          <w:lang w:val="en-US"/>
        </w:rPr>
        <w:t xml:space="preserve">. In this way, and not insignificantly, the author </w:t>
      </w:r>
      <w:r w:rsidR="00ED29D2" w:rsidRPr="009E091E">
        <w:rPr>
          <w:rFonts w:ascii="Times New Roman" w:hAnsi="Times New Roman"/>
          <w:sz w:val="24"/>
          <w:szCs w:val="24"/>
          <w:lang w:val="en-US"/>
        </w:rPr>
        <w:t>convey</w:t>
      </w:r>
      <w:r w:rsidR="00ED29D2">
        <w:rPr>
          <w:rFonts w:ascii="Times New Roman" w:hAnsi="Times New Roman"/>
          <w:sz w:val="24"/>
          <w:szCs w:val="24"/>
          <w:lang w:val="en-US"/>
        </w:rPr>
        <w:t>s</w:t>
      </w:r>
      <w:r w:rsidR="00ED29D2" w:rsidRPr="009E091E">
        <w:rPr>
          <w:rFonts w:ascii="Times New Roman" w:hAnsi="Times New Roman"/>
          <w:sz w:val="24"/>
          <w:szCs w:val="24"/>
          <w:lang w:val="en-US"/>
        </w:rPr>
        <w:t xml:space="preserve"> the eminently dialogical way in which </w:t>
      </w:r>
      <w:r w:rsidR="00ED29D2">
        <w:rPr>
          <w:rFonts w:ascii="Times New Roman" w:hAnsi="Times New Roman"/>
          <w:sz w:val="24"/>
          <w:szCs w:val="24"/>
          <w:lang w:val="en-US"/>
        </w:rPr>
        <w:t>Second Scholastic</w:t>
      </w:r>
      <w:r w:rsidR="00ED29D2" w:rsidRPr="009E091E">
        <w:rPr>
          <w:rFonts w:ascii="Times New Roman" w:hAnsi="Times New Roman"/>
          <w:sz w:val="24"/>
          <w:szCs w:val="24"/>
          <w:lang w:val="en-US"/>
        </w:rPr>
        <w:t xml:space="preserve"> positions developed through reacting to one another.</w:t>
      </w:r>
    </w:p>
    <w:p w:rsidR="00905478" w:rsidRPr="00D23504" w:rsidRDefault="00291540" w:rsidP="00D23504">
      <w:pPr>
        <w:widowControl w:val="0"/>
        <w:spacing w:after="0" w:line="480" w:lineRule="exact"/>
        <w:ind w:right="720" w:firstLine="397"/>
        <w:contextualSpacing/>
        <w:jc w:val="right"/>
        <w:rPr>
          <w:rFonts w:ascii="Times New Roman" w:hAnsi="Times New Roman"/>
          <w:smallCaps/>
          <w:spacing w:val="20"/>
          <w:sz w:val="24"/>
          <w:szCs w:val="24"/>
          <w:lang w:val="en-US"/>
        </w:rPr>
      </w:pPr>
      <w:r>
        <w:rPr>
          <w:rFonts w:ascii="Times New Roman" w:hAnsi="Times New Roman"/>
          <w:smallCaps/>
          <w:spacing w:val="20"/>
          <w:sz w:val="24"/>
          <w:szCs w:val="24"/>
          <w:lang w:val="en-US"/>
        </w:rPr>
        <w:t>Cate</w:t>
      </w:r>
      <w:bookmarkStart w:id="0" w:name="_GoBack"/>
      <w:bookmarkEnd w:id="0"/>
      <w:r w:rsidR="00905478" w:rsidRPr="00D23504">
        <w:rPr>
          <w:rFonts w:ascii="Times New Roman" w:hAnsi="Times New Roman"/>
          <w:smallCaps/>
          <w:spacing w:val="20"/>
          <w:sz w:val="24"/>
          <w:szCs w:val="24"/>
          <w:lang w:val="en-US"/>
        </w:rPr>
        <w:t>rina Tarlazzi</w:t>
      </w:r>
    </w:p>
    <w:p w:rsidR="00ED29D2" w:rsidRPr="00D23504" w:rsidRDefault="00ED29D2" w:rsidP="00D23504">
      <w:pPr>
        <w:widowControl w:val="0"/>
        <w:spacing w:after="0" w:line="480" w:lineRule="exact"/>
        <w:contextualSpacing/>
        <w:rPr>
          <w:rFonts w:ascii="Times New Roman" w:hAnsi="Times New Roman"/>
          <w:i/>
          <w:sz w:val="24"/>
          <w:szCs w:val="24"/>
          <w:lang w:val="en-US"/>
        </w:rPr>
      </w:pPr>
      <w:r w:rsidRPr="00342512">
        <w:rPr>
          <w:rFonts w:ascii="Times New Roman" w:hAnsi="Times New Roman"/>
          <w:i/>
          <w:sz w:val="24"/>
          <w:szCs w:val="24"/>
          <w:lang w:val="en-US"/>
        </w:rPr>
        <w:t>University of Cambridge</w:t>
      </w:r>
    </w:p>
    <w:sectPr w:rsidR="00ED29D2" w:rsidRPr="00D23504" w:rsidSect="00D235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2C6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9E0259"/>
    <w:rsid w:val="00020DAF"/>
    <w:rsid w:val="00035BE4"/>
    <w:rsid w:val="000433E0"/>
    <w:rsid w:val="000559D9"/>
    <w:rsid w:val="00056465"/>
    <w:rsid w:val="00064203"/>
    <w:rsid w:val="00064CE4"/>
    <w:rsid w:val="000717E7"/>
    <w:rsid w:val="000970FA"/>
    <w:rsid w:val="000C055C"/>
    <w:rsid w:val="000C0696"/>
    <w:rsid w:val="000C749D"/>
    <w:rsid w:val="000C74C0"/>
    <w:rsid w:val="000C779B"/>
    <w:rsid w:val="000F208D"/>
    <w:rsid w:val="000F20DB"/>
    <w:rsid w:val="0010706C"/>
    <w:rsid w:val="001342CF"/>
    <w:rsid w:val="0014270D"/>
    <w:rsid w:val="00147BD7"/>
    <w:rsid w:val="00196A8F"/>
    <w:rsid w:val="001A4030"/>
    <w:rsid w:val="001A6BA1"/>
    <w:rsid w:val="001C19C0"/>
    <w:rsid w:val="001C1A9C"/>
    <w:rsid w:val="001C250D"/>
    <w:rsid w:val="001D5097"/>
    <w:rsid w:val="001E3F55"/>
    <w:rsid w:val="001E5788"/>
    <w:rsid w:val="001F1519"/>
    <w:rsid w:val="001F7623"/>
    <w:rsid w:val="00201C47"/>
    <w:rsid w:val="00225F1E"/>
    <w:rsid w:val="00246D8E"/>
    <w:rsid w:val="0025233D"/>
    <w:rsid w:val="00260517"/>
    <w:rsid w:val="002910A6"/>
    <w:rsid w:val="00291540"/>
    <w:rsid w:val="002C28E5"/>
    <w:rsid w:val="002D5792"/>
    <w:rsid w:val="002E3CC7"/>
    <w:rsid w:val="0030235D"/>
    <w:rsid w:val="00302458"/>
    <w:rsid w:val="0030731F"/>
    <w:rsid w:val="00317BC4"/>
    <w:rsid w:val="00325137"/>
    <w:rsid w:val="00333C1C"/>
    <w:rsid w:val="00334618"/>
    <w:rsid w:val="00342512"/>
    <w:rsid w:val="003565B6"/>
    <w:rsid w:val="00361180"/>
    <w:rsid w:val="00364428"/>
    <w:rsid w:val="003718B6"/>
    <w:rsid w:val="00376151"/>
    <w:rsid w:val="003939A3"/>
    <w:rsid w:val="003D40FF"/>
    <w:rsid w:val="003E4DF9"/>
    <w:rsid w:val="003E5F06"/>
    <w:rsid w:val="003E6D72"/>
    <w:rsid w:val="003F02D2"/>
    <w:rsid w:val="003F509E"/>
    <w:rsid w:val="00403347"/>
    <w:rsid w:val="00414170"/>
    <w:rsid w:val="004409E9"/>
    <w:rsid w:val="00445026"/>
    <w:rsid w:val="00446454"/>
    <w:rsid w:val="00453DD3"/>
    <w:rsid w:val="004730C5"/>
    <w:rsid w:val="00473852"/>
    <w:rsid w:val="00475710"/>
    <w:rsid w:val="0049301C"/>
    <w:rsid w:val="004A41D7"/>
    <w:rsid w:val="004C06CD"/>
    <w:rsid w:val="004C33B7"/>
    <w:rsid w:val="004D1F2E"/>
    <w:rsid w:val="004D4F47"/>
    <w:rsid w:val="004D6276"/>
    <w:rsid w:val="004E2115"/>
    <w:rsid w:val="005009A4"/>
    <w:rsid w:val="00503A48"/>
    <w:rsid w:val="005056B4"/>
    <w:rsid w:val="00516470"/>
    <w:rsid w:val="00527161"/>
    <w:rsid w:val="005333C5"/>
    <w:rsid w:val="005468D4"/>
    <w:rsid w:val="005570A4"/>
    <w:rsid w:val="00567291"/>
    <w:rsid w:val="00572711"/>
    <w:rsid w:val="00581E85"/>
    <w:rsid w:val="00592688"/>
    <w:rsid w:val="005A0DB9"/>
    <w:rsid w:val="005B46DE"/>
    <w:rsid w:val="005D07EC"/>
    <w:rsid w:val="005F69BF"/>
    <w:rsid w:val="00615E33"/>
    <w:rsid w:val="0063271C"/>
    <w:rsid w:val="00651CB8"/>
    <w:rsid w:val="006622D4"/>
    <w:rsid w:val="006810EF"/>
    <w:rsid w:val="006B0DA4"/>
    <w:rsid w:val="006B2F51"/>
    <w:rsid w:val="006D3F33"/>
    <w:rsid w:val="006E7C33"/>
    <w:rsid w:val="007158B6"/>
    <w:rsid w:val="007203B7"/>
    <w:rsid w:val="00742E0D"/>
    <w:rsid w:val="00767233"/>
    <w:rsid w:val="0078573E"/>
    <w:rsid w:val="00786DB0"/>
    <w:rsid w:val="007D7AE8"/>
    <w:rsid w:val="007E4F60"/>
    <w:rsid w:val="007F1C11"/>
    <w:rsid w:val="007F27B6"/>
    <w:rsid w:val="008055D8"/>
    <w:rsid w:val="00817BAF"/>
    <w:rsid w:val="0082499E"/>
    <w:rsid w:val="00831A2D"/>
    <w:rsid w:val="0083530C"/>
    <w:rsid w:val="00836307"/>
    <w:rsid w:val="00850E05"/>
    <w:rsid w:val="00854C63"/>
    <w:rsid w:val="00866D03"/>
    <w:rsid w:val="00880B20"/>
    <w:rsid w:val="00884F62"/>
    <w:rsid w:val="008C0D02"/>
    <w:rsid w:val="00905478"/>
    <w:rsid w:val="00916DFE"/>
    <w:rsid w:val="00932500"/>
    <w:rsid w:val="00933395"/>
    <w:rsid w:val="00940B96"/>
    <w:rsid w:val="00940E50"/>
    <w:rsid w:val="00950889"/>
    <w:rsid w:val="00955309"/>
    <w:rsid w:val="0095607E"/>
    <w:rsid w:val="009606F9"/>
    <w:rsid w:val="009733ED"/>
    <w:rsid w:val="009906C9"/>
    <w:rsid w:val="009B4F34"/>
    <w:rsid w:val="009C1AEA"/>
    <w:rsid w:val="009D115B"/>
    <w:rsid w:val="009E0259"/>
    <w:rsid w:val="009E091E"/>
    <w:rsid w:val="009E6B87"/>
    <w:rsid w:val="009F4F20"/>
    <w:rsid w:val="009F5A21"/>
    <w:rsid w:val="00A30918"/>
    <w:rsid w:val="00A34722"/>
    <w:rsid w:val="00A57A26"/>
    <w:rsid w:val="00A60ED2"/>
    <w:rsid w:val="00A70F00"/>
    <w:rsid w:val="00A86B36"/>
    <w:rsid w:val="00A9089C"/>
    <w:rsid w:val="00A95FD7"/>
    <w:rsid w:val="00AA0F81"/>
    <w:rsid w:val="00AB4B4D"/>
    <w:rsid w:val="00AB6E42"/>
    <w:rsid w:val="00AC0DD9"/>
    <w:rsid w:val="00AC66B4"/>
    <w:rsid w:val="00B41961"/>
    <w:rsid w:val="00B50464"/>
    <w:rsid w:val="00B55FCE"/>
    <w:rsid w:val="00B76B9E"/>
    <w:rsid w:val="00B9432C"/>
    <w:rsid w:val="00B9479A"/>
    <w:rsid w:val="00BA3FF7"/>
    <w:rsid w:val="00BB1EBD"/>
    <w:rsid w:val="00BC3EE2"/>
    <w:rsid w:val="00BC4801"/>
    <w:rsid w:val="00BF37D0"/>
    <w:rsid w:val="00C06677"/>
    <w:rsid w:val="00C260A1"/>
    <w:rsid w:val="00C320B4"/>
    <w:rsid w:val="00C50D6C"/>
    <w:rsid w:val="00C51680"/>
    <w:rsid w:val="00C5743E"/>
    <w:rsid w:val="00C61786"/>
    <w:rsid w:val="00C6738E"/>
    <w:rsid w:val="00C931CA"/>
    <w:rsid w:val="00C93A57"/>
    <w:rsid w:val="00C94E92"/>
    <w:rsid w:val="00C95893"/>
    <w:rsid w:val="00CA134F"/>
    <w:rsid w:val="00D23504"/>
    <w:rsid w:val="00D25C4A"/>
    <w:rsid w:val="00D2776B"/>
    <w:rsid w:val="00D32F93"/>
    <w:rsid w:val="00D37CEC"/>
    <w:rsid w:val="00D42AA4"/>
    <w:rsid w:val="00D706CE"/>
    <w:rsid w:val="00D7417B"/>
    <w:rsid w:val="00D820FB"/>
    <w:rsid w:val="00DA1967"/>
    <w:rsid w:val="00DA7D31"/>
    <w:rsid w:val="00DC0721"/>
    <w:rsid w:val="00E16A83"/>
    <w:rsid w:val="00E30D8B"/>
    <w:rsid w:val="00E37C52"/>
    <w:rsid w:val="00E4650F"/>
    <w:rsid w:val="00E86838"/>
    <w:rsid w:val="00EA16BD"/>
    <w:rsid w:val="00ED29D2"/>
    <w:rsid w:val="00ED5AB5"/>
    <w:rsid w:val="00EE51EC"/>
    <w:rsid w:val="00EF6D0E"/>
    <w:rsid w:val="00F057D9"/>
    <w:rsid w:val="00F36A84"/>
    <w:rsid w:val="00F7043B"/>
    <w:rsid w:val="00F73DAA"/>
    <w:rsid w:val="00F74639"/>
    <w:rsid w:val="00F81B9E"/>
    <w:rsid w:val="00FC37DC"/>
    <w:rsid w:val="00FD1E4A"/>
    <w:rsid w:val="00FD5C05"/>
    <w:rsid w:val="00FD71A7"/>
    <w:rsid w:val="00FE6731"/>
    <w:rsid w:val="00FF1107"/>
    <w:rsid w:val="00FF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79A"/>
    <w:pPr>
      <w:spacing w:after="200" w:line="276" w:lineRule="auto"/>
    </w:pPr>
    <w:rPr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E02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sid w:val="009E0259"/>
    <w:rPr>
      <w:rFonts w:ascii="Courier New" w:hAnsi="Courier New" w:cs="Courier New"/>
      <w:sz w:val="20"/>
      <w:szCs w:val="20"/>
      <w:lang w:eastAsia="it-IT"/>
    </w:rPr>
  </w:style>
  <w:style w:type="character" w:customStyle="1" w:styleId="MediumGrid11">
    <w:name w:val="Medium Grid 11"/>
    <w:uiPriority w:val="99"/>
    <w:semiHidden/>
    <w:rsid w:val="00446454"/>
    <w:rPr>
      <w:rFonts w:cs="Times New Roman"/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645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46454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5B46DE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B46DE"/>
    <w:pPr>
      <w:spacing w:line="240" w:lineRule="auto"/>
    </w:pPr>
    <w:rPr>
      <w:sz w:val="20"/>
      <w:szCs w:val="20"/>
      <w:lang/>
    </w:rPr>
  </w:style>
  <w:style w:type="character" w:customStyle="1" w:styleId="TestocommentoCarattere">
    <w:name w:val="Testo commento Carattere"/>
    <w:link w:val="Testocommento"/>
    <w:uiPriority w:val="99"/>
    <w:locked/>
    <w:rsid w:val="005B46DE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46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5B46DE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79A"/>
    <w:pPr>
      <w:spacing w:after="200" w:line="276" w:lineRule="auto"/>
    </w:pPr>
    <w:rPr>
      <w:sz w:val="22"/>
      <w:szCs w:val="22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02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it-IT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9E0259"/>
    <w:rPr>
      <w:rFonts w:ascii="Courier New" w:hAnsi="Courier New" w:cs="Courier New"/>
      <w:sz w:val="20"/>
      <w:szCs w:val="20"/>
      <w:lang w:val="x-none" w:eastAsia="it-IT"/>
    </w:rPr>
  </w:style>
  <w:style w:type="character" w:customStyle="1" w:styleId="MediumGrid11">
    <w:name w:val="Medium Grid 11"/>
    <w:uiPriority w:val="99"/>
    <w:semiHidden/>
    <w:rsid w:val="00446454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45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44645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B46D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6DE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5B46D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6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B46DE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Daniel Heider</vt:lpstr>
      <vt:lpstr>Daniel Heider</vt:lpstr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Heider</dc:title>
  <dc:creator>Caterina</dc:creator>
  <cp:lastModifiedBy>Caterina</cp:lastModifiedBy>
  <cp:revision>3</cp:revision>
  <dcterms:created xsi:type="dcterms:W3CDTF">2015-08-14T17:52:00Z</dcterms:created>
  <dcterms:modified xsi:type="dcterms:W3CDTF">2015-08-14T17:52:00Z</dcterms:modified>
</cp:coreProperties>
</file>