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21A6E2" w14:textId="77777777" w:rsidR="00F467BF" w:rsidRPr="00591F6E" w:rsidRDefault="00F467BF" w:rsidP="00662264">
      <w:pPr>
        <w:suppressLineNumbers/>
        <w:autoSpaceDE w:val="0"/>
        <w:autoSpaceDN w:val="0"/>
        <w:adjustRightInd w:val="0"/>
        <w:spacing w:line="432" w:lineRule="auto"/>
        <w:jc w:val="center"/>
        <w:rPr>
          <w:b/>
          <w:lang w:val="en-GB"/>
        </w:rPr>
      </w:pPr>
      <w:bookmarkStart w:id="0" w:name="_Hlk525135619"/>
      <w:bookmarkStart w:id="1" w:name="_GoBack"/>
      <w:bookmarkEnd w:id="1"/>
      <w:r w:rsidRPr="00591F6E">
        <w:rPr>
          <w:b/>
          <w:lang w:val="en-GB"/>
        </w:rPr>
        <w:t>Natural Resources and Conflict: A Meta-analysis of the Empirical Literature</w:t>
      </w:r>
    </w:p>
    <w:p w14:paraId="470BD876" w14:textId="77777777" w:rsidR="00F467BF" w:rsidRPr="00591F6E" w:rsidRDefault="00F467BF" w:rsidP="00F467BF">
      <w:pPr>
        <w:suppressLineNumbers/>
        <w:autoSpaceDE w:val="0"/>
        <w:autoSpaceDN w:val="0"/>
        <w:adjustRightInd w:val="0"/>
        <w:jc w:val="center"/>
        <w:rPr>
          <w:lang w:val="en-GB"/>
        </w:rPr>
      </w:pPr>
    </w:p>
    <w:p w14:paraId="2C7BEEBA" w14:textId="77777777" w:rsidR="00F467BF" w:rsidRPr="00591F6E" w:rsidRDefault="00F467BF" w:rsidP="00F467BF">
      <w:pPr>
        <w:suppressLineNumbers/>
        <w:autoSpaceDE w:val="0"/>
        <w:autoSpaceDN w:val="0"/>
        <w:adjustRightInd w:val="0"/>
        <w:jc w:val="both"/>
        <w:rPr>
          <w:lang w:val="en-GB"/>
        </w:rPr>
      </w:pPr>
    </w:p>
    <w:p w14:paraId="29821077" w14:textId="77777777" w:rsidR="00F467BF" w:rsidRPr="00591F6E" w:rsidRDefault="00F467BF" w:rsidP="00F467BF">
      <w:pPr>
        <w:suppressLineNumbers/>
        <w:autoSpaceDE w:val="0"/>
        <w:autoSpaceDN w:val="0"/>
        <w:adjustRightInd w:val="0"/>
        <w:jc w:val="center"/>
        <w:rPr>
          <w:b/>
          <w:lang w:val="en-GB"/>
        </w:rPr>
      </w:pPr>
      <w:r w:rsidRPr="00591F6E">
        <w:rPr>
          <w:b/>
          <w:lang w:val="en-GB"/>
        </w:rPr>
        <w:t>Abstract</w:t>
      </w:r>
    </w:p>
    <w:p w14:paraId="7DBE7639" w14:textId="77777777" w:rsidR="00F467BF" w:rsidRPr="00591F6E" w:rsidRDefault="00F467BF" w:rsidP="00F467BF">
      <w:pPr>
        <w:suppressLineNumbers/>
        <w:autoSpaceDE w:val="0"/>
        <w:autoSpaceDN w:val="0"/>
        <w:adjustRightInd w:val="0"/>
        <w:jc w:val="both"/>
        <w:rPr>
          <w:lang w:val="en-GB"/>
        </w:rPr>
      </w:pPr>
    </w:p>
    <w:p w14:paraId="0ECA767A" w14:textId="5557F625" w:rsidR="00F467BF" w:rsidRPr="00591F6E" w:rsidRDefault="00F467BF" w:rsidP="00F467BF">
      <w:pPr>
        <w:suppressLineNumbers/>
        <w:autoSpaceDE w:val="0"/>
        <w:autoSpaceDN w:val="0"/>
        <w:adjustRightInd w:val="0"/>
        <w:jc w:val="both"/>
        <w:rPr>
          <w:lang w:val="en-GB"/>
        </w:rPr>
      </w:pPr>
      <w:r w:rsidRPr="00591F6E">
        <w:rPr>
          <w:lang w:val="en-GB"/>
        </w:rPr>
        <w:t xml:space="preserve">The link between natural resources and conflict has been extensively analysed by the empirical literature. Yet, there is disagreement on both the existence and the type of relationship connecting resources to </w:t>
      </w:r>
      <w:r w:rsidR="00C116FF" w:rsidRPr="00591F6E">
        <w:rPr>
          <w:lang w:val="en-GB"/>
        </w:rPr>
        <w:t>conflict</w:t>
      </w:r>
      <w:r w:rsidRPr="00591F6E">
        <w:rPr>
          <w:lang w:val="en-GB"/>
        </w:rPr>
        <w:t>. Existing research has focused on demonstrating the impact of resource scarcity or abundance on the risk of conflict</w:t>
      </w:r>
      <w:r w:rsidR="00591F6E">
        <w:rPr>
          <w:lang w:val="en-GB"/>
        </w:rPr>
        <w:t xml:space="preserve"> but</w:t>
      </w:r>
      <w:r w:rsidRPr="00591F6E">
        <w:rPr>
          <w:lang w:val="en-GB"/>
        </w:rPr>
        <w:t xml:space="preserve"> no effort has explored the reasons behind the persisting disagreement among scholars. This paper seeks to remedy this imbalance by conducting a meta-analysis of the empirical literature that investigates the link between natural resources and conflict. We adopt an econometric approach to analyse more than 900 estimates from 41 articles. Our results show that both resource scarcity and abundance are associated with a higher probability of conflict. The direction and magnitude of the relationship depends on the type of resources and whether climate variables are controlled for. Specifically, the impact of the scarcity of </w:t>
      </w:r>
      <w:r w:rsidR="00A16801" w:rsidRPr="00591F6E">
        <w:rPr>
          <w:lang w:val="en-GB"/>
        </w:rPr>
        <w:t xml:space="preserve">agriculturally-related resources, such as </w:t>
      </w:r>
      <w:r w:rsidR="00F25407" w:rsidRPr="00591F6E">
        <w:rPr>
          <w:lang w:val="en-GB"/>
        </w:rPr>
        <w:t>land and vegetation</w:t>
      </w:r>
      <w:r w:rsidRPr="00591F6E">
        <w:rPr>
          <w:lang w:val="en-GB"/>
        </w:rPr>
        <w:t>, seems to be mediated by climate variables. We also find that the way conflicts and resources are operationalized together with methodological choices and model specifications, greatly influence the probability of finding a significant relationship between conflicts and resources.</w:t>
      </w:r>
    </w:p>
    <w:p w14:paraId="082FCCEA" w14:textId="77777777" w:rsidR="00F467BF" w:rsidRPr="00591F6E" w:rsidRDefault="00F467BF" w:rsidP="00F467BF">
      <w:pPr>
        <w:suppressLineNumbers/>
        <w:autoSpaceDE w:val="0"/>
        <w:autoSpaceDN w:val="0"/>
        <w:adjustRightInd w:val="0"/>
        <w:spacing w:line="432" w:lineRule="auto"/>
        <w:jc w:val="both"/>
        <w:rPr>
          <w:lang w:val="en-GB"/>
        </w:rPr>
      </w:pPr>
    </w:p>
    <w:p w14:paraId="2CD4CF07" w14:textId="77777777" w:rsidR="00F467BF" w:rsidRPr="00591F6E" w:rsidRDefault="00F467BF" w:rsidP="00F467BF">
      <w:pPr>
        <w:suppressLineNumbers/>
        <w:autoSpaceDE w:val="0"/>
        <w:autoSpaceDN w:val="0"/>
        <w:adjustRightInd w:val="0"/>
        <w:jc w:val="both"/>
        <w:rPr>
          <w:b/>
          <w:lang w:val="en-GB"/>
        </w:rPr>
      </w:pPr>
    </w:p>
    <w:p w14:paraId="7B1704D9" w14:textId="77777777" w:rsidR="00F467BF" w:rsidRPr="00591F6E" w:rsidRDefault="00F467BF" w:rsidP="00F467BF">
      <w:pPr>
        <w:suppressLineNumbers/>
        <w:autoSpaceDE w:val="0"/>
        <w:autoSpaceDN w:val="0"/>
        <w:adjustRightInd w:val="0"/>
        <w:jc w:val="both"/>
        <w:rPr>
          <w:b/>
          <w:lang w:val="en-GB"/>
        </w:rPr>
      </w:pPr>
      <w:bookmarkStart w:id="2" w:name="_Hlk528507195"/>
      <w:r w:rsidRPr="00591F6E">
        <w:rPr>
          <w:b/>
          <w:lang w:val="en-GB"/>
        </w:rPr>
        <w:t>Keywords</w:t>
      </w:r>
    </w:p>
    <w:p w14:paraId="3D21F9B6" w14:textId="77777777" w:rsidR="00F467BF" w:rsidRPr="00591F6E" w:rsidRDefault="00F467BF" w:rsidP="00F467BF">
      <w:pPr>
        <w:suppressLineNumbers/>
        <w:autoSpaceDE w:val="0"/>
        <w:autoSpaceDN w:val="0"/>
        <w:adjustRightInd w:val="0"/>
        <w:jc w:val="both"/>
        <w:rPr>
          <w:lang w:val="en-GB"/>
        </w:rPr>
      </w:pPr>
      <w:r w:rsidRPr="00591F6E">
        <w:rPr>
          <w:lang w:val="en-GB"/>
        </w:rPr>
        <w:t>Natural Resources; Conflict; Meta-analysis; Meta-Research; Climate-Conflict Nexus; Resources-driven issues</w:t>
      </w:r>
    </w:p>
    <w:p w14:paraId="5B757EC7" w14:textId="77777777" w:rsidR="00F467BF" w:rsidRPr="00591F6E" w:rsidRDefault="00F467BF" w:rsidP="00F467BF">
      <w:pPr>
        <w:suppressLineNumbers/>
        <w:autoSpaceDE w:val="0"/>
        <w:autoSpaceDN w:val="0"/>
        <w:adjustRightInd w:val="0"/>
        <w:jc w:val="both"/>
        <w:rPr>
          <w:b/>
          <w:lang w:val="en-GB"/>
        </w:rPr>
      </w:pPr>
    </w:p>
    <w:p w14:paraId="458D72F5" w14:textId="77777777" w:rsidR="00F467BF" w:rsidRPr="00591F6E" w:rsidRDefault="00F467BF" w:rsidP="00F467BF">
      <w:pPr>
        <w:suppressLineNumbers/>
        <w:autoSpaceDE w:val="0"/>
        <w:autoSpaceDN w:val="0"/>
        <w:adjustRightInd w:val="0"/>
        <w:jc w:val="both"/>
        <w:rPr>
          <w:b/>
          <w:lang w:val="en-GB"/>
        </w:rPr>
      </w:pPr>
      <w:r w:rsidRPr="00591F6E">
        <w:rPr>
          <w:b/>
          <w:lang w:val="en-GB"/>
        </w:rPr>
        <w:t xml:space="preserve">Highlights </w:t>
      </w:r>
    </w:p>
    <w:p w14:paraId="5E7FF299" w14:textId="77777777" w:rsidR="00F467BF" w:rsidRPr="00591F6E" w:rsidRDefault="00F467BF" w:rsidP="00F467BF">
      <w:pPr>
        <w:suppressLineNumbers/>
        <w:autoSpaceDE w:val="0"/>
        <w:autoSpaceDN w:val="0"/>
        <w:adjustRightInd w:val="0"/>
        <w:jc w:val="both"/>
        <w:rPr>
          <w:lang w:val="en-GB"/>
        </w:rPr>
      </w:pPr>
    </w:p>
    <w:p w14:paraId="6D8AD05D" w14:textId="2A8AC41B" w:rsidR="00F467BF" w:rsidRPr="00591F6E" w:rsidRDefault="00F467BF" w:rsidP="00F467BF">
      <w:pPr>
        <w:numPr>
          <w:ilvl w:val="0"/>
          <w:numId w:val="1"/>
        </w:numPr>
        <w:suppressLineNumbers/>
        <w:autoSpaceDE w:val="0"/>
        <w:autoSpaceDN w:val="0"/>
        <w:adjustRightInd w:val="0"/>
        <w:jc w:val="both"/>
        <w:rPr>
          <w:lang w:val="en-GB"/>
        </w:rPr>
      </w:pPr>
      <w:r w:rsidRPr="00591F6E">
        <w:rPr>
          <w:lang w:val="en-GB"/>
        </w:rPr>
        <w:t xml:space="preserve">Evidence from empirical studies </w:t>
      </w:r>
      <w:r w:rsidR="00591F6E">
        <w:rPr>
          <w:lang w:val="en-GB"/>
        </w:rPr>
        <w:t xml:space="preserve">suggests robust </w:t>
      </w:r>
      <w:r w:rsidRPr="00591F6E">
        <w:rPr>
          <w:lang w:val="en-GB"/>
        </w:rPr>
        <w:t>link between resources and conflict</w:t>
      </w:r>
    </w:p>
    <w:p w14:paraId="01687880" w14:textId="77777777" w:rsidR="00F467BF" w:rsidRPr="00591F6E" w:rsidRDefault="00F467BF" w:rsidP="00F467BF">
      <w:pPr>
        <w:numPr>
          <w:ilvl w:val="0"/>
          <w:numId w:val="1"/>
        </w:numPr>
        <w:suppressLineNumbers/>
        <w:autoSpaceDE w:val="0"/>
        <w:autoSpaceDN w:val="0"/>
        <w:adjustRightInd w:val="0"/>
        <w:jc w:val="both"/>
        <w:rPr>
          <w:lang w:val="en-GB"/>
        </w:rPr>
      </w:pPr>
      <w:r w:rsidRPr="00591F6E">
        <w:rPr>
          <w:lang w:val="en-GB"/>
        </w:rPr>
        <w:t>Climate influences the relationship between resource scarcity and conflict</w:t>
      </w:r>
    </w:p>
    <w:p w14:paraId="1FE36B97" w14:textId="77777777" w:rsidR="00F467BF" w:rsidRPr="00591F6E" w:rsidRDefault="00F467BF" w:rsidP="00F467BF">
      <w:pPr>
        <w:numPr>
          <w:ilvl w:val="0"/>
          <w:numId w:val="1"/>
        </w:numPr>
        <w:suppressLineNumbers/>
        <w:autoSpaceDE w:val="0"/>
        <w:autoSpaceDN w:val="0"/>
        <w:adjustRightInd w:val="0"/>
        <w:jc w:val="both"/>
        <w:rPr>
          <w:lang w:val="en-GB"/>
        </w:rPr>
      </w:pPr>
      <w:r w:rsidRPr="00591F6E">
        <w:rPr>
          <w:lang w:val="en-GB"/>
        </w:rPr>
        <w:t>Methodological features of the studies affect findings</w:t>
      </w:r>
    </w:p>
    <w:bookmarkEnd w:id="2"/>
    <w:p w14:paraId="72A35652" w14:textId="77777777" w:rsidR="00F467BF" w:rsidRPr="00591F6E" w:rsidRDefault="00F467BF" w:rsidP="00F467BF">
      <w:pPr>
        <w:suppressLineNumbers/>
        <w:autoSpaceDE w:val="0"/>
        <w:autoSpaceDN w:val="0"/>
        <w:adjustRightInd w:val="0"/>
        <w:jc w:val="both"/>
        <w:rPr>
          <w:b/>
          <w:lang w:val="en-GB"/>
        </w:rPr>
      </w:pPr>
    </w:p>
    <w:p w14:paraId="7F3384A7" w14:textId="77777777" w:rsidR="00F467BF" w:rsidRPr="00591F6E" w:rsidRDefault="00F467BF" w:rsidP="00F467BF">
      <w:pPr>
        <w:suppressLineNumbers/>
        <w:autoSpaceDE w:val="0"/>
        <w:autoSpaceDN w:val="0"/>
        <w:adjustRightInd w:val="0"/>
        <w:jc w:val="both"/>
        <w:rPr>
          <w:b/>
          <w:lang w:val="en-GB"/>
        </w:rPr>
      </w:pPr>
    </w:p>
    <w:p w14:paraId="767502CF" w14:textId="77777777" w:rsidR="00F467BF" w:rsidRPr="00591F6E" w:rsidRDefault="00F467BF" w:rsidP="00F467BF">
      <w:pPr>
        <w:suppressLineNumbers/>
        <w:autoSpaceDE w:val="0"/>
        <w:autoSpaceDN w:val="0"/>
        <w:adjustRightInd w:val="0"/>
        <w:jc w:val="both"/>
        <w:rPr>
          <w:b/>
          <w:lang w:val="en-GB"/>
        </w:rPr>
      </w:pPr>
      <w:r w:rsidRPr="00591F6E">
        <w:rPr>
          <w:b/>
          <w:lang w:val="en-GB"/>
        </w:rPr>
        <w:t>Conflict of Interest</w:t>
      </w:r>
    </w:p>
    <w:p w14:paraId="01F9C10E" w14:textId="77777777" w:rsidR="00F467BF" w:rsidRPr="00591F6E" w:rsidRDefault="00F467BF" w:rsidP="00F467BF">
      <w:pPr>
        <w:suppressLineNumbers/>
        <w:autoSpaceDE w:val="0"/>
        <w:autoSpaceDN w:val="0"/>
        <w:adjustRightInd w:val="0"/>
        <w:jc w:val="both"/>
        <w:rPr>
          <w:lang w:val="en-GB"/>
        </w:rPr>
      </w:pPr>
      <w:r w:rsidRPr="00591F6E">
        <w:rPr>
          <w:lang w:val="en-GB"/>
        </w:rPr>
        <w:t>The authors declare no conflict of interest.</w:t>
      </w:r>
    </w:p>
    <w:p w14:paraId="656FE151" w14:textId="77777777" w:rsidR="00F467BF" w:rsidRPr="00591F6E" w:rsidRDefault="00F467BF" w:rsidP="00F467BF">
      <w:pPr>
        <w:suppressLineNumbers/>
        <w:autoSpaceDE w:val="0"/>
        <w:autoSpaceDN w:val="0"/>
        <w:adjustRightInd w:val="0"/>
        <w:spacing w:line="360" w:lineRule="auto"/>
        <w:jc w:val="both"/>
        <w:rPr>
          <w:lang w:val="en-GB"/>
        </w:rPr>
      </w:pPr>
    </w:p>
    <w:p w14:paraId="1023D937" w14:textId="77777777" w:rsidR="00F467BF" w:rsidRPr="00591F6E" w:rsidRDefault="00F467BF" w:rsidP="00F467BF">
      <w:pPr>
        <w:suppressLineNumbers/>
        <w:autoSpaceDE w:val="0"/>
        <w:autoSpaceDN w:val="0"/>
        <w:adjustRightInd w:val="0"/>
        <w:spacing w:line="360" w:lineRule="auto"/>
        <w:jc w:val="both"/>
        <w:rPr>
          <w:b/>
          <w:lang w:val="en-GB"/>
        </w:rPr>
      </w:pPr>
      <w:r w:rsidRPr="00591F6E">
        <w:rPr>
          <w:b/>
          <w:lang w:val="en-GB"/>
        </w:rPr>
        <w:t>Funding</w:t>
      </w:r>
    </w:p>
    <w:p w14:paraId="4A50D5F7" w14:textId="77777777" w:rsidR="00F467BF" w:rsidRPr="00591F6E" w:rsidRDefault="00F467BF" w:rsidP="00F467BF">
      <w:pPr>
        <w:suppressLineNumbers/>
        <w:autoSpaceDE w:val="0"/>
        <w:autoSpaceDN w:val="0"/>
        <w:adjustRightInd w:val="0"/>
        <w:jc w:val="both"/>
        <w:rPr>
          <w:lang w:val="en-GB"/>
        </w:rPr>
      </w:pPr>
      <w:r w:rsidRPr="00591F6E">
        <w:rPr>
          <w:lang w:val="en-GB"/>
        </w:rPr>
        <w:t>This research did not receive any specific grant from funding agencies in the public, commercial, or non-profit sectors.</w:t>
      </w:r>
    </w:p>
    <w:p w14:paraId="5CDEA061" w14:textId="38EF37CA" w:rsidR="00603AB5" w:rsidRPr="00591F6E" w:rsidRDefault="00603AB5" w:rsidP="007E5CDA">
      <w:pPr>
        <w:suppressLineNumbers/>
        <w:autoSpaceDE w:val="0"/>
        <w:autoSpaceDN w:val="0"/>
        <w:adjustRightInd w:val="0"/>
        <w:spacing w:line="360" w:lineRule="auto"/>
        <w:jc w:val="both"/>
        <w:rPr>
          <w:b/>
          <w:sz w:val="20"/>
          <w:lang w:val="en-GB"/>
        </w:rPr>
      </w:pPr>
    </w:p>
    <w:p w14:paraId="4C3C1341" w14:textId="25DE2C81" w:rsidR="00603AB5" w:rsidRPr="00591F6E" w:rsidRDefault="00603AB5" w:rsidP="007E5CDA">
      <w:pPr>
        <w:suppressLineNumbers/>
        <w:autoSpaceDE w:val="0"/>
        <w:autoSpaceDN w:val="0"/>
        <w:adjustRightInd w:val="0"/>
        <w:spacing w:line="360" w:lineRule="auto"/>
        <w:jc w:val="both"/>
        <w:rPr>
          <w:b/>
          <w:sz w:val="20"/>
          <w:lang w:val="en-GB"/>
        </w:rPr>
      </w:pPr>
    </w:p>
    <w:p w14:paraId="575E08D5" w14:textId="78261335" w:rsidR="00603AB5" w:rsidRPr="00591F6E" w:rsidRDefault="00603AB5" w:rsidP="007E5CDA">
      <w:pPr>
        <w:suppressLineNumbers/>
        <w:autoSpaceDE w:val="0"/>
        <w:autoSpaceDN w:val="0"/>
        <w:adjustRightInd w:val="0"/>
        <w:spacing w:line="360" w:lineRule="auto"/>
        <w:jc w:val="both"/>
        <w:rPr>
          <w:b/>
          <w:sz w:val="20"/>
          <w:lang w:val="en-GB"/>
        </w:rPr>
      </w:pPr>
    </w:p>
    <w:p w14:paraId="67BBDF0C" w14:textId="2D68C6DF" w:rsidR="00603AB5" w:rsidRPr="00591F6E" w:rsidRDefault="00603AB5" w:rsidP="007E5CDA">
      <w:pPr>
        <w:suppressLineNumbers/>
        <w:autoSpaceDE w:val="0"/>
        <w:autoSpaceDN w:val="0"/>
        <w:adjustRightInd w:val="0"/>
        <w:spacing w:line="360" w:lineRule="auto"/>
        <w:jc w:val="both"/>
        <w:rPr>
          <w:b/>
          <w:sz w:val="20"/>
          <w:lang w:val="en-GB"/>
        </w:rPr>
      </w:pPr>
    </w:p>
    <w:p w14:paraId="27A227FD" w14:textId="17871C76" w:rsidR="00603AB5" w:rsidRPr="00591F6E" w:rsidRDefault="00603AB5" w:rsidP="007E5CDA">
      <w:pPr>
        <w:suppressLineNumbers/>
        <w:autoSpaceDE w:val="0"/>
        <w:autoSpaceDN w:val="0"/>
        <w:adjustRightInd w:val="0"/>
        <w:spacing w:line="360" w:lineRule="auto"/>
        <w:jc w:val="both"/>
        <w:rPr>
          <w:b/>
          <w:sz w:val="20"/>
          <w:lang w:val="en-GB"/>
        </w:rPr>
      </w:pPr>
    </w:p>
    <w:p w14:paraId="355B8C3F" w14:textId="14201B44" w:rsidR="00603AB5" w:rsidRPr="00591F6E" w:rsidRDefault="00603AB5" w:rsidP="007E5CDA">
      <w:pPr>
        <w:suppressLineNumbers/>
        <w:autoSpaceDE w:val="0"/>
        <w:autoSpaceDN w:val="0"/>
        <w:adjustRightInd w:val="0"/>
        <w:spacing w:line="360" w:lineRule="auto"/>
        <w:jc w:val="both"/>
        <w:rPr>
          <w:b/>
          <w:sz w:val="20"/>
          <w:lang w:val="en-GB"/>
        </w:rPr>
      </w:pPr>
    </w:p>
    <w:p w14:paraId="2EC2B308" w14:textId="2C480B2B" w:rsidR="00603AB5" w:rsidRPr="00591F6E" w:rsidRDefault="00603AB5" w:rsidP="007E5CDA">
      <w:pPr>
        <w:suppressLineNumbers/>
        <w:autoSpaceDE w:val="0"/>
        <w:autoSpaceDN w:val="0"/>
        <w:adjustRightInd w:val="0"/>
        <w:spacing w:line="360" w:lineRule="auto"/>
        <w:jc w:val="both"/>
        <w:rPr>
          <w:b/>
          <w:sz w:val="20"/>
          <w:lang w:val="en-GB"/>
        </w:rPr>
      </w:pPr>
    </w:p>
    <w:p w14:paraId="62E14A62" w14:textId="77EF82AA" w:rsidR="00603AB5" w:rsidRPr="00591F6E" w:rsidRDefault="00603AB5" w:rsidP="007E5CDA">
      <w:pPr>
        <w:suppressLineNumbers/>
        <w:autoSpaceDE w:val="0"/>
        <w:autoSpaceDN w:val="0"/>
        <w:adjustRightInd w:val="0"/>
        <w:spacing w:line="360" w:lineRule="auto"/>
        <w:jc w:val="both"/>
        <w:rPr>
          <w:b/>
          <w:sz w:val="20"/>
          <w:lang w:val="en-GB"/>
        </w:rPr>
      </w:pPr>
    </w:p>
    <w:p w14:paraId="3F80607C" w14:textId="1CC9A5F0" w:rsidR="00666AE5" w:rsidRPr="00591F6E" w:rsidRDefault="00683DF2" w:rsidP="00AC7669">
      <w:pPr>
        <w:pStyle w:val="Paragrafoelenco"/>
        <w:numPr>
          <w:ilvl w:val="0"/>
          <w:numId w:val="27"/>
        </w:numPr>
        <w:suppressLineNumbers/>
        <w:autoSpaceDE w:val="0"/>
        <w:autoSpaceDN w:val="0"/>
        <w:adjustRightInd w:val="0"/>
        <w:spacing w:line="240" w:lineRule="auto"/>
        <w:rPr>
          <w:b/>
          <w:i/>
          <w:sz w:val="20"/>
          <w:lang w:val="en-GB"/>
        </w:rPr>
      </w:pPr>
      <w:r w:rsidRPr="00591F6E">
        <w:rPr>
          <w:b/>
          <w:i/>
          <w:sz w:val="20"/>
          <w:lang w:val="en-GB"/>
        </w:rPr>
        <w:lastRenderedPageBreak/>
        <w:t>I</w:t>
      </w:r>
      <w:r w:rsidR="00666AE5" w:rsidRPr="00591F6E">
        <w:rPr>
          <w:b/>
          <w:i/>
          <w:sz w:val="20"/>
          <w:lang w:val="en-GB"/>
        </w:rPr>
        <w:t>ntroduction</w:t>
      </w:r>
    </w:p>
    <w:p w14:paraId="448C6E87" w14:textId="77777777" w:rsidR="00F5086C" w:rsidRPr="00591F6E" w:rsidRDefault="00F5086C" w:rsidP="007E5CDA">
      <w:pPr>
        <w:suppressLineNumbers/>
        <w:autoSpaceDE w:val="0"/>
        <w:autoSpaceDN w:val="0"/>
        <w:adjustRightInd w:val="0"/>
        <w:jc w:val="both"/>
        <w:rPr>
          <w:b/>
          <w:i/>
          <w:sz w:val="20"/>
          <w:lang w:val="en-GB"/>
        </w:rPr>
      </w:pPr>
    </w:p>
    <w:p w14:paraId="6E4CC52E" w14:textId="77777777" w:rsidR="00683DF2" w:rsidRPr="00591F6E" w:rsidRDefault="00683DF2" w:rsidP="007E5CDA">
      <w:pPr>
        <w:suppressLineNumbers/>
        <w:autoSpaceDE w:val="0"/>
        <w:autoSpaceDN w:val="0"/>
        <w:adjustRightInd w:val="0"/>
        <w:jc w:val="both"/>
        <w:rPr>
          <w:b/>
          <w:i/>
          <w:sz w:val="20"/>
          <w:lang w:val="en-GB"/>
        </w:rPr>
      </w:pPr>
    </w:p>
    <w:p w14:paraId="55F28F40" w14:textId="77777777" w:rsidR="00584A32" w:rsidRPr="00591F6E" w:rsidRDefault="00584A32" w:rsidP="00584A32">
      <w:pPr>
        <w:suppressLineNumbers/>
        <w:autoSpaceDE w:val="0"/>
        <w:autoSpaceDN w:val="0"/>
        <w:adjustRightInd w:val="0"/>
        <w:jc w:val="both"/>
        <w:rPr>
          <w:b/>
          <w:i/>
          <w:sz w:val="20"/>
          <w:lang w:val="en-GB"/>
        </w:rPr>
      </w:pPr>
    </w:p>
    <w:p w14:paraId="556E73C0" w14:textId="4F898B29" w:rsidR="00584A32" w:rsidRPr="00591F6E" w:rsidRDefault="00584A32" w:rsidP="00584A32">
      <w:pPr>
        <w:pStyle w:val="Stile1"/>
        <w:jc w:val="both"/>
        <w:rPr>
          <w:lang w:val="en-GB"/>
        </w:rPr>
      </w:pPr>
      <w:r w:rsidRPr="00591F6E">
        <w:rPr>
          <w:lang w:val="en-GB"/>
        </w:rPr>
        <w:t xml:space="preserve">A vast empirical literature has attempted to uncover the effect of natural resources on the onset, duration, and intensity of </w:t>
      </w:r>
      <w:r w:rsidR="0099173A" w:rsidRPr="00591F6E">
        <w:rPr>
          <w:lang w:val="en-GB"/>
        </w:rPr>
        <w:t>armed</w:t>
      </w:r>
      <w:r w:rsidRPr="00591F6E">
        <w:rPr>
          <w:lang w:val="en-GB"/>
        </w:rPr>
        <w:t xml:space="preserve"> conflict. The line of reasoning advanced by these studies centers around two main narratives; the ‘resource curse’ hypothesis, stating that the abundance of goods is connected to a higher likelihood of conflict, and the ‘resource scarcity’ theory, proposing that the scarcity of natural goods is associated with increased risk of violence. </w:t>
      </w:r>
    </w:p>
    <w:p w14:paraId="095B5D00" w14:textId="3056DBFA" w:rsidR="00584A32" w:rsidRPr="00591F6E" w:rsidRDefault="00584A32" w:rsidP="00584A32">
      <w:pPr>
        <w:pStyle w:val="Stile1"/>
        <w:jc w:val="both"/>
        <w:rPr>
          <w:szCs w:val="20"/>
          <w:lang w:val="en-GB"/>
        </w:rPr>
      </w:pPr>
      <w:r w:rsidRPr="00591F6E">
        <w:rPr>
          <w:lang w:val="en-GB"/>
        </w:rPr>
        <w:t xml:space="preserve">Yet, the mechanisms behind the resources-conflict nexus remain poorly understood and scholars do not concur about both the magnitude and the direction of this relationship. Differences in the results of the empirical studies may be primarily driven by the independent variable under investigation, as resources differ considerably for both their generative process (renewable or non-renewable), their use and applications for human life (from the essential worth of water, to the aesthetic and applied use of diamonds), their market value, or the extent and ease to which they can be expropriated, i.e. the so called </w:t>
      </w:r>
      <w:r w:rsidRPr="00591F6E">
        <w:rPr>
          <w:i/>
          <w:iCs/>
          <w:lang w:val="en-GB"/>
        </w:rPr>
        <w:t>lootability</w:t>
      </w:r>
      <w:r w:rsidRPr="00591F6E">
        <w:rPr>
          <w:lang w:val="en-GB"/>
        </w:rPr>
        <w:t xml:space="preserve">. Schematically, it is often assumed that the scarcity of renewable resources is associated with conflict, while the abundance of non-renewable resources is linked to violence (Koubi et al., 2013). However, a few </w:t>
      </w:r>
      <w:r w:rsidR="005E2F9D">
        <w:rPr>
          <w:lang w:val="en-GB"/>
        </w:rPr>
        <w:t xml:space="preserve">relatively </w:t>
      </w:r>
      <w:r w:rsidRPr="00591F6E">
        <w:rPr>
          <w:lang w:val="en-GB"/>
        </w:rPr>
        <w:t>recent empirical and qualitative studies cast doubts on this distinction,</w:t>
      </w:r>
      <w:r w:rsidR="002F3428" w:rsidRPr="00591F6E">
        <w:rPr>
          <w:lang w:val="en-GB"/>
        </w:rPr>
        <w:t xml:space="preserve"> </w:t>
      </w:r>
      <w:r w:rsidR="005E2F9D">
        <w:rPr>
          <w:lang w:val="en-GB"/>
        </w:rPr>
        <w:t xml:space="preserve">concluding </w:t>
      </w:r>
      <w:r w:rsidRPr="00591F6E">
        <w:rPr>
          <w:lang w:val="en-GB"/>
        </w:rPr>
        <w:t>that the abundance of renewable resources leads to increased likelihood of conflict (</w:t>
      </w:r>
      <w:r w:rsidRPr="00591F6E">
        <w:rPr>
          <w:szCs w:val="20"/>
          <w:lang w:val="en-GB"/>
        </w:rPr>
        <w:t xml:space="preserve">Brown, 2010; Hendrix and Salehyan, 2012; Theisen, 2012). Moreover, the differences in results across studies cannot be exclusively attributed to the type of resource </w:t>
      </w:r>
      <w:r w:rsidR="002F3428" w:rsidRPr="00591F6E">
        <w:rPr>
          <w:szCs w:val="20"/>
          <w:lang w:val="en-GB"/>
        </w:rPr>
        <w:t>under scrutiny</w:t>
      </w:r>
      <w:r w:rsidRPr="00591F6E">
        <w:rPr>
          <w:szCs w:val="20"/>
          <w:lang w:val="en-GB"/>
        </w:rPr>
        <w:t xml:space="preserve">, as the articles considerably differ with regards to the method </w:t>
      </w:r>
      <w:r w:rsidR="002F3428" w:rsidRPr="00591F6E">
        <w:rPr>
          <w:szCs w:val="20"/>
          <w:lang w:val="en-GB"/>
        </w:rPr>
        <w:t>adopted</w:t>
      </w:r>
      <w:r w:rsidRPr="00591F6E">
        <w:rPr>
          <w:szCs w:val="20"/>
          <w:lang w:val="en-GB"/>
        </w:rPr>
        <w:t xml:space="preserve">, the controls </w:t>
      </w:r>
      <w:r w:rsidR="002F3428" w:rsidRPr="00591F6E">
        <w:rPr>
          <w:szCs w:val="20"/>
          <w:lang w:val="en-GB"/>
        </w:rPr>
        <w:t>introduced</w:t>
      </w:r>
      <w:r w:rsidRPr="00591F6E">
        <w:rPr>
          <w:szCs w:val="20"/>
          <w:lang w:val="en-GB"/>
        </w:rPr>
        <w:t>, the operationalization of the main regressors, the data sources, and methodological aspects which likely influence the strength and direction of the empirical estimates. Explaining the effect of these methodological differences may help us understand the reasons behind the lack of consensus within the resources-conflict literature and shed a light on the broad implications of different research designs and operational choices.</w:t>
      </w:r>
    </w:p>
    <w:p w14:paraId="110B9116" w14:textId="0F41D878" w:rsidR="00584A32" w:rsidRPr="00591F6E" w:rsidRDefault="00584A32" w:rsidP="00584A32">
      <w:pPr>
        <w:pStyle w:val="Stile1"/>
        <w:jc w:val="both"/>
        <w:rPr>
          <w:lang w:val="en-GB"/>
        </w:rPr>
      </w:pPr>
      <w:r w:rsidRPr="00591F6E">
        <w:rPr>
          <w:szCs w:val="20"/>
          <w:lang w:val="en-GB"/>
        </w:rPr>
        <w:t>The present study</w:t>
      </w:r>
      <w:r w:rsidRPr="00591F6E">
        <w:rPr>
          <w:lang w:val="en-GB"/>
        </w:rPr>
        <w:t xml:space="preserve"> is the first attempt to quantitatively systematize the empirical literature </w:t>
      </w:r>
      <w:r w:rsidR="002F3428" w:rsidRPr="00591F6E">
        <w:rPr>
          <w:lang w:val="en-GB"/>
        </w:rPr>
        <w:t>that links</w:t>
      </w:r>
      <w:r w:rsidRPr="00591F6E">
        <w:rPr>
          <w:lang w:val="en-GB"/>
        </w:rPr>
        <w:t xml:space="preserve"> natural resources abundance/scarcity </w:t>
      </w:r>
      <w:r w:rsidR="002F3428" w:rsidRPr="00591F6E">
        <w:rPr>
          <w:lang w:val="en-GB"/>
        </w:rPr>
        <w:t>to</w:t>
      </w:r>
      <w:r w:rsidRPr="00591F6E">
        <w:rPr>
          <w:lang w:val="en-GB"/>
        </w:rPr>
        <w:t xml:space="preserve"> </w:t>
      </w:r>
      <w:r w:rsidR="0099173A" w:rsidRPr="00591F6E">
        <w:rPr>
          <w:lang w:val="en-GB"/>
        </w:rPr>
        <w:t>armed</w:t>
      </w:r>
      <w:r w:rsidR="00EC138F" w:rsidRPr="00591F6E">
        <w:rPr>
          <w:lang w:val="en-GB"/>
        </w:rPr>
        <w:t xml:space="preserve"> conflict</w:t>
      </w:r>
      <w:r w:rsidRPr="00591F6E">
        <w:rPr>
          <w:lang w:val="en-GB"/>
        </w:rPr>
        <w:t xml:space="preserve">, and to assess the role of multiple factors, including climate conditions, in influencing this relationship. To this end, we conduct a meta-analysis of the literature on natural resources and conflict, and quantitatively examine more than 40 empirical researches with a view to clarifying whether there is evidence of a relationship between natural resource abundance or scarcity and conflict. </w:t>
      </w:r>
      <w:r w:rsidR="00C171A6" w:rsidRPr="00591F6E">
        <w:rPr>
          <w:lang w:val="en-GB"/>
        </w:rPr>
        <w:t xml:space="preserve">The majority of these studies are concerned with civil conflict, defined as any incompatibility concerning government or territory, where the use of armed force between two parties, of which at least one is the government of a state, </w:t>
      </w:r>
      <w:r w:rsidR="00C171A6" w:rsidRPr="00591F6E">
        <w:rPr>
          <w:lang w:val="en-GB"/>
        </w:rPr>
        <w:lastRenderedPageBreak/>
        <w:t xml:space="preserve">results in a minimum of 25 battle-related deaths in one year (Gleditsch et al., 2002). </w:t>
      </w:r>
      <w:r w:rsidR="00E101F7" w:rsidRPr="00591F6E">
        <w:rPr>
          <w:lang w:val="en-GB"/>
        </w:rPr>
        <w:t>Some studies investigate lower-intensity forms of conflict, leading to at least one death in one calendar year (Sundberg and Melander, 2013). Therefore, i</w:t>
      </w:r>
      <w:r w:rsidR="0099173A" w:rsidRPr="00591F6E">
        <w:rPr>
          <w:lang w:val="en-GB"/>
        </w:rPr>
        <w:t xml:space="preserve">n line with the main empirical literature under investigation, in our empirical model </w:t>
      </w:r>
      <w:r w:rsidR="00C171A6" w:rsidRPr="00591F6E">
        <w:rPr>
          <w:lang w:val="en-GB"/>
        </w:rPr>
        <w:t>we focus on</w:t>
      </w:r>
      <w:r w:rsidR="0099173A" w:rsidRPr="00591F6E">
        <w:rPr>
          <w:lang w:val="en-GB"/>
        </w:rPr>
        <w:t xml:space="preserve"> armed intra-state conflict, which include both civil conflict </w:t>
      </w:r>
      <w:r w:rsidR="00C171A6" w:rsidRPr="00591F6E">
        <w:rPr>
          <w:lang w:val="en-GB"/>
        </w:rPr>
        <w:t>and</w:t>
      </w:r>
      <w:r w:rsidR="0099173A" w:rsidRPr="00591F6E">
        <w:rPr>
          <w:lang w:val="en-GB"/>
        </w:rPr>
        <w:t xml:space="preserve"> lower-intensity forms of violence </w:t>
      </w:r>
      <w:r w:rsidR="00E101F7" w:rsidRPr="00591F6E">
        <w:rPr>
          <w:lang w:val="en-GB"/>
        </w:rPr>
        <w:t>leading</w:t>
      </w:r>
      <w:r w:rsidR="0099173A" w:rsidRPr="00591F6E">
        <w:rPr>
          <w:lang w:val="en-GB"/>
        </w:rPr>
        <w:t xml:space="preserve"> to at least one death per year. </w:t>
      </w:r>
    </w:p>
    <w:p w14:paraId="03C9A26E" w14:textId="445C3810" w:rsidR="00584A32" w:rsidRPr="00591F6E" w:rsidRDefault="00584A32" w:rsidP="00584A32">
      <w:pPr>
        <w:pStyle w:val="Stile1"/>
        <w:jc w:val="both"/>
        <w:rPr>
          <w:lang w:val="en-GB"/>
        </w:rPr>
      </w:pPr>
      <w:r w:rsidRPr="00591F6E">
        <w:rPr>
          <w:lang w:val="en-GB"/>
        </w:rPr>
        <w:t xml:space="preserve">Extensive reviews have surveyed the literature on natural resources or more generally, environmental factors and conflict (Nillesen and Bulte, 2014; Mildner et al., 2011; Gleditsch, 2012; Cuvelier et al., 2014; Dell et al., 2014; Gleditsch, 2012) and a number of meta-regression analyses has recently addressed the literature on the climate-conflict nexus (Hsiang et a., 2013; Buhaug et al., 2014; Hsiang et al., 2014). However, these reviews are mainly qualitative in nature and do not provide a systematic explanation of why findings differ widely across studies, both as regards the magnitude and the direction of the resource-conflict relationship. To the best of our knowledge, only a recent meta-analytic study by O’Brochta (2019) has targeted the link between natural resource </w:t>
      </w:r>
      <w:r w:rsidRPr="00591F6E">
        <w:rPr>
          <w:i/>
          <w:lang w:val="en-GB"/>
        </w:rPr>
        <w:t>abundance</w:t>
      </w:r>
      <w:r w:rsidRPr="00591F6E">
        <w:rPr>
          <w:lang w:val="en-GB"/>
        </w:rPr>
        <w:t xml:space="preserve"> and conflict. While our study is similar to O’Brochta (2019) in the methodology, we advance the literature by including </w:t>
      </w:r>
      <w:r w:rsidR="009D6E46" w:rsidRPr="00591F6E">
        <w:rPr>
          <w:lang w:val="en-GB"/>
        </w:rPr>
        <w:t>all resource types (renewables and non-renewables) and different distributional patterns (</w:t>
      </w:r>
      <w:r w:rsidRPr="00591F6E">
        <w:rPr>
          <w:lang w:val="en-GB"/>
        </w:rPr>
        <w:t>scarcity</w:t>
      </w:r>
      <w:r w:rsidR="009D6E46" w:rsidRPr="00591F6E">
        <w:rPr>
          <w:lang w:val="en-GB"/>
        </w:rPr>
        <w:t xml:space="preserve"> and abundance) </w:t>
      </w:r>
      <w:r w:rsidRPr="00591F6E">
        <w:rPr>
          <w:lang w:val="en-GB"/>
        </w:rPr>
        <w:t>as a potential driver of conflict</w:t>
      </w:r>
      <w:r w:rsidR="009D6E46" w:rsidRPr="00591F6E">
        <w:rPr>
          <w:lang w:val="en-GB"/>
        </w:rPr>
        <w:t>, to systematize the difference</w:t>
      </w:r>
      <w:r w:rsidR="00EC138F" w:rsidRPr="00591F6E">
        <w:rPr>
          <w:lang w:val="en-GB"/>
        </w:rPr>
        <w:t>s</w:t>
      </w:r>
      <w:r w:rsidR="009D6E46" w:rsidRPr="00591F6E">
        <w:rPr>
          <w:lang w:val="en-GB"/>
        </w:rPr>
        <w:t xml:space="preserve"> and commonalities across the empirical literature and delve deeper into the mechanisms and dynamics connecting natural resources to conflict. Moreover, our meta-analytic analysis enables us to quantitatively and systematically</w:t>
      </w:r>
      <w:r w:rsidRPr="00591F6E">
        <w:rPr>
          <w:lang w:val="en-GB"/>
        </w:rPr>
        <w:t xml:space="preserve"> investigate the factors that influence the relationship between natural resources and violent outcomes. </w:t>
      </w:r>
      <w:r w:rsidR="009D6E46" w:rsidRPr="00591F6E">
        <w:rPr>
          <w:lang w:val="en-GB"/>
        </w:rPr>
        <w:t>Not in the least, a</w:t>
      </w:r>
      <w:r w:rsidRPr="00591F6E">
        <w:rPr>
          <w:lang w:val="en-GB"/>
        </w:rPr>
        <w:t xml:space="preserve"> major contribution of the present study is to analy</w:t>
      </w:r>
      <w:r w:rsidR="00DE1E54">
        <w:rPr>
          <w:lang w:val="en-GB"/>
        </w:rPr>
        <w:t>s</w:t>
      </w:r>
      <w:r w:rsidRPr="00591F6E">
        <w:rPr>
          <w:lang w:val="en-GB"/>
        </w:rPr>
        <w:t xml:space="preserve">e the role of climate in affecting the link between renewable natural resources and conflict. </w:t>
      </w:r>
    </w:p>
    <w:p w14:paraId="69691A98" w14:textId="737D4486" w:rsidR="00584A32" w:rsidRPr="00591F6E" w:rsidRDefault="00584A32" w:rsidP="00584A32">
      <w:pPr>
        <w:pStyle w:val="Stile1"/>
        <w:jc w:val="both"/>
        <w:rPr>
          <w:lang w:val="en-GB"/>
        </w:rPr>
      </w:pPr>
      <w:r w:rsidRPr="00591F6E">
        <w:rPr>
          <w:lang w:val="en-GB"/>
        </w:rPr>
        <w:t xml:space="preserve">Although the literature on resources and conflict dates back to the 1980s, it has re-taken central stage in the academic debate in recent years, due to a growing interest on the security implications of climate change. A rapidly growing body of research investigates the impact of weather shocks and climate change-driven temperatures and rainfall anomalies, on the risk of conflict (Gleditsch, 2012; Hsiang et al., 2013; Hsiang and Burke, 2014; Hsiang et al., 2014; Buhaug et al., 2015; Buhaug, 2016). Climate change is likely to increase the probability of conflict via a number of indirect pathways, including through its influence on the availability and distribution of natural resources (IPCC, 2014). Moreover, the effect of climatic shocks will be more or less destabilizing according to the specific context they act upon (Koubi, 2019). In our quantitative review, we do not focus directly on climate-change related studies but aim to understand how resources are related to conflict and whether climatic stressors such as temperature and precipitation affect this relationship. This would help shed </w:t>
      </w:r>
      <w:r w:rsidRPr="00591F6E">
        <w:rPr>
          <w:lang w:val="en-GB"/>
        </w:rPr>
        <w:lastRenderedPageBreak/>
        <w:t>light on the complex interactions between climatic changes, natural resources, and conflict</w:t>
      </w:r>
      <w:r w:rsidR="002F3428" w:rsidRPr="00591F6E">
        <w:rPr>
          <w:lang w:val="en-GB"/>
        </w:rPr>
        <w:t xml:space="preserve"> and clarify the influence of climatic variability on the resource-conflict nexus</w:t>
      </w:r>
      <w:r w:rsidRPr="00591F6E">
        <w:rPr>
          <w:lang w:val="en-GB"/>
        </w:rPr>
        <w:t xml:space="preserve">. </w:t>
      </w:r>
    </w:p>
    <w:p w14:paraId="002E21BF" w14:textId="356D3707" w:rsidR="00584A32" w:rsidRPr="00591F6E" w:rsidRDefault="00584A32" w:rsidP="00584A32">
      <w:pPr>
        <w:pStyle w:val="Stile1"/>
        <w:jc w:val="both"/>
        <w:rPr>
          <w:lang w:val="en-GB"/>
        </w:rPr>
      </w:pPr>
      <w:r w:rsidRPr="00591F6E">
        <w:rPr>
          <w:lang w:val="en-GB"/>
        </w:rPr>
        <w:t xml:space="preserve">The remainder of this paper is organized as follows; first, we review the main mechanisms leading from natural resource abundance or scarcity to conflict; section 2 presents the methodology and materials; while the final part summarizes the results and concludes. </w:t>
      </w:r>
    </w:p>
    <w:p w14:paraId="716FB420" w14:textId="77777777" w:rsidR="009D6E46" w:rsidRPr="00591F6E" w:rsidRDefault="009D6E46" w:rsidP="00584A32">
      <w:pPr>
        <w:pStyle w:val="Stile1"/>
        <w:jc w:val="both"/>
        <w:rPr>
          <w:lang w:val="en-GB"/>
        </w:rPr>
      </w:pPr>
    </w:p>
    <w:p w14:paraId="21F96B07" w14:textId="759E8D0E" w:rsidR="003342B2" w:rsidRPr="00591F6E" w:rsidRDefault="003342B2" w:rsidP="00AC7669">
      <w:pPr>
        <w:pStyle w:val="Stile1"/>
        <w:numPr>
          <w:ilvl w:val="1"/>
          <w:numId w:val="27"/>
        </w:numPr>
        <w:jc w:val="both"/>
        <w:rPr>
          <w:b/>
          <w:i/>
          <w:lang w:val="en-GB"/>
        </w:rPr>
      </w:pPr>
      <w:r w:rsidRPr="00591F6E">
        <w:rPr>
          <w:b/>
          <w:i/>
          <w:lang w:val="en-GB"/>
        </w:rPr>
        <w:t>Linking natural resources to conflict risk</w:t>
      </w:r>
    </w:p>
    <w:p w14:paraId="3BDD4A06" w14:textId="77777777" w:rsidR="00F5086C" w:rsidRPr="00591F6E" w:rsidRDefault="00F5086C" w:rsidP="007E5CDA">
      <w:pPr>
        <w:pStyle w:val="Stile1"/>
        <w:jc w:val="both"/>
        <w:rPr>
          <w:lang w:val="en-GB"/>
        </w:rPr>
      </w:pPr>
    </w:p>
    <w:p w14:paraId="3F1033EF" w14:textId="349CAC05" w:rsidR="00AB6632" w:rsidRPr="00591F6E" w:rsidRDefault="000C604A" w:rsidP="00AB6632">
      <w:pPr>
        <w:pStyle w:val="Stile1"/>
        <w:jc w:val="both"/>
        <w:rPr>
          <w:lang w:val="en-GB"/>
        </w:rPr>
      </w:pPr>
      <w:r w:rsidRPr="00591F6E">
        <w:rPr>
          <w:lang w:val="en-GB"/>
        </w:rPr>
        <w:t>T</w:t>
      </w:r>
      <w:r w:rsidR="00683DF2" w:rsidRPr="00591F6E">
        <w:rPr>
          <w:lang w:val="en-GB"/>
        </w:rPr>
        <w:t xml:space="preserve">he relationship between natural resources and </w:t>
      </w:r>
      <w:r w:rsidR="00EC138F" w:rsidRPr="00591F6E">
        <w:rPr>
          <w:lang w:val="en-GB"/>
        </w:rPr>
        <w:t xml:space="preserve">violent </w:t>
      </w:r>
      <w:r w:rsidR="00683DF2" w:rsidRPr="00591F6E">
        <w:rPr>
          <w:lang w:val="en-GB"/>
        </w:rPr>
        <w:t xml:space="preserve">conflict </w:t>
      </w:r>
      <w:r w:rsidR="000B119A" w:rsidRPr="00591F6E">
        <w:rPr>
          <w:lang w:val="en-GB"/>
        </w:rPr>
        <w:t xml:space="preserve">– hereby defined as any episode of violence which leads to at least one death per year –  </w:t>
      </w:r>
      <w:r w:rsidRPr="00591F6E">
        <w:rPr>
          <w:lang w:val="en-GB"/>
        </w:rPr>
        <w:t xml:space="preserve">can be viewed </w:t>
      </w:r>
      <w:r w:rsidR="00683DF2" w:rsidRPr="00591F6E">
        <w:rPr>
          <w:lang w:val="en-GB"/>
        </w:rPr>
        <w:t>in two stylized manners</w:t>
      </w:r>
      <w:r w:rsidRPr="00591F6E">
        <w:rPr>
          <w:lang w:val="en-GB"/>
        </w:rPr>
        <w:t>;</w:t>
      </w:r>
      <w:r w:rsidR="00683DF2" w:rsidRPr="00591F6E">
        <w:rPr>
          <w:lang w:val="en-GB"/>
        </w:rPr>
        <w:t xml:space="preserve"> one possible pathway links the scarcity of a resource to increased odds of violence</w:t>
      </w:r>
      <w:r w:rsidR="002A5B27" w:rsidRPr="00591F6E">
        <w:rPr>
          <w:lang w:val="en-GB"/>
        </w:rPr>
        <w:t xml:space="preserve">; </w:t>
      </w:r>
      <w:r w:rsidR="003E7E1A" w:rsidRPr="00591F6E">
        <w:rPr>
          <w:lang w:val="en-GB"/>
        </w:rPr>
        <w:t xml:space="preserve">the </w:t>
      </w:r>
      <w:r w:rsidR="00D16257" w:rsidRPr="00591F6E">
        <w:rPr>
          <w:lang w:val="en-GB"/>
        </w:rPr>
        <w:t>other</w:t>
      </w:r>
      <w:r w:rsidR="002A5B27" w:rsidRPr="00591F6E">
        <w:rPr>
          <w:lang w:val="en-GB"/>
        </w:rPr>
        <w:t xml:space="preserve"> </w:t>
      </w:r>
      <w:r w:rsidR="00D16257" w:rsidRPr="00591F6E">
        <w:rPr>
          <w:lang w:val="en-GB"/>
        </w:rPr>
        <w:t xml:space="preserve">hypothesis, </w:t>
      </w:r>
      <w:r w:rsidR="00B76E14" w:rsidRPr="00591F6E">
        <w:rPr>
          <w:lang w:val="en-GB"/>
        </w:rPr>
        <w:t xml:space="preserve">broadly </w:t>
      </w:r>
      <w:r w:rsidR="00D16257" w:rsidRPr="00591F6E">
        <w:rPr>
          <w:lang w:val="en-GB"/>
        </w:rPr>
        <w:t>known as ‘resource curse’,</w:t>
      </w:r>
      <w:r w:rsidR="002A5B27" w:rsidRPr="00591F6E">
        <w:rPr>
          <w:lang w:val="en-GB"/>
        </w:rPr>
        <w:t xml:space="preserve"> </w:t>
      </w:r>
      <w:r w:rsidR="00683DF2" w:rsidRPr="00591F6E">
        <w:rPr>
          <w:lang w:val="en-GB"/>
        </w:rPr>
        <w:t xml:space="preserve">connects the abundance of natural goods to </w:t>
      </w:r>
      <w:r w:rsidR="002A5B27" w:rsidRPr="00591F6E">
        <w:rPr>
          <w:lang w:val="en-GB"/>
        </w:rPr>
        <w:t>violent conflict</w:t>
      </w:r>
      <w:r w:rsidR="00683DF2" w:rsidRPr="00591F6E">
        <w:rPr>
          <w:lang w:val="en-GB"/>
        </w:rPr>
        <w:t xml:space="preserve">. </w:t>
      </w:r>
      <w:r w:rsidR="00A80762" w:rsidRPr="00591F6E">
        <w:rPr>
          <w:lang w:val="en-GB"/>
        </w:rPr>
        <w:t>Schematically</w:t>
      </w:r>
      <w:r w:rsidR="005D7156" w:rsidRPr="00591F6E">
        <w:rPr>
          <w:lang w:val="en-GB"/>
        </w:rPr>
        <w:t xml:space="preserve">, </w:t>
      </w:r>
      <w:r w:rsidR="00A80762" w:rsidRPr="00591F6E">
        <w:rPr>
          <w:lang w:val="en-GB"/>
        </w:rPr>
        <w:t>reviews</w:t>
      </w:r>
      <w:r w:rsidR="005D7156" w:rsidRPr="00591F6E">
        <w:rPr>
          <w:lang w:val="en-GB"/>
        </w:rPr>
        <w:t xml:space="preserve"> of this literature </w:t>
      </w:r>
      <w:r w:rsidR="00A80762" w:rsidRPr="00591F6E">
        <w:rPr>
          <w:lang w:val="en-GB"/>
        </w:rPr>
        <w:t xml:space="preserve">(e.g. Koubi et al., 2013) </w:t>
      </w:r>
      <w:r w:rsidR="005D7156" w:rsidRPr="00591F6E">
        <w:rPr>
          <w:lang w:val="en-GB"/>
        </w:rPr>
        <w:t xml:space="preserve">have </w:t>
      </w:r>
      <w:r w:rsidR="00A23793" w:rsidRPr="00591F6E">
        <w:rPr>
          <w:lang w:val="en-GB"/>
        </w:rPr>
        <w:t xml:space="preserve">associated highly profitable, non-renewable resources to the first pathway and renewable resources to the second </w:t>
      </w:r>
      <w:r w:rsidR="00B76E14" w:rsidRPr="00591F6E">
        <w:rPr>
          <w:lang w:val="en-GB"/>
        </w:rPr>
        <w:t xml:space="preserve">type of </w:t>
      </w:r>
      <w:r w:rsidR="00A23793" w:rsidRPr="00591F6E">
        <w:rPr>
          <w:lang w:val="en-GB"/>
        </w:rPr>
        <w:t>mechanism</w:t>
      </w:r>
      <w:r w:rsidR="005D7156" w:rsidRPr="00591F6E">
        <w:rPr>
          <w:lang w:val="en-GB"/>
        </w:rPr>
        <w:t xml:space="preserve">.  Arguably, when reviewing this literature, we may be prone to think that studies that focus on abundance of natural resources and analyses of resource scarcity cannot be compared, as they examine </w:t>
      </w:r>
      <w:r w:rsidR="00A23793" w:rsidRPr="00591F6E">
        <w:rPr>
          <w:lang w:val="en-GB"/>
        </w:rPr>
        <w:t>incommensurable</w:t>
      </w:r>
      <w:r w:rsidR="005D7156" w:rsidRPr="00591F6E">
        <w:rPr>
          <w:lang w:val="en-GB"/>
        </w:rPr>
        <w:t xml:space="preserve"> mechanisms and investigate </w:t>
      </w:r>
      <w:r w:rsidR="00A23793" w:rsidRPr="00591F6E">
        <w:rPr>
          <w:lang w:val="en-GB"/>
        </w:rPr>
        <w:t>various</w:t>
      </w:r>
      <w:r w:rsidR="005D7156" w:rsidRPr="00591F6E">
        <w:rPr>
          <w:lang w:val="en-GB"/>
        </w:rPr>
        <w:t xml:space="preserve"> types of resources. However, the traditional assumption that conflict is linked to non-renewable resources through abundance, while renewables may have a destabilizing effect for societies</w:t>
      </w:r>
      <w:r w:rsidR="00A23793" w:rsidRPr="00591F6E">
        <w:rPr>
          <w:lang w:val="en-GB"/>
        </w:rPr>
        <w:t xml:space="preserve"> only when they get scarce</w:t>
      </w:r>
      <w:r w:rsidR="005D7156" w:rsidRPr="00591F6E">
        <w:rPr>
          <w:lang w:val="en-GB"/>
        </w:rPr>
        <w:t>, is often contradicted by empirical evidence. In fact</w:t>
      </w:r>
      <w:r w:rsidR="00AB6632" w:rsidRPr="00591F6E">
        <w:rPr>
          <w:lang w:val="en-GB"/>
        </w:rPr>
        <w:t>, the dynamics activated by abundance and scarcity of a resource often intertwine</w:t>
      </w:r>
      <w:r w:rsidR="00D16257" w:rsidRPr="00591F6E">
        <w:rPr>
          <w:lang w:val="en-GB"/>
        </w:rPr>
        <w:t xml:space="preserve"> (Figure 1)</w:t>
      </w:r>
      <w:r w:rsidR="00EC138F" w:rsidRPr="00591F6E">
        <w:rPr>
          <w:lang w:val="en-GB"/>
        </w:rPr>
        <w:t xml:space="preserve">, </w:t>
      </w:r>
      <w:r w:rsidR="005D7156" w:rsidRPr="00591F6E">
        <w:rPr>
          <w:lang w:val="en-GB"/>
        </w:rPr>
        <w:t>and although</w:t>
      </w:r>
      <w:r w:rsidR="00AB6632" w:rsidRPr="00591F6E">
        <w:rPr>
          <w:lang w:val="en-GB"/>
        </w:rPr>
        <w:t xml:space="preserve"> </w:t>
      </w:r>
      <w:r w:rsidR="00EC138F" w:rsidRPr="00591F6E">
        <w:rPr>
          <w:lang w:val="en-GB"/>
        </w:rPr>
        <w:t>the m</w:t>
      </w:r>
      <w:r w:rsidR="005D7156" w:rsidRPr="00591F6E">
        <w:rPr>
          <w:lang w:val="en-GB"/>
        </w:rPr>
        <w:t xml:space="preserve">otivations </w:t>
      </w:r>
      <w:r w:rsidR="00A23793" w:rsidRPr="00591F6E">
        <w:rPr>
          <w:lang w:val="en-GB"/>
        </w:rPr>
        <w:t>behind</w:t>
      </w:r>
      <w:r w:rsidR="005D7156" w:rsidRPr="00591F6E">
        <w:rPr>
          <w:lang w:val="en-GB"/>
        </w:rPr>
        <w:t xml:space="preserve"> </w:t>
      </w:r>
      <w:r w:rsidR="00EC138F" w:rsidRPr="00591F6E">
        <w:rPr>
          <w:lang w:val="en-GB"/>
        </w:rPr>
        <w:t xml:space="preserve">conflict </w:t>
      </w:r>
      <w:r w:rsidR="005D7156" w:rsidRPr="00591F6E">
        <w:rPr>
          <w:lang w:val="en-GB"/>
        </w:rPr>
        <w:t xml:space="preserve">may </w:t>
      </w:r>
      <w:r w:rsidR="00D16257" w:rsidRPr="00591F6E">
        <w:rPr>
          <w:lang w:val="en-GB"/>
        </w:rPr>
        <w:t>differ according to the type of resource under examination</w:t>
      </w:r>
      <w:r w:rsidR="005D7156" w:rsidRPr="00591F6E">
        <w:rPr>
          <w:lang w:val="en-GB"/>
        </w:rPr>
        <w:t>, the mechanisms and pathways leading from natural resource abundance and scarcity to conflict are inherently interrelated</w:t>
      </w:r>
      <w:r w:rsidR="00D16257" w:rsidRPr="00591F6E">
        <w:rPr>
          <w:lang w:val="en-GB"/>
        </w:rPr>
        <w:t xml:space="preserve">. </w:t>
      </w:r>
      <w:r w:rsidR="005D7156" w:rsidRPr="00591F6E">
        <w:rPr>
          <w:lang w:val="en-GB"/>
        </w:rPr>
        <w:t>Generally, “neo-Malthusians” support the resource scarcity argument, neo-classical economists argue in favo</w:t>
      </w:r>
      <w:r w:rsidR="00DC4444">
        <w:rPr>
          <w:lang w:val="en-GB"/>
        </w:rPr>
        <w:t>u</w:t>
      </w:r>
      <w:r w:rsidR="005D7156" w:rsidRPr="00591F6E">
        <w:rPr>
          <w:lang w:val="en-GB"/>
        </w:rPr>
        <w:t>r of the resource curse, and political ecologists and ecological economists attempt to provide a broader explanation centered around the inequality in the access to resources (Figure 2). We illustrate the main mechanisms as follows.</w:t>
      </w:r>
    </w:p>
    <w:p w14:paraId="4F8AD750" w14:textId="35DE7EF8" w:rsidR="002A5B27" w:rsidRPr="00591F6E" w:rsidRDefault="002A5B27" w:rsidP="00AB6632">
      <w:pPr>
        <w:pStyle w:val="Stile1"/>
        <w:jc w:val="both"/>
        <w:rPr>
          <w:lang w:val="en-GB"/>
        </w:rPr>
      </w:pPr>
      <w:r w:rsidRPr="00591F6E">
        <w:rPr>
          <w:lang w:val="en-GB"/>
        </w:rPr>
        <w:t xml:space="preserve">First, </w:t>
      </w:r>
      <w:r w:rsidR="00517184" w:rsidRPr="00591F6E">
        <w:rPr>
          <w:lang w:val="en-GB"/>
        </w:rPr>
        <w:t>the ‘resource curse’ hypothesis advances that resource-rich states can fail to take advantage of their natural goods wealth, and thereby tend to be characterized by slower economic growth, less economic stability and higher rates of conflict (Humphreys, 2007). Non-renewable resource rents may boost political corruption, encourage harmful extractive practices</w:t>
      </w:r>
      <w:r w:rsidR="00C96F3B" w:rsidRPr="00591F6E">
        <w:rPr>
          <w:lang w:val="en-GB"/>
        </w:rPr>
        <w:t xml:space="preserve"> </w:t>
      </w:r>
      <w:r w:rsidR="00517184" w:rsidRPr="00591F6E">
        <w:rPr>
          <w:lang w:val="en-GB"/>
        </w:rPr>
        <w:t xml:space="preserve">and enhance related “development pathologies” (Kahl, 2008, p. 15 - Figure 2). One possibility linking the wealth of profitable resources to conflict passes through the incentive to loot highly valuable goods, which would encourage profit-seeking </w:t>
      </w:r>
      <w:r w:rsidR="001E3708" w:rsidRPr="00591F6E">
        <w:rPr>
          <w:lang w:val="en-GB"/>
        </w:rPr>
        <w:t>strategies aimed</w:t>
      </w:r>
      <w:r w:rsidR="00517184" w:rsidRPr="00591F6E">
        <w:rPr>
          <w:lang w:val="en-GB"/>
        </w:rPr>
        <w:t xml:space="preserve"> to mobilize and fight for seizing </w:t>
      </w:r>
      <w:r w:rsidR="001E3708" w:rsidRPr="00591F6E">
        <w:rPr>
          <w:lang w:val="en-GB"/>
        </w:rPr>
        <w:t xml:space="preserve">the </w:t>
      </w:r>
      <w:r w:rsidR="001E3708" w:rsidRPr="00591F6E">
        <w:rPr>
          <w:lang w:val="en-GB"/>
        </w:rPr>
        <w:lastRenderedPageBreak/>
        <w:t>resources and take advantage of their rents</w:t>
      </w:r>
      <w:r w:rsidR="00517184" w:rsidRPr="00591F6E">
        <w:rPr>
          <w:lang w:val="en-GB"/>
        </w:rPr>
        <w:t xml:space="preserve">. </w:t>
      </w:r>
      <w:r w:rsidR="001E3708" w:rsidRPr="00591F6E">
        <w:rPr>
          <w:lang w:val="en-GB"/>
        </w:rPr>
        <w:t xml:space="preserve">Arguably, marginalized groups would have lower opportunity costs of joining the fight, compared to the better prospect for personal enrichment (Collier and Hoffler, 1998; Collier et al., 2008) and the material reward promised by rebel leaders in exchange for joining the fight (Kalyvas, 2006). </w:t>
      </w:r>
      <w:r w:rsidR="00517184" w:rsidRPr="00591F6E">
        <w:rPr>
          <w:lang w:val="en-GB"/>
        </w:rPr>
        <w:t xml:space="preserve">In this perspective, individuals will be prone to </w:t>
      </w:r>
      <w:r w:rsidR="001E3708" w:rsidRPr="00591F6E">
        <w:rPr>
          <w:lang w:val="en-GB"/>
        </w:rPr>
        <w:t>combat</w:t>
      </w:r>
      <w:r w:rsidR="00517184" w:rsidRPr="00591F6E">
        <w:rPr>
          <w:lang w:val="en-GB"/>
        </w:rPr>
        <w:t xml:space="preserve"> for “greed”, as opposed to the traditional motives of </w:t>
      </w:r>
      <w:r w:rsidR="00517184" w:rsidRPr="00591F6E">
        <w:rPr>
          <w:i/>
          <w:lang w:val="en-GB"/>
        </w:rPr>
        <w:t>creed</w:t>
      </w:r>
      <w:r w:rsidR="00517184" w:rsidRPr="00591F6E">
        <w:rPr>
          <w:lang w:val="en-GB"/>
        </w:rPr>
        <w:t xml:space="preserve"> and </w:t>
      </w:r>
      <w:r w:rsidR="00517184" w:rsidRPr="00591F6E">
        <w:rPr>
          <w:i/>
          <w:lang w:val="en-GB"/>
        </w:rPr>
        <w:t>need</w:t>
      </w:r>
      <w:r w:rsidR="00517184" w:rsidRPr="00591F6E">
        <w:rPr>
          <w:lang w:val="en-GB"/>
        </w:rPr>
        <w:t xml:space="preserve"> (Collier and Hoffler, 1998). Likewise, resource-rich states may have an incentive to operate according to “rentier logics”, leading to widespread corruption, lack of transparency, poor rule of law, and weak institutions (Fearon and Latin, 2003; Basedau and Lay, 2009; Ross, 2013; Bayramov, 2018). </w:t>
      </w:r>
    </w:p>
    <w:p w14:paraId="108A6DE2" w14:textId="61DD10CA" w:rsidR="00AB6632" w:rsidRPr="00591F6E" w:rsidRDefault="00AB6632" w:rsidP="00AB6632">
      <w:pPr>
        <w:pStyle w:val="Stile1"/>
        <w:jc w:val="both"/>
        <w:rPr>
          <w:lang w:val="en-GB"/>
        </w:rPr>
      </w:pPr>
      <w:r w:rsidRPr="00591F6E">
        <w:rPr>
          <w:lang w:val="en-GB"/>
        </w:rPr>
        <w:t>Also, resource-rich countries may be affected by the “Dutch Disease”, whereby highly profitable resource</w:t>
      </w:r>
      <w:r w:rsidR="00A23793" w:rsidRPr="00591F6E">
        <w:rPr>
          <w:lang w:val="en-GB"/>
        </w:rPr>
        <w:t xml:space="preserve"> </w:t>
      </w:r>
      <w:r w:rsidRPr="00591F6E">
        <w:rPr>
          <w:lang w:val="en-GB"/>
        </w:rPr>
        <w:t>sectors can steal labo</w:t>
      </w:r>
      <w:r w:rsidR="00DC4444">
        <w:rPr>
          <w:lang w:val="en-GB"/>
        </w:rPr>
        <w:t>u</w:t>
      </w:r>
      <w:r w:rsidRPr="00591F6E">
        <w:rPr>
          <w:lang w:val="en-GB"/>
        </w:rPr>
        <w:t>r and capital from other economic sectors that could have positive externalities; they can induce inflation and appreciation of the exchange rate</w:t>
      </w:r>
      <w:r w:rsidR="00546F04" w:rsidRPr="00591F6E">
        <w:rPr>
          <w:lang w:val="en-GB"/>
        </w:rPr>
        <w:t>,</w:t>
      </w:r>
      <w:r w:rsidRPr="00591F6E">
        <w:rPr>
          <w:lang w:val="en-GB"/>
        </w:rPr>
        <w:t xml:space="preserve"> which may in turn harm export-based manufactures (Mehlum, Moene and Torvik, 2006; Robinson, Torvik and Verdier, 2006) and slow economic growth (Sachs and Warner, 2001).</w:t>
      </w:r>
    </w:p>
    <w:p w14:paraId="31A6A437" w14:textId="3DF90E99" w:rsidR="003C626E" w:rsidRPr="00591F6E" w:rsidRDefault="00194E08" w:rsidP="003C626E">
      <w:pPr>
        <w:pStyle w:val="Stile1"/>
        <w:jc w:val="both"/>
        <w:rPr>
          <w:lang w:val="en-GB"/>
        </w:rPr>
      </w:pPr>
      <w:r w:rsidRPr="00591F6E">
        <w:rPr>
          <w:noProof/>
          <w:lang w:val="it-IT" w:eastAsia="it-IT"/>
        </w:rPr>
        <w:drawing>
          <wp:anchor distT="0" distB="0" distL="114300" distR="114300" simplePos="0" relativeHeight="251663360" behindDoc="0" locked="0" layoutInCell="1" allowOverlap="1" wp14:anchorId="7320E2C1" wp14:editId="68161879">
            <wp:simplePos x="0" y="0"/>
            <wp:positionH relativeFrom="margin">
              <wp:posOffset>-101600</wp:posOffset>
            </wp:positionH>
            <wp:positionV relativeFrom="paragraph">
              <wp:posOffset>197485</wp:posOffset>
            </wp:positionV>
            <wp:extent cx="6104890" cy="3181350"/>
            <wp:effectExtent l="0" t="0" r="3810" b="6350"/>
            <wp:wrapTopAndBottom/>
            <wp:docPr id="3" name="Immagine 3" descr="A picture containing text,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sources_conflict.PNG"/>
                    <pic:cNvPicPr/>
                  </pic:nvPicPr>
                  <pic:blipFill>
                    <a:blip r:embed="rId8">
                      <a:extLst>
                        <a:ext uri="{28A0092B-C50C-407E-A947-70E740481C1C}">
                          <a14:useLocalDpi xmlns:a14="http://schemas.microsoft.com/office/drawing/2010/main" val="0"/>
                        </a:ext>
                      </a:extLst>
                    </a:blip>
                    <a:stretch>
                      <a:fillRect/>
                    </a:stretch>
                  </pic:blipFill>
                  <pic:spPr>
                    <a:xfrm>
                      <a:off x="0" y="0"/>
                      <a:ext cx="6104890" cy="3181350"/>
                    </a:xfrm>
                    <a:prstGeom prst="rect">
                      <a:avLst/>
                    </a:prstGeom>
                  </pic:spPr>
                </pic:pic>
              </a:graphicData>
            </a:graphic>
            <wp14:sizeRelH relativeFrom="margin">
              <wp14:pctWidth>0</wp14:pctWidth>
            </wp14:sizeRelH>
            <wp14:sizeRelV relativeFrom="margin">
              <wp14:pctHeight>0</wp14:pctHeight>
            </wp14:sizeRelV>
          </wp:anchor>
        </w:drawing>
      </w:r>
    </w:p>
    <w:p w14:paraId="2D50C15F" w14:textId="77777777" w:rsidR="0029755D" w:rsidRPr="00591F6E" w:rsidRDefault="0029755D" w:rsidP="0029755D">
      <w:pPr>
        <w:pStyle w:val="Stile1"/>
        <w:jc w:val="both"/>
        <w:rPr>
          <w:b/>
          <w:bCs/>
          <w:lang w:val="en-GB"/>
        </w:rPr>
      </w:pPr>
    </w:p>
    <w:p w14:paraId="2A92BB72" w14:textId="77777777" w:rsidR="0029755D" w:rsidRPr="00591F6E" w:rsidRDefault="0029755D" w:rsidP="0029755D">
      <w:pPr>
        <w:pStyle w:val="Stile1"/>
        <w:ind w:firstLine="0"/>
        <w:jc w:val="both"/>
        <w:rPr>
          <w:i/>
          <w:lang w:val="en-GB"/>
        </w:rPr>
      </w:pPr>
      <w:r w:rsidRPr="00591F6E">
        <w:rPr>
          <w:i/>
          <w:lang w:val="en-GB"/>
        </w:rPr>
        <w:t>Figure 1. Main pathways connecting natural resources to conflict risk.</w:t>
      </w:r>
    </w:p>
    <w:p w14:paraId="5A2DDFAD" w14:textId="5ABB902D" w:rsidR="0029755D" w:rsidRPr="00591F6E" w:rsidRDefault="0029755D" w:rsidP="0029755D">
      <w:pPr>
        <w:pStyle w:val="Stile1"/>
        <w:jc w:val="both"/>
        <w:rPr>
          <w:lang w:val="en-GB"/>
        </w:rPr>
      </w:pPr>
    </w:p>
    <w:p w14:paraId="6641AF39" w14:textId="77777777" w:rsidR="001C18B1" w:rsidRPr="00591F6E" w:rsidRDefault="001C18B1" w:rsidP="001C18B1">
      <w:pPr>
        <w:pStyle w:val="Stile1"/>
        <w:jc w:val="both"/>
        <w:rPr>
          <w:szCs w:val="20"/>
          <w:lang w:val="en-GB"/>
        </w:rPr>
      </w:pPr>
      <w:r w:rsidRPr="00591F6E">
        <w:rPr>
          <w:lang w:val="en-GB"/>
        </w:rPr>
        <w:t xml:space="preserve">Moreover, the wealth of renewable resources such as arable land, vegetation, livestock, crop production and water may be as well associated with higher likelihood of conflict. This is not surprising after all; when resources are deteriorated or scarce, the cost of fighting will not be compensated by the prospect of material reward or resource rents. In conditions of absolute scarcity, deprived individuals will lack the basic means and assets to </w:t>
      </w:r>
      <w:r w:rsidRPr="00591F6E">
        <w:rPr>
          <w:lang w:val="en-GB"/>
        </w:rPr>
        <w:lastRenderedPageBreak/>
        <w:t xml:space="preserve">sustain the costs of fighting and they will rather tend to find ways to support their livelihood </w:t>
      </w:r>
      <w:r w:rsidRPr="00591F6E">
        <w:rPr>
          <w:szCs w:val="20"/>
          <w:lang w:val="en-GB"/>
        </w:rPr>
        <w:t xml:space="preserve">(Brown, 2010; Hendrix and Salehyan, 2012; Theisen, 2012). </w:t>
      </w:r>
    </w:p>
    <w:p w14:paraId="0ECFC46D" w14:textId="77777777" w:rsidR="001C18B1" w:rsidRPr="00591F6E" w:rsidRDefault="001C18B1" w:rsidP="001C18B1">
      <w:pPr>
        <w:pStyle w:val="Stile1"/>
        <w:jc w:val="both"/>
        <w:rPr>
          <w:lang w:val="en-GB"/>
        </w:rPr>
      </w:pPr>
      <w:r w:rsidRPr="00591F6E">
        <w:rPr>
          <w:noProof/>
          <w:szCs w:val="20"/>
          <w:lang w:val="it-IT" w:eastAsia="it-IT"/>
        </w:rPr>
        <w:drawing>
          <wp:anchor distT="457200" distB="0" distL="114300" distR="114300" simplePos="0" relativeHeight="251659264" behindDoc="1" locked="0" layoutInCell="1" allowOverlap="1" wp14:anchorId="227F30E6" wp14:editId="4A4EED60">
            <wp:simplePos x="0" y="0"/>
            <wp:positionH relativeFrom="margin">
              <wp:posOffset>608965</wp:posOffset>
            </wp:positionH>
            <wp:positionV relativeFrom="paragraph">
              <wp:posOffset>3533775</wp:posOffset>
            </wp:positionV>
            <wp:extent cx="4391025" cy="3789680"/>
            <wp:effectExtent l="0" t="0" r="3175" b="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R.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91025" cy="3789680"/>
                    </a:xfrm>
                    <a:prstGeom prst="rect">
                      <a:avLst/>
                    </a:prstGeom>
                  </pic:spPr>
                </pic:pic>
              </a:graphicData>
            </a:graphic>
            <wp14:sizeRelH relativeFrom="margin">
              <wp14:pctWidth>0</wp14:pctWidth>
            </wp14:sizeRelH>
            <wp14:sizeRelV relativeFrom="margin">
              <wp14:pctHeight>0</wp14:pctHeight>
            </wp14:sizeRelV>
          </wp:anchor>
        </w:drawing>
      </w:r>
      <w:r w:rsidR="00B76E14" w:rsidRPr="00591F6E">
        <w:rPr>
          <w:szCs w:val="20"/>
          <w:lang w:val="en-GB"/>
        </w:rPr>
        <w:t xml:space="preserve">Conversely, when renewable resources are plentiful, individuals may perceive a higher incentive to seize them, </w:t>
      </w:r>
      <w:r w:rsidR="00993565" w:rsidRPr="00591F6E">
        <w:rPr>
          <w:szCs w:val="20"/>
          <w:lang w:val="en-GB"/>
        </w:rPr>
        <w:t xml:space="preserve">in a quest to satisfy their </w:t>
      </w:r>
      <w:r w:rsidR="00993565" w:rsidRPr="00591F6E">
        <w:rPr>
          <w:i/>
          <w:iCs/>
          <w:szCs w:val="20"/>
          <w:lang w:val="en-GB"/>
        </w:rPr>
        <w:t xml:space="preserve">needs, </w:t>
      </w:r>
      <w:r w:rsidR="00993565" w:rsidRPr="00591F6E">
        <w:rPr>
          <w:szCs w:val="20"/>
          <w:lang w:val="en-GB"/>
        </w:rPr>
        <w:t xml:space="preserve">and not </w:t>
      </w:r>
      <w:r w:rsidR="00C66149" w:rsidRPr="00591F6E">
        <w:rPr>
          <w:szCs w:val="20"/>
          <w:lang w:val="en-GB"/>
        </w:rPr>
        <w:t xml:space="preserve">(or not </w:t>
      </w:r>
      <w:r w:rsidR="00993565" w:rsidRPr="00591F6E">
        <w:rPr>
          <w:szCs w:val="20"/>
          <w:lang w:val="en-GB"/>
        </w:rPr>
        <w:t>only</w:t>
      </w:r>
      <w:r w:rsidR="00C66149" w:rsidRPr="00591F6E">
        <w:rPr>
          <w:szCs w:val="20"/>
          <w:lang w:val="en-GB"/>
        </w:rPr>
        <w:t>)</w:t>
      </w:r>
      <w:r w:rsidR="00993565" w:rsidRPr="00591F6E">
        <w:rPr>
          <w:szCs w:val="20"/>
          <w:lang w:val="en-GB"/>
        </w:rPr>
        <w:t xml:space="preserve"> </w:t>
      </w:r>
      <w:r w:rsidR="00B76E14" w:rsidRPr="00591F6E">
        <w:rPr>
          <w:szCs w:val="20"/>
          <w:lang w:val="en-GB"/>
        </w:rPr>
        <w:t xml:space="preserve">their </w:t>
      </w:r>
      <w:r w:rsidR="00993565" w:rsidRPr="00591F6E">
        <w:rPr>
          <w:i/>
          <w:iCs/>
          <w:szCs w:val="20"/>
          <w:lang w:val="en-GB"/>
        </w:rPr>
        <w:t>greed</w:t>
      </w:r>
      <w:r w:rsidR="00993565" w:rsidRPr="00591F6E">
        <w:rPr>
          <w:szCs w:val="20"/>
          <w:lang w:val="en-GB"/>
        </w:rPr>
        <w:t xml:space="preserve">. Violent episodes such as cattle raiding will be especially likely to occur when </w:t>
      </w:r>
      <w:r w:rsidR="00993565" w:rsidRPr="00591F6E">
        <w:rPr>
          <w:lang w:val="en-GB"/>
        </w:rPr>
        <w:t>pasture and water are abundant and the livestock is in good health</w:t>
      </w:r>
      <w:r w:rsidR="00993565" w:rsidRPr="00591F6E">
        <w:rPr>
          <w:szCs w:val="20"/>
          <w:lang w:val="en-GB"/>
        </w:rPr>
        <w:t xml:space="preserve">, as individuals will be more prone to fight to secure a livelihood for their family and community (Witsenburg and Adano, 2009). </w:t>
      </w:r>
      <w:r w:rsidR="00C66149" w:rsidRPr="00591F6E">
        <w:rPr>
          <w:szCs w:val="20"/>
          <w:lang w:val="en-GB"/>
        </w:rPr>
        <w:t xml:space="preserve">Moreover, </w:t>
      </w:r>
      <w:r w:rsidR="007A0B93" w:rsidRPr="00591F6E">
        <w:rPr>
          <w:szCs w:val="20"/>
          <w:lang w:val="en-GB"/>
        </w:rPr>
        <w:t xml:space="preserve">motivations to fight are likely to depend on individuals’ perception of their </w:t>
      </w:r>
      <w:r w:rsidR="00C66149" w:rsidRPr="00591F6E">
        <w:rPr>
          <w:i/>
          <w:iCs/>
          <w:szCs w:val="20"/>
          <w:lang w:val="en-GB"/>
        </w:rPr>
        <w:t>status quo</w:t>
      </w:r>
      <w:r w:rsidR="007A0B93" w:rsidRPr="00591F6E">
        <w:rPr>
          <w:i/>
          <w:iCs/>
          <w:szCs w:val="20"/>
          <w:lang w:val="en-GB"/>
        </w:rPr>
        <w:t xml:space="preserve">, </w:t>
      </w:r>
      <w:r w:rsidR="007A0B93" w:rsidRPr="00591F6E">
        <w:rPr>
          <w:szCs w:val="20"/>
          <w:lang w:val="en-GB"/>
        </w:rPr>
        <w:t xml:space="preserve">as community members will be more prone to resort to violent means to protect their assets and preserve their state when they are relatively better off, while they will be reluctant to bear the costs of conflict when they are left with few or nothing valuable to lose </w:t>
      </w:r>
      <w:r w:rsidR="00C66149" w:rsidRPr="00591F6E">
        <w:rPr>
          <w:szCs w:val="20"/>
          <w:lang w:val="en-GB"/>
        </w:rPr>
        <w:t xml:space="preserve">(Bell and Keys, 2016). </w:t>
      </w:r>
      <w:r w:rsidR="00993565" w:rsidRPr="00591F6E">
        <w:rPr>
          <w:lang w:val="en-GB"/>
        </w:rPr>
        <w:t xml:space="preserve">Likewise, an extensive literature on ‘land invasions’ find that where arable land is relatively abundant, and especially in agriculturally dependent societies, individuals are more prone to engage in fights for seizing the land and obtaining a fairer allocation of the resource (Hidalgo, </w:t>
      </w:r>
      <w:r w:rsidRPr="00591F6E">
        <w:rPr>
          <w:lang w:val="en-GB"/>
        </w:rPr>
        <w:t>2</w:t>
      </w:r>
      <w:r w:rsidR="00993565" w:rsidRPr="00591F6E">
        <w:rPr>
          <w:lang w:val="en-GB"/>
        </w:rPr>
        <w:t xml:space="preserve">010). </w:t>
      </w:r>
    </w:p>
    <w:p w14:paraId="7D782833" w14:textId="08786BE4" w:rsidR="001C18B1" w:rsidRPr="00591F6E" w:rsidRDefault="001C18B1" w:rsidP="001C18B1">
      <w:pPr>
        <w:pStyle w:val="Stile1"/>
        <w:jc w:val="both"/>
        <w:rPr>
          <w:i/>
          <w:lang w:val="en-GB"/>
        </w:rPr>
      </w:pPr>
      <w:r w:rsidRPr="00591F6E">
        <w:rPr>
          <w:i/>
          <w:lang w:val="en-GB"/>
        </w:rPr>
        <w:t>Figure 2. Summary of the main schools of thought within the literature on natural resources and conflict.</w:t>
      </w:r>
    </w:p>
    <w:p w14:paraId="05AB2C36" w14:textId="77777777" w:rsidR="001C18B1" w:rsidRPr="00591F6E" w:rsidRDefault="001C18B1" w:rsidP="001C18B1">
      <w:pPr>
        <w:pStyle w:val="Stile1"/>
        <w:ind w:firstLine="0"/>
        <w:jc w:val="both"/>
        <w:rPr>
          <w:lang w:val="en-GB"/>
        </w:rPr>
      </w:pPr>
    </w:p>
    <w:p w14:paraId="4D5AEE6B" w14:textId="42BFF4B6" w:rsidR="0029755D" w:rsidRPr="00591F6E" w:rsidRDefault="0029755D" w:rsidP="0029755D">
      <w:pPr>
        <w:pStyle w:val="Stile1"/>
        <w:jc w:val="both"/>
        <w:rPr>
          <w:lang w:val="en-GB"/>
        </w:rPr>
      </w:pPr>
      <w:r w:rsidRPr="00591F6E">
        <w:rPr>
          <w:lang w:val="en-GB"/>
        </w:rPr>
        <w:lastRenderedPageBreak/>
        <w:t xml:space="preserve">On the other hand, </w:t>
      </w:r>
      <w:r w:rsidR="00916421" w:rsidRPr="00591F6E">
        <w:rPr>
          <w:lang w:val="en-GB"/>
        </w:rPr>
        <w:t>scarcity of renewable resources</w:t>
      </w:r>
      <w:r w:rsidRPr="00591F6E">
        <w:rPr>
          <w:lang w:val="en-GB"/>
        </w:rPr>
        <w:t xml:space="preserve"> can </w:t>
      </w:r>
      <w:r w:rsidR="00DC4444">
        <w:rPr>
          <w:lang w:val="en-GB"/>
        </w:rPr>
        <w:t xml:space="preserve">also </w:t>
      </w:r>
      <w:r w:rsidRPr="00591F6E">
        <w:rPr>
          <w:lang w:val="en-GB"/>
        </w:rPr>
        <w:t xml:space="preserve">encourage political turmoil, especially when occurring in fragile contexts characterized by demographic pressures and economic insecurities (Raleigh and Urdal, 2007; Almer et al., 2017). </w:t>
      </w:r>
    </w:p>
    <w:p w14:paraId="353D47FF" w14:textId="4B70EE4E" w:rsidR="00183D33" w:rsidRPr="00591F6E" w:rsidRDefault="00183D33" w:rsidP="00183D33">
      <w:pPr>
        <w:pStyle w:val="Stile1"/>
        <w:jc w:val="both"/>
        <w:rPr>
          <w:lang w:val="en-GB"/>
        </w:rPr>
      </w:pPr>
      <w:r w:rsidRPr="00591F6E">
        <w:rPr>
          <w:lang w:val="en-GB"/>
        </w:rPr>
        <w:t xml:space="preserve">Absolute or relative deprivation, driven by supply contraction and environmental degradation or by demand increase, may trigger competition of poor people over increasingly scarce resources and encourage intra-national conflicts, as well as rebellions against the government (Hauge and Ellingsen, 1998; Percival and Homer-Dixon, 1998). </w:t>
      </w:r>
    </w:p>
    <w:p w14:paraId="3F894E29" w14:textId="3A870C0F" w:rsidR="007E5CDA" w:rsidRPr="00591F6E" w:rsidRDefault="00183D33" w:rsidP="004A48E8">
      <w:pPr>
        <w:pStyle w:val="Stile1"/>
        <w:jc w:val="both"/>
        <w:rPr>
          <w:i/>
          <w:lang w:val="en-GB"/>
        </w:rPr>
      </w:pPr>
      <w:r w:rsidRPr="00591F6E">
        <w:rPr>
          <w:lang w:val="en-GB"/>
        </w:rPr>
        <w:t>The scarcity of resources induced by demographic pressures or environmental changes are likely to increase inequality and societal fragmentation by widening the existing gaps between rich and poor and deteriorating economic conditions (Homer-Dixon, 1999). R</w:t>
      </w:r>
      <w:r w:rsidR="008D4EC9" w:rsidRPr="00591F6E">
        <w:rPr>
          <w:lang w:val="en-GB"/>
        </w:rPr>
        <w:t>esource scarcity can trigger</w:t>
      </w:r>
      <w:r w:rsidR="009F5C55" w:rsidRPr="00591F6E">
        <w:rPr>
          <w:lang w:val="en-GB"/>
        </w:rPr>
        <w:t xml:space="preserve"> agricultural collapses, increase food prices, trigger </w:t>
      </w:r>
      <w:r w:rsidR="008D4EC9" w:rsidRPr="00591F6E">
        <w:rPr>
          <w:lang w:val="en-GB"/>
        </w:rPr>
        <w:t>food crises</w:t>
      </w:r>
      <w:r w:rsidR="00DC4444">
        <w:rPr>
          <w:lang w:val="en-GB"/>
        </w:rPr>
        <w:t>,</w:t>
      </w:r>
      <w:r w:rsidR="008D4EC9" w:rsidRPr="00591F6E">
        <w:rPr>
          <w:lang w:val="en-GB"/>
        </w:rPr>
        <w:t xml:space="preserve"> and livelihood deterioration </w:t>
      </w:r>
      <w:r w:rsidR="009F5C55" w:rsidRPr="00591F6E">
        <w:rPr>
          <w:lang w:val="en-GB"/>
        </w:rPr>
        <w:t xml:space="preserve">and in many other ways result in a relative deprivation </w:t>
      </w:r>
      <w:r w:rsidR="008D4EC9" w:rsidRPr="00591F6E">
        <w:rPr>
          <w:lang w:val="en-GB"/>
        </w:rPr>
        <w:t xml:space="preserve">that </w:t>
      </w:r>
      <w:r w:rsidR="009F5C55" w:rsidRPr="00591F6E">
        <w:rPr>
          <w:lang w:val="en-GB"/>
        </w:rPr>
        <w:t xml:space="preserve">produces or exacerbates pre-existing societal grievances (Theisen, 2017), especially in agriculturally dependent communities (Von Uexkull et al., 2016) or ethnically fractionalized societies (Von Uexkull, 2014; Schleussner et al., 2016). </w:t>
      </w:r>
      <w:r w:rsidR="004A48E8" w:rsidRPr="00591F6E">
        <w:rPr>
          <w:lang w:val="en-GB"/>
        </w:rPr>
        <w:t>Especially in lack of viable economic alternatives, the livelihood deterioration induced by resource scarcity</w:t>
      </w:r>
      <w:r w:rsidR="009F5C55" w:rsidRPr="00591F6E">
        <w:rPr>
          <w:lang w:val="en-GB"/>
        </w:rPr>
        <w:t xml:space="preserve"> can </w:t>
      </w:r>
      <w:r w:rsidR="004A48E8" w:rsidRPr="00591F6E">
        <w:rPr>
          <w:lang w:val="en-GB"/>
        </w:rPr>
        <w:t xml:space="preserve">in turn </w:t>
      </w:r>
      <w:r w:rsidR="008D4EC9" w:rsidRPr="00591F6E">
        <w:rPr>
          <w:lang w:val="en-GB"/>
        </w:rPr>
        <w:t>force</w:t>
      </w:r>
      <w:r w:rsidR="004A48E8" w:rsidRPr="00591F6E">
        <w:rPr>
          <w:lang w:val="en-GB"/>
        </w:rPr>
        <w:t xml:space="preserve"> outmigration</w:t>
      </w:r>
      <w:r w:rsidR="002B1DD9" w:rsidRPr="00591F6E">
        <w:rPr>
          <w:lang w:val="en-GB"/>
        </w:rPr>
        <w:t xml:space="preserve"> from the most vulnerable areas</w:t>
      </w:r>
      <w:r w:rsidR="004A48E8" w:rsidRPr="00591F6E">
        <w:rPr>
          <w:lang w:val="en-GB"/>
        </w:rPr>
        <w:t xml:space="preserve">, </w:t>
      </w:r>
      <w:r w:rsidR="002B1DD9" w:rsidRPr="00591F6E">
        <w:rPr>
          <w:lang w:val="en-GB"/>
        </w:rPr>
        <w:t>in a quest for better living conditions (Adger et al., 2015).</w:t>
      </w:r>
      <w:r w:rsidR="004A48E8" w:rsidRPr="00591F6E">
        <w:rPr>
          <w:lang w:val="en-GB"/>
        </w:rPr>
        <w:t xml:space="preserve"> </w:t>
      </w:r>
      <w:r w:rsidR="002B1DD9" w:rsidRPr="00591F6E">
        <w:rPr>
          <w:lang w:val="en-GB"/>
        </w:rPr>
        <w:t xml:space="preserve">For instance, </w:t>
      </w:r>
      <w:r w:rsidR="007E5CDA" w:rsidRPr="00591F6E">
        <w:rPr>
          <w:lang w:val="en-GB"/>
        </w:rPr>
        <w:t>Meze-Hausken (2000) shows that, in Ethiopia, household heads are likely to emigrate from dry areas as a response to drought-related famines and Feng and co-authors (2010) prove that a decrease in crop production is causally</w:t>
      </w:r>
      <w:r w:rsidR="004A48E8" w:rsidRPr="00591F6E">
        <w:rPr>
          <w:lang w:val="en-GB"/>
        </w:rPr>
        <w:t xml:space="preserve"> </w:t>
      </w:r>
      <w:r w:rsidR="007E5CDA" w:rsidRPr="00591F6E">
        <w:rPr>
          <w:lang w:val="en-GB"/>
        </w:rPr>
        <w:t xml:space="preserve">related with the decision to migrate from Mexico to the United States. Water scarcity is also associated with increasing migration flows: for </w:t>
      </w:r>
      <w:r w:rsidR="00821F55" w:rsidRPr="00591F6E">
        <w:rPr>
          <w:lang w:val="en-GB"/>
        </w:rPr>
        <w:t>example</w:t>
      </w:r>
      <w:r w:rsidR="007E5CDA" w:rsidRPr="00591F6E">
        <w:rPr>
          <w:lang w:val="en-GB"/>
        </w:rPr>
        <w:t>, Scheffran</w:t>
      </w:r>
      <w:r w:rsidR="00C04400" w:rsidRPr="00591F6E">
        <w:rPr>
          <w:lang w:val="en-GB"/>
        </w:rPr>
        <w:t xml:space="preserve"> et al.</w:t>
      </w:r>
      <w:r w:rsidR="007E5CDA" w:rsidRPr="00591F6E">
        <w:rPr>
          <w:lang w:val="en-GB"/>
        </w:rPr>
        <w:t xml:space="preserve"> (2012) demonstrate that persistent droughts in the Sahel in the 1970s significantly encouraged outmigration. </w:t>
      </w:r>
      <w:r w:rsidR="00B2410E" w:rsidRPr="00591F6E">
        <w:rPr>
          <w:lang w:val="en-GB"/>
        </w:rPr>
        <w:t>In turn, migratory flows can destabilize the socio-economic settings of the host community or reinforce pre-existing societal cleavages (</w:t>
      </w:r>
      <w:r w:rsidR="00042A36" w:rsidRPr="00591F6E">
        <w:rPr>
          <w:lang w:val="en-GB"/>
        </w:rPr>
        <w:t>Gleick, 2014</w:t>
      </w:r>
      <w:r w:rsidR="00B2410E" w:rsidRPr="00591F6E">
        <w:rPr>
          <w:lang w:val="en-GB"/>
        </w:rPr>
        <w:t xml:space="preserve">). </w:t>
      </w:r>
    </w:p>
    <w:p w14:paraId="202C2BF2" w14:textId="6A130E44" w:rsidR="006750F4" w:rsidRPr="00591F6E" w:rsidRDefault="007E5CDA" w:rsidP="007E5CDA">
      <w:pPr>
        <w:pStyle w:val="Stile1"/>
        <w:jc w:val="both"/>
        <w:rPr>
          <w:lang w:val="en-GB"/>
        </w:rPr>
      </w:pPr>
      <w:r w:rsidRPr="00591F6E">
        <w:rPr>
          <w:lang w:val="en-GB"/>
        </w:rPr>
        <w:t xml:space="preserve">By lowering agricultural production and slowing economic growth, while </w:t>
      </w:r>
      <w:r w:rsidR="00F10D2E" w:rsidRPr="00591F6E">
        <w:rPr>
          <w:lang w:val="en-GB"/>
        </w:rPr>
        <w:t>increas</w:t>
      </w:r>
      <w:r w:rsidRPr="00591F6E">
        <w:rPr>
          <w:lang w:val="en-GB"/>
        </w:rPr>
        <w:t>ing societal discontent, resource scarcity can destabilize political and institutional settings, wh</w:t>
      </w:r>
      <w:r w:rsidR="000750D4" w:rsidRPr="00591F6E">
        <w:rPr>
          <w:lang w:val="en-GB"/>
        </w:rPr>
        <w:t>ereby governments</w:t>
      </w:r>
      <w:r w:rsidRPr="00591F6E">
        <w:rPr>
          <w:lang w:val="en-GB"/>
        </w:rPr>
        <w:t xml:space="preserve"> may lack adequate resources to address popular </w:t>
      </w:r>
      <w:r w:rsidR="00F10D2E" w:rsidRPr="00591F6E">
        <w:rPr>
          <w:lang w:val="en-GB"/>
        </w:rPr>
        <w:t>dissatisfaction</w:t>
      </w:r>
      <w:r w:rsidRPr="00591F6E">
        <w:rPr>
          <w:lang w:val="en-GB"/>
        </w:rPr>
        <w:t xml:space="preserve"> (e.g.</w:t>
      </w:r>
      <w:r w:rsidR="009F5C55" w:rsidRPr="00591F6E">
        <w:rPr>
          <w:lang w:val="en-GB"/>
        </w:rPr>
        <w:t xml:space="preserve"> Kelley, 2015</w:t>
      </w:r>
      <w:r w:rsidRPr="00591F6E">
        <w:rPr>
          <w:lang w:val="en-GB"/>
        </w:rPr>
        <w:t>). Violence can thus result from a combination of population growth, resource depletion and disrupted state authority that escalates to intra-elite competition (Homer Dixon, 199</w:t>
      </w:r>
      <w:r w:rsidR="0094526B" w:rsidRPr="00591F6E">
        <w:rPr>
          <w:lang w:val="en-GB"/>
        </w:rPr>
        <w:t>9</w:t>
      </w:r>
      <w:r w:rsidRPr="00591F6E">
        <w:rPr>
          <w:lang w:val="en-GB"/>
        </w:rPr>
        <w:t xml:space="preserve">). </w:t>
      </w:r>
    </w:p>
    <w:p w14:paraId="73AF323D" w14:textId="3EED7AFF" w:rsidR="00194E08" w:rsidRPr="00591F6E" w:rsidRDefault="00CB050D" w:rsidP="00194E08">
      <w:pPr>
        <w:pStyle w:val="Stile1"/>
        <w:jc w:val="both"/>
        <w:rPr>
          <w:lang w:val="en-GB"/>
        </w:rPr>
      </w:pPr>
      <w:r w:rsidRPr="00591F6E">
        <w:rPr>
          <w:lang w:val="en-GB"/>
        </w:rPr>
        <w:t>Finally</w:t>
      </w:r>
      <w:r w:rsidR="004A48E8" w:rsidRPr="00591F6E">
        <w:rPr>
          <w:lang w:val="en-GB"/>
        </w:rPr>
        <w:t xml:space="preserve">, the allocation of natural resources is inherently affected by broader socio-political dynamics and the allocation of property rights, as advanced </w:t>
      </w:r>
      <w:r w:rsidR="00194E08" w:rsidRPr="00591F6E">
        <w:rPr>
          <w:lang w:val="en-GB"/>
        </w:rPr>
        <w:t>by political ecology. Accordingly, socio-political dynamics steeped in human constructs define the entitlements by which individuals or communities get access to resources</w:t>
      </w:r>
      <w:r w:rsidR="00483B1C" w:rsidRPr="00591F6E">
        <w:rPr>
          <w:lang w:val="en-GB"/>
        </w:rPr>
        <w:t>; hence,</w:t>
      </w:r>
      <w:r w:rsidR="00194E08" w:rsidRPr="00591F6E">
        <w:rPr>
          <w:lang w:val="en-GB"/>
        </w:rPr>
        <w:t xml:space="preserve"> </w:t>
      </w:r>
      <w:r w:rsidR="00194E08" w:rsidRPr="00591F6E">
        <w:rPr>
          <w:lang w:val="en-GB"/>
        </w:rPr>
        <w:lastRenderedPageBreak/>
        <w:t xml:space="preserve">the abundance or scarcity of natural goods may be exasperated by the persistence of structural factors rooted in larger processes of power relations (Peluso and Watts, 2001; Benjaminsen, 2008). </w:t>
      </w:r>
      <w:r w:rsidR="00FD2FE4" w:rsidRPr="00591F6E">
        <w:rPr>
          <w:lang w:val="en-GB"/>
        </w:rPr>
        <w:t>Even</w:t>
      </w:r>
      <w:r w:rsidR="00194E08" w:rsidRPr="00591F6E">
        <w:rPr>
          <w:lang w:val="en-GB"/>
        </w:rPr>
        <w:t xml:space="preserve"> if endowed with an abundance of natural goods, poor and indigenous communities may be subject to constraints in the use or the access to a resource for distributional reasons, related to dynamics of material transformations and power distribution (Kahl, 2008). </w:t>
      </w:r>
      <w:r w:rsidR="00CF1E6E" w:rsidRPr="00591F6E">
        <w:rPr>
          <w:lang w:val="en-GB"/>
        </w:rPr>
        <w:t>Likewise, conflicts over natural resources can be framed as distributional conflicts, bound to participatory processes (Agarwal, 2001) and the systems of rules that characterize the governance of the commons (Ostrom, 1990). Allegedly, e</w:t>
      </w:r>
      <w:r w:rsidR="002971A6" w:rsidRPr="00591F6E">
        <w:rPr>
          <w:lang w:val="en-GB"/>
        </w:rPr>
        <w:t>cological conflicts may arise as a result of unequal accesses to a resource, or to a failure of the government to guarantee a fair distribution of goods (Martinez-Alier, 2002)</w:t>
      </w:r>
      <w:r w:rsidR="0000659F" w:rsidRPr="00591F6E">
        <w:rPr>
          <w:lang w:val="en-GB"/>
        </w:rPr>
        <w:t>, which may result in selective exclusion and discriminatory practices against some sectors of society, such as women (Agarwal, 2001), people of color (Bullard, 1993)</w:t>
      </w:r>
      <w:r w:rsidR="00445005" w:rsidRPr="00591F6E">
        <w:rPr>
          <w:lang w:val="en-GB"/>
        </w:rPr>
        <w:t xml:space="preserve"> or indigenous communities (</w:t>
      </w:r>
      <w:r w:rsidR="0000659F" w:rsidRPr="00591F6E">
        <w:rPr>
          <w:lang w:val="en-GB"/>
        </w:rPr>
        <w:t xml:space="preserve">Guha and Martinez-Alier, </w:t>
      </w:r>
      <w:r w:rsidR="00445005" w:rsidRPr="00591F6E">
        <w:rPr>
          <w:lang w:val="en-GB"/>
        </w:rPr>
        <w:t>1997</w:t>
      </w:r>
      <w:r w:rsidR="0000659F" w:rsidRPr="00591F6E">
        <w:rPr>
          <w:lang w:val="en-GB"/>
        </w:rPr>
        <w:t>)</w:t>
      </w:r>
      <w:r w:rsidR="00CF1E6E" w:rsidRPr="00591F6E">
        <w:rPr>
          <w:lang w:val="en-GB"/>
        </w:rPr>
        <w:t>.</w:t>
      </w:r>
      <w:r w:rsidR="002971A6" w:rsidRPr="00591F6E">
        <w:rPr>
          <w:lang w:val="en-GB"/>
        </w:rPr>
        <w:t xml:space="preserve"> </w:t>
      </w:r>
    </w:p>
    <w:p w14:paraId="1D3CB125" w14:textId="1FBA4A27" w:rsidR="004627EB" w:rsidRPr="00591F6E" w:rsidRDefault="005E4708" w:rsidP="004627EB">
      <w:pPr>
        <w:pStyle w:val="Stile1"/>
        <w:jc w:val="both"/>
        <w:rPr>
          <w:lang w:val="en-GB"/>
        </w:rPr>
      </w:pPr>
      <w:r w:rsidRPr="00591F6E">
        <w:rPr>
          <w:lang w:val="en-GB"/>
        </w:rPr>
        <w:t>As this review has clarified, t</w:t>
      </w:r>
      <w:r w:rsidR="001A38B6" w:rsidRPr="00591F6E">
        <w:rPr>
          <w:lang w:val="en-GB"/>
        </w:rPr>
        <w:t>he mechanisms and dynamics linking natural resource abundance or scarcity to conflict a</w:t>
      </w:r>
      <w:r w:rsidR="008711D7" w:rsidRPr="00591F6E">
        <w:rPr>
          <w:lang w:val="en-GB"/>
        </w:rPr>
        <w:t>re</w:t>
      </w:r>
      <w:r w:rsidR="001A38B6" w:rsidRPr="00591F6E">
        <w:rPr>
          <w:lang w:val="en-GB"/>
        </w:rPr>
        <w:t xml:space="preserve"> complex and often overlapping. </w:t>
      </w:r>
      <w:r w:rsidRPr="00591F6E">
        <w:rPr>
          <w:lang w:val="en-GB"/>
        </w:rPr>
        <w:t>Consistently, t</w:t>
      </w:r>
      <w:r w:rsidR="004627EB" w:rsidRPr="00591F6E">
        <w:rPr>
          <w:lang w:val="en-GB"/>
        </w:rPr>
        <w:t>he present study</w:t>
      </w:r>
      <w:r w:rsidR="00C11C19">
        <w:rPr>
          <w:lang w:val="en-GB"/>
        </w:rPr>
        <w:t xml:space="preserve"> takes a broad</w:t>
      </w:r>
      <w:r w:rsidR="004627EB" w:rsidRPr="00591F6E">
        <w:rPr>
          <w:lang w:val="en-GB"/>
        </w:rPr>
        <w:t xml:space="preserve"> aim to consider </w:t>
      </w:r>
      <w:r w:rsidR="00C11C19" w:rsidRPr="00591F6E">
        <w:rPr>
          <w:lang w:val="en-GB"/>
        </w:rPr>
        <w:t>both renewables and non-renewable</w:t>
      </w:r>
      <w:r w:rsidR="00C11C19">
        <w:rPr>
          <w:lang w:val="en-GB"/>
        </w:rPr>
        <w:t xml:space="preserve"> </w:t>
      </w:r>
      <w:r w:rsidR="004627EB" w:rsidRPr="00591F6E">
        <w:rPr>
          <w:lang w:val="en-GB"/>
        </w:rPr>
        <w:t xml:space="preserve"> resources () and differing distributive patterns (both resource abundance and scarcity) as potential causes of conflict</w:t>
      </w:r>
      <w:r w:rsidR="00FE3555" w:rsidRPr="00591F6E">
        <w:rPr>
          <w:lang w:val="en-GB"/>
        </w:rPr>
        <w:t>,</w:t>
      </w:r>
      <w:r w:rsidR="00960162" w:rsidRPr="00591F6E">
        <w:rPr>
          <w:lang w:val="en-GB"/>
        </w:rPr>
        <w:t xml:space="preserve"> while thorough enough to carefully consider the divergencies between studies as concerns the definition of the resource variable and the type of resource under investigation. Moreover, the analysis attempts to identify the methodological choices that may impact the literature findings and contribute to explaining the divergence within the academic community.</w:t>
      </w:r>
    </w:p>
    <w:p w14:paraId="04C1387A" w14:textId="58395A54" w:rsidR="005A0881" w:rsidRPr="00591F6E" w:rsidRDefault="008A3F31" w:rsidP="005A0881">
      <w:pPr>
        <w:pStyle w:val="Stile1"/>
        <w:jc w:val="both"/>
        <w:rPr>
          <w:lang w:val="en-GB"/>
        </w:rPr>
      </w:pPr>
      <w:r w:rsidRPr="00591F6E">
        <w:rPr>
          <w:lang w:val="en-GB"/>
        </w:rPr>
        <w:t>Specifically, o</w:t>
      </w:r>
      <w:r w:rsidR="008172D7" w:rsidRPr="00591F6E">
        <w:rPr>
          <w:lang w:val="en-GB"/>
        </w:rPr>
        <w:t xml:space="preserve">ur meta-analysis evaluates the role of three sets of factors leading to divergent results in the literature. First, we aim to understand whether differences in research design and methods drive the </w:t>
      </w:r>
      <w:r w:rsidR="00F019E1" w:rsidRPr="00591F6E">
        <w:rPr>
          <w:lang w:val="en-GB"/>
        </w:rPr>
        <w:t>findings</w:t>
      </w:r>
      <w:r w:rsidR="008172D7" w:rsidRPr="00591F6E">
        <w:rPr>
          <w:lang w:val="en-GB"/>
        </w:rPr>
        <w:t>. The specification of the regression model, the sample selection, the inclusion or exclusion of some control variables, and the choice of employing l</w:t>
      </w:r>
      <w:r w:rsidR="00401FA9" w:rsidRPr="00591F6E">
        <w:rPr>
          <w:lang w:val="en-GB"/>
        </w:rPr>
        <w:t>ocation or time</w:t>
      </w:r>
      <w:r w:rsidR="008172D7" w:rsidRPr="00591F6E">
        <w:rPr>
          <w:lang w:val="en-GB"/>
        </w:rPr>
        <w:t xml:space="preserve"> fixed-effects are all expected to influence the relationship between natural resources and conflict risk. The sample selection represents a </w:t>
      </w:r>
      <w:r w:rsidR="00DE64BF" w:rsidRPr="00591F6E">
        <w:rPr>
          <w:lang w:val="en-GB"/>
        </w:rPr>
        <w:t>critical</w:t>
      </w:r>
      <w:r w:rsidR="00DD7CC6" w:rsidRPr="00591F6E">
        <w:rPr>
          <w:lang w:val="en-GB"/>
        </w:rPr>
        <w:t xml:space="preserve"> factor</w:t>
      </w:r>
      <w:r w:rsidR="008172D7" w:rsidRPr="00591F6E">
        <w:rPr>
          <w:lang w:val="en-GB"/>
        </w:rPr>
        <w:t xml:space="preserve">, since it is a measure of the extent to which a study’s results can be generalized and considered to be valid across a wider population (Adams et al., 2018). While the findings of a global analysis can have a considerable degree of </w:t>
      </w:r>
      <w:r w:rsidR="00DE64BF" w:rsidRPr="00591F6E">
        <w:rPr>
          <w:lang w:val="en-GB"/>
        </w:rPr>
        <w:t>generalizability</w:t>
      </w:r>
      <w:r w:rsidR="008172D7" w:rsidRPr="00591F6E">
        <w:rPr>
          <w:lang w:val="en-GB"/>
        </w:rPr>
        <w:t xml:space="preserve">, results from a case-study conducted at a national scale are barely </w:t>
      </w:r>
      <w:r w:rsidR="00DE64BF" w:rsidRPr="00591F6E">
        <w:rPr>
          <w:lang w:val="en-GB"/>
        </w:rPr>
        <w:t>generalizable</w:t>
      </w:r>
      <w:r w:rsidR="008172D7" w:rsidRPr="00591F6E">
        <w:rPr>
          <w:lang w:val="en-GB"/>
        </w:rPr>
        <w:t xml:space="preserve">. </w:t>
      </w:r>
      <w:r w:rsidR="005A0881" w:rsidRPr="00591F6E">
        <w:rPr>
          <w:szCs w:val="20"/>
          <w:lang w:val="en-GB"/>
        </w:rPr>
        <w:t xml:space="preserve">A possible driver of differences in results across studies could </w:t>
      </w:r>
      <w:r w:rsidR="00D67AD8" w:rsidRPr="00591F6E">
        <w:rPr>
          <w:szCs w:val="20"/>
          <w:lang w:val="en-GB"/>
        </w:rPr>
        <w:t xml:space="preserve">also </w:t>
      </w:r>
      <w:r w:rsidR="005A0881" w:rsidRPr="00591F6E">
        <w:rPr>
          <w:szCs w:val="20"/>
          <w:lang w:val="en-GB"/>
        </w:rPr>
        <w:t xml:space="preserve">be temporal lags, as unlike non-renewable resources, renewables such as freshwater and land are intertwined with agricultural productivity. Hence, exogenous shocks to resource availability may have a mediated impact, following the seasonality of crop growth (see, for instance, Harari and La Ferrara, 2018; Von Uexkull et al., 2016). Including or excluding temporal lags, as well as choosing the proper </w:t>
      </w:r>
      <w:r w:rsidR="005A0881" w:rsidRPr="00591F6E">
        <w:rPr>
          <w:szCs w:val="20"/>
          <w:lang w:val="en-GB"/>
        </w:rPr>
        <w:lastRenderedPageBreak/>
        <w:t xml:space="preserve">duration of the lag (e.g. one month, three months, one year), may have an impact on studies’ results. </w:t>
      </w:r>
      <w:r w:rsidR="005A0881" w:rsidRPr="00591F6E">
        <w:rPr>
          <w:lang w:val="en-GB"/>
        </w:rPr>
        <w:t xml:space="preserve">Therefore, we investigate how the </w:t>
      </w:r>
      <w:r w:rsidR="00D67AD8" w:rsidRPr="00591F6E">
        <w:rPr>
          <w:lang w:val="en-GB"/>
        </w:rPr>
        <w:t>inclusion of lags in the empirical model affects</w:t>
      </w:r>
      <w:r w:rsidR="005A0881" w:rsidRPr="00591F6E">
        <w:rPr>
          <w:lang w:val="en-GB"/>
        </w:rPr>
        <w:t xml:space="preserve"> the study’s findings. </w:t>
      </w:r>
    </w:p>
    <w:p w14:paraId="6894796F" w14:textId="3E33BDF8" w:rsidR="008172D7" w:rsidRPr="00591F6E" w:rsidRDefault="008172D7" w:rsidP="00555232">
      <w:pPr>
        <w:pStyle w:val="Stile1"/>
        <w:jc w:val="both"/>
        <w:rPr>
          <w:lang w:val="en-GB"/>
        </w:rPr>
      </w:pPr>
      <w:r w:rsidRPr="00591F6E">
        <w:rPr>
          <w:lang w:val="en-GB"/>
        </w:rPr>
        <w:t xml:space="preserve">Second, we examine if the operationalization of the dependent variable affects the results reported. </w:t>
      </w:r>
      <w:r w:rsidR="00AB2F48" w:rsidRPr="00591F6E">
        <w:rPr>
          <w:lang w:val="en-GB"/>
        </w:rPr>
        <w:t xml:space="preserve">In </w:t>
      </w:r>
      <w:r w:rsidR="00201991" w:rsidRPr="00591F6E">
        <w:rPr>
          <w:lang w:val="en-GB"/>
        </w:rPr>
        <w:t>our analysis</w:t>
      </w:r>
      <w:r w:rsidR="00AB2F48" w:rsidRPr="00591F6E">
        <w:rPr>
          <w:lang w:val="en-GB"/>
        </w:rPr>
        <w:t xml:space="preserve">, we are concerned with conflict as a violent phenomenon, leading to the death of at least one person per year. </w:t>
      </w:r>
      <w:r w:rsidRPr="00591F6E">
        <w:rPr>
          <w:lang w:val="en-GB"/>
        </w:rPr>
        <w:t xml:space="preserve">The definition of conflict </w:t>
      </w:r>
      <w:r w:rsidR="00AB2F48" w:rsidRPr="00591F6E">
        <w:rPr>
          <w:lang w:val="en-GB"/>
        </w:rPr>
        <w:t xml:space="preserve">across empirical studies </w:t>
      </w:r>
      <w:r w:rsidRPr="00591F6E">
        <w:rPr>
          <w:lang w:val="en-GB"/>
        </w:rPr>
        <w:t xml:space="preserve">is generally associated with violence but may also include non-violent outcomes. Some authors, particularly within the literature focusing on water issues, prefer a broader definition of case or event, one that encompasses both conflictual and cooperative dynamics, classified along a continuous scale of violence intensity (Wolf et al., 2003; Bring and Sjoberg, 2017; Ravnborg et al., 2012). </w:t>
      </w:r>
      <w:r w:rsidR="00AB2F48" w:rsidRPr="00591F6E">
        <w:rPr>
          <w:lang w:val="en-GB"/>
        </w:rPr>
        <w:t>Here, we exclude all studies (or model</w:t>
      </w:r>
      <w:r w:rsidR="00F019E1" w:rsidRPr="00591F6E">
        <w:rPr>
          <w:lang w:val="en-GB"/>
        </w:rPr>
        <w:t xml:space="preserve"> specifications </w:t>
      </w:r>
      <w:r w:rsidR="00AB2F48" w:rsidRPr="00591F6E">
        <w:rPr>
          <w:lang w:val="en-GB"/>
        </w:rPr>
        <w:t xml:space="preserve">within a study) that </w:t>
      </w:r>
      <w:r w:rsidR="00F019E1" w:rsidRPr="00591F6E">
        <w:rPr>
          <w:lang w:val="en-GB"/>
        </w:rPr>
        <w:t>define</w:t>
      </w:r>
      <w:r w:rsidR="00AB2F48" w:rsidRPr="00591F6E">
        <w:rPr>
          <w:lang w:val="en-GB"/>
        </w:rPr>
        <w:t xml:space="preserve"> the conflict variable as non-violent or </w:t>
      </w:r>
      <w:r w:rsidR="00201991" w:rsidRPr="00591F6E">
        <w:rPr>
          <w:lang w:val="en-GB"/>
        </w:rPr>
        <w:t>cooperative and</w:t>
      </w:r>
      <w:r w:rsidR="00AB2F48" w:rsidRPr="00591F6E">
        <w:rPr>
          <w:lang w:val="en-GB"/>
        </w:rPr>
        <w:t xml:space="preserve"> </w:t>
      </w:r>
      <w:r w:rsidR="00F019E1" w:rsidRPr="00591F6E">
        <w:rPr>
          <w:lang w:val="en-GB"/>
        </w:rPr>
        <w:t xml:space="preserve">we </w:t>
      </w:r>
      <w:r w:rsidR="00AB2F48" w:rsidRPr="00591F6E">
        <w:rPr>
          <w:lang w:val="en-GB"/>
        </w:rPr>
        <w:t xml:space="preserve">limit the focus to violent outcomes. </w:t>
      </w:r>
      <w:r w:rsidR="00AB374D" w:rsidRPr="00591F6E">
        <w:rPr>
          <w:lang w:val="en-GB"/>
        </w:rPr>
        <w:t>Studies adopt different d</w:t>
      </w:r>
      <w:r w:rsidRPr="00591F6E">
        <w:rPr>
          <w:lang w:val="en-GB"/>
        </w:rPr>
        <w:t xml:space="preserve">efinitions with respect to the number of casualties or deaths that need to occur in order to categorize the event as a conflict. The most commonly adopted thresholds are </w:t>
      </w:r>
      <w:r w:rsidR="00DE64BF" w:rsidRPr="00591F6E">
        <w:rPr>
          <w:lang w:val="en-GB"/>
        </w:rPr>
        <w:t xml:space="preserve">either </w:t>
      </w:r>
      <w:r w:rsidRPr="00591F6E">
        <w:rPr>
          <w:lang w:val="en-GB"/>
        </w:rPr>
        <w:t>a thousand or twenty-five battle-related deaths, corresponding to the coding system adopted by the UCDP/PRIO dataset</w:t>
      </w:r>
      <w:r w:rsidR="004F1C6E" w:rsidRPr="00591F6E">
        <w:rPr>
          <w:lang w:val="en-GB"/>
        </w:rPr>
        <w:t xml:space="preserve"> (Sundberg and Melander, 2003)</w:t>
      </w:r>
      <w:r w:rsidRPr="00591F6E">
        <w:rPr>
          <w:lang w:val="en-GB"/>
        </w:rPr>
        <w:t xml:space="preserve">. The choice of the threshold to define conflicts has considerable potential to affect the results, </w:t>
      </w:r>
      <w:r w:rsidR="00EE0542" w:rsidRPr="00591F6E">
        <w:rPr>
          <w:lang w:val="en-GB"/>
        </w:rPr>
        <w:t>as</w:t>
      </w:r>
      <w:r w:rsidRPr="00591F6E">
        <w:rPr>
          <w:lang w:val="en-GB"/>
        </w:rPr>
        <w:t xml:space="preserve"> limiting the definition to the one thousand battle-related deaths would not only exclude all the minor violent events but </w:t>
      </w:r>
      <w:r w:rsidR="00882889" w:rsidRPr="00591F6E">
        <w:rPr>
          <w:lang w:val="en-GB"/>
        </w:rPr>
        <w:t>may</w:t>
      </w:r>
      <w:r w:rsidR="00EE0542" w:rsidRPr="00591F6E">
        <w:rPr>
          <w:lang w:val="en-GB"/>
        </w:rPr>
        <w:t xml:space="preserve"> also</w:t>
      </w:r>
      <w:r w:rsidR="00882889" w:rsidRPr="00591F6E">
        <w:rPr>
          <w:lang w:val="en-GB"/>
        </w:rPr>
        <w:t xml:space="preserve"> </w:t>
      </w:r>
      <w:r w:rsidRPr="00591F6E">
        <w:rPr>
          <w:lang w:val="en-GB"/>
        </w:rPr>
        <w:t xml:space="preserve">result in a possible intermittent admission and exclusion of the same conflict into the dataset along the time span considered. Moreover, we can expect that natural resources have an influence on the probability of small conflicts but less so on wars. For instance, an unexpected reduction in water </w:t>
      </w:r>
      <w:r w:rsidR="00882889" w:rsidRPr="00591F6E">
        <w:rPr>
          <w:lang w:val="en-GB"/>
        </w:rPr>
        <w:t xml:space="preserve">availability </w:t>
      </w:r>
      <w:r w:rsidRPr="00591F6E">
        <w:rPr>
          <w:lang w:val="en-GB"/>
        </w:rPr>
        <w:t>will negatively affect yields and result in a deterioration of rural livelihoods that in turn may fuel riots, although it is not necessarily going to escalate into war (Von Uexkull et al., 2016).</w:t>
      </w:r>
      <w:r w:rsidR="00AB2F48" w:rsidRPr="00591F6E">
        <w:rPr>
          <w:lang w:val="en-GB"/>
        </w:rPr>
        <w:t xml:space="preserve"> Therefore, in our empirical model, we include </w:t>
      </w:r>
      <w:r w:rsidR="00201991" w:rsidRPr="00591F6E">
        <w:rPr>
          <w:lang w:val="en-GB"/>
        </w:rPr>
        <w:t>controls</w:t>
      </w:r>
      <w:r w:rsidR="00AB2F48" w:rsidRPr="00591F6E">
        <w:rPr>
          <w:lang w:val="en-GB"/>
        </w:rPr>
        <w:t xml:space="preserve"> to capture the different specifications of the conflict variables, with reference to the battle-related deaths threshold in use. </w:t>
      </w:r>
    </w:p>
    <w:p w14:paraId="23037D4E" w14:textId="77777777" w:rsidR="008172D7" w:rsidRPr="00591F6E" w:rsidRDefault="008172D7" w:rsidP="008172D7">
      <w:pPr>
        <w:pStyle w:val="Stile1"/>
        <w:jc w:val="both"/>
        <w:rPr>
          <w:szCs w:val="20"/>
          <w:lang w:val="en-GB"/>
        </w:rPr>
      </w:pPr>
      <w:r w:rsidRPr="00591F6E">
        <w:rPr>
          <w:lang w:val="en-GB"/>
        </w:rPr>
        <w:t>Third, we expect that the measurement of natural resources availability/</w:t>
      </w:r>
      <w:r w:rsidRPr="00591F6E">
        <w:rPr>
          <w:szCs w:val="20"/>
          <w:lang w:val="en-GB"/>
        </w:rPr>
        <w:t xml:space="preserve">scarcity </w:t>
      </w:r>
      <w:r w:rsidRPr="00591F6E">
        <w:rPr>
          <w:lang w:val="en-GB"/>
        </w:rPr>
        <w:t>will influence results (Brunnschweiler and Bulte, 2008; Salehyan, 2014).</w:t>
      </w:r>
      <w:r w:rsidRPr="00591F6E">
        <w:rPr>
          <w:szCs w:val="20"/>
          <w:lang w:val="en-GB"/>
        </w:rPr>
        <w:t xml:space="preserve"> A tradition of the literature investigating the link between resources and conflict has specified resources as the ratio of primary commodity exports over GDP (Collier and Hoffler, 1998; Fearon and Laitin, 2003; De Soysa and Neumeyer, 2007). However, as claimed by Brunnschweiler and Bulte (2008), this specification of the independent variable is endogenous to conflict and captures the dependence of economies on natural goods rather than resource availability</w:t>
      </w:r>
      <w:r w:rsidRPr="00591F6E">
        <w:rPr>
          <w:lang w:val="en-GB"/>
        </w:rPr>
        <w:t xml:space="preserve">. </w:t>
      </w:r>
      <w:r w:rsidRPr="00591F6E">
        <w:rPr>
          <w:szCs w:val="20"/>
          <w:lang w:val="en-GB"/>
        </w:rPr>
        <w:t xml:space="preserve">Moreover, Brunnschweiler and Bulte (2008) have demonstrated that the connection between resources and conflict disappears when the independent variable is operationalized as stock, and thus the endogeneity problem is addressed.  </w:t>
      </w:r>
    </w:p>
    <w:p w14:paraId="3312EF33" w14:textId="4E32965F" w:rsidR="008172D7" w:rsidRPr="00591F6E" w:rsidRDefault="008172D7" w:rsidP="008172D7">
      <w:pPr>
        <w:pStyle w:val="Stile1"/>
        <w:jc w:val="both"/>
        <w:rPr>
          <w:szCs w:val="20"/>
          <w:lang w:val="en-GB"/>
        </w:rPr>
      </w:pPr>
      <w:r w:rsidRPr="00591F6E">
        <w:rPr>
          <w:szCs w:val="20"/>
          <w:lang w:val="en-GB"/>
        </w:rPr>
        <w:lastRenderedPageBreak/>
        <w:t xml:space="preserve">The type of resource can also have an impact on results. Profitable resources such as minerals, diamonds, gems, hydrocarbons, and drugs, have been generally associated with the resource curse (Humphreys et al., 2005; Lujala, et al., 2005; Lujala, 2009), while renewables tend to be connected to the neo-Malthusian argument (Samset, 2009). However, </w:t>
      </w:r>
      <w:r w:rsidR="004D3F0A" w:rsidRPr="00591F6E">
        <w:rPr>
          <w:szCs w:val="20"/>
          <w:lang w:val="en-GB"/>
        </w:rPr>
        <w:t>the distinction is not straightforward and assuming that the resource curse is activated only by minerals and lootable resources, while renewable resources can be connected to conflict only through scarcity is, at least, simplistic. In fact, w</w:t>
      </w:r>
      <w:r w:rsidRPr="00591F6E">
        <w:rPr>
          <w:szCs w:val="20"/>
          <w:lang w:val="en-GB"/>
        </w:rPr>
        <w:t xml:space="preserve">hile there is anecdotal evidence for the claim that land or water </w:t>
      </w:r>
      <w:r w:rsidR="004D3F0A" w:rsidRPr="00591F6E">
        <w:rPr>
          <w:szCs w:val="20"/>
          <w:lang w:val="en-GB"/>
        </w:rPr>
        <w:t>scarcity</w:t>
      </w:r>
      <w:r w:rsidRPr="00591F6E">
        <w:rPr>
          <w:szCs w:val="20"/>
          <w:lang w:val="en-GB"/>
        </w:rPr>
        <w:t xml:space="preserve"> are potential drivers of conflict, rigorous empirical research is still inconclusive (Gartzke and Bohmelt, 2015; Benjaminsen, 2008; Van Leeuwen and Van der Haar, 2016)</w:t>
      </w:r>
      <w:r w:rsidR="00F10D2E" w:rsidRPr="00591F6E">
        <w:rPr>
          <w:szCs w:val="20"/>
          <w:lang w:val="en-GB"/>
        </w:rPr>
        <w:t>.</w:t>
      </w:r>
    </w:p>
    <w:p w14:paraId="4B96C8A8" w14:textId="3B9515ED" w:rsidR="005D0366" w:rsidRPr="00591F6E" w:rsidRDefault="008172D7" w:rsidP="005D0366">
      <w:pPr>
        <w:pStyle w:val="Stile1"/>
        <w:jc w:val="both"/>
        <w:rPr>
          <w:szCs w:val="20"/>
          <w:lang w:val="en-GB"/>
        </w:rPr>
      </w:pPr>
      <w:r w:rsidRPr="00591F6E">
        <w:rPr>
          <w:szCs w:val="20"/>
          <w:lang w:val="en-GB"/>
        </w:rPr>
        <w:t xml:space="preserve">A further specification points </w:t>
      </w:r>
      <w:r w:rsidR="00283D15" w:rsidRPr="00591F6E">
        <w:rPr>
          <w:szCs w:val="20"/>
          <w:lang w:val="en-GB"/>
        </w:rPr>
        <w:t>to</w:t>
      </w:r>
      <w:r w:rsidRPr="00591F6E">
        <w:rPr>
          <w:szCs w:val="20"/>
          <w:lang w:val="en-GB"/>
        </w:rPr>
        <w:t xml:space="preserve"> the lootability of resources, i.e. the degree to which resources can be expropriated. The easier it is to loot a resource, the less capital intensive the process of extracting it, and the higher market value it has (McNeish, 2012). For instance, Welsch (2008) predicts that the probability of armed conflict varies directly with the size and value of ‘lootable’ resource allocation and inversely with variables that increase labour productivity. The author argues that, unlike mineral resources, abundance of agricultural resources reduces the probability of conflict by raising labour productivity.</w:t>
      </w:r>
    </w:p>
    <w:p w14:paraId="71BC0946" w14:textId="55C7390A" w:rsidR="005A0881" w:rsidRPr="00591F6E" w:rsidRDefault="00757778" w:rsidP="008172D7">
      <w:pPr>
        <w:pStyle w:val="Stile1"/>
        <w:jc w:val="both"/>
        <w:rPr>
          <w:szCs w:val="20"/>
          <w:lang w:val="en-GB"/>
        </w:rPr>
      </w:pPr>
      <w:r w:rsidRPr="00591F6E">
        <w:rPr>
          <w:szCs w:val="20"/>
          <w:lang w:val="en-GB"/>
        </w:rPr>
        <w:t xml:space="preserve">Another element that can have considerable influence on the relationship between natural resources and conflict is climate. </w:t>
      </w:r>
      <w:r w:rsidR="00254F18" w:rsidRPr="00591F6E">
        <w:rPr>
          <w:szCs w:val="20"/>
          <w:lang w:val="en-GB"/>
        </w:rPr>
        <w:t>A</w:t>
      </w:r>
      <w:r w:rsidR="004536B0" w:rsidRPr="00591F6E">
        <w:rPr>
          <w:szCs w:val="20"/>
          <w:lang w:val="en-GB"/>
        </w:rPr>
        <w:t xml:space="preserve"> growing body of research has connected climatic conditions to conflict through their indirect impact on natural resources</w:t>
      </w:r>
      <w:r w:rsidRPr="00591F6E">
        <w:rPr>
          <w:szCs w:val="20"/>
          <w:lang w:val="en-GB"/>
        </w:rPr>
        <w:t>; although we do not explicitly focus on these studies in our meta-regression, w</w:t>
      </w:r>
      <w:r w:rsidR="004536B0" w:rsidRPr="00591F6E">
        <w:rPr>
          <w:szCs w:val="20"/>
          <w:lang w:val="en-GB"/>
        </w:rPr>
        <w:t xml:space="preserve">e also aim at investigating the potential role of climate in influencing the natural resource-conflict nexus. </w:t>
      </w:r>
      <w:r w:rsidR="00BD4932" w:rsidRPr="00591F6E">
        <w:rPr>
          <w:szCs w:val="20"/>
          <w:lang w:val="en-GB"/>
        </w:rPr>
        <w:t>First, c</w:t>
      </w:r>
      <w:r w:rsidR="004536B0" w:rsidRPr="00591F6E">
        <w:rPr>
          <w:szCs w:val="20"/>
          <w:lang w:val="en-GB"/>
        </w:rPr>
        <w:t xml:space="preserve">limatic anomalies such as deviations of temperature and precipitation patterns from their long-term trends, or natural extremes such as droughts, can alter both the availability and allocation of renewable resources </w:t>
      </w:r>
      <w:r w:rsidR="00254F18" w:rsidRPr="00591F6E">
        <w:rPr>
          <w:szCs w:val="20"/>
          <w:lang w:val="en-GB"/>
        </w:rPr>
        <w:t>akin</w:t>
      </w:r>
      <w:r w:rsidR="004536B0" w:rsidRPr="00591F6E">
        <w:rPr>
          <w:szCs w:val="20"/>
          <w:lang w:val="en-GB"/>
        </w:rPr>
        <w:t xml:space="preserve"> water and arable land (IPCC, 2014)</w:t>
      </w:r>
      <w:r w:rsidR="00BD4932" w:rsidRPr="00591F6E">
        <w:rPr>
          <w:szCs w:val="20"/>
          <w:lang w:val="en-GB"/>
        </w:rPr>
        <w:t xml:space="preserve"> and the climate-induced scarcity may in turn increase the likelihood of conflict (Homer-Dixon, 1999). More broadly, the influence of climate variability on security is likely to be dependent upon a number of contextual factors, including state capacity, the health of the economic sector, the solidity of the democratic system or the </w:t>
      </w:r>
      <w:r w:rsidR="003877A4">
        <w:rPr>
          <w:szCs w:val="20"/>
          <w:lang w:val="en-GB"/>
        </w:rPr>
        <w:t>role</w:t>
      </w:r>
      <w:r w:rsidR="003877A4" w:rsidRPr="00591F6E">
        <w:rPr>
          <w:szCs w:val="20"/>
          <w:lang w:val="en-GB"/>
        </w:rPr>
        <w:t xml:space="preserve"> </w:t>
      </w:r>
      <w:r w:rsidR="00BD4932" w:rsidRPr="00591F6E">
        <w:rPr>
          <w:szCs w:val="20"/>
          <w:lang w:val="en-GB"/>
        </w:rPr>
        <w:t xml:space="preserve">of institutions (Koubi, 2019). </w:t>
      </w:r>
      <w:r w:rsidR="00234C70" w:rsidRPr="00591F6E">
        <w:rPr>
          <w:szCs w:val="20"/>
          <w:lang w:val="en-GB"/>
        </w:rPr>
        <w:t>Cl</w:t>
      </w:r>
      <w:r w:rsidR="00BD4932" w:rsidRPr="00591F6E">
        <w:rPr>
          <w:szCs w:val="20"/>
          <w:lang w:val="en-GB"/>
        </w:rPr>
        <w:t>imatic changes will have especially destabilizing consequences in those countries which are less resilient to shocks, due</w:t>
      </w:r>
      <w:r w:rsidR="005A0881" w:rsidRPr="00591F6E">
        <w:rPr>
          <w:szCs w:val="20"/>
          <w:lang w:val="en-GB"/>
        </w:rPr>
        <w:t xml:space="preserve"> </w:t>
      </w:r>
      <w:r w:rsidR="00BD4932" w:rsidRPr="00591F6E">
        <w:rPr>
          <w:szCs w:val="20"/>
          <w:lang w:val="en-GB"/>
        </w:rPr>
        <w:t xml:space="preserve">to their low level of economic growth, </w:t>
      </w:r>
      <w:r w:rsidR="005A0881" w:rsidRPr="00591F6E">
        <w:rPr>
          <w:szCs w:val="20"/>
          <w:lang w:val="en-GB"/>
        </w:rPr>
        <w:t>endemic p</w:t>
      </w:r>
      <w:r w:rsidR="00BD4932" w:rsidRPr="00591F6E">
        <w:rPr>
          <w:szCs w:val="20"/>
          <w:lang w:val="en-GB"/>
        </w:rPr>
        <w:t>olitical corruption</w:t>
      </w:r>
      <w:r w:rsidR="005A0881" w:rsidRPr="00591F6E">
        <w:rPr>
          <w:szCs w:val="20"/>
          <w:lang w:val="en-GB"/>
        </w:rPr>
        <w:t xml:space="preserve">, </w:t>
      </w:r>
      <w:r w:rsidR="00BD4932" w:rsidRPr="00591F6E">
        <w:rPr>
          <w:szCs w:val="20"/>
          <w:lang w:val="en-GB"/>
        </w:rPr>
        <w:t>poor state capacity</w:t>
      </w:r>
      <w:r w:rsidR="005A0881" w:rsidRPr="00591F6E">
        <w:rPr>
          <w:szCs w:val="20"/>
          <w:lang w:val="en-GB"/>
        </w:rPr>
        <w:t xml:space="preserve"> – or other ‘development pathologies’ which are more likely to manifest themselves in resource-rich countries.</w:t>
      </w:r>
      <w:r w:rsidR="00BD4932" w:rsidRPr="00591F6E">
        <w:rPr>
          <w:szCs w:val="20"/>
          <w:lang w:val="en-GB"/>
        </w:rPr>
        <w:t xml:space="preserve"> </w:t>
      </w:r>
      <w:r w:rsidR="00234C70" w:rsidRPr="00591F6E">
        <w:rPr>
          <w:szCs w:val="20"/>
          <w:lang w:val="en-GB"/>
        </w:rPr>
        <w:t xml:space="preserve">Climatic hardships may all in all be a ‘threat multiplier’, </w:t>
      </w:r>
      <w:r w:rsidR="005A0881" w:rsidRPr="00591F6E">
        <w:rPr>
          <w:szCs w:val="20"/>
          <w:lang w:val="en-GB"/>
        </w:rPr>
        <w:t>whereby</w:t>
      </w:r>
      <w:r w:rsidR="00234C70" w:rsidRPr="00591F6E">
        <w:rPr>
          <w:szCs w:val="20"/>
          <w:lang w:val="en-GB"/>
        </w:rPr>
        <w:t xml:space="preserve"> they exacerbate pre-existing grievances or reinforce well-documented drivers of conflict </w:t>
      </w:r>
      <w:r w:rsidR="00254F18" w:rsidRPr="00591F6E">
        <w:rPr>
          <w:szCs w:val="20"/>
          <w:lang w:val="en-GB"/>
        </w:rPr>
        <w:t xml:space="preserve">such as poverty </w:t>
      </w:r>
      <w:r w:rsidR="00234C70" w:rsidRPr="00591F6E">
        <w:rPr>
          <w:szCs w:val="20"/>
          <w:lang w:val="en-GB"/>
        </w:rPr>
        <w:t xml:space="preserve">(Schwartz and Randall, 2003; IPCC, 2014). </w:t>
      </w:r>
      <w:r w:rsidR="005A0881" w:rsidRPr="00591F6E">
        <w:rPr>
          <w:szCs w:val="20"/>
          <w:lang w:val="en-GB"/>
        </w:rPr>
        <w:t xml:space="preserve">Hence, climate changes may exert a stronger influence on security in those countries where either the scarcity or the abundance of resources already have a destabilizing effect. In our </w:t>
      </w:r>
      <w:r w:rsidR="005A0881" w:rsidRPr="00591F6E">
        <w:rPr>
          <w:szCs w:val="20"/>
          <w:lang w:val="en-GB"/>
        </w:rPr>
        <w:lastRenderedPageBreak/>
        <w:t>meta-regression model, we therefore investigate whether studies are likely to find different findings if they take climatic conditions or changes</w:t>
      </w:r>
      <w:r w:rsidR="002163FE" w:rsidRPr="00591F6E">
        <w:rPr>
          <w:szCs w:val="20"/>
          <w:lang w:val="en-GB"/>
        </w:rPr>
        <w:t xml:space="preserve"> –</w:t>
      </w:r>
      <w:r w:rsidR="00254F18" w:rsidRPr="00591F6E">
        <w:rPr>
          <w:szCs w:val="20"/>
          <w:lang w:val="en-GB"/>
        </w:rPr>
        <w:t xml:space="preserve"> </w:t>
      </w:r>
      <w:r w:rsidR="002163FE" w:rsidRPr="00591F6E">
        <w:rPr>
          <w:szCs w:val="20"/>
          <w:lang w:val="en-GB"/>
        </w:rPr>
        <w:t xml:space="preserve">generally specified as trends in temperature and precipitation - </w:t>
      </w:r>
      <w:r w:rsidR="005A0881" w:rsidRPr="00591F6E">
        <w:rPr>
          <w:szCs w:val="20"/>
          <w:lang w:val="en-GB"/>
        </w:rPr>
        <w:t>into account</w:t>
      </w:r>
      <w:r w:rsidR="002163FE" w:rsidRPr="00591F6E">
        <w:rPr>
          <w:szCs w:val="20"/>
          <w:lang w:val="en-GB"/>
        </w:rPr>
        <w:t xml:space="preserve">. </w:t>
      </w:r>
    </w:p>
    <w:p w14:paraId="66F96B23" w14:textId="2A24CD53" w:rsidR="008172D7" w:rsidRPr="00591F6E" w:rsidRDefault="008172D7" w:rsidP="008172D7">
      <w:pPr>
        <w:pStyle w:val="Stile1"/>
        <w:jc w:val="both"/>
        <w:rPr>
          <w:lang w:val="en-GB"/>
        </w:rPr>
      </w:pPr>
      <w:r w:rsidRPr="00591F6E">
        <w:rPr>
          <w:lang w:val="en-GB"/>
        </w:rPr>
        <w:t xml:space="preserve">Finally, we assess whether </w:t>
      </w:r>
      <w:r w:rsidR="001735D8" w:rsidRPr="00591F6E">
        <w:rPr>
          <w:lang w:val="en-GB"/>
        </w:rPr>
        <w:t>the studies’ findings</w:t>
      </w:r>
      <w:r w:rsidRPr="00591F6E">
        <w:rPr>
          <w:lang w:val="en-GB"/>
        </w:rPr>
        <w:t xml:space="preserve"> are driven by a publication bias, which arises when studies with relevant and significant results are more likely to be published. In fact, the tendency of authors or editors not to publish irrelevant results may bias findings on the distribution of effects (Klomp and Valckx, 2014).  </w:t>
      </w:r>
    </w:p>
    <w:p w14:paraId="31CF82C5" w14:textId="77777777" w:rsidR="00666AE5" w:rsidRPr="00591F6E" w:rsidRDefault="00666AE5" w:rsidP="007E5CDA">
      <w:pPr>
        <w:pStyle w:val="Stile1"/>
        <w:ind w:firstLine="0"/>
        <w:jc w:val="both"/>
        <w:rPr>
          <w:b/>
          <w:lang w:val="en-GB"/>
        </w:rPr>
      </w:pPr>
    </w:p>
    <w:p w14:paraId="00D88A46" w14:textId="0E179291" w:rsidR="00666AE5" w:rsidRPr="00591F6E" w:rsidRDefault="00666AE5" w:rsidP="00AC7669">
      <w:pPr>
        <w:pStyle w:val="Stile1"/>
        <w:numPr>
          <w:ilvl w:val="0"/>
          <w:numId w:val="27"/>
        </w:numPr>
        <w:jc w:val="both"/>
        <w:rPr>
          <w:b/>
          <w:i/>
          <w:lang w:val="en-GB"/>
        </w:rPr>
      </w:pPr>
      <w:r w:rsidRPr="00591F6E">
        <w:rPr>
          <w:b/>
          <w:i/>
          <w:lang w:val="en-GB"/>
        </w:rPr>
        <w:t>Materials and methods</w:t>
      </w:r>
    </w:p>
    <w:p w14:paraId="0E3D5695" w14:textId="47747577" w:rsidR="00666AE5" w:rsidRPr="00591F6E" w:rsidRDefault="00AC7669" w:rsidP="0004645C">
      <w:pPr>
        <w:pStyle w:val="Stile1"/>
        <w:ind w:firstLine="360"/>
        <w:jc w:val="both"/>
        <w:rPr>
          <w:b/>
          <w:i/>
          <w:lang w:val="en-GB"/>
        </w:rPr>
      </w:pPr>
      <w:r w:rsidRPr="00591F6E">
        <w:rPr>
          <w:b/>
          <w:i/>
          <w:lang w:val="en-GB"/>
        </w:rPr>
        <w:t xml:space="preserve">2.1 </w:t>
      </w:r>
      <w:r w:rsidR="00666AE5" w:rsidRPr="00591F6E">
        <w:rPr>
          <w:b/>
          <w:i/>
          <w:lang w:val="en-GB"/>
        </w:rPr>
        <w:t>Methodology: meta-analysis</w:t>
      </w:r>
    </w:p>
    <w:p w14:paraId="3172DBE1" w14:textId="77777777" w:rsidR="00AA6C68" w:rsidRPr="00591F6E" w:rsidRDefault="00AA6C68" w:rsidP="007E5CDA">
      <w:pPr>
        <w:pStyle w:val="Stile1"/>
        <w:ind w:firstLine="0"/>
        <w:jc w:val="both"/>
        <w:rPr>
          <w:b/>
          <w:i/>
          <w:lang w:val="en-GB"/>
        </w:rPr>
      </w:pPr>
    </w:p>
    <w:p w14:paraId="3565C662" w14:textId="56E41810" w:rsidR="00666AE5" w:rsidRPr="00591F6E" w:rsidRDefault="00666AE5" w:rsidP="00603AB5">
      <w:pPr>
        <w:pStyle w:val="Stile1"/>
        <w:jc w:val="both"/>
        <w:rPr>
          <w:lang w:val="en-GB"/>
        </w:rPr>
      </w:pPr>
      <w:r w:rsidRPr="00591F6E">
        <w:rPr>
          <w:lang w:val="en-GB"/>
        </w:rPr>
        <w:t>A meta-analysis is a statistical combination of results</w:t>
      </w:r>
      <w:r w:rsidR="00A8466C" w:rsidRPr="00591F6E">
        <w:rPr>
          <w:lang w:val="en-GB"/>
        </w:rPr>
        <w:t xml:space="preserve"> from</w:t>
      </w:r>
      <w:r w:rsidRPr="00591F6E">
        <w:rPr>
          <w:lang w:val="en-GB"/>
        </w:rPr>
        <w:t xml:space="preserve"> multiple studies to answer a common question (Bowman, 2012). It involves the pooling of data that quantitatively examine whether causal relations described in individual papers remain valid across a wider spectrum of the literature (Romero-Lankao et al., 2012). Although well-rooted in the health sciences, meta-analysis has only recently started to be applied in climate change research. Unlike traditional literature reviews, meta-analyses require reviewing and selecting documents according to systematic and explicit criteria; they need to include a detailed description of the review procedures employed (e.g. databases searched, articles excluded, search terms used) in order to facilitate study replication,</w:t>
      </w:r>
      <w:r w:rsidRPr="00591F6E">
        <w:rPr>
          <w:szCs w:val="20"/>
          <w:lang w:val="en-GB"/>
        </w:rPr>
        <w:t xml:space="preserve"> and</w:t>
      </w:r>
      <w:r w:rsidRPr="00591F6E">
        <w:rPr>
          <w:lang w:val="en-GB"/>
        </w:rPr>
        <w:t xml:space="preserve"> they adopt statistical techniques to summarize the results of the selected studies (Ford et al., 2011).</w:t>
      </w:r>
    </w:p>
    <w:p w14:paraId="76DEF34D" w14:textId="77777777" w:rsidR="00BF5D7F" w:rsidRPr="00591F6E" w:rsidRDefault="00BF5D7F" w:rsidP="007E5CDA">
      <w:pPr>
        <w:pStyle w:val="Stile1"/>
        <w:jc w:val="both"/>
        <w:rPr>
          <w:b/>
          <w:i/>
          <w:lang w:val="en-GB"/>
        </w:rPr>
      </w:pPr>
    </w:p>
    <w:p w14:paraId="1C786383" w14:textId="167A2181" w:rsidR="00666AE5" w:rsidRPr="00591F6E" w:rsidRDefault="00AC7669" w:rsidP="0004645C">
      <w:pPr>
        <w:pStyle w:val="Stile1"/>
        <w:ind w:firstLine="360"/>
        <w:jc w:val="both"/>
        <w:rPr>
          <w:b/>
          <w:i/>
          <w:lang w:val="en-GB"/>
        </w:rPr>
      </w:pPr>
      <w:r w:rsidRPr="00591F6E">
        <w:rPr>
          <w:b/>
          <w:i/>
          <w:lang w:val="en-GB"/>
        </w:rPr>
        <w:t xml:space="preserve">2.2 </w:t>
      </w:r>
      <w:r w:rsidR="00666AE5" w:rsidRPr="00591F6E">
        <w:rPr>
          <w:b/>
          <w:i/>
          <w:lang w:val="en-GB"/>
        </w:rPr>
        <w:t>Selection of articles and definition of the sample</w:t>
      </w:r>
    </w:p>
    <w:p w14:paraId="5011554E" w14:textId="77777777" w:rsidR="00A8466C" w:rsidRPr="00591F6E" w:rsidRDefault="00A8466C" w:rsidP="007E5CDA">
      <w:pPr>
        <w:pStyle w:val="Stile1"/>
        <w:jc w:val="both"/>
        <w:rPr>
          <w:b/>
          <w:i/>
          <w:lang w:val="en-GB"/>
        </w:rPr>
      </w:pPr>
    </w:p>
    <w:p w14:paraId="7D540B72" w14:textId="622C09D0" w:rsidR="00AA6C68" w:rsidRPr="00591F6E" w:rsidRDefault="00666AE5" w:rsidP="007E5CDA">
      <w:pPr>
        <w:pStyle w:val="Stile1"/>
        <w:jc w:val="both"/>
        <w:rPr>
          <w:lang w:val="en-GB"/>
        </w:rPr>
      </w:pPr>
      <w:bookmarkStart w:id="3" w:name="_Hlk521420509"/>
      <w:r w:rsidRPr="00591F6E">
        <w:rPr>
          <w:lang w:val="en-GB"/>
        </w:rPr>
        <w:t>The selection of articles aims at being as broad as possible. As a first step, we input the selected keywords</w:t>
      </w:r>
      <w:r w:rsidR="00606EA9" w:rsidRPr="00591F6E">
        <w:rPr>
          <w:lang w:val="en-GB"/>
        </w:rPr>
        <w:t xml:space="preserve">, related to natural resources and conflict, </w:t>
      </w:r>
      <w:r w:rsidRPr="00591F6E">
        <w:rPr>
          <w:lang w:val="en-GB"/>
        </w:rPr>
        <w:t>into three databases</w:t>
      </w:r>
      <w:r w:rsidR="004F1C6E" w:rsidRPr="00591F6E">
        <w:rPr>
          <w:lang w:val="en-GB"/>
        </w:rPr>
        <w:t xml:space="preserve"> (</w:t>
      </w:r>
      <w:r w:rsidR="004F1C6E" w:rsidRPr="00591F6E">
        <w:rPr>
          <w:szCs w:val="20"/>
          <w:lang w:val="en-GB"/>
        </w:rPr>
        <w:t>EBSCO, Scopus and Web of Knowledge)</w:t>
      </w:r>
      <w:r w:rsidRPr="00591F6E">
        <w:rPr>
          <w:lang w:val="en-GB"/>
        </w:rPr>
        <w:t>, which returned 660 articles (Section 2 in Supplementary Material provides additional information). A first screening of titles and abstracts resulted in an exclusion of 511 studies</w:t>
      </w:r>
      <w:bookmarkEnd w:id="3"/>
      <w:r w:rsidRPr="00591F6E">
        <w:rPr>
          <w:lang w:val="en-GB"/>
        </w:rPr>
        <w:t xml:space="preserve">. </w:t>
      </w:r>
      <w:r w:rsidR="00AA6C68" w:rsidRPr="00591F6E">
        <w:rPr>
          <w:lang w:val="en-GB"/>
        </w:rPr>
        <w:t>Studies were classified as “included”, “excluded</w:t>
      </w:r>
      <w:r w:rsidR="00AA6C68" w:rsidRPr="00591F6E">
        <w:rPr>
          <w:szCs w:val="20"/>
          <w:lang w:val="en-GB"/>
        </w:rPr>
        <w:t>”,</w:t>
      </w:r>
      <w:r w:rsidR="00AA6C68" w:rsidRPr="00591F6E">
        <w:rPr>
          <w:lang w:val="en-GB"/>
        </w:rPr>
        <w:t xml:space="preserve"> and “uncertain</w:t>
      </w:r>
      <w:r w:rsidR="00AA6C68" w:rsidRPr="00591F6E">
        <w:rPr>
          <w:szCs w:val="20"/>
          <w:lang w:val="en-GB"/>
        </w:rPr>
        <w:t>”;</w:t>
      </w:r>
      <w:r w:rsidR="00AA6C68" w:rsidRPr="00591F6E">
        <w:rPr>
          <w:lang w:val="en-GB"/>
        </w:rPr>
        <w:t xml:space="preserve"> those falling into the last category were reviewed independently by the authors and either included or excluded by common decision. As a next step, we examined the remaining articles and categorized them as quantitative or qualitative. Finally, the articles classified as quantitative were assessed in-depth to verify their eligibility according to the following criteria.</w:t>
      </w:r>
    </w:p>
    <w:p w14:paraId="4D291F81" w14:textId="1CCD9A9D" w:rsidR="00AA6C68" w:rsidRPr="00591F6E" w:rsidRDefault="00AA6C68" w:rsidP="007E5CDA">
      <w:pPr>
        <w:pStyle w:val="Stile1"/>
        <w:numPr>
          <w:ilvl w:val="0"/>
          <w:numId w:val="25"/>
        </w:numPr>
        <w:ind w:left="709" w:hanging="720"/>
        <w:jc w:val="both"/>
        <w:rPr>
          <w:lang w:val="en-GB"/>
        </w:rPr>
      </w:pPr>
      <w:r w:rsidRPr="00591F6E">
        <w:rPr>
          <w:lang w:val="en-GB"/>
        </w:rPr>
        <w:lastRenderedPageBreak/>
        <w:t>Articles were required to focus on both natural resources and human conflict, i.e. the object</w:t>
      </w:r>
      <w:r w:rsidR="004F0ECB" w:rsidRPr="00591F6E">
        <w:rPr>
          <w:lang w:val="en-GB"/>
        </w:rPr>
        <w:t>ive</w:t>
      </w:r>
      <w:r w:rsidRPr="00591F6E">
        <w:rPr>
          <w:lang w:val="en-GB"/>
        </w:rPr>
        <w:t xml:space="preserve"> of the analysis. Articles dealing with other types of conflicts, such as conflicts between other living species or wilderness, were excluded.</w:t>
      </w:r>
    </w:p>
    <w:p w14:paraId="3DAA66C3" w14:textId="77777777" w:rsidR="00AA6C68" w:rsidRPr="00591F6E" w:rsidRDefault="00AA6C68" w:rsidP="007E5CDA">
      <w:pPr>
        <w:pStyle w:val="Stile1"/>
        <w:numPr>
          <w:ilvl w:val="0"/>
          <w:numId w:val="25"/>
        </w:numPr>
        <w:ind w:left="709" w:hanging="720"/>
        <w:jc w:val="both"/>
        <w:rPr>
          <w:lang w:val="en-GB"/>
        </w:rPr>
      </w:pPr>
      <w:r w:rsidRPr="00591F6E">
        <w:rPr>
          <w:lang w:val="en-GB"/>
        </w:rPr>
        <w:t xml:space="preserve">Articles focusing specifically on methods and frameworks for providing solutions to resource-related conflicts were passed over. Furthermore, studies that test the link between climatic variables (e.g. precipitation) and conflict were included only if the authors consider the variables of interest as a proxy of natural resources (e.g. water). </w:t>
      </w:r>
    </w:p>
    <w:p w14:paraId="0BBD532B" w14:textId="770925A7" w:rsidR="00AA6C68" w:rsidRPr="00591F6E" w:rsidRDefault="00AA6C68" w:rsidP="001735D8">
      <w:pPr>
        <w:pStyle w:val="Stile1"/>
        <w:numPr>
          <w:ilvl w:val="0"/>
          <w:numId w:val="25"/>
        </w:numPr>
        <w:ind w:left="709" w:hanging="720"/>
        <w:jc w:val="both"/>
        <w:rPr>
          <w:lang w:val="en-GB"/>
        </w:rPr>
      </w:pPr>
      <w:r w:rsidRPr="00591F6E">
        <w:rPr>
          <w:lang w:val="en-GB"/>
        </w:rPr>
        <w:t>Articles investigating the inverse relationship (from conflict to the environment) were excluded.</w:t>
      </w:r>
      <w:r w:rsidR="004F0ECB" w:rsidRPr="00591F6E">
        <w:rPr>
          <w:lang w:val="en-GB"/>
        </w:rPr>
        <w:t xml:space="preserve"> </w:t>
      </w:r>
      <w:r w:rsidRPr="00591F6E">
        <w:rPr>
          <w:lang w:val="en-GB"/>
        </w:rPr>
        <w:t xml:space="preserve">Quantitative studies were required to report regression results. Studies that, despite adopting a quantitative or semi-quantitative method, did not report statistical coefficients and </w:t>
      </w:r>
      <w:r w:rsidRPr="00591F6E">
        <w:rPr>
          <w:i/>
          <w:lang w:val="en-GB"/>
        </w:rPr>
        <w:t>t</w:t>
      </w:r>
      <w:r w:rsidRPr="00591F6E">
        <w:rPr>
          <w:lang w:val="en-GB"/>
        </w:rPr>
        <w:t xml:space="preserve">-statistics (or standard errors) were excluded from the analysis. Table S2 in the </w:t>
      </w:r>
      <w:r w:rsidR="00AB663B" w:rsidRPr="00591F6E">
        <w:rPr>
          <w:lang w:val="en-GB"/>
        </w:rPr>
        <w:t xml:space="preserve">SI </w:t>
      </w:r>
      <w:r w:rsidRPr="00591F6E">
        <w:rPr>
          <w:lang w:val="en-GB"/>
        </w:rPr>
        <w:t xml:space="preserve">Supplementary </w:t>
      </w:r>
      <w:r w:rsidR="00F34418" w:rsidRPr="00591F6E">
        <w:rPr>
          <w:lang w:val="en-GB"/>
        </w:rPr>
        <w:t xml:space="preserve">Material reports the studies that were excluded </w:t>
      </w:r>
      <w:r w:rsidRPr="00591F6E">
        <w:rPr>
          <w:lang w:val="en-GB"/>
        </w:rPr>
        <w:t xml:space="preserve">from the original selection after this in-depth analysis. </w:t>
      </w:r>
    </w:p>
    <w:p w14:paraId="3DA37203" w14:textId="77777777" w:rsidR="00E00E34" w:rsidRPr="00591F6E" w:rsidRDefault="00E00E34" w:rsidP="00CB07B8">
      <w:pPr>
        <w:pStyle w:val="Stile1"/>
        <w:jc w:val="both"/>
        <w:rPr>
          <w:lang w:val="en-GB"/>
        </w:rPr>
      </w:pPr>
    </w:p>
    <w:p w14:paraId="4F212363" w14:textId="4C5A4204" w:rsidR="00CB07B8" w:rsidRPr="00591F6E" w:rsidRDefault="00CB07B8" w:rsidP="00CB07B8">
      <w:pPr>
        <w:pStyle w:val="Stile1"/>
        <w:jc w:val="both"/>
        <w:rPr>
          <w:lang w:val="en-GB"/>
        </w:rPr>
      </w:pPr>
      <w:r w:rsidRPr="00591F6E">
        <w:rPr>
          <w:lang w:val="en-GB"/>
        </w:rPr>
        <w:t xml:space="preserve">Finally, we expanded the sample by reviewing the references of the selected papers as well as some other systematic reviews (Gleditsch, 2012; Cuvelier et al., 2014 and Dell et al., 2014) to ensure the inclusion of all relevant studies. The overall selection process </w:t>
      </w:r>
      <w:r w:rsidRPr="00591F6E">
        <w:rPr>
          <w:szCs w:val="20"/>
          <w:lang w:val="en-GB"/>
        </w:rPr>
        <w:t xml:space="preserve">identified </w:t>
      </w:r>
      <w:r w:rsidRPr="00591F6E">
        <w:rPr>
          <w:lang w:val="en-GB"/>
        </w:rPr>
        <w:t xml:space="preserve">41 papers. </w:t>
      </w:r>
    </w:p>
    <w:p w14:paraId="42ADA7E3" w14:textId="45576D53" w:rsidR="00CB07B8" w:rsidRPr="00591F6E" w:rsidRDefault="00CB07B8" w:rsidP="00CB07B8">
      <w:pPr>
        <w:pStyle w:val="Stile1"/>
        <w:ind w:firstLine="0"/>
        <w:jc w:val="both"/>
        <w:rPr>
          <w:lang w:val="en-GB"/>
        </w:rPr>
      </w:pPr>
      <w:r w:rsidRPr="00591F6E">
        <w:rPr>
          <w:lang w:val="en-GB"/>
        </w:rPr>
        <w:t>Studies differ in the way they define both the resource and the conflict variable. As a result, the interpretation of the regression coefficients, i.e. the estimate of the effect that natural resources exert on conflict, is not homogeneous across studies and varies according to the model specifications and the operationalization of the main variables. In order to ease the comprehension and the comparability of the coefficients across different studies, as well as to understand the different mechanisms leading from resources to conflict, we clustered the sample according to the specification of the main independent variable as resource abundance or scarcity.</w:t>
      </w:r>
    </w:p>
    <w:p w14:paraId="3D92AC88" w14:textId="4EB5F57B" w:rsidR="001735D8" w:rsidRPr="00591F6E" w:rsidRDefault="001735D8" w:rsidP="001735D8">
      <w:pPr>
        <w:rPr>
          <w:lang w:val="en-GB"/>
        </w:rPr>
      </w:pPr>
      <w:r w:rsidRPr="00591F6E">
        <w:rPr>
          <w:noProof/>
          <w:szCs w:val="20"/>
          <w:lang w:val="it-IT" w:eastAsia="it-IT"/>
        </w:rPr>
        <w:lastRenderedPageBreak/>
        <w:drawing>
          <wp:anchor distT="0" distB="0" distL="114300" distR="114300" simplePos="0" relativeHeight="251661312" behindDoc="0" locked="0" layoutInCell="1" allowOverlap="1" wp14:anchorId="309AF4FD" wp14:editId="22E0F75B">
            <wp:simplePos x="0" y="0"/>
            <wp:positionH relativeFrom="column">
              <wp:posOffset>467360</wp:posOffset>
            </wp:positionH>
            <wp:positionV relativeFrom="paragraph">
              <wp:posOffset>182880</wp:posOffset>
            </wp:positionV>
            <wp:extent cx="4175760" cy="5464175"/>
            <wp:effectExtent l="0" t="0" r="2540" b="0"/>
            <wp:wrapTopAndBottom/>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tudies selectio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75760" cy="5464175"/>
                    </a:xfrm>
                    <a:prstGeom prst="rect">
                      <a:avLst/>
                    </a:prstGeom>
                  </pic:spPr>
                </pic:pic>
              </a:graphicData>
            </a:graphic>
            <wp14:sizeRelH relativeFrom="margin">
              <wp14:pctWidth>0</wp14:pctWidth>
            </wp14:sizeRelH>
            <wp14:sizeRelV relativeFrom="margin">
              <wp14:pctHeight>0</wp14:pctHeight>
            </wp14:sizeRelV>
          </wp:anchor>
        </w:drawing>
      </w:r>
    </w:p>
    <w:p w14:paraId="671C517F" w14:textId="77777777" w:rsidR="001735D8" w:rsidRPr="00591F6E" w:rsidRDefault="001735D8" w:rsidP="00E80692">
      <w:pPr>
        <w:pStyle w:val="Stile1"/>
        <w:spacing w:line="276" w:lineRule="auto"/>
        <w:ind w:firstLine="0"/>
        <w:jc w:val="both"/>
        <w:rPr>
          <w:i/>
          <w:lang w:val="en-GB"/>
        </w:rPr>
      </w:pPr>
      <w:r w:rsidRPr="00591F6E">
        <w:rPr>
          <w:i/>
          <w:lang w:val="en-GB"/>
        </w:rPr>
        <w:t>Figure 3. Main steps of the process applied for articles’ selection.</w:t>
      </w:r>
    </w:p>
    <w:p w14:paraId="1EFFFF0B" w14:textId="77777777" w:rsidR="00AB2F48" w:rsidRPr="00591F6E" w:rsidRDefault="00AB2F48" w:rsidP="00F34418">
      <w:pPr>
        <w:pStyle w:val="Stile1"/>
        <w:jc w:val="both"/>
        <w:rPr>
          <w:lang w:val="en-GB"/>
        </w:rPr>
      </w:pPr>
    </w:p>
    <w:p w14:paraId="6AF5B9C2" w14:textId="2D474187" w:rsidR="00F34418" w:rsidRPr="00591F6E" w:rsidRDefault="00FF454E" w:rsidP="00F34418">
      <w:pPr>
        <w:pStyle w:val="Stile1"/>
        <w:jc w:val="both"/>
        <w:rPr>
          <w:lang w:val="en-GB"/>
        </w:rPr>
      </w:pPr>
      <w:r w:rsidRPr="00591F6E">
        <w:rPr>
          <w:lang w:val="en-GB"/>
        </w:rPr>
        <w:t xml:space="preserve">This division of the sample into subsets resulted in the reduction in the number of observations available for each regression. However, we believe that disregarding the </w:t>
      </w:r>
      <w:r w:rsidRPr="00591F6E">
        <w:rPr>
          <w:szCs w:val="20"/>
          <w:lang w:val="en-GB"/>
        </w:rPr>
        <w:t>divergences</w:t>
      </w:r>
      <w:r w:rsidRPr="00591F6E">
        <w:rPr>
          <w:lang w:val="en-GB"/>
        </w:rPr>
        <w:t xml:space="preserve"> across studies and conducting the meta-regression on the basis of the full sample would result in inconsistent and non-comparable results, while manipulating the estimates to homogenize the effect sizes reported by studies would add further subjectivity and potential bias to the analysis (Koricheva et al., 2013).</w:t>
      </w:r>
    </w:p>
    <w:p w14:paraId="56D6E21F" w14:textId="5F9AEC94" w:rsidR="00F34418" w:rsidRPr="00591F6E" w:rsidRDefault="00D1520A" w:rsidP="00F34418">
      <w:pPr>
        <w:pStyle w:val="Stile1"/>
        <w:jc w:val="both"/>
        <w:rPr>
          <w:lang w:val="en-GB"/>
        </w:rPr>
      </w:pPr>
      <w:r w:rsidRPr="00591F6E">
        <w:rPr>
          <w:lang w:val="en-GB"/>
        </w:rPr>
        <w:t xml:space="preserve">Moreover, </w:t>
      </w:r>
      <w:r w:rsidR="007F1AB4" w:rsidRPr="00591F6E">
        <w:rPr>
          <w:lang w:val="en-GB"/>
        </w:rPr>
        <w:t xml:space="preserve">as </w:t>
      </w:r>
      <w:r w:rsidRPr="00591F6E">
        <w:rPr>
          <w:lang w:val="en-GB"/>
        </w:rPr>
        <w:t>the definition of conflict varies across studies</w:t>
      </w:r>
      <w:r w:rsidR="007F1AB4" w:rsidRPr="00591F6E">
        <w:rPr>
          <w:lang w:val="en-GB"/>
        </w:rPr>
        <w:t>,</w:t>
      </w:r>
      <w:r w:rsidRPr="00591F6E">
        <w:rPr>
          <w:lang w:val="en-GB"/>
        </w:rPr>
        <w:t xml:space="preserve"> we have </w:t>
      </w:r>
      <w:r w:rsidR="00201991" w:rsidRPr="00591F6E">
        <w:rPr>
          <w:lang w:val="en-GB"/>
        </w:rPr>
        <w:t xml:space="preserve">limited the focus to only violent conflicts, </w:t>
      </w:r>
      <w:r w:rsidR="008339F1" w:rsidRPr="00591F6E">
        <w:rPr>
          <w:lang w:val="en-GB"/>
        </w:rPr>
        <w:t>leading to at least one battle-related death per location and per year. As studies adopt different thresholds of battle-related deaths to define conflict (mainly 25 or 1</w:t>
      </w:r>
      <w:r w:rsidR="007F126C">
        <w:rPr>
          <w:lang w:val="en-GB"/>
        </w:rPr>
        <w:t>,</w:t>
      </w:r>
      <w:r w:rsidR="008339F1" w:rsidRPr="00591F6E">
        <w:rPr>
          <w:lang w:val="en-GB"/>
        </w:rPr>
        <w:t xml:space="preserve">000), in our meta-regression we include controls corresponding to the minimum number of deaths applied by each study’s model. Moreover, </w:t>
      </w:r>
      <w:r w:rsidR="00FF454E" w:rsidRPr="00591F6E">
        <w:rPr>
          <w:lang w:val="en-GB"/>
        </w:rPr>
        <w:t xml:space="preserve">we </w:t>
      </w:r>
      <w:r w:rsidRPr="00591F6E">
        <w:rPr>
          <w:lang w:val="en-GB"/>
        </w:rPr>
        <w:t xml:space="preserve">include a dummy </w:t>
      </w:r>
      <w:r w:rsidRPr="00591F6E">
        <w:rPr>
          <w:lang w:val="en-GB"/>
        </w:rPr>
        <w:lastRenderedPageBreak/>
        <w:t xml:space="preserve">variable to capture different specifications of </w:t>
      </w:r>
      <w:r w:rsidR="00FF454E" w:rsidRPr="00591F6E">
        <w:rPr>
          <w:lang w:val="en-GB"/>
        </w:rPr>
        <w:t>the predicted outcome</w:t>
      </w:r>
      <w:r w:rsidRPr="00591F6E">
        <w:rPr>
          <w:lang w:val="en-GB"/>
        </w:rPr>
        <w:t xml:space="preserve">. </w:t>
      </w:r>
      <w:r w:rsidR="00201991" w:rsidRPr="00591F6E">
        <w:rPr>
          <w:lang w:val="en-GB"/>
        </w:rPr>
        <w:t>The ‘baseline’ dependent variable in our meta-regression model is c</w:t>
      </w:r>
      <w:r w:rsidR="00833367" w:rsidRPr="00591F6E">
        <w:rPr>
          <w:lang w:val="en-GB"/>
        </w:rPr>
        <w:t xml:space="preserve">onflict </w:t>
      </w:r>
      <w:r w:rsidR="00833367" w:rsidRPr="00591F6E">
        <w:rPr>
          <w:i/>
          <w:iCs/>
          <w:lang w:val="en-GB"/>
        </w:rPr>
        <w:t>onset</w:t>
      </w:r>
      <w:r w:rsidR="00201991" w:rsidRPr="00591F6E">
        <w:rPr>
          <w:lang w:val="en-GB"/>
        </w:rPr>
        <w:t xml:space="preserve">, which </w:t>
      </w:r>
      <w:r w:rsidR="00833367" w:rsidRPr="00591F6E">
        <w:rPr>
          <w:lang w:val="en-GB"/>
        </w:rPr>
        <w:t>i</w:t>
      </w:r>
      <w:r w:rsidRPr="00591F6E">
        <w:rPr>
          <w:lang w:val="en-GB"/>
        </w:rPr>
        <w:t>ndicates the outbreak of conflict</w:t>
      </w:r>
      <w:r w:rsidR="00201991" w:rsidRPr="00591F6E">
        <w:rPr>
          <w:lang w:val="en-GB"/>
        </w:rPr>
        <w:t>,</w:t>
      </w:r>
      <w:r w:rsidRPr="00591F6E">
        <w:rPr>
          <w:lang w:val="en-GB"/>
        </w:rPr>
        <w:t xml:space="preserve"> and is coded as 1 if a conflict starts in year (or period) </w:t>
      </w:r>
      <w:r w:rsidRPr="00591F6E">
        <w:rPr>
          <w:i/>
          <w:lang w:val="en-GB"/>
        </w:rPr>
        <w:t>t</w:t>
      </w:r>
      <w:r w:rsidRPr="00591F6E">
        <w:rPr>
          <w:lang w:val="en-GB"/>
        </w:rPr>
        <w:t>, and</w:t>
      </w:r>
      <w:r w:rsidR="007F1AB4" w:rsidRPr="00591F6E">
        <w:rPr>
          <w:lang w:val="en-GB"/>
        </w:rPr>
        <w:t xml:space="preserve"> 0</w:t>
      </w:r>
      <w:r w:rsidRPr="00591F6E">
        <w:rPr>
          <w:lang w:val="en-GB"/>
        </w:rPr>
        <w:t xml:space="preserve"> otherwise</w:t>
      </w:r>
      <w:r w:rsidR="00833367" w:rsidRPr="00591F6E">
        <w:rPr>
          <w:rStyle w:val="Rimandonotaapidipagina"/>
          <w:lang w:val="en-GB"/>
        </w:rPr>
        <w:footnoteReference w:id="1"/>
      </w:r>
      <w:r w:rsidRPr="00591F6E">
        <w:rPr>
          <w:lang w:val="en-GB"/>
        </w:rPr>
        <w:t xml:space="preserve">. </w:t>
      </w:r>
      <w:r w:rsidR="00201991" w:rsidRPr="00591F6E">
        <w:rPr>
          <w:lang w:val="en-GB"/>
        </w:rPr>
        <w:t xml:space="preserve">Next, we include binary variables to control for the effect of </w:t>
      </w:r>
      <w:r w:rsidR="00FF454E" w:rsidRPr="00591F6E">
        <w:rPr>
          <w:lang w:val="en-GB"/>
        </w:rPr>
        <w:t>alternative</w:t>
      </w:r>
      <w:r w:rsidR="00201991" w:rsidRPr="00591F6E">
        <w:rPr>
          <w:lang w:val="en-GB"/>
        </w:rPr>
        <w:t xml:space="preserve"> conflict specifications compared to the</w:t>
      </w:r>
      <w:r w:rsidR="00FF454E" w:rsidRPr="00591F6E">
        <w:rPr>
          <w:lang w:val="en-GB"/>
        </w:rPr>
        <w:t xml:space="preserve"> above</w:t>
      </w:r>
      <w:r w:rsidR="00201991" w:rsidRPr="00591F6E">
        <w:rPr>
          <w:lang w:val="en-GB"/>
        </w:rPr>
        <w:t xml:space="preserve"> baseline. Conflict </w:t>
      </w:r>
      <w:r w:rsidR="00201991" w:rsidRPr="00591F6E">
        <w:rPr>
          <w:i/>
          <w:iCs/>
          <w:lang w:val="en-GB"/>
        </w:rPr>
        <w:t>i</w:t>
      </w:r>
      <w:r w:rsidRPr="00591F6E">
        <w:rPr>
          <w:i/>
          <w:iCs/>
          <w:lang w:val="en-GB"/>
        </w:rPr>
        <w:t>ncidence</w:t>
      </w:r>
      <w:r w:rsidRPr="00591F6E">
        <w:rPr>
          <w:lang w:val="en-GB"/>
        </w:rPr>
        <w:t xml:space="preserve"> defines the occurrence of conflict and signals if a location is experiencing a conflict at time </w:t>
      </w:r>
      <w:r w:rsidRPr="00591F6E">
        <w:rPr>
          <w:i/>
          <w:lang w:val="en-GB"/>
        </w:rPr>
        <w:t>t</w:t>
      </w:r>
      <w:r w:rsidRPr="00591F6E">
        <w:rPr>
          <w:lang w:val="en-GB"/>
        </w:rPr>
        <w:t xml:space="preserve">, without consideration of when it started. Regarding these two specifications, coefficients are interpreted as probabilities </w:t>
      </w:r>
      <w:r w:rsidR="00DF6401" w:rsidRPr="00591F6E">
        <w:rPr>
          <w:lang w:val="en-GB"/>
        </w:rPr>
        <w:t>–</w:t>
      </w:r>
      <w:r w:rsidRPr="00591F6E">
        <w:rPr>
          <w:lang w:val="en-GB"/>
        </w:rPr>
        <w:t xml:space="preserve"> </w:t>
      </w:r>
      <w:r w:rsidR="00DF6401" w:rsidRPr="00591F6E">
        <w:rPr>
          <w:lang w:val="en-GB"/>
        </w:rPr>
        <w:t xml:space="preserve">they </w:t>
      </w:r>
      <w:r w:rsidRPr="00591F6E">
        <w:rPr>
          <w:lang w:val="en-GB"/>
        </w:rPr>
        <w:t xml:space="preserve">represent the marginal change in the probability of conflict onset (incidence) due to a one-unit increase in the resource variable. </w:t>
      </w:r>
      <w:r w:rsidR="00FF454E" w:rsidRPr="00591F6E">
        <w:rPr>
          <w:lang w:val="en-GB"/>
        </w:rPr>
        <w:t>Finally, we control for the specification of the outcome variable as c</w:t>
      </w:r>
      <w:r w:rsidR="00DF6401" w:rsidRPr="00591F6E">
        <w:rPr>
          <w:lang w:val="en-GB"/>
        </w:rPr>
        <w:t xml:space="preserve">onflict </w:t>
      </w:r>
      <w:r w:rsidR="00DF6401" w:rsidRPr="00591F6E">
        <w:rPr>
          <w:i/>
          <w:iCs/>
          <w:lang w:val="en-GB"/>
        </w:rPr>
        <w:t>i</w:t>
      </w:r>
      <w:r w:rsidRPr="00591F6E">
        <w:rPr>
          <w:i/>
          <w:iCs/>
          <w:lang w:val="en-GB"/>
        </w:rPr>
        <w:t>ntensity</w:t>
      </w:r>
      <w:r w:rsidR="00FF454E" w:rsidRPr="00591F6E">
        <w:rPr>
          <w:lang w:val="en-GB"/>
        </w:rPr>
        <w:t xml:space="preserve">, which </w:t>
      </w:r>
      <w:r w:rsidRPr="00591F6E">
        <w:rPr>
          <w:lang w:val="en-GB"/>
        </w:rPr>
        <w:t xml:space="preserve">is generally intended as a measurement of violence and may encompass the frequency, duration, or severity of conflict. </w:t>
      </w:r>
    </w:p>
    <w:p w14:paraId="2A9B85D3" w14:textId="77777777" w:rsidR="00F34418" w:rsidRPr="00591F6E" w:rsidRDefault="00F34418" w:rsidP="00F34418">
      <w:pPr>
        <w:pStyle w:val="Stile1"/>
        <w:jc w:val="both"/>
        <w:rPr>
          <w:lang w:val="en-GB"/>
        </w:rPr>
      </w:pPr>
    </w:p>
    <w:p w14:paraId="179C77C5" w14:textId="39A826A8" w:rsidR="00F34418" w:rsidRPr="00591F6E" w:rsidRDefault="00AC7669" w:rsidP="00AC7669">
      <w:pPr>
        <w:pStyle w:val="Stile1"/>
        <w:ind w:firstLine="360"/>
        <w:jc w:val="both"/>
        <w:rPr>
          <w:b/>
          <w:i/>
          <w:lang w:val="en-GB"/>
        </w:rPr>
      </w:pPr>
      <w:r w:rsidRPr="00591F6E">
        <w:rPr>
          <w:b/>
          <w:i/>
          <w:lang w:val="en-GB"/>
        </w:rPr>
        <w:t xml:space="preserve">2.3 </w:t>
      </w:r>
      <w:r w:rsidR="00F34418" w:rsidRPr="00591F6E">
        <w:rPr>
          <w:b/>
          <w:i/>
          <w:lang w:val="en-GB"/>
        </w:rPr>
        <w:t>Information extraction and coding</w:t>
      </w:r>
    </w:p>
    <w:p w14:paraId="68AB8234" w14:textId="77777777" w:rsidR="00F34418" w:rsidRPr="00591F6E" w:rsidRDefault="00F34418" w:rsidP="00F34418">
      <w:pPr>
        <w:pStyle w:val="Stile1"/>
        <w:jc w:val="both"/>
        <w:rPr>
          <w:b/>
          <w:i/>
          <w:lang w:val="en-GB"/>
        </w:rPr>
      </w:pPr>
    </w:p>
    <w:p w14:paraId="055E0307" w14:textId="35D7ED4C" w:rsidR="00214731" w:rsidRPr="00591F6E" w:rsidRDefault="00F34418" w:rsidP="006C51D3">
      <w:pPr>
        <w:pStyle w:val="Stile1"/>
        <w:ind w:firstLine="720"/>
        <w:jc w:val="both"/>
        <w:rPr>
          <w:lang w:val="en-GB"/>
        </w:rPr>
      </w:pPr>
      <w:r w:rsidRPr="00591F6E">
        <w:rPr>
          <w:lang w:val="en-GB"/>
        </w:rPr>
        <w:t xml:space="preserve">The first step of the analysis is to extract the relevant information from the selected studies. Based on the </w:t>
      </w:r>
      <w:r w:rsidR="006E69AE" w:rsidRPr="00591F6E">
        <w:rPr>
          <w:lang w:val="en-GB"/>
        </w:rPr>
        <w:t xml:space="preserve">review of the </w:t>
      </w:r>
      <w:r w:rsidRPr="00591F6E">
        <w:rPr>
          <w:lang w:val="en-GB"/>
        </w:rPr>
        <w:t xml:space="preserve">literature, we defined several fundamental categories to code the information contained in each study: dependent and independent variable, type of resource, time and space coverage, controls introduced (e.g. ethnic fractionalization), and methodology applied. At the first stage, information was collected qualitatively under each category. </w:t>
      </w:r>
    </w:p>
    <w:p w14:paraId="5ED1E6C3" w14:textId="77777777" w:rsidR="005D0366" w:rsidRPr="00591F6E" w:rsidRDefault="00F34418" w:rsidP="005D0366">
      <w:pPr>
        <w:pStyle w:val="Stile1"/>
        <w:ind w:firstLine="0"/>
        <w:jc w:val="both"/>
        <w:rPr>
          <w:lang w:val="en-GB"/>
        </w:rPr>
      </w:pPr>
      <w:r w:rsidRPr="00591F6E">
        <w:rPr>
          <w:lang w:val="en-GB"/>
        </w:rPr>
        <w:t xml:space="preserve">The qualitative information enclosed under each category was then coded as a dummy </w:t>
      </w:r>
      <w:r w:rsidR="00D1520A" w:rsidRPr="00591F6E">
        <w:rPr>
          <w:lang w:val="en-GB"/>
        </w:rPr>
        <w:t xml:space="preserve">variable, taking the value of 1 if the estimate drawn from the study presented that specific feature, and 0 if it did not. Dummy variables </w:t>
      </w:r>
      <w:r w:rsidR="005D0366" w:rsidRPr="00591F6E">
        <w:rPr>
          <w:lang w:val="en-GB"/>
        </w:rPr>
        <w:t xml:space="preserve">identify the potential independent variables of our meta-regression (Table 1 and Table S3, Supplementary Information), although only the most relevant ones were included in the final meta-regression model. The coded binary variables identify the main methodological features that exhibit potential to affect the results.  </w:t>
      </w:r>
    </w:p>
    <w:p w14:paraId="4373F67A" w14:textId="358EAA6C" w:rsidR="00FA384F" w:rsidRPr="00591F6E" w:rsidRDefault="00FA384F" w:rsidP="00214731">
      <w:pPr>
        <w:pStyle w:val="Stile1"/>
        <w:ind w:firstLine="360"/>
        <w:jc w:val="both"/>
        <w:rPr>
          <w:lang w:val="en-GB"/>
        </w:rPr>
      </w:pPr>
    </w:p>
    <w:tbl>
      <w:tblPr>
        <w:tblStyle w:val="Grigliatabella1"/>
        <w:tblpPr w:leftFromText="141" w:rightFromText="141" w:vertAnchor="text" w:horzAnchor="margin" w:tblpY="-59"/>
        <w:tblW w:w="8974" w:type="dxa"/>
        <w:tblLook w:val="04A0" w:firstRow="1" w:lastRow="0" w:firstColumn="1" w:lastColumn="0" w:noHBand="0" w:noVBand="1"/>
      </w:tblPr>
      <w:tblGrid>
        <w:gridCol w:w="1231"/>
        <w:gridCol w:w="1707"/>
        <w:gridCol w:w="6036"/>
      </w:tblGrid>
      <w:tr w:rsidR="00FA384F" w:rsidRPr="00591F6E" w14:paraId="2F8BC86A" w14:textId="77777777" w:rsidTr="00BA16E8">
        <w:trPr>
          <w:trHeight w:val="20"/>
        </w:trPr>
        <w:tc>
          <w:tcPr>
            <w:tcW w:w="0" w:type="auto"/>
            <w:gridSpan w:val="3"/>
            <w:noWrap/>
          </w:tcPr>
          <w:p w14:paraId="52C375D2" w14:textId="3C44E38D" w:rsidR="00FA384F" w:rsidRPr="00591F6E" w:rsidRDefault="00FA384F" w:rsidP="00BA16E8">
            <w:pPr>
              <w:spacing w:line="276" w:lineRule="auto"/>
              <w:rPr>
                <w:b/>
                <w:bCs/>
                <w:sz w:val="20"/>
                <w:lang w:val="en-GB"/>
              </w:rPr>
            </w:pPr>
            <w:r w:rsidRPr="00591F6E">
              <w:rPr>
                <w:b/>
                <w:bCs/>
                <w:sz w:val="20"/>
                <w:lang w:val="en-GB"/>
              </w:rPr>
              <w:lastRenderedPageBreak/>
              <w:t>Table 1. Main variables coded from the studies</w:t>
            </w:r>
            <w:r w:rsidR="007C6E79" w:rsidRPr="00591F6E">
              <w:rPr>
                <w:b/>
                <w:bCs/>
                <w:sz w:val="20"/>
                <w:lang w:val="en-GB"/>
              </w:rPr>
              <w:t xml:space="preserve"> and included in the meta-regression.</w:t>
            </w:r>
          </w:p>
        </w:tc>
      </w:tr>
      <w:tr w:rsidR="00FA384F" w:rsidRPr="00591F6E" w14:paraId="0C35A5F4" w14:textId="77777777" w:rsidTr="00BA16E8">
        <w:trPr>
          <w:trHeight w:val="20"/>
        </w:trPr>
        <w:tc>
          <w:tcPr>
            <w:tcW w:w="1231" w:type="dxa"/>
            <w:noWrap/>
          </w:tcPr>
          <w:p w14:paraId="20945D28" w14:textId="77777777" w:rsidR="00FA384F" w:rsidRPr="00591F6E" w:rsidRDefault="00FA384F" w:rsidP="00BA16E8">
            <w:pPr>
              <w:spacing w:line="276" w:lineRule="auto"/>
              <w:rPr>
                <w:b/>
                <w:bCs/>
                <w:sz w:val="20"/>
                <w:lang w:val="en-GB"/>
              </w:rPr>
            </w:pPr>
            <w:r w:rsidRPr="00591F6E">
              <w:rPr>
                <w:b/>
                <w:bCs/>
                <w:sz w:val="20"/>
                <w:lang w:val="en-GB"/>
              </w:rPr>
              <w:t>Category</w:t>
            </w:r>
          </w:p>
        </w:tc>
        <w:tc>
          <w:tcPr>
            <w:tcW w:w="1707" w:type="dxa"/>
            <w:noWrap/>
          </w:tcPr>
          <w:p w14:paraId="76C6886B" w14:textId="77777777" w:rsidR="00FA384F" w:rsidRPr="00591F6E" w:rsidRDefault="00FA384F" w:rsidP="00BA16E8">
            <w:pPr>
              <w:spacing w:line="276" w:lineRule="auto"/>
              <w:rPr>
                <w:b/>
                <w:bCs/>
                <w:sz w:val="20"/>
                <w:lang w:val="en-GB"/>
              </w:rPr>
            </w:pPr>
            <w:r w:rsidRPr="00591F6E">
              <w:rPr>
                <w:b/>
                <w:bCs/>
                <w:sz w:val="20"/>
                <w:lang w:val="en-GB"/>
              </w:rPr>
              <w:t>Binary variable</w:t>
            </w:r>
          </w:p>
        </w:tc>
        <w:tc>
          <w:tcPr>
            <w:tcW w:w="6036" w:type="dxa"/>
          </w:tcPr>
          <w:p w14:paraId="396C5640" w14:textId="77777777" w:rsidR="00FA384F" w:rsidRPr="00591F6E" w:rsidRDefault="00FA384F" w:rsidP="00BA16E8">
            <w:pPr>
              <w:spacing w:line="276" w:lineRule="auto"/>
              <w:rPr>
                <w:b/>
                <w:bCs/>
                <w:sz w:val="20"/>
                <w:lang w:val="en-GB"/>
              </w:rPr>
            </w:pPr>
            <w:r w:rsidRPr="00591F6E">
              <w:rPr>
                <w:b/>
                <w:bCs/>
                <w:sz w:val="20"/>
                <w:lang w:val="en-GB"/>
              </w:rPr>
              <w:t>Definition</w:t>
            </w:r>
          </w:p>
        </w:tc>
      </w:tr>
      <w:tr w:rsidR="00FA384F" w:rsidRPr="00591F6E" w14:paraId="1F53E9F6" w14:textId="77777777" w:rsidTr="00BA16E8">
        <w:trPr>
          <w:trHeight w:val="20"/>
        </w:trPr>
        <w:tc>
          <w:tcPr>
            <w:tcW w:w="1231" w:type="dxa"/>
            <w:hideMark/>
          </w:tcPr>
          <w:p w14:paraId="012C26CF" w14:textId="77777777" w:rsidR="00FA384F" w:rsidRPr="00591F6E" w:rsidRDefault="00FA384F" w:rsidP="00BA16E8">
            <w:pPr>
              <w:spacing w:line="276" w:lineRule="auto"/>
              <w:rPr>
                <w:b/>
                <w:bCs/>
                <w:sz w:val="20"/>
                <w:lang w:val="en-GB"/>
              </w:rPr>
            </w:pPr>
            <w:r w:rsidRPr="00591F6E">
              <w:rPr>
                <w:b/>
                <w:bCs/>
                <w:sz w:val="20"/>
                <w:lang w:val="en-GB"/>
              </w:rPr>
              <w:t>Dependent Variable</w:t>
            </w:r>
          </w:p>
        </w:tc>
        <w:tc>
          <w:tcPr>
            <w:tcW w:w="1707" w:type="dxa"/>
            <w:noWrap/>
            <w:hideMark/>
          </w:tcPr>
          <w:p w14:paraId="15D98A46" w14:textId="77777777" w:rsidR="00FA384F" w:rsidRPr="00591F6E" w:rsidRDefault="00FA384F" w:rsidP="00BA16E8">
            <w:pPr>
              <w:spacing w:line="276" w:lineRule="auto"/>
              <w:rPr>
                <w:sz w:val="20"/>
                <w:lang w:val="en-GB"/>
              </w:rPr>
            </w:pPr>
            <w:r w:rsidRPr="00591F6E">
              <w:rPr>
                <w:sz w:val="20"/>
                <w:lang w:val="en-GB"/>
              </w:rPr>
              <w:t>Conflict</w:t>
            </w:r>
          </w:p>
        </w:tc>
        <w:tc>
          <w:tcPr>
            <w:tcW w:w="6036" w:type="dxa"/>
            <w:hideMark/>
          </w:tcPr>
          <w:p w14:paraId="559A6650" w14:textId="61AB7481" w:rsidR="00FA384F" w:rsidRPr="00591F6E" w:rsidRDefault="00FA384F" w:rsidP="00BA16E8">
            <w:pPr>
              <w:spacing w:line="276" w:lineRule="auto"/>
              <w:rPr>
                <w:sz w:val="20"/>
                <w:lang w:val="en-GB"/>
              </w:rPr>
            </w:pPr>
            <w:r w:rsidRPr="00591F6E">
              <w:rPr>
                <w:sz w:val="20"/>
                <w:lang w:val="en-GB"/>
              </w:rPr>
              <w:t>Conflict is defined as any violent event causing the death of a minimum number of people per year. The minimum number of battle-related death can vary across studies, from 1 up to 1</w:t>
            </w:r>
            <w:r w:rsidR="007F126C">
              <w:rPr>
                <w:sz w:val="20"/>
                <w:lang w:val="en-GB"/>
              </w:rPr>
              <w:t>,</w:t>
            </w:r>
            <w:r w:rsidRPr="00591F6E">
              <w:rPr>
                <w:sz w:val="20"/>
                <w:lang w:val="en-GB"/>
              </w:rPr>
              <w:t xml:space="preserve">000. In most studies, the definition of conflict is based on a threshold of 25 battle-related deaths and thus reflects the standard definition adopted by UCDP (Gleditsch et al., 2002). We exclude from the analysis all studies that define conflict as a non-violent event (e.g. as a cooperative issue). </w:t>
            </w:r>
            <w:r w:rsidR="00844D73" w:rsidRPr="00591F6E">
              <w:rPr>
                <w:sz w:val="20"/>
                <w:lang w:val="en-GB"/>
              </w:rPr>
              <w:t xml:space="preserve">The dependent variable in the meta-regression model is specified as conflict </w:t>
            </w:r>
            <w:r w:rsidR="00844D73" w:rsidRPr="00591F6E">
              <w:rPr>
                <w:i/>
                <w:iCs/>
                <w:sz w:val="20"/>
                <w:lang w:val="en-GB"/>
              </w:rPr>
              <w:t>onset</w:t>
            </w:r>
            <w:r w:rsidR="00844D73" w:rsidRPr="00591F6E">
              <w:rPr>
                <w:sz w:val="20"/>
                <w:lang w:val="en-GB"/>
              </w:rPr>
              <w:t xml:space="preserve">, i.e. as the outbreak of conflict. </w:t>
            </w:r>
          </w:p>
        </w:tc>
      </w:tr>
      <w:tr w:rsidR="00FA384F" w:rsidRPr="00591F6E" w14:paraId="2E5CF1AB" w14:textId="77777777" w:rsidTr="00BA16E8">
        <w:trPr>
          <w:trHeight w:val="20"/>
        </w:trPr>
        <w:tc>
          <w:tcPr>
            <w:tcW w:w="1231" w:type="dxa"/>
            <w:vMerge w:val="restart"/>
            <w:hideMark/>
          </w:tcPr>
          <w:p w14:paraId="71434AE5" w14:textId="77777777" w:rsidR="00FA384F" w:rsidRPr="00591F6E" w:rsidRDefault="00FA384F" w:rsidP="00BA16E8">
            <w:pPr>
              <w:spacing w:line="276" w:lineRule="auto"/>
              <w:rPr>
                <w:b/>
                <w:bCs/>
                <w:sz w:val="20"/>
                <w:lang w:val="en-GB"/>
              </w:rPr>
            </w:pPr>
            <w:r w:rsidRPr="00591F6E">
              <w:rPr>
                <w:b/>
                <w:bCs/>
                <w:sz w:val="20"/>
                <w:lang w:val="en-GB"/>
              </w:rPr>
              <w:t>Resources</w:t>
            </w:r>
          </w:p>
        </w:tc>
        <w:tc>
          <w:tcPr>
            <w:tcW w:w="1707" w:type="dxa"/>
            <w:hideMark/>
          </w:tcPr>
          <w:p w14:paraId="3D9D2CCD" w14:textId="77777777" w:rsidR="00FA384F" w:rsidRPr="00591F6E" w:rsidRDefault="00FA384F" w:rsidP="00BA16E8">
            <w:pPr>
              <w:spacing w:line="276" w:lineRule="auto"/>
              <w:rPr>
                <w:sz w:val="20"/>
                <w:lang w:val="en-GB"/>
              </w:rPr>
            </w:pPr>
            <w:r w:rsidRPr="00591F6E">
              <w:rPr>
                <w:sz w:val="20"/>
                <w:lang w:val="en-GB"/>
              </w:rPr>
              <w:t>Minerals, drugs</w:t>
            </w:r>
          </w:p>
        </w:tc>
        <w:tc>
          <w:tcPr>
            <w:tcW w:w="6036" w:type="dxa"/>
            <w:hideMark/>
          </w:tcPr>
          <w:p w14:paraId="51CC86D1" w14:textId="77777777" w:rsidR="00FA384F" w:rsidRPr="00591F6E" w:rsidRDefault="00FA384F" w:rsidP="00BA16E8">
            <w:pPr>
              <w:spacing w:line="276" w:lineRule="auto"/>
              <w:rPr>
                <w:sz w:val="20"/>
                <w:lang w:val="en-GB"/>
              </w:rPr>
            </w:pPr>
            <w:r w:rsidRPr="00591F6E">
              <w:rPr>
                <w:sz w:val="20"/>
                <w:lang w:val="en-GB"/>
              </w:rPr>
              <w:t>This category includes all non-renewable and highly profitable resources like mineral resources (diamonds), fossil fuels (oil, carbon) and drugs (mainly opium, cocaine).</w:t>
            </w:r>
          </w:p>
        </w:tc>
      </w:tr>
      <w:tr w:rsidR="00FA384F" w:rsidRPr="00591F6E" w14:paraId="12AC526D" w14:textId="77777777" w:rsidTr="00BA16E8">
        <w:trPr>
          <w:trHeight w:val="20"/>
        </w:trPr>
        <w:tc>
          <w:tcPr>
            <w:tcW w:w="1231" w:type="dxa"/>
            <w:vMerge/>
            <w:hideMark/>
          </w:tcPr>
          <w:p w14:paraId="3EAFFC9F" w14:textId="77777777" w:rsidR="00FA384F" w:rsidRPr="00591F6E" w:rsidRDefault="00FA384F" w:rsidP="00BA16E8">
            <w:pPr>
              <w:spacing w:line="276" w:lineRule="auto"/>
              <w:rPr>
                <w:b/>
                <w:bCs/>
                <w:sz w:val="20"/>
                <w:lang w:val="en-GB"/>
              </w:rPr>
            </w:pPr>
          </w:p>
        </w:tc>
        <w:tc>
          <w:tcPr>
            <w:tcW w:w="1707" w:type="dxa"/>
            <w:hideMark/>
          </w:tcPr>
          <w:p w14:paraId="007B2EE4" w14:textId="77777777" w:rsidR="00FA384F" w:rsidRPr="00591F6E" w:rsidRDefault="00FA384F" w:rsidP="00BA16E8">
            <w:pPr>
              <w:spacing w:line="276" w:lineRule="auto"/>
              <w:rPr>
                <w:sz w:val="20"/>
                <w:lang w:val="en-GB"/>
              </w:rPr>
            </w:pPr>
            <w:r w:rsidRPr="00591F6E">
              <w:rPr>
                <w:sz w:val="20"/>
                <w:lang w:val="en-GB"/>
              </w:rPr>
              <w:t>Water</w:t>
            </w:r>
          </w:p>
        </w:tc>
        <w:tc>
          <w:tcPr>
            <w:tcW w:w="6036" w:type="dxa"/>
            <w:hideMark/>
          </w:tcPr>
          <w:p w14:paraId="10C28D1D" w14:textId="51250736" w:rsidR="00FA384F" w:rsidRPr="00591F6E" w:rsidRDefault="00FA384F" w:rsidP="00BA16E8">
            <w:pPr>
              <w:spacing w:line="276" w:lineRule="auto"/>
              <w:rPr>
                <w:sz w:val="20"/>
                <w:lang w:val="en-GB"/>
              </w:rPr>
            </w:pPr>
            <w:r w:rsidRPr="00591F6E">
              <w:rPr>
                <w:sz w:val="20"/>
                <w:lang w:val="en-GB"/>
              </w:rPr>
              <w:t xml:space="preserve">Total availability of water intended </w:t>
            </w:r>
            <w:r w:rsidR="007F126C">
              <w:rPr>
                <w:sz w:val="20"/>
                <w:lang w:val="en-GB"/>
              </w:rPr>
              <w:t>for</w:t>
            </w:r>
            <w:r w:rsidR="007F126C" w:rsidRPr="00591F6E">
              <w:rPr>
                <w:sz w:val="20"/>
                <w:lang w:val="en-GB"/>
              </w:rPr>
              <w:t xml:space="preserve"> </w:t>
            </w:r>
            <w:r w:rsidRPr="00591F6E">
              <w:rPr>
                <w:sz w:val="20"/>
                <w:lang w:val="en-GB"/>
              </w:rPr>
              <w:t>human use and can be measured in absolute terms (as total water available for consumption) or in relative terms (e.g. per capita).</w:t>
            </w:r>
          </w:p>
        </w:tc>
      </w:tr>
      <w:tr w:rsidR="00FA384F" w:rsidRPr="00591F6E" w14:paraId="7556F941" w14:textId="77777777" w:rsidTr="00BA16E8">
        <w:trPr>
          <w:trHeight w:val="20"/>
        </w:trPr>
        <w:tc>
          <w:tcPr>
            <w:tcW w:w="1231" w:type="dxa"/>
            <w:vMerge/>
            <w:hideMark/>
          </w:tcPr>
          <w:p w14:paraId="77E2EA1C" w14:textId="77777777" w:rsidR="00FA384F" w:rsidRPr="00591F6E" w:rsidRDefault="00FA384F" w:rsidP="00BA16E8">
            <w:pPr>
              <w:spacing w:line="276" w:lineRule="auto"/>
              <w:rPr>
                <w:b/>
                <w:bCs/>
                <w:sz w:val="20"/>
                <w:lang w:val="en-GB"/>
              </w:rPr>
            </w:pPr>
          </w:p>
        </w:tc>
        <w:tc>
          <w:tcPr>
            <w:tcW w:w="1707" w:type="dxa"/>
            <w:noWrap/>
            <w:hideMark/>
          </w:tcPr>
          <w:p w14:paraId="573C39CE" w14:textId="77777777" w:rsidR="00FA384F" w:rsidRPr="00591F6E" w:rsidRDefault="00FA384F" w:rsidP="00BA16E8">
            <w:pPr>
              <w:spacing w:line="276" w:lineRule="auto"/>
              <w:rPr>
                <w:sz w:val="20"/>
                <w:lang w:val="en-GB"/>
              </w:rPr>
            </w:pPr>
            <w:r w:rsidRPr="00591F6E">
              <w:rPr>
                <w:sz w:val="20"/>
                <w:lang w:val="en-GB"/>
              </w:rPr>
              <w:t>Land, vegetation</w:t>
            </w:r>
          </w:p>
        </w:tc>
        <w:tc>
          <w:tcPr>
            <w:tcW w:w="6036" w:type="dxa"/>
            <w:hideMark/>
          </w:tcPr>
          <w:p w14:paraId="3C827F35" w14:textId="77777777" w:rsidR="00FA384F" w:rsidRPr="00591F6E" w:rsidRDefault="00FA384F" w:rsidP="00BA16E8">
            <w:pPr>
              <w:spacing w:line="276" w:lineRule="auto"/>
              <w:rPr>
                <w:sz w:val="20"/>
                <w:lang w:val="en-GB"/>
              </w:rPr>
            </w:pPr>
            <w:r w:rsidRPr="00591F6E">
              <w:rPr>
                <w:sz w:val="20"/>
                <w:lang w:val="en-GB"/>
              </w:rPr>
              <w:t>Land refers to all resources associated with agricultural production and crops, including measures of agricultural productivity and intensity. Vegetation refers to diverse vegetation forms, mainly timber and forestry, and may also indicate the status of soil fertility and degradation.</w:t>
            </w:r>
          </w:p>
        </w:tc>
      </w:tr>
      <w:tr w:rsidR="00FA384F" w:rsidRPr="00591F6E" w14:paraId="3EFC1C50" w14:textId="77777777" w:rsidTr="00BA16E8">
        <w:trPr>
          <w:trHeight w:val="20"/>
        </w:trPr>
        <w:tc>
          <w:tcPr>
            <w:tcW w:w="1231" w:type="dxa"/>
            <w:vMerge w:val="restart"/>
          </w:tcPr>
          <w:p w14:paraId="24A52D1F" w14:textId="77777777" w:rsidR="00FA384F" w:rsidRPr="00591F6E" w:rsidRDefault="00FA384F" w:rsidP="00BA16E8">
            <w:pPr>
              <w:spacing w:line="276" w:lineRule="auto"/>
              <w:rPr>
                <w:b/>
                <w:bCs/>
                <w:sz w:val="20"/>
                <w:lang w:val="en-GB"/>
              </w:rPr>
            </w:pPr>
            <w:r w:rsidRPr="00591F6E">
              <w:rPr>
                <w:b/>
                <w:bCs/>
                <w:sz w:val="20"/>
                <w:lang w:val="en-GB"/>
              </w:rPr>
              <w:t>Controls</w:t>
            </w:r>
          </w:p>
        </w:tc>
        <w:tc>
          <w:tcPr>
            <w:tcW w:w="1707" w:type="dxa"/>
            <w:shd w:val="clear" w:color="auto" w:fill="auto"/>
            <w:noWrap/>
          </w:tcPr>
          <w:p w14:paraId="6FC0D780" w14:textId="77777777" w:rsidR="00FA384F" w:rsidRPr="00591F6E" w:rsidRDefault="00FA384F" w:rsidP="00BA16E8">
            <w:pPr>
              <w:spacing w:line="276" w:lineRule="auto"/>
              <w:rPr>
                <w:sz w:val="20"/>
                <w:lang w:val="en-GB"/>
              </w:rPr>
            </w:pPr>
            <w:r w:rsidRPr="00591F6E">
              <w:rPr>
                <w:sz w:val="20"/>
                <w:lang w:val="en-GB"/>
              </w:rPr>
              <w:t>Institutions</w:t>
            </w:r>
          </w:p>
        </w:tc>
        <w:tc>
          <w:tcPr>
            <w:tcW w:w="6036" w:type="dxa"/>
            <w:shd w:val="clear" w:color="auto" w:fill="auto"/>
          </w:tcPr>
          <w:p w14:paraId="54183027" w14:textId="14928095" w:rsidR="00FA384F" w:rsidRPr="00591F6E" w:rsidRDefault="00844D73" w:rsidP="00BA16E8">
            <w:pPr>
              <w:spacing w:line="276" w:lineRule="auto"/>
              <w:rPr>
                <w:sz w:val="20"/>
                <w:lang w:val="en-GB"/>
              </w:rPr>
            </w:pPr>
            <w:r w:rsidRPr="00591F6E">
              <w:rPr>
                <w:sz w:val="20"/>
                <w:lang w:val="en-GB"/>
              </w:rPr>
              <w:t xml:space="preserve">Variables connected to national institutions, the historical context of a country, </w:t>
            </w:r>
            <w:r w:rsidR="00FA384F" w:rsidRPr="00591F6E">
              <w:rPr>
                <w:sz w:val="20"/>
                <w:lang w:val="en-GB"/>
              </w:rPr>
              <w:t xml:space="preserve">and governance-related </w:t>
            </w:r>
            <w:r w:rsidRPr="00591F6E">
              <w:rPr>
                <w:sz w:val="20"/>
                <w:lang w:val="en-GB"/>
              </w:rPr>
              <w:t>conditions, e.g.</w:t>
            </w:r>
            <w:r w:rsidR="00FA384F" w:rsidRPr="00591F6E">
              <w:rPr>
                <w:sz w:val="20"/>
                <w:lang w:val="en-GB"/>
              </w:rPr>
              <w:t xml:space="preserve"> controls for colonial past, level of corruption, democracy, and </w:t>
            </w:r>
            <w:r w:rsidR="007F126C">
              <w:rPr>
                <w:sz w:val="20"/>
                <w:lang w:val="en-GB"/>
              </w:rPr>
              <w:t>governance</w:t>
            </w:r>
            <w:r w:rsidR="00FA384F" w:rsidRPr="00591F6E">
              <w:rPr>
                <w:sz w:val="20"/>
                <w:lang w:val="en-GB"/>
              </w:rPr>
              <w:t>.</w:t>
            </w:r>
          </w:p>
        </w:tc>
      </w:tr>
      <w:tr w:rsidR="00FA384F" w:rsidRPr="00591F6E" w14:paraId="775AF049" w14:textId="77777777" w:rsidTr="00BA16E8">
        <w:trPr>
          <w:trHeight w:val="20"/>
        </w:trPr>
        <w:tc>
          <w:tcPr>
            <w:tcW w:w="1231" w:type="dxa"/>
            <w:vMerge/>
            <w:hideMark/>
          </w:tcPr>
          <w:p w14:paraId="68D7023A" w14:textId="77777777" w:rsidR="00FA384F" w:rsidRPr="00591F6E" w:rsidRDefault="00FA384F" w:rsidP="00BA16E8">
            <w:pPr>
              <w:spacing w:line="276" w:lineRule="auto"/>
              <w:rPr>
                <w:b/>
                <w:bCs/>
                <w:sz w:val="20"/>
                <w:lang w:val="en-GB"/>
              </w:rPr>
            </w:pPr>
          </w:p>
        </w:tc>
        <w:tc>
          <w:tcPr>
            <w:tcW w:w="1707" w:type="dxa"/>
            <w:shd w:val="clear" w:color="auto" w:fill="auto"/>
            <w:noWrap/>
            <w:hideMark/>
          </w:tcPr>
          <w:p w14:paraId="1B7D4AC2" w14:textId="77777777" w:rsidR="00FA384F" w:rsidRPr="00591F6E" w:rsidRDefault="00FA384F" w:rsidP="00BA16E8">
            <w:pPr>
              <w:spacing w:line="276" w:lineRule="auto"/>
              <w:rPr>
                <w:sz w:val="20"/>
                <w:lang w:val="en-GB"/>
              </w:rPr>
            </w:pPr>
            <w:r w:rsidRPr="00591F6E">
              <w:rPr>
                <w:sz w:val="20"/>
                <w:lang w:val="en-GB"/>
              </w:rPr>
              <w:t>Economic context</w:t>
            </w:r>
          </w:p>
        </w:tc>
        <w:tc>
          <w:tcPr>
            <w:tcW w:w="6036" w:type="dxa"/>
            <w:shd w:val="clear" w:color="auto" w:fill="auto"/>
            <w:hideMark/>
          </w:tcPr>
          <w:p w14:paraId="30A9A63B" w14:textId="1DE346BF" w:rsidR="00FA384F" w:rsidRPr="00591F6E" w:rsidRDefault="00844D73" w:rsidP="00BA16E8">
            <w:pPr>
              <w:spacing w:line="276" w:lineRule="auto"/>
              <w:rPr>
                <w:sz w:val="20"/>
                <w:lang w:val="en-GB"/>
              </w:rPr>
            </w:pPr>
            <w:r w:rsidRPr="00591F6E">
              <w:rPr>
                <w:sz w:val="20"/>
                <w:lang w:val="en-GB"/>
              </w:rPr>
              <w:t xml:space="preserve">Variables related </w:t>
            </w:r>
            <w:r w:rsidR="00FA384F" w:rsidRPr="00591F6E">
              <w:rPr>
                <w:sz w:val="20"/>
                <w:lang w:val="en-GB"/>
              </w:rPr>
              <w:t>to the economic structure and development (GDP, income growth, openness to trade).</w:t>
            </w:r>
          </w:p>
        </w:tc>
      </w:tr>
      <w:tr w:rsidR="00FA384F" w:rsidRPr="00591F6E" w14:paraId="78FB52B2" w14:textId="77777777" w:rsidTr="00BA16E8">
        <w:trPr>
          <w:trHeight w:val="20"/>
        </w:trPr>
        <w:tc>
          <w:tcPr>
            <w:tcW w:w="1231" w:type="dxa"/>
            <w:vMerge/>
            <w:hideMark/>
          </w:tcPr>
          <w:p w14:paraId="76C10BF7" w14:textId="77777777" w:rsidR="00FA384F" w:rsidRPr="00591F6E" w:rsidRDefault="00FA384F" w:rsidP="00BA16E8">
            <w:pPr>
              <w:spacing w:line="276" w:lineRule="auto"/>
              <w:rPr>
                <w:b/>
                <w:bCs/>
                <w:sz w:val="20"/>
                <w:lang w:val="en-GB"/>
              </w:rPr>
            </w:pPr>
          </w:p>
        </w:tc>
        <w:tc>
          <w:tcPr>
            <w:tcW w:w="1707" w:type="dxa"/>
            <w:noWrap/>
            <w:hideMark/>
          </w:tcPr>
          <w:p w14:paraId="66F4EEDA" w14:textId="77777777" w:rsidR="00FA384F" w:rsidRPr="00591F6E" w:rsidRDefault="00FA384F" w:rsidP="00BA16E8">
            <w:pPr>
              <w:spacing w:line="276" w:lineRule="auto"/>
              <w:rPr>
                <w:sz w:val="20"/>
                <w:lang w:val="en-GB"/>
              </w:rPr>
            </w:pPr>
            <w:r w:rsidRPr="00591F6E">
              <w:rPr>
                <w:sz w:val="20"/>
                <w:lang w:val="en-GB"/>
              </w:rPr>
              <w:t>Fractionalization</w:t>
            </w:r>
          </w:p>
        </w:tc>
        <w:tc>
          <w:tcPr>
            <w:tcW w:w="6036" w:type="dxa"/>
            <w:hideMark/>
          </w:tcPr>
          <w:p w14:paraId="5D7BFF3B" w14:textId="48CC8BF4" w:rsidR="00FA384F" w:rsidRPr="00591F6E" w:rsidRDefault="00844D73" w:rsidP="00BA16E8">
            <w:pPr>
              <w:spacing w:line="276" w:lineRule="auto"/>
              <w:rPr>
                <w:sz w:val="20"/>
                <w:lang w:val="en-GB"/>
              </w:rPr>
            </w:pPr>
            <w:r w:rsidRPr="00591F6E">
              <w:rPr>
                <w:sz w:val="20"/>
                <w:lang w:val="en-GB"/>
              </w:rPr>
              <w:t>C</w:t>
            </w:r>
            <w:r w:rsidR="00FA384F" w:rsidRPr="00591F6E">
              <w:rPr>
                <w:sz w:val="20"/>
                <w:lang w:val="en-GB"/>
              </w:rPr>
              <w:t>ontrols related to ethnic, linguistic or religious fractionalization</w:t>
            </w:r>
            <w:r w:rsidRPr="00591F6E">
              <w:rPr>
                <w:sz w:val="20"/>
                <w:lang w:val="en-GB"/>
              </w:rPr>
              <w:t xml:space="preserve"> or </w:t>
            </w:r>
            <w:r w:rsidR="00FA384F" w:rsidRPr="00591F6E">
              <w:rPr>
                <w:sz w:val="20"/>
                <w:lang w:val="en-GB"/>
              </w:rPr>
              <w:t>polari</w:t>
            </w:r>
            <w:r w:rsidRPr="00591F6E">
              <w:rPr>
                <w:sz w:val="20"/>
                <w:lang w:val="en-GB"/>
              </w:rPr>
              <w:t>z</w:t>
            </w:r>
            <w:r w:rsidR="00FA384F" w:rsidRPr="00591F6E">
              <w:rPr>
                <w:sz w:val="20"/>
                <w:lang w:val="en-GB"/>
              </w:rPr>
              <w:t xml:space="preserve">ation and dominance are introduced. Fractionalization is generally referred to as the </w:t>
            </w:r>
            <w:r w:rsidR="007C6E79" w:rsidRPr="00591F6E">
              <w:rPr>
                <w:sz w:val="20"/>
                <w:lang w:val="en-GB"/>
              </w:rPr>
              <w:t xml:space="preserve">linguistic or religious </w:t>
            </w:r>
            <w:r w:rsidR="00FA384F" w:rsidRPr="00591F6E">
              <w:rPr>
                <w:sz w:val="20"/>
                <w:lang w:val="en-GB"/>
              </w:rPr>
              <w:t xml:space="preserve">distance between sub-groups </w:t>
            </w:r>
            <w:r w:rsidRPr="00591F6E">
              <w:rPr>
                <w:sz w:val="20"/>
                <w:lang w:val="en-GB"/>
              </w:rPr>
              <w:t>i</w:t>
            </w:r>
            <w:r w:rsidR="00FA384F" w:rsidRPr="00591F6E">
              <w:rPr>
                <w:sz w:val="20"/>
                <w:lang w:val="en-GB"/>
              </w:rPr>
              <w:t>nhabiting the same country or region.</w:t>
            </w:r>
            <w:r w:rsidR="007C6E79" w:rsidRPr="00591F6E">
              <w:rPr>
                <w:sz w:val="20"/>
                <w:lang w:val="en-GB"/>
              </w:rPr>
              <w:t xml:space="preserve"> It may include also socio-political discrimination exerted against a specific ethnic or religious minority. </w:t>
            </w:r>
          </w:p>
        </w:tc>
      </w:tr>
      <w:tr w:rsidR="00FA384F" w:rsidRPr="00591F6E" w14:paraId="234104FD" w14:textId="77777777" w:rsidTr="00BA16E8">
        <w:trPr>
          <w:trHeight w:val="20"/>
        </w:trPr>
        <w:tc>
          <w:tcPr>
            <w:tcW w:w="1231" w:type="dxa"/>
            <w:vMerge/>
            <w:hideMark/>
          </w:tcPr>
          <w:p w14:paraId="5CA075D1" w14:textId="77777777" w:rsidR="00FA384F" w:rsidRPr="00591F6E" w:rsidRDefault="00FA384F" w:rsidP="00BA16E8">
            <w:pPr>
              <w:spacing w:line="276" w:lineRule="auto"/>
              <w:rPr>
                <w:b/>
                <w:bCs/>
                <w:sz w:val="20"/>
                <w:lang w:val="en-GB"/>
              </w:rPr>
            </w:pPr>
          </w:p>
        </w:tc>
        <w:tc>
          <w:tcPr>
            <w:tcW w:w="1707" w:type="dxa"/>
            <w:noWrap/>
            <w:hideMark/>
          </w:tcPr>
          <w:p w14:paraId="12D4B635" w14:textId="77777777" w:rsidR="00FA384F" w:rsidRPr="00591F6E" w:rsidRDefault="00FA384F" w:rsidP="00BA16E8">
            <w:pPr>
              <w:spacing w:line="276" w:lineRule="auto"/>
              <w:rPr>
                <w:sz w:val="20"/>
                <w:lang w:val="en-GB"/>
              </w:rPr>
            </w:pPr>
            <w:r w:rsidRPr="00591F6E">
              <w:rPr>
                <w:sz w:val="20"/>
                <w:lang w:val="en-GB"/>
              </w:rPr>
              <w:t>Geography</w:t>
            </w:r>
          </w:p>
        </w:tc>
        <w:tc>
          <w:tcPr>
            <w:tcW w:w="6036" w:type="dxa"/>
            <w:hideMark/>
          </w:tcPr>
          <w:p w14:paraId="055EDC95" w14:textId="48B75BFF" w:rsidR="00FA384F" w:rsidRPr="00591F6E" w:rsidRDefault="007C6E79" w:rsidP="00BA16E8">
            <w:pPr>
              <w:spacing w:line="276" w:lineRule="auto"/>
              <w:rPr>
                <w:sz w:val="20"/>
                <w:lang w:val="en-GB"/>
              </w:rPr>
            </w:pPr>
            <w:r w:rsidRPr="00591F6E">
              <w:rPr>
                <w:sz w:val="20"/>
                <w:lang w:val="en-GB"/>
              </w:rPr>
              <w:t>G</w:t>
            </w:r>
            <w:r w:rsidR="00FA384F" w:rsidRPr="00591F6E">
              <w:rPr>
                <w:sz w:val="20"/>
                <w:lang w:val="en-GB"/>
              </w:rPr>
              <w:t xml:space="preserve">eographic </w:t>
            </w:r>
            <w:r w:rsidRPr="00591F6E">
              <w:rPr>
                <w:sz w:val="20"/>
                <w:lang w:val="en-GB"/>
              </w:rPr>
              <w:t>characteristics</w:t>
            </w:r>
            <w:r w:rsidR="00FA384F" w:rsidRPr="00591F6E">
              <w:rPr>
                <w:sz w:val="20"/>
                <w:lang w:val="en-GB"/>
              </w:rPr>
              <w:t xml:space="preserve"> </w:t>
            </w:r>
            <w:r w:rsidRPr="00591F6E">
              <w:rPr>
                <w:sz w:val="20"/>
                <w:lang w:val="en-GB"/>
              </w:rPr>
              <w:t>of the territory and presence of infrastructure related to transport, (which</w:t>
            </w:r>
            <w:r w:rsidR="00FA384F" w:rsidRPr="00591F6E">
              <w:rPr>
                <w:sz w:val="20"/>
                <w:lang w:val="en-GB"/>
              </w:rPr>
              <w:t xml:space="preserve"> may </w:t>
            </w:r>
            <w:r w:rsidRPr="00591F6E">
              <w:rPr>
                <w:sz w:val="20"/>
                <w:lang w:val="en-GB"/>
              </w:rPr>
              <w:t>affect rebel groups</w:t>
            </w:r>
            <w:r w:rsidR="00FA384F" w:rsidRPr="00591F6E">
              <w:rPr>
                <w:sz w:val="20"/>
                <w:lang w:val="en-GB"/>
              </w:rPr>
              <w:t>' capability to control the territory), e.g. presence of roads, terrain roughness, distance to the capital</w:t>
            </w:r>
            <w:r w:rsidRPr="00591F6E">
              <w:rPr>
                <w:sz w:val="20"/>
                <w:lang w:val="en-GB"/>
              </w:rPr>
              <w:t xml:space="preserve"> to the border.</w:t>
            </w:r>
          </w:p>
        </w:tc>
      </w:tr>
      <w:tr w:rsidR="00FA384F" w:rsidRPr="00591F6E" w14:paraId="5501BAD9" w14:textId="77777777" w:rsidTr="00BA16E8">
        <w:trPr>
          <w:trHeight w:val="20"/>
        </w:trPr>
        <w:tc>
          <w:tcPr>
            <w:tcW w:w="1231" w:type="dxa"/>
            <w:vMerge/>
            <w:hideMark/>
          </w:tcPr>
          <w:p w14:paraId="106934FB" w14:textId="77777777" w:rsidR="00FA384F" w:rsidRPr="00591F6E" w:rsidRDefault="00FA384F" w:rsidP="00BA16E8">
            <w:pPr>
              <w:spacing w:line="276" w:lineRule="auto"/>
              <w:rPr>
                <w:b/>
                <w:bCs/>
                <w:sz w:val="20"/>
                <w:lang w:val="en-GB"/>
              </w:rPr>
            </w:pPr>
          </w:p>
        </w:tc>
        <w:tc>
          <w:tcPr>
            <w:tcW w:w="1707" w:type="dxa"/>
            <w:noWrap/>
            <w:hideMark/>
          </w:tcPr>
          <w:p w14:paraId="2F223735" w14:textId="77777777" w:rsidR="00FA384F" w:rsidRPr="00591F6E" w:rsidRDefault="00FA384F" w:rsidP="00BA16E8">
            <w:pPr>
              <w:spacing w:line="276" w:lineRule="auto"/>
              <w:rPr>
                <w:sz w:val="20"/>
                <w:lang w:val="en-GB"/>
              </w:rPr>
            </w:pPr>
            <w:r w:rsidRPr="00591F6E">
              <w:rPr>
                <w:sz w:val="20"/>
                <w:lang w:val="en-GB"/>
              </w:rPr>
              <w:t>Climate</w:t>
            </w:r>
          </w:p>
        </w:tc>
        <w:tc>
          <w:tcPr>
            <w:tcW w:w="6036" w:type="dxa"/>
            <w:hideMark/>
          </w:tcPr>
          <w:p w14:paraId="4EACC4AB" w14:textId="1CD99CB6" w:rsidR="00FA384F" w:rsidRPr="00591F6E" w:rsidRDefault="007C6E79" w:rsidP="00BA16E8">
            <w:pPr>
              <w:spacing w:line="276" w:lineRule="auto"/>
              <w:rPr>
                <w:sz w:val="20"/>
                <w:lang w:val="en-GB"/>
              </w:rPr>
            </w:pPr>
            <w:r w:rsidRPr="00591F6E">
              <w:rPr>
                <w:sz w:val="20"/>
                <w:lang w:val="en-GB"/>
              </w:rPr>
              <w:t>Climate-related variables, identifying both climatic conditions such as temperature and precipitation patterns, and climatic changes or anomalies over-time. Some studies may also specify climatic variables in the form of droughts or water scarcity.</w:t>
            </w:r>
          </w:p>
        </w:tc>
      </w:tr>
    </w:tbl>
    <w:p w14:paraId="56879316" w14:textId="1A8EE698" w:rsidR="00FA384F" w:rsidRPr="00591F6E" w:rsidRDefault="00FA384F" w:rsidP="00FA384F">
      <w:pPr>
        <w:pStyle w:val="Stile1"/>
        <w:spacing w:line="240" w:lineRule="auto"/>
        <w:ind w:firstLine="0"/>
        <w:jc w:val="both"/>
        <w:rPr>
          <w:i/>
          <w:iCs/>
          <w:lang w:val="en-GB"/>
        </w:rPr>
      </w:pPr>
      <w:r w:rsidRPr="00591F6E">
        <w:rPr>
          <w:i/>
          <w:iCs/>
          <w:lang w:val="en-GB"/>
        </w:rPr>
        <w:t xml:space="preserve">Table 1. Definition of the variables coded from the studies. In the meta-regression model, every piece of information or methodological feature characterizing the studies, is included as a binary variable coded as 1 whenever the study presents that specific feature, and otherwise 0. </w:t>
      </w:r>
      <w:r w:rsidR="00844D73" w:rsidRPr="00591F6E">
        <w:rPr>
          <w:i/>
          <w:iCs/>
          <w:lang w:val="en-GB"/>
        </w:rPr>
        <w:t>For instance, ‘institutions’ in the meta-regression model is coded as 1 if the study controls for any institutional-related variable, and otherwise 0.</w:t>
      </w:r>
    </w:p>
    <w:p w14:paraId="2A229034" w14:textId="77777777" w:rsidR="00FA384F" w:rsidRPr="00591F6E" w:rsidRDefault="00FA384F" w:rsidP="00FA384F">
      <w:pPr>
        <w:pStyle w:val="Stile1"/>
        <w:ind w:firstLine="0"/>
        <w:jc w:val="both"/>
        <w:rPr>
          <w:lang w:val="en-GB"/>
        </w:rPr>
      </w:pPr>
    </w:p>
    <w:p w14:paraId="05A27CC8" w14:textId="1C2A002F" w:rsidR="00B016B0" w:rsidRPr="00591F6E" w:rsidRDefault="00B016B0" w:rsidP="00214731">
      <w:pPr>
        <w:pStyle w:val="Stile1"/>
        <w:ind w:firstLine="360"/>
        <w:jc w:val="both"/>
        <w:rPr>
          <w:lang w:val="en-GB"/>
        </w:rPr>
      </w:pPr>
    </w:p>
    <w:p w14:paraId="1255CEAA" w14:textId="448F26B4" w:rsidR="005D0366" w:rsidRPr="00591F6E" w:rsidRDefault="005D0366" w:rsidP="00214731">
      <w:pPr>
        <w:pStyle w:val="Stile1"/>
        <w:ind w:firstLine="360"/>
        <w:jc w:val="both"/>
        <w:rPr>
          <w:lang w:val="en-GB"/>
        </w:rPr>
      </w:pPr>
    </w:p>
    <w:p w14:paraId="42CCAE6B" w14:textId="39971847" w:rsidR="005D0366" w:rsidRPr="00591F6E" w:rsidRDefault="005D0366" w:rsidP="00214731">
      <w:pPr>
        <w:pStyle w:val="Stile1"/>
        <w:ind w:firstLine="360"/>
        <w:jc w:val="both"/>
        <w:rPr>
          <w:lang w:val="en-GB"/>
        </w:rPr>
      </w:pPr>
    </w:p>
    <w:p w14:paraId="748B2DD6" w14:textId="77777777" w:rsidR="005D0366" w:rsidRPr="00591F6E" w:rsidRDefault="005D0366" w:rsidP="00214731">
      <w:pPr>
        <w:pStyle w:val="Stile1"/>
        <w:ind w:firstLine="360"/>
        <w:jc w:val="both"/>
        <w:rPr>
          <w:lang w:val="en-GB"/>
        </w:rPr>
      </w:pPr>
    </w:p>
    <w:p w14:paraId="01DE5920" w14:textId="7CDE430D" w:rsidR="00666AE5" w:rsidRPr="00591F6E" w:rsidRDefault="00AC7669" w:rsidP="00AC7669">
      <w:pPr>
        <w:pStyle w:val="Stile1"/>
        <w:ind w:firstLine="360"/>
        <w:jc w:val="both"/>
        <w:rPr>
          <w:b/>
          <w:i/>
          <w:lang w:val="en-GB"/>
        </w:rPr>
      </w:pPr>
      <w:r w:rsidRPr="00591F6E">
        <w:rPr>
          <w:b/>
          <w:i/>
          <w:lang w:val="en-GB"/>
        </w:rPr>
        <w:t xml:space="preserve">2.4 </w:t>
      </w:r>
      <w:r w:rsidR="00666AE5" w:rsidRPr="00591F6E">
        <w:rPr>
          <w:b/>
          <w:i/>
          <w:lang w:val="en-GB"/>
        </w:rPr>
        <w:t>Meta-regression specification</w:t>
      </w:r>
    </w:p>
    <w:p w14:paraId="17C238ED" w14:textId="77777777" w:rsidR="007827EA" w:rsidRPr="00591F6E" w:rsidRDefault="007827EA" w:rsidP="007E5CDA">
      <w:pPr>
        <w:pStyle w:val="Stile1"/>
        <w:jc w:val="both"/>
        <w:rPr>
          <w:b/>
          <w:i/>
          <w:lang w:val="en-GB"/>
        </w:rPr>
      </w:pPr>
    </w:p>
    <w:p w14:paraId="4A0DCABC" w14:textId="535B7F10" w:rsidR="00666AE5" w:rsidRPr="00591F6E" w:rsidRDefault="00666AE5" w:rsidP="007E5CDA">
      <w:pPr>
        <w:pStyle w:val="Stile1"/>
        <w:jc w:val="both"/>
        <w:rPr>
          <w:lang w:val="en-GB"/>
        </w:rPr>
      </w:pPr>
      <w:r w:rsidRPr="00591F6E">
        <w:rPr>
          <w:lang w:val="en-GB"/>
        </w:rPr>
        <w:t>The purpose of our meta-analysis is to synthetize the magnitude and the direction of the effect that natural resource</w:t>
      </w:r>
      <w:r w:rsidR="00777A39" w:rsidRPr="00591F6E">
        <w:rPr>
          <w:lang w:val="en-GB"/>
        </w:rPr>
        <w:t xml:space="preserve"> abundance and scarcity</w:t>
      </w:r>
      <w:r w:rsidRPr="00591F6E">
        <w:rPr>
          <w:lang w:val="en-GB"/>
        </w:rPr>
        <w:t xml:space="preserve"> have on conflict, including or excluding climate controls, to understand if climate may impact on conflict through natural resource availability. </w:t>
      </w:r>
      <w:r w:rsidR="00D07762" w:rsidRPr="00591F6E">
        <w:rPr>
          <w:lang w:val="en-GB"/>
        </w:rPr>
        <w:t xml:space="preserve">To this end, we ideally </w:t>
      </w:r>
      <w:r w:rsidRPr="00591F6E">
        <w:rPr>
          <w:lang w:val="en-GB"/>
        </w:rPr>
        <w:t xml:space="preserve">need a single metric of the effect size. Recent research on meta-analytic methods argues in favour of the use of beta coefficients for this </w:t>
      </w:r>
      <w:r w:rsidRPr="00591F6E">
        <w:rPr>
          <w:lang w:val="en-GB"/>
        </w:rPr>
        <w:lastRenderedPageBreak/>
        <w:t>purpose (Peterson and Brown, 2005; Bowman, 2012). In this paper, we choose the</w:t>
      </w:r>
      <w:r w:rsidR="00D261E9" w:rsidRPr="00591F6E">
        <w:rPr>
          <w:lang w:val="en-GB"/>
        </w:rPr>
        <w:t xml:space="preserve"> standardized</w:t>
      </w:r>
      <w:r w:rsidRPr="00591F6E">
        <w:rPr>
          <w:lang w:val="en-GB"/>
        </w:rPr>
        <w:t xml:space="preserve"> </w:t>
      </w:r>
      <w:r w:rsidRPr="00591F6E">
        <w:rPr>
          <w:i/>
          <w:lang w:val="en-GB"/>
        </w:rPr>
        <w:t>t</w:t>
      </w:r>
      <w:r w:rsidRPr="00591F6E">
        <w:rPr>
          <w:lang w:val="en-GB"/>
        </w:rPr>
        <w:t xml:space="preserve">-statistic as a measure of the beta coefficients reported by the studies. Whenever studies do not report the </w:t>
      </w:r>
      <w:r w:rsidRPr="00591F6E">
        <w:rPr>
          <w:i/>
          <w:lang w:val="en-GB"/>
        </w:rPr>
        <w:t>t</w:t>
      </w:r>
      <w:r w:rsidRPr="00591F6E">
        <w:rPr>
          <w:lang w:val="en-GB"/>
        </w:rPr>
        <w:t xml:space="preserve">-statistics, we computed it as the ratio of the beta coefficients over the standard error. To ensure that estimates are comparable, we removed the model specifications that included interaction terms, testing for the conditional impact of the independent variable on conflict, since they are not directly comparable with the others (Klomp and Valckx, 2014). However, </w:t>
      </w:r>
      <w:r w:rsidR="007F1AB4" w:rsidRPr="00591F6E">
        <w:rPr>
          <w:lang w:val="en-GB"/>
        </w:rPr>
        <w:t xml:space="preserve">as </w:t>
      </w:r>
      <w:r w:rsidRPr="00591F6E">
        <w:rPr>
          <w:lang w:val="en-GB"/>
        </w:rPr>
        <w:t>robustness tests</w:t>
      </w:r>
      <w:r w:rsidR="00444EAB" w:rsidRPr="00591F6E">
        <w:rPr>
          <w:lang w:val="en-GB"/>
        </w:rPr>
        <w:t>,</w:t>
      </w:r>
      <w:r w:rsidRPr="00591F6E">
        <w:rPr>
          <w:lang w:val="en-GB"/>
        </w:rPr>
        <w:t xml:space="preserve"> we checked the effect of these conditional models by including them in the sample. </w:t>
      </w:r>
    </w:p>
    <w:p w14:paraId="0E276B4A" w14:textId="2DE7B8F1" w:rsidR="00666AE5" w:rsidRPr="00591F6E" w:rsidRDefault="00666AE5" w:rsidP="007E5CDA">
      <w:pPr>
        <w:pStyle w:val="Stile1"/>
        <w:jc w:val="both"/>
        <w:rPr>
          <w:lang w:val="en-GB"/>
        </w:rPr>
      </w:pPr>
      <w:r w:rsidRPr="00591F6E">
        <w:rPr>
          <w:lang w:val="en-GB"/>
        </w:rPr>
        <w:t>Similar to multiple regression analysis, meta-regressions require the assumption of independence of observations (Hox and de Leeuw, 2003). Scholars consider empirical estimates as statistically independent if they are reported by different authors or if the same author reports them but uses different samples. Estimates reported by the same study and employing the same dataset are not statistically independent (Doucouliagos and Ulubasoglu, 2006). Although estimating the model by neglecting the issue of non-independence would not necessarily produce biased results</w:t>
      </w:r>
      <w:r w:rsidR="00AE1134" w:rsidRPr="00591F6E">
        <w:rPr>
          <w:lang w:val="en-GB"/>
        </w:rPr>
        <w:t>,</w:t>
      </w:r>
      <w:r w:rsidRPr="00591F6E">
        <w:rPr>
          <w:lang w:val="en-GB"/>
        </w:rPr>
        <w:t xml:space="preserve"> it would affect the variance of the coefficients and hence lead to an incorrect interpretation of the significance levels. To account for these issues, some authors suggest computing the average effect size of all estimates within the same study or selecting a single estimate from each article (Lipsey and Wilson, 2001). However, these methods would result in a reduction of the sample size and require subjective selection of the single estimate to be sorted out from each study. Furthermore, these techniques would remove all within-study variation, which is a valuable source of information of potential drivers of results. </w:t>
      </w:r>
    </w:p>
    <w:p w14:paraId="06C3FF10" w14:textId="782665B8" w:rsidR="00666AE5" w:rsidRPr="00591F6E" w:rsidRDefault="00EF073F" w:rsidP="007F126C">
      <w:pPr>
        <w:pStyle w:val="Stile1"/>
        <w:jc w:val="both"/>
        <w:rPr>
          <w:lang w:val="en-GB"/>
        </w:rPr>
      </w:pPr>
      <w:r w:rsidRPr="00591F6E">
        <w:rPr>
          <w:lang w:val="en-GB"/>
        </w:rPr>
        <w:t>In this study</w:t>
      </w:r>
      <w:r w:rsidR="00666AE5" w:rsidRPr="00591F6E">
        <w:rPr>
          <w:lang w:val="en-GB"/>
        </w:rPr>
        <w:t>, we adopted a</w:t>
      </w:r>
      <w:r w:rsidR="00784D11" w:rsidRPr="00591F6E">
        <w:rPr>
          <w:lang w:val="en-GB"/>
        </w:rPr>
        <w:t>n unrestrained Weighted</w:t>
      </w:r>
      <w:r w:rsidR="00666AE5" w:rsidRPr="00591F6E">
        <w:rPr>
          <w:lang w:val="en-GB"/>
        </w:rPr>
        <w:t xml:space="preserve"> Least Square (</w:t>
      </w:r>
      <w:r w:rsidR="00784D11" w:rsidRPr="00591F6E">
        <w:rPr>
          <w:lang w:val="en-GB"/>
        </w:rPr>
        <w:t>WL</w:t>
      </w:r>
      <w:r w:rsidR="00666AE5" w:rsidRPr="00591F6E">
        <w:rPr>
          <w:lang w:val="en-GB"/>
        </w:rPr>
        <w:t xml:space="preserve">S) with robust standard errors clustered at the study level to address the non-independence of observations. </w:t>
      </w:r>
      <w:r w:rsidR="004D676F" w:rsidRPr="00591F6E">
        <w:rPr>
          <w:lang w:val="en-GB"/>
        </w:rPr>
        <w:t xml:space="preserve">The unrestricted WLS </w:t>
      </w:r>
      <w:r w:rsidR="002330E0" w:rsidRPr="00591F6E">
        <w:rPr>
          <w:lang w:val="en-GB"/>
        </w:rPr>
        <w:t xml:space="preserve">is </w:t>
      </w:r>
      <w:r w:rsidR="007F1AB4" w:rsidRPr="00591F6E">
        <w:rPr>
          <w:lang w:val="en-GB"/>
        </w:rPr>
        <w:t xml:space="preserve">shown </w:t>
      </w:r>
      <w:r w:rsidR="002330E0" w:rsidRPr="00591F6E">
        <w:rPr>
          <w:lang w:val="en-GB"/>
        </w:rPr>
        <w:t xml:space="preserve">to </w:t>
      </w:r>
      <w:r w:rsidR="004D676F" w:rsidRPr="00591F6E">
        <w:rPr>
          <w:lang w:val="en-GB"/>
        </w:rPr>
        <w:t>be less biased than traditional meta-regression methods (fixed or random</w:t>
      </w:r>
      <w:r w:rsidR="007F1AB4" w:rsidRPr="00591F6E">
        <w:rPr>
          <w:lang w:val="en-GB"/>
        </w:rPr>
        <w:t>-</w:t>
      </w:r>
      <w:r w:rsidR="004D676F" w:rsidRPr="00591F6E">
        <w:rPr>
          <w:lang w:val="en-GB"/>
        </w:rPr>
        <w:t xml:space="preserve">effects models) when the reported research literature contains selection for statistical significance, </w:t>
      </w:r>
      <w:r w:rsidR="00C45571" w:rsidRPr="00591F6E">
        <w:rPr>
          <w:lang w:val="en-GB"/>
        </w:rPr>
        <w:t>i.e.</w:t>
      </w:r>
      <w:r w:rsidR="004D676F" w:rsidRPr="00591F6E">
        <w:rPr>
          <w:lang w:val="en-GB"/>
        </w:rPr>
        <w:t xml:space="preserve"> ‘publication’ bias (Stanley and Doucouliagos, 2012), which is common in many areas of research (Sterling et al., 1995). When a selection for statistical significance exists, </w:t>
      </w:r>
      <w:r w:rsidR="00A633B2" w:rsidRPr="00591F6E">
        <w:rPr>
          <w:lang w:val="en-GB"/>
        </w:rPr>
        <w:t xml:space="preserve">and as long as variances are known (as in meta-analyses), </w:t>
      </w:r>
      <w:r w:rsidR="004D676F" w:rsidRPr="00591F6E">
        <w:rPr>
          <w:lang w:val="en-GB"/>
        </w:rPr>
        <w:t xml:space="preserve">unrestricted WLS models are proven to have statistical properties </w:t>
      </w:r>
      <w:r w:rsidR="002330E0" w:rsidRPr="00591F6E">
        <w:rPr>
          <w:lang w:val="en-GB"/>
        </w:rPr>
        <w:t xml:space="preserve">at least </w:t>
      </w:r>
      <w:r w:rsidR="004D676F" w:rsidRPr="00591F6E">
        <w:rPr>
          <w:lang w:val="en-GB"/>
        </w:rPr>
        <w:t>comparable with or superior to traditional meta-analytic models such as random or fixed-effects</w:t>
      </w:r>
      <w:r w:rsidR="008016D4" w:rsidRPr="00591F6E">
        <w:rPr>
          <w:lang w:val="en-GB"/>
        </w:rPr>
        <w:t xml:space="preserve">; they are invariant to the magnitude of known or unknown heterogeneity across estimates; and retain desirable properties even when a bad estimate of variance is used (Stanley and Doucouliagos, 2017). </w:t>
      </w:r>
      <w:r w:rsidR="00985921" w:rsidRPr="00591F6E">
        <w:rPr>
          <w:lang w:val="en-GB"/>
        </w:rPr>
        <w:t>To account for variations across studies, o</w:t>
      </w:r>
      <w:r w:rsidR="004D676F" w:rsidRPr="00591F6E">
        <w:rPr>
          <w:lang w:val="en-GB"/>
        </w:rPr>
        <w:t>ur</w:t>
      </w:r>
      <w:r w:rsidR="00666AE5" w:rsidRPr="00591F6E">
        <w:rPr>
          <w:lang w:val="en-GB"/>
        </w:rPr>
        <w:t xml:space="preserve"> </w:t>
      </w:r>
      <w:r w:rsidR="00784D11" w:rsidRPr="00591F6E">
        <w:rPr>
          <w:lang w:val="en-GB"/>
        </w:rPr>
        <w:t>W</w:t>
      </w:r>
      <w:r w:rsidR="00666AE5" w:rsidRPr="00591F6E">
        <w:rPr>
          <w:lang w:val="en-GB"/>
        </w:rPr>
        <w:t xml:space="preserve">LS </w:t>
      </w:r>
      <w:r w:rsidR="004D676F" w:rsidRPr="00591F6E">
        <w:rPr>
          <w:lang w:val="en-GB"/>
        </w:rPr>
        <w:t xml:space="preserve">model </w:t>
      </w:r>
      <w:r w:rsidR="00666AE5" w:rsidRPr="00591F6E">
        <w:rPr>
          <w:lang w:val="en-GB"/>
        </w:rPr>
        <w:t>clusters estimate by study and assume independence among clusters</w:t>
      </w:r>
      <w:r w:rsidR="00985921" w:rsidRPr="00591F6E">
        <w:rPr>
          <w:lang w:val="en-GB"/>
        </w:rPr>
        <w:t>.</w:t>
      </w:r>
      <w:r w:rsidR="007F126C">
        <w:rPr>
          <w:lang w:val="en-GB"/>
        </w:rPr>
        <w:t xml:space="preserve"> </w:t>
      </w:r>
      <w:r w:rsidR="002330E0" w:rsidRPr="00591F6E">
        <w:rPr>
          <w:lang w:val="en-GB"/>
        </w:rPr>
        <w:t>Our</w:t>
      </w:r>
      <w:r w:rsidR="00985921" w:rsidRPr="00591F6E">
        <w:rPr>
          <w:lang w:val="en-GB"/>
        </w:rPr>
        <w:t xml:space="preserve"> </w:t>
      </w:r>
      <w:r w:rsidR="00E11480" w:rsidRPr="00591F6E">
        <w:rPr>
          <w:lang w:val="en-GB"/>
        </w:rPr>
        <w:t>meta-</w:t>
      </w:r>
      <w:r w:rsidR="00985921" w:rsidRPr="00591F6E">
        <w:rPr>
          <w:lang w:val="en-GB"/>
        </w:rPr>
        <w:t xml:space="preserve">regression model is: </w:t>
      </w:r>
    </w:p>
    <w:p w14:paraId="281CC13C" w14:textId="66FE7A74" w:rsidR="00666AE5" w:rsidRPr="00591F6E" w:rsidRDefault="00666AE5" w:rsidP="00450072">
      <w:pPr>
        <w:pStyle w:val="Stile1"/>
        <w:ind w:left="720" w:firstLine="720"/>
        <w:jc w:val="center"/>
        <w:rPr>
          <w:lang w:val="en-GB"/>
        </w:rPr>
      </w:pPr>
      <w:r w:rsidRPr="00591F6E">
        <w:rPr>
          <w:lang w:val="en-GB"/>
        </w:rPr>
        <w:t xml:space="preserve"> </w:t>
      </w:r>
      <w:r w:rsidR="004A7B7B" w:rsidRPr="00591F6E">
        <w:rPr>
          <w:lang w:val="en-GB"/>
        </w:rPr>
        <w:t xml:space="preserve"> </w:t>
      </w:r>
      <w:r w:rsidR="00450072">
        <w:rPr>
          <w:lang w:val="en-GB"/>
        </w:rPr>
        <w:t xml:space="preserve">                             </w:t>
      </w:r>
      <m:oMath>
        <m:sSub>
          <m:sSubPr>
            <m:ctrlPr>
              <w:rPr>
                <w:rFonts w:ascii="Cambria Math" w:hAnsi="Cambria Math"/>
                <w:lang w:val="en-GB"/>
              </w:rPr>
            </m:ctrlPr>
          </m:sSubPr>
          <m:e>
            <m:r>
              <w:rPr>
                <w:rFonts w:ascii="Cambria Math" w:hAnsi="Cambria Math"/>
                <w:lang w:val="en-GB"/>
              </w:rPr>
              <m:t>t</m:t>
            </m:r>
          </m:e>
          <m:sub>
            <m:r>
              <w:rPr>
                <w:rFonts w:ascii="Cambria Math" w:hAnsi="Cambria Math"/>
                <w:lang w:val="en-GB"/>
              </w:rPr>
              <m:t>js</m:t>
            </m:r>
          </m:sub>
        </m:sSub>
        <m:r>
          <m:rPr>
            <m:sty m:val="p"/>
          </m:rPr>
          <w:rPr>
            <w:rFonts w:ascii="Cambria Math" w:hAnsi="Cambria Math"/>
            <w:lang w:val="en-GB"/>
          </w:rPr>
          <m:t xml:space="preserve">= </m:t>
        </m:r>
        <m:sSub>
          <m:sSubPr>
            <m:ctrlPr>
              <w:rPr>
                <w:rFonts w:ascii="Cambria Math" w:hAnsi="Cambria Math"/>
                <w:lang w:val="en-GB"/>
              </w:rPr>
            </m:ctrlPr>
          </m:sSubPr>
          <m:e>
            <m:r>
              <w:rPr>
                <w:rFonts w:ascii="Cambria Math" w:hAnsi="Cambria Math"/>
                <w:lang w:val="en-GB"/>
              </w:rPr>
              <m:t>β</m:t>
            </m:r>
          </m:e>
          <m:sub>
            <m:r>
              <w:rPr>
                <w:rFonts w:ascii="Cambria Math" w:hAnsi="Cambria Math"/>
                <w:lang w:val="en-GB"/>
              </w:rPr>
              <m:t>0</m:t>
            </m:r>
          </m:sub>
        </m:sSub>
        <m:r>
          <m:rPr>
            <m:sty m:val="p"/>
          </m:rPr>
          <w:rPr>
            <w:rFonts w:ascii="Cambria Math" w:hAnsi="Cambria Math"/>
            <w:lang w:val="en-GB"/>
          </w:rPr>
          <m:t>+</m:t>
        </m:r>
        <m:sSub>
          <m:sSubPr>
            <m:ctrlPr>
              <w:rPr>
                <w:rFonts w:ascii="Cambria Math" w:hAnsi="Cambria Math"/>
                <w:lang w:val="en-GB"/>
              </w:rPr>
            </m:ctrlPr>
          </m:sSubPr>
          <m:e>
            <m:r>
              <w:rPr>
                <w:rFonts w:ascii="Cambria Math" w:hAnsi="Cambria Math"/>
                <w:lang w:val="en-GB"/>
              </w:rPr>
              <m:t>β</m:t>
            </m:r>
          </m:e>
          <m:sub>
            <m:r>
              <m:rPr>
                <m:sty m:val="p"/>
              </m:rPr>
              <w:rPr>
                <w:rFonts w:ascii="Cambria Math" w:hAnsi="Cambria Math"/>
                <w:lang w:val="en-GB"/>
              </w:rPr>
              <m:t>1</m:t>
            </m:r>
          </m:sub>
        </m:sSub>
        <m:sSub>
          <m:sSubPr>
            <m:ctrlPr>
              <w:rPr>
                <w:rFonts w:ascii="Cambria Math" w:hAnsi="Cambria Math"/>
                <w:lang w:val="en-GB"/>
              </w:rPr>
            </m:ctrlPr>
          </m:sSubPr>
          <m:e>
            <m:f>
              <m:fPr>
                <m:ctrlPr>
                  <w:rPr>
                    <w:rFonts w:ascii="Cambria Math" w:hAnsi="Cambria Math"/>
                    <w:lang w:val="en-GB"/>
                  </w:rPr>
                </m:ctrlPr>
              </m:fPr>
              <m:num>
                <m:r>
                  <m:rPr>
                    <m:sty m:val="p"/>
                  </m:rPr>
                  <w:rPr>
                    <w:rFonts w:ascii="Cambria Math" w:hAnsi="Cambria Math"/>
                    <w:lang w:val="en-GB"/>
                  </w:rPr>
                  <m:t>1</m:t>
                </m:r>
              </m:num>
              <m:den>
                <m:r>
                  <w:rPr>
                    <w:rFonts w:ascii="Cambria Math" w:hAnsi="Cambria Math"/>
                    <w:lang w:val="en-GB"/>
                  </w:rPr>
                  <m:t>SE</m:t>
                </m:r>
              </m:den>
            </m:f>
          </m:e>
          <m:sub>
            <m:r>
              <w:rPr>
                <w:rFonts w:ascii="Cambria Math" w:hAnsi="Cambria Math"/>
                <w:lang w:val="en-GB"/>
              </w:rPr>
              <m:t>js</m:t>
            </m:r>
          </m:sub>
        </m:sSub>
        <m:r>
          <m:rPr>
            <m:sty m:val="p"/>
          </m:rPr>
          <w:rPr>
            <w:rFonts w:ascii="Cambria Math" w:hAnsi="Cambria Math"/>
            <w:lang w:val="en-GB"/>
          </w:rPr>
          <m:t xml:space="preserve">+ </m:t>
        </m:r>
        <m:sSub>
          <m:sSubPr>
            <m:ctrlPr>
              <w:rPr>
                <w:rFonts w:ascii="Cambria Math" w:hAnsi="Cambria Math"/>
                <w:lang w:val="en-GB"/>
              </w:rPr>
            </m:ctrlPr>
          </m:sSubPr>
          <m:e>
            <m:r>
              <w:rPr>
                <w:rFonts w:ascii="Cambria Math" w:hAnsi="Cambria Math"/>
                <w:lang w:val="en-GB"/>
              </w:rPr>
              <m:t>β</m:t>
            </m:r>
          </m:e>
          <m:sub>
            <m:r>
              <w:rPr>
                <w:rFonts w:ascii="Cambria Math" w:hAnsi="Cambria Math"/>
                <w:lang w:val="en-GB"/>
              </w:rPr>
              <m:t>2</m:t>
            </m:r>
          </m:sub>
        </m:sSub>
        <m:sSub>
          <m:sSubPr>
            <m:ctrlPr>
              <w:rPr>
                <w:rFonts w:ascii="Cambria Math" w:hAnsi="Cambria Math"/>
                <w:lang w:val="en-GB"/>
              </w:rPr>
            </m:ctrlPr>
          </m:sSubPr>
          <m:e>
            <m:r>
              <w:rPr>
                <w:rFonts w:ascii="Cambria Math" w:hAnsi="Cambria Math"/>
                <w:lang w:val="en-GB"/>
              </w:rPr>
              <m:t>Z</m:t>
            </m:r>
          </m:e>
          <m:sub>
            <m:r>
              <w:rPr>
                <w:rFonts w:ascii="Cambria Math" w:hAnsi="Cambria Math"/>
                <w:lang w:val="en-GB"/>
              </w:rPr>
              <m:t>js</m:t>
            </m:r>
          </m:sub>
        </m:sSub>
        <m:r>
          <m:rPr>
            <m:sty m:val="p"/>
          </m:rPr>
          <w:rPr>
            <w:rFonts w:ascii="Cambria Math" w:hAnsi="Cambria Math"/>
            <w:lang w:val="en-GB"/>
          </w:rPr>
          <m:t xml:space="preserve">+  </m:t>
        </m:r>
        <m:sSub>
          <m:sSubPr>
            <m:ctrlPr>
              <w:rPr>
                <w:rFonts w:ascii="Cambria Math" w:hAnsi="Cambria Math"/>
                <w:lang w:val="en-GB"/>
              </w:rPr>
            </m:ctrlPr>
          </m:sSubPr>
          <m:e>
            <m:r>
              <w:rPr>
                <w:rFonts w:ascii="Cambria Math" w:hAnsi="Cambria Math"/>
                <w:lang w:val="en-GB"/>
              </w:rPr>
              <m:t>e</m:t>
            </m:r>
          </m:e>
          <m:sub>
            <m:r>
              <w:rPr>
                <w:rFonts w:ascii="Cambria Math" w:hAnsi="Cambria Math"/>
                <w:lang w:val="en-GB"/>
              </w:rPr>
              <m:t>j</m:t>
            </m:r>
            <m:r>
              <m:rPr>
                <m:sty m:val="p"/>
              </m:rPr>
              <w:rPr>
                <w:rFonts w:ascii="Cambria Math" w:hAnsi="Cambria Math"/>
                <w:lang w:val="en-GB"/>
              </w:rPr>
              <m:t xml:space="preserve"> </m:t>
            </m:r>
          </m:sub>
        </m:sSub>
      </m:oMath>
      <w:r w:rsidR="00450072">
        <w:rPr>
          <w:lang w:val="en-GB"/>
        </w:rPr>
        <w:t xml:space="preserve">                                                             </w:t>
      </w:r>
      <w:r w:rsidRPr="00591F6E">
        <w:rPr>
          <w:lang w:val="en-GB"/>
        </w:rPr>
        <w:t>(1)</w:t>
      </w:r>
    </w:p>
    <w:p w14:paraId="1ECDDC27" w14:textId="74194D09" w:rsidR="004C2991" w:rsidRDefault="00666AE5" w:rsidP="00A633B2">
      <w:pPr>
        <w:pStyle w:val="Stile1"/>
        <w:ind w:firstLine="0"/>
        <w:jc w:val="both"/>
        <w:rPr>
          <w:lang w:val="en-GB"/>
        </w:rPr>
      </w:pPr>
      <w:r w:rsidRPr="00591F6E">
        <w:rPr>
          <w:lang w:val="en-GB"/>
        </w:rPr>
        <w:lastRenderedPageBreak/>
        <w:t>for estimates s</w:t>
      </w:r>
      <w:r w:rsidRPr="00591F6E">
        <w:rPr>
          <w:i/>
          <w:lang w:val="en-GB"/>
        </w:rPr>
        <w:t xml:space="preserve"> = </w:t>
      </w:r>
      <w:r w:rsidRPr="00591F6E">
        <w:rPr>
          <w:lang w:val="en-GB"/>
        </w:rPr>
        <w:t xml:space="preserve">1, … ,  </w:t>
      </w:r>
      <w:r w:rsidRPr="00591F6E">
        <w:rPr>
          <w:i/>
          <w:lang w:val="en-GB"/>
        </w:rPr>
        <w:t>j</w:t>
      </w:r>
      <w:r w:rsidRPr="00591F6E">
        <w:rPr>
          <w:lang w:val="en-GB"/>
        </w:rPr>
        <w:t xml:space="preserve">, nested within study </w:t>
      </w:r>
      <w:r w:rsidRPr="00591F6E">
        <w:rPr>
          <w:i/>
          <w:lang w:val="en-GB"/>
        </w:rPr>
        <w:t xml:space="preserve">s. </w:t>
      </w:r>
      <m:oMath>
        <m:sSub>
          <m:sSubPr>
            <m:ctrlPr>
              <w:rPr>
                <w:rFonts w:ascii="Cambria Math" w:hAnsi="Cambria Math"/>
                <w:lang w:val="en-GB"/>
              </w:rPr>
            </m:ctrlPr>
          </m:sSubPr>
          <m:e>
            <m:r>
              <w:rPr>
                <w:rFonts w:ascii="Cambria Math" w:hAnsi="Cambria Math"/>
                <w:lang w:val="en-GB"/>
              </w:rPr>
              <m:t>Z</m:t>
            </m:r>
          </m:e>
          <m:sub>
            <m:r>
              <w:rPr>
                <w:rFonts w:ascii="Cambria Math" w:hAnsi="Cambria Math"/>
                <w:lang w:val="en-GB"/>
              </w:rPr>
              <m:t>js</m:t>
            </m:r>
          </m:sub>
        </m:sSub>
      </m:oMath>
      <w:r w:rsidRPr="00591F6E">
        <w:rPr>
          <w:i/>
          <w:lang w:val="en-GB"/>
        </w:rPr>
        <w:t xml:space="preserve"> </w:t>
      </w:r>
      <w:r w:rsidRPr="00591F6E">
        <w:rPr>
          <w:lang w:val="en-GB"/>
        </w:rPr>
        <w:t xml:space="preserve">represents the vector of the studies’ methodological features and model specifications, i.e. the dummy variables that we coded (Section 3.3) and </w:t>
      </w:r>
      <m:oMath>
        <m:sSub>
          <m:sSubPr>
            <m:ctrlPr>
              <w:rPr>
                <w:rFonts w:ascii="Cambria Math" w:hAnsi="Cambria Math"/>
                <w:lang w:val="en-GB"/>
              </w:rPr>
            </m:ctrlPr>
          </m:sSubPr>
          <m:e>
            <m:r>
              <w:rPr>
                <w:rFonts w:ascii="Cambria Math" w:hAnsi="Cambria Math"/>
                <w:lang w:val="en-GB"/>
              </w:rPr>
              <m:t>SE</m:t>
            </m:r>
          </m:e>
          <m:sub>
            <m:r>
              <w:rPr>
                <w:rFonts w:ascii="Cambria Math" w:hAnsi="Cambria Math"/>
                <w:lang w:val="en-GB"/>
              </w:rPr>
              <m:t>js</m:t>
            </m:r>
          </m:sub>
        </m:sSub>
      </m:oMath>
      <w:r w:rsidRPr="00591F6E">
        <w:rPr>
          <w:lang w:val="en-GB"/>
        </w:rPr>
        <w:t xml:space="preserve"> is the vector of standard errors</w:t>
      </w:r>
      <w:r w:rsidR="00985921" w:rsidRPr="00591F6E">
        <w:rPr>
          <w:lang w:val="en-GB"/>
        </w:rPr>
        <w:t xml:space="preserve">. </w:t>
      </w:r>
      <w:r w:rsidR="00BA59F2" w:rsidRPr="00591F6E">
        <w:rPr>
          <w:lang w:val="en-GB"/>
        </w:rPr>
        <w:t>The coefficient estimates are obtained as</w:t>
      </w:r>
      <w:r w:rsidR="004C2991">
        <w:rPr>
          <w:lang w:val="en-GB"/>
        </w:rPr>
        <w:t>;</w:t>
      </w:r>
      <w:r w:rsidR="004C2991" w:rsidRPr="00591F6E">
        <w:rPr>
          <w:lang w:val="en-GB"/>
        </w:rPr>
        <w:t xml:space="preserve"> </w:t>
      </w:r>
    </w:p>
    <w:p w14:paraId="230DD249" w14:textId="620ED797" w:rsidR="004C2991" w:rsidRDefault="006241DC" w:rsidP="004C2991">
      <w:pPr>
        <w:pStyle w:val="Stile1"/>
        <w:ind w:firstLine="0"/>
        <w:jc w:val="center"/>
        <w:rPr>
          <w:rFonts w:eastAsiaTheme="minorEastAsia"/>
          <w:lang w:val="en-GB"/>
        </w:rPr>
      </w:pPr>
      <m:oMath>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n</m:t>
            </m:r>
          </m:sub>
        </m:sSub>
        <m:r>
          <w:rPr>
            <w:rFonts w:ascii="Cambria Math" w:hAnsi="Cambria Math"/>
            <w:lang w:val="en-GB"/>
          </w:rPr>
          <m:t>=min (</m:t>
        </m:r>
        <m:nary>
          <m:naryPr>
            <m:chr m:val="∑"/>
            <m:limLoc m:val="undOvr"/>
            <m:ctrlPr>
              <w:rPr>
                <w:rFonts w:ascii="Cambria Math" w:hAnsi="Cambria Math"/>
                <w:i/>
                <w:lang w:val="en-GB"/>
              </w:rPr>
            </m:ctrlPr>
          </m:naryPr>
          <m:sub>
            <m:r>
              <w:rPr>
                <w:rFonts w:ascii="Cambria Math" w:hAnsi="Cambria Math"/>
                <w:lang w:val="en-GB"/>
              </w:rPr>
              <m:t>j=1</m:t>
            </m:r>
          </m:sub>
          <m:sup>
            <m:r>
              <w:rPr>
                <w:rFonts w:ascii="Cambria Math" w:hAnsi="Cambria Math"/>
                <w:lang w:val="en-GB"/>
              </w:rPr>
              <m:t>n</m:t>
            </m:r>
          </m:sup>
          <m:e>
            <m:sSub>
              <m:sSubPr>
                <m:ctrlPr>
                  <w:rPr>
                    <w:rFonts w:ascii="Cambria Math" w:hAnsi="Cambria Math"/>
                    <w:i/>
                    <w:lang w:val="en-GB"/>
                  </w:rPr>
                </m:ctrlPr>
              </m:sSubPr>
              <m:e>
                <m:r>
                  <w:rPr>
                    <w:rFonts w:ascii="Cambria Math" w:hAnsi="Cambria Math"/>
                    <w:lang w:val="en-GB"/>
                  </w:rPr>
                  <m:t>W</m:t>
                </m:r>
              </m:e>
              <m:sub>
                <m:r>
                  <w:rPr>
                    <w:rFonts w:ascii="Cambria Math" w:hAnsi="Cambria Math"/>
                    <w:lang w:val="en-GB"/>
                  </w:rPr>
                  <m:t>j</m:t>
                </m:r>
              </m:sub>
            </m:sSub>
            <m:sSubSup>
              <m:sSubSupPr>
                <m:ctrlPr>
                  <w:rPr>
                    <w:rFonts w:ascii="Cambria Math" w:hAnsi="Cambria Math"/>
                    <w:i/>
                    <w:lang w:val="en-GB"/>
                  </w:rPr>
                </m:ctrlPr>
              </m:sSubSupPr>
              <m:e>
                <m:r>
                  <w:rPr>
                    <w:rFonts w:ascii="Cambria Math" w:hAnsi="Cambria Math"/>
                    <w:lang w:val="en-GB"/>
                  </w:rPr>
                  <m:t>e</m:t>
                </m:r>
              </m:e>
              <m:sub>
                <m:r>
                  <w:rPr>
                    <w:rFonts w:ascii="Cambria Math" w:hAnsi="Cambria Math"/>
                    <w:lang w:val="en-GB"/>
                  </w:rPr>
                  <m:t>j</m:t>
                </m:r>
              </m:sub>
              <m:sup>
                <m:r>
                  <w:rPr>
                    <w:rFonts w:ascii="Cambria Math" w:hAnsi="Cambria Math"/>
                    <w:lang w:val="en-GB"/>
                  </w:rPr>
                  <m:t>2</m:t>
                </m:r>
              </m:sup>
            </m:sSubSup>
            <m:r>
              <w:rPr>
                <w:rFonts w:ascii="Cambria Math" w:hAnsi="Cambria Math"/>
                <w:lang w:val="en-GB"/>
              </w:rPr>
              <m:t>)</m:t>
            </m:r>
          </m:e>
        </m:nary>
      </m:oMath>
      <w:r w:rsidR="008B57A2" w:rsidRPr="00591F6E">
        <w:rPr>
          <w:rFonts w:eastAsiaTheme="minorEastAsia"/>
          <w:lang w:val="en-GB"/>
        </w:rPr>
        <w:t xml:space="preserve">, with </w:t>
      </w:r>
      <m:oMath>
        <m:sSub>
          <m:sSubPr>
            <m:ctrlPr>
              <w:rPr>
                <w:rFonts w:ascii="Cambria Math" w:hAnsi="Cambria Math"/>
                <w:i/>
                <w:lang w:val="en-GB"/>
              </w:rPr>
            </m:ctrlPr>
          </m:sSubPr>
          <m:e>
            <m:r>
              <w:rPr>
                <w:rFonts w:ascii="Cambria Math" w:hAnsi="Cambria Math"/>
                <w:lang w:val="en-GB"/>
              </w:rPr>
              <m:t>W</m:t>
            </m:r>
          </m:e>
          <m:sub>
            <m:r>
              <w:rPr>
                <w:rFonts w:ascii="Cambria Math" w:hAnsi="Cambria Math"/>
                <w:lang w:val="en-GB"/>
              </w:rPr>
              <m:t>j</m:t>
            </m:r>
          </m:sub>
        </m:sSub>
        <m:r>
          <w:rPr>
            <w:rFonts w:ascii="Cambria Math" w:hAnsi="Cambria Math"/>
            <w:lang w:val="en-GB"/>
          </w:rPr>
          <m:t>=</m:t>
        </m:r>
        <m:f>
          <m:fPr>
            <m:ctrlPr>
              <w:rPr>
                <w:rFonts w:ascii="Cambria Math" w:hAnsi="Cambria Math"/>
                <w:i/>
                <w:lang w:val="en-GB"/>
              </w:rPr>
            </m:ctrlPr>
          </m:fPr>
          <m:num>
            <m:r>
              <w:rPr>
                <w:rFonts w:ascii="Cambria Math" w:hAnsi="Cambria Math"/>
                <w:lang w:val="en-GB"/>
              </w:rPr>
              <m:t>1</m:t>
            </m:r>
          </m:num>
          <m:den>
            <m:sSubSup>
              <m:sSubSupPr>
                <m:ctrlPr>
                  <w:rPr>
                    <w:rFonts w:ascii="Cambria Math" w:hAnsi="Cambria Math"/>
                    <w:i/>
                    <w:lang w:val="en-GB"/>
                  </w:rPr>
                </m:ctrlPr>
              </m:sSubSupPr>
              <m:e>
                <m:r>
                  <w:rPr>
                    <w:rFonts w:ascii="Cambria Math" w:hAnsi="Cambria Math"/>
                    <w:lang w:val="en-GB"/>
                  </w:rPr>
                  <m:t>SE</m:t>
                </m:r>
              </m:e>
              <m:sub>
                <m:r>
                  <w:rPr>
                    <w:rFonts w:ascii="Cambria Math" w:hAnsi="Cambria Math"/>
                    <w:lang w:val="en-GB"/>
                  </w:rPr>
                  <m:t>j</m:t>
                </m:r>
              </m:sub>
              <m:sup>
                <m:r>
                  <w:rPr>
                    <w:rFonts w:ascii="Cambria Math" w:hAnsi="Cambria Math"/>
                    <w:lang w:val="en-GB"/>
                  </w:rPr>
                  <m:t>2</m:t>
                </m:r>
              </m:sup>
            </m:sSubSup>
          </m:den>
        </m:f>
      </m:oMath>
    </w:p>
    <w:p w14:paraId="70EBF4B9" w14:textId="2CBD4889" w:rsidR="00BA59F2" w:rsidRPr="00591F6E" w:rsidRDefault="00CB687D" w:rsidP="00A633B2">
      <w:pPr>
        <w:pStyle w:val="Stile1"/>
        <w:ind w:firstLine="0"/>
        <w:jc w:val="both"/>
        <w:rPr>
          <w:lang w:val="en-GB"/>
        </w:rPr>
      </w:pPr>
      <w:r w:rsidRPr="00591F6E">
        <w:rPr>
          <w:rFonts w:eastAsiaTheme="minorEastAsia"/>
          <w:lang w:val="en-GB"/>
        </w:rPr>
        <w:t xml:space="preserve">where </w:t>
      </w:r>
      <m:oMath>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n</m:t>
            </m:r>
          </m:sub>
        </m:sSub>
      </m:oMath>
      <w:r w:rsidR="008B57A2" w:rsidRPr="00591F6E">
        <w:rPr>
          <w:rFonts w:eastAsiaTheme="minorEastAsia"/>
          <w:lang w:val="en-GB"/>
        </w:rPr>
        <w:t xml:space="preserve"> </w:t>
      </w:r>
      <w:r w:rsidRPr="00591F6E">
        <w:rPr>
          <w:rFonts w:eastAsiaTheme="minorEastAsia"/>
          <w:lang w:val="en-GB"/>
        </w:rPr>
        <w:t>denotes the vector of meta-regression coefficients</w:t>
      </w:r>
      <w:r w:rsidR="00A633B2" w:rsidRPr="00591F6E">
        <w:rPr>
          <w:rFonts w:eastAsiaTheme="minorEastAsia"/>
          <w:lang w:val="en-GB"/>
        </w:rPr>
        <w:t xml:space="preserve">. In the </w:t>
      </w:r>
      <w:r w:rsidR="00A633B2" w:rsidRPr="00591F6E">
        <w:rPr>
          <w:rFonts w:eastAsiaTheme="minorEastAsia"/>
          <w:i/>
          <w:lang w:val="en-GB"/>
        </w:rPr>
        <w:t xml:space="preserve">unrestricted </w:t>
      </w:r>
      <w:r w:rsidR="00A633B2" w:rsidRPr="00591F6E">
        <w:rPr>
          <w:rFonts w:eastAsiaTheme="minorEastAsia"/>
          <w:lang w:val="en-GB"/>
        </w:rPr>
        <w:t>WLS approach weights are calculated as the inverse of the squared standard error, rather than the inverse of the standard deviation (Davidson and MacKinnon, 2004</w:t>
      </w:r>
      <w:r w:rsidR="008124CC" w:rsidRPr="00591F6E">
        <w:rPr>
          <w:rFonts w:eastAsiaTheme="minorEastAsia"/>
          <w:lang w:val="en-GB"/>
        </w:rPr>
        <w:t>)</w:t>
      </w:r>
      <w:r w:rsidR="008124CC">
        <w:rPr>
          <w:rFonts w:eastAsiaTheme="minorEastAsia"/>
          <w:lang w:val="en-GB"/>
        </w:rPr>
        <w:t>;</w:t>
      </w:r>
      <w:r w:rsidR="008124CC" w:rsidRPr="00591F6E">
        <w:rPr>
          <w:rFonts w:eastAsiaTheme="minorEastAsia"/>
          <w:lang w:val="en-GB"/>
        </w:rPr>
        <w:t xml:space="preserve"> </w:t>
      </w:r>
      <w:r w:rsidR="00A633B2" w:rsidRPr="00591F6E">
        <w:rPr>
          <w:rFonts w:eastAsiaTheme="minorEastAsia"/>
          <w:lang w:val="en-GB"/>
        </w:rPr>
        <w:t>allow</w:t>
      </w:r>
      <w:r w:rsidR="008124CC">
        <w:rPr>
          <w:rFonts w:eastAsiaTheme="minorEastAsia"/>
          <w:lang w:val="en-GB"/>
        </w:rPr>
        <w:t>ing</w:t>
      </w:r>
      <w:r w:rsidR="00A633B2" w:rsidRPr="00591F6E">
        <w:rPr>
          <w:rFonts w:eastAsiaTheme="minorEastAsia"/>
          <w:lang w:val="en-GB"/>
        </w:rPr>
        <w:t xml:space="preserve"> but not assum</w:t>
      </w:r>
      <w:r w:rsidR="008124CC">
        <w:rPr>
          <w:rFonts w:eastAsiaTheme="minorEastAsia"/>
          <w:lang w:val="en-GB"/>
        </w:rPr>
        <w:t>ing that</w:t>
      </w:r>
      <w:r w:rsidR="00A633B2" w:rsidRPr="00591F6E">
        <w:rPr>
          <w:rFonts w:eastAsiaTheme="minorEastAsia"/>
          <w:lang w:val="en-GB"/>
        </w:rPr>
        <w:t xml:space="preserve"> the variance between studies to differ by a proportional constant</w:t>
      </w:r>
      <w:r w:rsidR="00181A53" w:rsidRPr="00591F6E">
        <w:rPr>
          <w:rFonts w:eastAsiaTheme="minorEastAsia"/>
          <w:lang w:val="en-GB"/>
        </w:rPr>
        <w:t xml:space="preserve">, unlike random and fixed effect models </w:t>
      </w:r>
      <w:r w:rsidR="00A633B2" w:rsidRPr="00591F6E">
        <w:rPr>
          <w:rFonts w:eastAsiaTheme="minorEastAsia"/>
          <w:lang w:val="en-GB"/>
        </w:rPr>
        <w:t>(Stanley and Doucouliagos, 201</w:t>
      </w:r>
      <w:r w:rsidR="002425E3" w:rsidRPr="00591F6E">
        <w:rPr>
          <w:rFonts w:eastAsiaTheme="minorEastAsia"/>
          <w:lang w:val="en-GB"/>
        </w:rPr>
        <w:t>7</w:t>
      </w:r>
      <w:r w:rsidR="00A633B2" w:rsidRPr="00591F6E">
        <w:rPr>
          <w:rFonts w:eastAsiaTheme="minorEastAsia"/>
          <w:lang w:val="en-GB"/>
        </w:rPr>
        <w:t xml:space="preserve">). </w:t>
      </w:r>
    </w:p>
    <w:p w14:paraId="66C451C2" w14:textId="175E1AC0" w:rsidR="00666AE5" w:rsidRPr="00591F6E" w:rsidRDefault="00985921" w:rsidP="007E5CDA">
      <w:pPr>
        <w:pStyle w:val="Stile1"/>
        <w:jc w:val="both"/>
        <w:rPr>
          <w:lang w:val="en-GB"/>
        </w:rPr>
      </w:pPr>
      <w:r w:rsidRPr="00591F6E">
        <w:rPr>
          <w:lang w:val="en-GB"/>
        </w:rPr>
        <w:t xml:space="preserve">In </w:t>
      </w:r>
      <w:r w:rsidR="00376309" w:rsidRPr="00591F6E">
        <w:rPr>
          <w:lang w:val="en-GB"/>
        </w:rPr>
        <w:t xml:space="preserve">our </w:t>
      </w:r>
      <w:r w:rsidRPr="00591F6E">
        <w:rPr>
          <w:lang w:val="en-GB"/>
        </w:rPr>
        <w:t xml:space="preserve">specification, </w:t>
      </w:r>
      <m:oMath>
        <m:sSub>
          <m:sSubPr>
            <m:ctrlPr>
              <w:rPr>
                <w:rFonts w:ascii="Cambria Math" w:hAnsi="Cambria Math"/>
                <w:lang w:val="en-GB"/>
              </w:rPr>
            </m:ctrlPr>
          </m:sSubPr>
          <m:e>
            <m:r>
              <w:rPr>
                <w:rFonts w:ascii="Cambria Math" w:hAnsi="Cambria Math"/>
                <w:lang w:val="en-GB"/>
              </w:rPr>
              <m:t>β</m:t>
            </m:r>
          </m:e>
          <m:sub>
            <m:r>
              <m:rPr>
                <m:sty m:val="p"/>
              </m:rPr>
              <w:rPr>
                <w:rFonts w:ascii="Cambria Math" w:hAnsi="Cambria Math"/>
                <w:lang w:val="en-GB"/>
              </w:rPr>
              <m:t>1</m:t>
            </m:r>
          </m:sub>
        </m:sSub>
      </m:oMath>
      <w:r w:rsidR="00C45571" w:rsidRPr="00591F6E">
        <w:rPr>
          <w:lang w:val="en-GB"/>
        </w:rPr>
        <w:t xml:space="preserve"> i</w:t>
      </w:r>
      <w:r w:rsidR="00376309" w:rsidRPr="00591F6E">
        <w:rPr>
          <w:lang w:val="en-GB"/>
        </w:rPr>
        <w:t>s</w:t>
      </w:r>
      <w:r w:rsidRPr="00591F6E">
        <w:rPr>
          <w:lang w:val="en-GB"/>
        </w:rPr>
        <w:t xml:space="preserve"> a measure of the so-called precision</w:t>
      </w:r>
      <w:r w:rsidR="00C45571" w:rsidRPr="00591F6E">
        <w:rPr>
          <w:lang w:val="en-GB"/>
        </w:rPr>
        <w:t>,</w:t>
      </w:r>
      <w:r w:rsidRPr="00591F6E">
        <w:rPr>
          <w:lang w:val="en-GB"/>
        </w:rPr>
        <w:t xml:space="preserve"> </w:t>
      </w:r>
      <w:r w:rsidR="00C45571" w:rsidRPr="00591F6E">
        <w:rPr>
          <w:lang w:val="en-GB"/>
        </w:rPr>
        <w:t xml:space="preserve">which represents </w:t>
      </w:r>
      <w:r w:rsidRPr="00591F6E">
        <w:rPr>
          <w:lang w:val="en-GB"/>
        </w:rPr>
        <w:t>the genuine relationship between natural resources and conflict found by the studies, while the constant term is a measure of the so-called publication bias</w:t>
      </w:r>
      <w:r w:rsidR="00376309" w:rsidRPr="00591F6E">
        <w:rPr>
          <w:lang w:val="en-GB"/>
        </w:rPr>
        <w:t xml:space="preserve"> (Klomp and Valckx, 2014; Stanley and Doucouliagos, 201</w:t>
      </w:r>
      <w:r w:rsidR="002425E3" w:rsidRPr="00591F6E">
        <w:rPr>
          <w:lang w:val="en-GB"/>
        </w:rPr>
        <w:t>7</w:t>
      </w:r>
      <w:r w:rsidR="00376309" w:rsidRPr="00591F6E">
        <w:rPr>
          <w:lang w:val="en-GB"/>
        </w:rPr>
        <w:t>)</w:t>
      </w:r>
      <w:r w:rsidRPr="00591F6E">
        <w:rPr>
          <w:lang w:val="en-GB"/>
        </w:rPr>
        <w:t>.</w:t>
      </w:r>
      <w:r w:rsidR="00666AE5" w:rsidRPr="00591F6E">
        <w:rPr>
          <w:lang w:val="en-GB"/>
        </w:rPr>
        <w:t xml:space="preserve"> Whenever we detect an association between the probability of being published and the statistical significance of the studies’ results, a publication bias exists. </w:t>
      </w:r>
      <w:r w:rsidR="0008688B" w:rsidRPr="00591F6E">
        <w:rPr>
          <w:lang w:val="en-GB"/>
        </w:rPr>
        <w:t>In fact, a</w:t>
      </w:r>
      <w:r w:rsidR="00666AE5" w:rsidRPr="00591F6E">
        <w:rPr>
          <w:lang w:val="en-GB"/>
        </w:rPr>
        <w:t>ssuming no publication bias occurs, the effect sizes should vary randomly and not be proportional to the standard errors of the estimates</w:t>
      </w:r>
      <w:r w:rsidR="0008688B" w:rsidRPr="00591F6E">
        <w:rPr>
          <w:lang w:val="en-GB"/>
        </w:rPr>
        <w:t>, while i</w:t>
      </w:r>
      <w:r w:rsidR="00666AE5" w:rsidRPr="00591F6E">
        <w:rPr>
          <w:lang w:val="en-GB"/>
        </w:rPr>
        <w:t>f studies are published according to the significance of the results, estimates of the effect size will vary proportionally to the standard errors. The Egger test (Egger et al., 1997) is the most commonly used test to check whether the results of a meta-analysis are genuine or driven by publication bias. It consists of regressing the measurement of the effect size against a measurement of the estimate’s precision, i.e. the inverse of the standard errors, and is incorporated into our meta-regression model (eq. 1</w:t>
      </w:r>
      <w:r w:rsidR="002330E0" w:rsidRPr="00591F6E">
        <w:rPr>
          <w:lang w:val="en-GB"/>
        </w:rPr>
        <w:t xml:space="preserve"> - </w:t>
      </w:r>
      <w:r w:rsidRPr="00591F6E">
        <w:rPr>
          <w:lang w:val="en-GB"/>
        </w:rPr>
        <w:t xml:space="preserve">see also Section </w:t>
      </w:r>
      <w:r w:rsidR="005B54A4" w:rsidRPr="00591F6E">
        <w:rPr>
          <w:lang w:val="en-GB"/>
        </w:rPr>
        <w:t>4</w:t>
      </w:r>
      <w:r w:rsidRPr="00591F6E">
        <w:rPr>
          <w:lang w:val="en-GB"/>
        </w:rPr>
        <w:t xml:space="preserve"> in Supplementary Material). </w:t>
      </w:r>
      <w:r w:rsidR="00666AE5" w:rsidRPr="00591F6E">
        <w:rPr>
          <w:lang w:val="en-GB"/>
        </w:rPr>
        <w:t>Results of the Egger test</w:t>
      </w:r>
      <w:r w:rsidRPr="00591F6E">
        <w:rPr>
          <w:lang w:val="en-GB"/>
        </w:rPr>
        <w:t xml:space="preserve"> from our meta-regressi</w:t>
      </w:r>
      <w:r w:rsidR="0008688B" w:rsidRPr="00591F6E">
        <w:rPr>
          <w:lang w:val="en-GB"/>
        </w:rPr>
        <w:t>ons</w:t>
      </w:r>
      <w:r w:rsidR="00666AE5" w:rsidRPr="00591F6E">
        <w:rPr>
          <w:lang w:val="en-GB"/>
        </w:rPr>
        <w:t xml:space="preserve"> suggest that there is a significant and genuine relationship between natural resources and conflict</w:t>
      </w:r>
      <w:r w:rsidR="00C2238F" w:rsidRPr="00591F6E">
        <w:rPr>
          <w:lang w:val="en-GB"/>
        </w:rPr>
        <w:t>, although</w:t>
      </w:r>
      <w:r w:rsidR="002330E0" w:rsidRPr="00591F6E">
        <w:rPr>
          <w:lang w:val="en-GB"/>
        </w:rPr>
        <w:t xml:space="preserve"> this varies according to different methodological choices adopted by the studies and different types of natural resources chosen as key predictors. </w:t>
      </w:r>
    </w:p>
    <w:p w14:paraId="2B281FF9" w14:textId="77777777" w:rsidR="00603AB5" w:rsidRPr="00591F6E" w:rsidRDefault="00603AB5" w:rsidP="007E5CDA">
      <w:pPr>
        <w:pStyle w:val="Stile1"/>
        <w:jc w:val="both"/>
        <w:rPr>
          <w:i/>
          <w:lang w:val="en-GB"/>
        </w:rPr>
      </w:pPr>
    </w:p>
    <w:p w14:paraId="3D770A72" w14:textId="77777777" w:rsidR="00603AB5" w:rsidRPr="00591F6E" w:rsidRDefault="00603AB5" w:rsidP="00AC7669">
      <w:pPr>
        <w:pStyle w:val="Stile1"/>
        <w:ind w:firstLine="360"/>
        <w:jc w:val="both"/>
        <w:rPr>
          <w:b/>
          <w:i/>
          <w:lang w:val="en-GB"/>
        </w:rPr>
        <w:sectPr w:rsidR="00603AB5" w:rsidRPr="00591F6E" w:rsidSect="00934C15">
          <w:footerReference w:type="default" r:id="rId11"/>
          <w:pgSz w:w="11906" w:h="16838"/>
          <w:pgMar w:top="1440" w:right="1440" w:bottom="1440" w:left="1440" w:header="708" w:footer="708" w:gutter="0"/>
          <w:lnNumType w:countBy="1" w:restart="newSection"/>
          <w:cols w:space="708"/>
          <w:docGrid w:linePitch="360"/>
        </w:sectPr>
      </w:pPr>
    </w:p>
    <w:p w14:paraId="43463356" w14:textId="4CE913B6" w:rsidR="00666AE5" w:rsidRPr="00591F6E" w:rsidRDefault="00AC7669" w:rsidP="00AC7669">
      <w:pPr>
        <w:pStyle w:val="Stile1"/>
        <w:ind w:firstLine="360"/>
        <w:jc w:val="both"/>
        <w:rPr>
          <w:b/>
          <w:lang w:val="en-GB"/>
        </w:rPr>
      </w:pPr>
      <w:r w:rsidRPr="00591F6E">
        <w:rPr>
          <w:b/>
          <w:i/>
          <w:lang w:val="en-GB"/>
        </w:rPr>
        <w:lastRenderedPageBreak/>
        <w:t xml:space="preserve">3. </w:t>
      </w:r>
      <w:r w:rsidR="00666AE5" w:rsidRPr="00591F6E">
        <w:rPr>
          <w:b/>
          <w:i/>
          <w:lang w:val="en-GB"/>
        </w:rPr>
        <w:t>Results</w:t>
      </w:r>
    </w:p>
    <w:p w14:paraId="772C473A" w14:textId="19622257" w:rsidR="00666AE5" w:rsidRPr="00591F6E" w:rsidRDefault="00AC7669" w:rsidP="00AC7669">
      <w:pPr>
        <w:pStyle w:val="Stile1"/>
        <w:ind w:firstLine="360"/>
        <w:jc w:val="both"/>
        <w:rPr>
          <w:b/>
          <w:i/>
          <w:lang w:val="en-GB"/>
        </w:rPr>
      </w:pPr>
      <w:r w:rsidRPr="00591F6E">
        <w:rPr>
          <w:b/>
          <w:i/>
          <w:lang w:val="en-GB"/>
        </w:rPr>
        <w:t xml:space="preserve">3.1 </w:t>
      </w:r>
      <w:r w:rsidR="00666AE5" w:rsidRPr="00591F6E">
        <w:rPr>
          <w:b/>
          <w:i/>
          <w:lang w:val="en-GB"/>
        </w:rPr>
        <w:t>Descriptive statistics</w:t>
      </w:r>
    </w:p>
    <w:p w14:paraId="0561299D" w14:textId="77777777" w:rsidR="005E537D" w:rsidRPr="00591F6E" w:rsidRDefault="005E537D" w:rsidP="007E5CDA">
      <w:pPr>
        <w:pStyle w:val="Stile1"/>
        <w:jc w:val="both"/>
        <w:rPr>
          <w:b/>
          <w:i/>
          <w:lang w:val="en-GB"/>
        </w:rPr>
      </w:pPr>
    </w:p>
    <w:p w14:paraId="78B565DE" w14:textId="6ABCCC46" w:rsidR="00666AE5" w:rsidRPr="00591F6E" w:rsidRDefault="00666AE5" w:rsidP="007E5CDA">
      <w:pPr>
        <w:pStyle w:val="Stile1"/>
        <w:jc w:val="both"/>
        <w:rPr>
          <w:lang w:val="en-GB"/>
        </w:rPr>
      </w:pPr>
      <w:r w:rsidRPr="00591F6E">
        <w:rPr>
          <w:lang w:val="en-GB"/>
        </w:rPr>
        <w:t xml:space="preserve">We collected 922 estimates of standardized effect size from the 41 studies we selected. More than half of these studies are based on a global sample, while only a limited number of articles focus on single countries (Figure </w:t>
      </w:r>
      <w:r w:rsidR="00376309" w:rsidRPr="00591F6E">
        <w:rPr>
          <w:lang w:val="en-GB"/>
        </w:rPr>
        <w:t>4</w:t>
      </w:r>
      <w:r w:rsidRPr="00591F6E">
        <w:rPr>
          <w:lang w:val="en-GB"/>
        </w:rPr>
        <w:t xml:space="preserve">). </w:t>
      </w:r>
    </w:p>
    <w:p w14:paraId="6211E1C5" w14:textId="77777777" w:rsidR="00666AE5" w:rsidRPr="00591F6E" w:rsidRDefault="00666AE5" w:rsidP="007E5CDA">
      <w:pPr>
        <w:pStyle w:val="Stile1"/>
        <w:jc w:val="both"/>
        <w:rPr>
          <w:lang w:val="en-GB"/>
        </w:rPr>
      </w:pPr>
      <w:r w:rsidRPr="00591F6E">
        <w:rPr>
          <w:noProof/>
          <w:lang w:val="it-IT" w:eastAsia="it-IT"/>
        </w:rPr>
        <w:lastRenderedPageBreak/>
        <w:drawing>
          <wp:inline distT="0" distB="0" distL="0" distR="0" wp14:anchorId="4177F232" wp14:editId="31933F28">
            <wp:extent cx="4097655" cy="2327910"/>
            <wp:effectExtent l="0" t="0" r="17145" b="15240"/>
            <wp:docPr id="5" name="Grafico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2FCF193-DC9E-4050-BFFF-19DE434C22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30F2099" w14:textId="62254D81" w:rsidR="00666AE5" w:rsidRPr="00591F6E" w:rsidRDefault="00666AE5" w:rsidP="00E80692">
      <w:pPr>
        <w:pStyle w:val="Stile1"/>
        <w:spacing w:line="276" w:lineRule="auto"/>
        <w:ind w:firstLine="0"/>
        <w:jc w:val="both"/>
        <w:rPr>
          <w:i/>
          <w:lang w:val="en-GB"/>
        </w:rPr>
      </w:pPr>
      <w:r w:rsidRPr="00591F6E">
        <w:rPr>
          <w:i/>
          <w:lang w:val="en-GB"/>
        </w:rPr>
        <w:t xml:space="preserve">Figure </w:t>
      </w:r>
      <w:r w:rsidR="00376309" w:rsidRPr="00591F6E">
        <w:rPr>
          <w:i/>
          <w:lang w:val="en-GB"/>
        </w:rPr>
        <w:t>4</w:t>
      </w:r>
      <w:r w:rsidRPr="00591F6E">
        <w:rPr>
          <w:i/>
          <w:lang w:val="en-GB"/>
        </w:rPr>
        <w:t>. Sample selection by study: studies are classified as global, regional or national according to the spatial coverage of the analysis. “Africa” indicates whether the article focuses on the African continent, either a specific country or a cluster of African countries.</w:t>
      </w:r>
    </w:p>
    <w:p w14:paraId="56628C36" w14:textId="77777777" w:rsidR="00666AE5" w:rsidRPr="00591F6E" w:rsidRDefault="00666AE5" w:rsidP="007E5CDA">
      <w:pPr>
        <w:pStyle w:val="Stile1"/>
        <w:jc w:val="both"/>
        <w:rPr>
          <w:i/>
          <w:lang w:val="en-GB"/>
        </w:rPr>
      </w:pPr>
    </w:p>
    <w:p w14:paraId="3E733EA5" w14:textId="012BF59C" w:rsidR="004D09BD" w:rsidRPr="00591F6E" w:rsidRDefault="00666AE5" w:rsidP="007E5CDA">
      <w:pPr>
        <w:pStyle w:val="Stile1"/>
        <w:jc w:val="both"/>
        <w:rPr>
          <w:lang w:val="en-GB"/>
        </w:rPr>
      </w:pPr>
      <w:r w:rsidRPr="00591F6E">
        <w:rPr>
          <w:lang w:val="en-GB"/>
        </w:rPr>
        <w:t xml:space="preserve">However, of all articles with a narrower focus (regional or national), 85% concentrates on Africa; this may indicate that recent findings of a “streetlight effect” in climate-conflict research (Adams et al., 2018) applies more broadly to the resources-conflict scholarship. The limited variation of the studies spatial coverage thus posits some challenges concerning the degree of </w:t>
      </w:r>
      <w:r w:rsidR="007F1AB4" w:rsidRPr="00591F6E">
        <w:rPr>
          <w:lang w:val="en-GB"/>
        </w:rPr>
        <w:t>generalizability</w:t>
      </w:r>
      <w:r w:rsidRPr="00591F6E">
        <w:rPr>
          <w:lang w:val="en-GB"/>
        </w:rPr>
        <w:t xml:space="preserve"> of a study results and, in our analysis, we controlled for the sample selection as a measure of the extent to which a study’s findings can be </w:t>
      </w:r>
      <w:r w:rsidR="007F1AB4" w:rsidRPr="00591F6E">
        <w:rPr>
          <w:lang w:val="en-GB"/>
        </w:rPr>
        <w:t>generalized</w:t>
      </w:r>
      <w:r w:rsidRPr="00591F6E">
        <w:rPr>
          <w:vertAlign w:val="superscript"/>
          <w:lang w:val="en-GB"/>
        </w:rPr>
        <w:footnoteReference w:id="2"/>
      </w:r>
      <w:r w:rsidRPr="00591F6E">
        <w:rPr>
          <w:lang w:val="en-GB"/>
        </w:rPr>
        <w:t xml:space="preserve">. </w:t>
      </w:r>
    </w:p>
    <w:p w14:paraId="36DCB981" w14:textId="662DEDBA" w:rsidR="00AA6C68" w:rsidRPr="00591F6E" w:rsidRDefault="00666AE5" w:rsidP="007E5CDA">
      <w:pPr>
        <w:pStyle w:val="Stile1"/>
        <w:jc w:val="both"/>
        <w:rPr>
          <w:lang w:val="en-GB"/>
        </w:rPr>
      </w:pPr>
      <w:r w:rsidRPr="00591F6E">
        <w:rPr>
          <w:lang w:val="en-GB"/>
        </w:rPr>
        <w:t xml:space="preserve">The range of </w:t>
      </w:r>
      <w:r w:rsidRPr="00591F6E">
        <w:rPr>
          <w:i/>
          <w:lang w:val="en-GB"/>
        </w:rPr>
        <w:t>t</w:t>
      </w:r>
      <w:r w:rsidRPr="00591F6E">
        <w:rPr>
          <w:lang w:val="en-GB"/>
        </w:rPr>
        <w:t xml:space="preserve">-statistics varies considerably across studies, between -56.33 and 46.83. To provide an enhanced understanding of the drivers of the variance, we created a nested structure as illustrated in Figure </w:t>
      </w:r>
      <w:r w:rsidRPr="00591F6E">
        <w:rPr>
          <w:rFonts w:eastAsia="Century Schoolbook"/>
          <w:szCs w:val="20"/>
          <w:lang w:val="en-GB"/>
        </w:rPr>
        <w:t>S</w:t>
      </w:r>
      <w:r w:rsidR="005B54A4" w:rsidRPr="00591F6E">
        <w:rPr>
          <w:rFonts w:eastAsia="Century Schoolbook"/>
          <w:szCs w:val="20"/>
          <w:lang w:val="en-GB"/>
        </w:rPr>
        <w:t>1</w:t>
      </w:r>
      <w:r w:rsidRPr="00591F6E">
        <w:rPr>
          <w:lang w:val="en-GB"/>
        </w:rPr>
        <w:t xml:space="preserve"> in Supplementary Material. Starting from the abundance subset, i.e. the</w:t>
      </w:r>
      <w:r w:rsidR="007F1AB4" w:rsidRPr="00591F6E">
        <w:rPr>
          <w:lang w:val="en-GB"/>
        </w:rPr>
        <w:t xml:space="preserve"> one with the largest sample size</w:t>
      </w:r>
      <w:r w:rsidRPr="00591F6E">
        <w:rPr>
          <w:lang w:val="en-GB"/>
        </w:rPr>
        <w:t>, we progressively limited the sample according t</w:t>
      </w:r>
      <w:r w:rsidR="0008688B" w:rsidRPr="00591F6E">
        <w:rPr>
          <w:lang w:val="en-GB"/>
        </w:rPr>
        <w:t>o</w:t>
      </w:r>
      <w:r w:rsidRPr="00591F6E">
        <w:rPr>
          <w:lang w:val="en-GB"/>
        </w:rPr>
        <w:t xml:space="preserve"> specific methodological characteristics of the estimates. This process allows us to check for the effect of some methodological aspects on the variance: </w:t>
      </w:r>
      <w:bookmarkStart w:id="4" w:name="_Hlk520903646"/>
      <w:r w:rsidRPr="00591F6E">
        <w:rPr>
          <w:lang w:val="en-GB"/>
        </w:rPr>
        <w:t xml:space="preserve">the operationalization of the dependent and independent variable, the significance level, the spatial and temporal coverage, </w:t>
      </w:r>
      <w:r w:rsidR="00FD3AF2" w:rsidRPr="00591F6E">
        <w:rPr>
          <w:lang w:val="en-GB"/>
        </w:rPr>
        <w:t>the operationalization of the conflict variable</w:t>
      </w:r>
      <w:r w:rsidR="007F1AB4" w:rsidRPr="00591F6E">
        <w:rPr>
          <w:lang w:val="en-GB"/>
        </w:rPr>
        <w:t>,</w:t>
      </w:r>
      <w:r w:rsidR="00FD3AF2" w:rsidRPr="00591F6E">
        <w:rPr>
          <w:lang w:val="en-GB"/>
        </w:rPr>
        <w:t xml:space="preserve"> </w:t>
      </w:r>
      <w:r w:rsidRPr="00591F6E">
        <w:rPr>
          <w:lang w:val="en-GB"/>
        </w:rPr>
        <w:t>and the inclusion of lags in the model may influence the variance of the effect size.</w:t>
      </w:r>
      <w:bookmarkEnd w:id="4"/>
    </w:p>
    <w:p w14:paraId="3EE8B919" w14:textId="74947A18" w:rsidR="003E774C" w:rsidRPr="00591F6E" w:rsidRDefault="007F1AB4" w:rsidP="007E5CDA">
      <w:pPr>
        <w:pStyle w:val="Stile1"/>
        <w:jc w:val="both"/>
        <w:rPr>
          <w:lang w:val="en-GB"/>
        </w:rPr>
      </w:pPr>
      <w:r w:rsidRPr="00591F6E">
        <w:rPr>
          <w:lang w:val="en-GB"/>
        </w:rPr>
        <w:t>W</w:t>
      </w:r>
      <w:r w:rsidR="00666AE5" w:rsidRPr="00591F6E">
        <w:rPr>
          <w:lang w:val="en-GB"/>
        </w:rPr>
        <w:t xml:space="preserve">e find that, </w:t>
      </w:r>
      <w:r w:rsidR="00123C53" w:rsidRPr="00591F6E">
        <w:rPr>
          <w:lang w:val="en-GB"/>
        </w:rPr>
        <w:t xml:space="preserve">when limiting the sample to significant estimates (at 5% level), the variance almost doubles, possibly indicating the existence of some selection bias. By contrast, </w:t>
      </w:r>
      <w:r w:rsidR="00666AE5" w:rsidRPr="00591F6E">
        <w:rPr>
          <w:lang w:val="en-GB"/>
        </w:rPr>
        <w:t>when excluding studies that choose five-year periods as their unit of analysis</w:t>
      </w:r>
      <w:r w:rsidR="008124CC">
        <w:rPr>
          <w:lang w:val="en-GB"/>
        </w:rPr>
        <w:t xml:space="preserve"> </w:t>
      </w:r>
      <w:r w:rsidR="008124CC" w:rsidRPr="00591F6E">
        <w:rPr>
          <w:lang w:val="en-GB"/>
        </w:rPr>
        <w:t>from the sample</w:t>
      </w:r>
      <w:r w:rsidR="00666AE5" w:rsidRPr="00591F6E">
        <w:rPr>
          <w:lang w:val="en-GB"/>
        </w:rPr>
        <w:t xml:space="preserve">, the variance of the </w:t>
      </w:r>
      <w:r w:rsidR="00666AE5" w:rsidRPr="00591F6E">
        <w:rPr>
          <w:i/>
          <w:lang w:val="en-GB"/>
        </w:rPr>
        <w:t>t</w:t>
      </w:r>
      <w:r w:rsidR="00666AE5" w:rsidRPr="00591F6E">
        <w:rPr>
          <w:lang w:val="en-GB"/>
        </w:rPr>
        <w:t>-statistics decreases by</w:t>
      </w:r>
      <w:r w:rsidR="00123C53" w:rsidRPr="00591F6E">
        <w:rPr>
          <w:lang w:val="en-GB"/>
        </w:rPr>
        <w:t xml:space="preserve"> over 30</w:t>
      </w:r>
      <w:r w:rsidR="00666AE5" w:rsidRPr="00591F6E">
        <w:rPr>
          <w:lang w:val="en-GB"/>
        </w:rPr>
        <w:t>%</w:t>
      </w:r>
      <w:r w:rsidR="0008688B" w:rsidRPr="00591F6E">
        <w:rPr>
          <w:lang w:val="en-GB"/>
        </w:rPr>
        <w:t xml:space="preserve"> and </w:t>
      </w:r>
      <w:r w:rsidR="00666AE5" w:rsidRPr="00591F6E">
        <w:rPr>
          <w:lang w:val="en-GB"/>
        </w:rPr>
        <w:t>when we limit the sample to studies that investigate major conflicts, defined as</w:t>
      </w:r>
      <w:r w:rsidRPr="00591F6E">
        <w:rPr>
          <w:lang w:val="en-GB"/>
        </w:rPr>
        <w:t xml:space="preserve"> events</w:t>
      </w:r>
      <w:r w:rsidR="00666AE5" w:rsidRPr="00591F6E">
        <w:rPr>
          <w:lang w:val="en-GB"/>
        </w:rPr>
        <w:t xml:space="preserve"> causing at least one thousand </w:t>
      </w:r>
      <w:r w:rsidR="00666AE5" w:rsidRPr="00591F6E">
        <w:rPr>
          <w:lang w:val="en-GB"/>
        </w:rPr>
        <w:lastRenderedPageBreak/>
        <w:t xml:space="preserve">battle-related deaths per year, the variance of the </w:t>
      </w:r>
      <w:r w:rsidR="00666AE5" w:rsidRPr="00591F6E">
        <w:rPr>
          <w:i/>
          <w:lang w:val="en-GB"/>
        </w:rPr>
        <w:t>t-</w:t>
      </w:r>
      <w:r w:rsidR="00666AE5" w:rsidRPr="00591F6E">
        <w:rPr>
          <w:lang w:val="en-GB"/>
        </w:rPr>
        <w:t xml:space="preserve">statistics decreases by </w:t>
      </w:r>
      <w:r w:rsidR="00123C53" w:rsidRPr="00591F6E">
        <w:rPr>
          <w:lang w:val="en-GB"/>
        </w:rPr>
        <w:t>almost 40</w:t>
      </w:r>
      <w:r w:rsidR="00666AE5" w:rsidRPr="00591F6E">
        <w:rPr>
          <w:lang w:val="en-GB"/>
        </w:rPr>
        <w:t>%</w:t>
      </w:r>
      <w:r w:rsidR="00666AE5" w:rsidRPr="00591F6E">
        <w:rPr>
          <w:rFonts w:eastAsia="Century Schoolbook"/>
          <w:szCs w:val="20"/>
          <w:lang w:val="en-GB"/>
        </w:rPr>
        <w:t>.</w:t>
      </w:r>
      <w:r w:rsidR="00666AE5" w:rsidRPr="00591F6E">
        <w:rPr>
          <w:lang w:val="en-GB"/>
        </w:rPr>
        <w:t xml:space="preserve"> This </w:t>
      </w:r>
      <w:r w:rsidR="00666AE5" w:rsidRPr="00591F6E">
        <w:rPr>
          <w:rFonts w:eastAsia="Century Schoolbook"/>
          <w:szCs w:val="20"/>
          <w:lang w:val="en-GB"/>
        </w:rPr>
        <w:t>suggests</w:t>
      </w:r>
      <w:r w:rsidR="00666AE5" w:rsidRPr="00591F6E">
        <w:rPr>
          <w:lang w:val="en-GB"/>
        </w:rPr>
        <w:t xml:space="preserve"> that studies that focus on wars or major conflicts tend to find more homogeneous results than studies that focus on lower-intensity conflicts. </w:t>
      </w:r>
    </w:p>
    <w:p w14:paraId="3FE7F439" w14:textId="52BF17BE" w:rsidR="003E774C" w:rsidRPr="00591F6E" w:rsidRDefault="00FD3AF2" w:rsidP="00CA64ED">
      <w:pPr>
        <w:pStyle w:val="Stile1"/>
        <w:jc w:val="center"/>
        <w:rPr>
          <w:b/>
          <w:lang w:val="en-GB"/>
        </w:rPr>
      </w:pPr>
      <w:r w:rsidRPr="00591F6E">
        <w:rPr>
          <w:b/>
          <w:lang w:val="en-GB"/>
        </w:rPr>
        <w:t>DESCRIPTIVE STATISTICS FOR PROGRESSIVE SUBSETS OF THE SAMPLE</w:t>
      </w:r>
    </w:p>
    <w:tbl>
      <w:tblPr>
        <w:tblStyle w:val="Tabellasemplice-2"/>
        <w:tblW w:w="8982" w:type="dxa"/>
        <w:tblLook w:val="04A0" w:firstRow="1" w:lastRow="0" w:firstColumn="1" w:lastColumn="0" w:noHBand="0" w:noVBand="1"/>
      </w:tblPr>
      <w:tblGrid>
        <w:gridCol w:w="1528"/>
        <w:gridCol w:w="1170"/>
        <w:gridCol w:w="1240"/>
        <w:gridCol w:w="1286"/>
        <w:gridCol w:w="1586"/>
        <w:gridCol w:w="1301"/>
        <w:gridCol w:w="871"/>
      </w:tblGrid>
      <w:tr w:rsidR="00FD3AF2" w:rsidRPr="00591F6E" w14:paraId="324AC930" w14:textId="77777777" w:rsidTr="00CA64ED">
        <w:trPr>
          <w:cnfStyle w:val="100000000000" w:firstRow="1" w:lastRow="0" w:firstColumn="0" w:lastColumn="0" w:oddVBand="0" w:evenVBand="0" w:oddHBand="0" w:evenHBand="0" w:firstRowFirstColumn="0" w:firstRowLastColumn="0" w:lastRowFirstColumn="0" w:lastRowLastColumn="0"/>
          <w:trHeight w:val="917"/>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hideMark/>
          </w:tcPr>
          <w:p w14:paraId="08477446" w14:textId="77777777" w:rsidR="003E774C" w:rsidRPr="00591F6E" w:rsidRDefault="003E774C" w:rsidP="007E5CDA">
            <w:pPr>
              <w:pStyle w:val="Stile1"/>
              <w:jc w:val="both"/>
              <w:rPr>
                <w:color w:val="000000"/>
                <w:sz w:val="14"/>
                <w:szCs w:val="16"/>
                <w:lang w:val="en-GB"/>
              </w:rPr>
            </w:pPr>
            <w:r w:rsidRPr="00591F6E">
              <w:rPr>
                <w:color w:val="000000"/>
                <w:sz w:val="14"/>
                <w:szCs w:val="16"/>
                <w:lang w:val="en-GB"/>
              </w:rPr>
              <w:t> </w:t>
            </w:r>
          </w:p>
        </w:tc>
        <w:tc>
          <w:tcPr>
            <w:tcW w:w="0" w:type="auto"/>
            <w:shd w:val="clear" w:color="auto" w:fill="E7E6E6" w:themeFill="background2"/>
            <w:hideMark/>
          </w:tcPr>
          <w:p w14:paraId="3844440C" w14:textId="469D1107" w:rsidR="003E774C" w:rsidRPr="00591F6E" w:rsidRDefault="003E774C" w:rsidP="007E5CDA">
            <w:pPr>
              <w:jc w:val="both"/>
              <w:cnfStyle w:val="100000000000" w:firstRow="1" w:lastRow="0" w:firstColumn="0" w:lastColumn="0" w:oddVBand="0" w:evenVBand="0" w:oddHBand="0" w:evenHBand="0" w:firstRowFirstColumn="0" w:firstRowLastColumn="0" w:lastRowFirstColumn="0" w:lastRowLastColumn="0"/>
              <w:rPr>
                <w:bCs w:val="0"/>
                <w:sz w:val="16"/>
                <w:szCs w:val="16"/>
                <w:lang w:val="en-GB"/>
              </w:rPr>
            </w:pPr>
            <w:r w:rsidRPr="00591F6E">
              <w:rPr>
                <w:sz w:val="16"/>
                <w:szCs w:val="16"/>
                <w:lang w:val="en-GB"/>
              </w:rPr>
              <w:t>abundance- subset</w:t>
            </w:r>
          </w:p>
        </w:tc>
        <w:tc>
          <w:tcPr>
            <w:tcW w:w="0" w:type="auto"/>
            <w:shd w:val="clear" w:color="auto" w:fill="E7E6E6" w:themeFill="background2"/>
            <w:hideMark/>
          </w:tcPr>
          <w:p w14:paraId="2DF3570E" w14:textId="77777777" w:rsidR="003E774C" w:rsidRPr="00591F6E" w:rsidRDefault="003E774C" w:rsidP="007E5CDA">
            <w:pPr>
              <w:jc w:val="both"/>
              <w:cnfStyle w:val="100000000000" w:firstRow="1" w:lastRow="0" w:firstColumn="0" w:lastColumn="0" w:oddVBand="0" w:evenVBand="0" w:oddHBand="0" w:evenHBand="0" w:firstRowFirstColumn="0" w:firstRowLastColumn="0" w:lastRowFirstColumn="0" w:lastRowLastColumn="0"/>
              <w:rPr>
                <w:bCs w:val="0"/>
                <w:sz w:val="16"/>
                <w:szCs w:val="16"/>
                <w:lang w:val="en-GB"/>
              </w:rPr>
            </w:pPr>
            <w:r w:rsidRPr="00591F6E">
              <w:rPr>
                <w:sz w:val="16"/>
                <w:szCs w:val="16"/>
                <w:lang w:val="en-GB"/>
              </w:rPr>
              <w:t>significance level: 5%</w:t>
            </w:r>
          </w:p>
        </w:tc>
        <w:tc>
          <w:tcPr>
            <w:tcW w:w="0" w:type="auto"/>
            <w:shd w:val="clear" w:color="auto" w:fill="E7E6E6" w:themeFill="background2"/>
            <w:hideMark/>
          </w:tcPr>
          <w:p w14:paraId="6B5F6DA1" w14:textId="77777777" w:rsidR="003E774C" w:rsidRPr="00591F6E" w:rsidRDefault="003E774C" w:rsidP="007E5CDA">
            <w:pPr>
              <w:jc w:val="both"/>
              <w:cnfStyle w:val="100000000000" w:firstRow="1" w:lastRow="0" w:firstColumn="0" w:lastColumn="0" w:oddVBand="0" w:evenVBand="0" w:oddHBand="0" w:evenHBand="0" w:firstRowFirstColumn="0" w:firstRowLastColumn="0" w:lastRowFirstColumn="0" w:lastRowLastColumn="0"/>
              <w:rPr>
                <w:bCs w:val="0"/>
                <w:sz w:val="16"/>
                <w:szCs w:val="16"/>
                <w:lang w:val="en-GB"/>
              </w:rPr>
            </w:pPr>
            <w:r w:rsidRPr="00591F6E">
              <w:rPr>
                <w:sz w:val="16"/>
                <w:szCs w:val="16"/>
                <w:lang w:val="en-GB"/>
              </w:rPr>
              <w:t>conflict threshold 1000 BRD</w:t>
            </w:r>
          </w:p>
        </w:tc>
        <w:tc>
          <w:tcPr>
            <w:tcW w:w="0" w:type="auto"/>
            <w:shd w:val="clear" w:color="auto" w:fill="E7E6E6" w:themeFill="background2"/>
            <w:hideMark/>
          </w:tcPr>
          <w:p w14:paraId="46FDA682" w14:textId="77777777" w:rsidR="003E774C" w:rsidRPr="00591F6E" w:rsidRDefault="003E774C" w:rsidP="007E5CDA">
            <w:pPr>
              <w:jc w:val="both"/>
              <w:cnfStyle w:val="100000000000" w:firstRow="1" w:lastRow="0" w:firstColumn="0" w:lastColumn="0" w:oddVBand="0" w:evenVBand="0" w:oddHBand="0" w:evenHBand="0" w:firstRowFirstColumn="0" w:firstRowLastColumn="0" w:lastRowFirstColumn="0" w:lastRowLastColumn="0"/>
              <w:rPr>
                <w:bCs w:val="0"/>
                <w:sz w:val="16"/>
                <w:szCs w:val="16"/>
                <w:lang w:val="en-GB"/>
              </w:rPr>
            </w:pPr>
            <w:r w:rsidRPr="00591F6E">
              <w:rPr>
                <w:sz w:val="16"/>
                <w:szCs w:val="16"/>
                <w:lang w:val="en-GB"/>
              </w:rPr>
              <w:t>temporal unit of analysis: less than 5 years</w:t>
            </w:r>
          </w:p>
        </w:tc>
        <w:tc>
          <w:tcPr>
            <w:tcW w:w="0" w:type="auto"/>
            <w:shd w:val="clear" w:color="auto" w:fill="E7E6E6" w:themeFill="background2"/>
            <w:hideMark/>
          </w:tcPr>
          <w:p w14:paraId="45A0505F" w14:textId="179A352B" w:rsidR="003E774C" w:rsidRPr="00591F6E" w:rsidRDefault="003E774C" w:rsidP="007E5CDA">
            <w:pPr>
              <w:jc w:val="both"/>
              <w:cnfStyle w:val="100000000000" w:firstRow="1" w:lastRow="0" w:firstColumn="0" w:lastColumn="0" w:oddVBand="0" w:evenVBand="0" w:oddHBand="0" w:evenHBand="0" w:firstRowFirstColumn="0" w:firstRowLastColumn="0" w:lastRowFirstColumn="0" w:lastRowLastColumn="0"/>
              <w:rPr>
                <w:b w:val="0"/>
                <w:bCs w:val="0"/>
                <w:sz w:val="16"/>
                <w:szCs w:val="16"/>
                <w:lang w:val="en-GB"/>
              </w:rPr>
            </w:pPr>
            <w:r w:rsidRPr="00591F6E">
              <w:rPr>
                <w:sz w:val="16"/>
                <w:szCs w:val="16"/>
                <w:lang w:val="en-GB"/>
              </w:rPr>
              <w:t>spatial sample: cross-national/</w:t>
            </w:r>
          </w:p>
          <w:p w14:paraId="0BE9AE29" w14:textId="4AC012DC" w:rsidR="003E774C" w:rsidRPr="00591F6E" w:rsidRDefault="003E774C" w:rsidP="007E5CDA">
            <w:pPr>
              <w:jc w:val="both"/>
              <w:cnfStyle w:val="100000000000" w:firstRow="1" w:lastRow="0" w:firstColumn="0" w:lastColumn="0" w:oddVBand="0" w:evenVBand="0" w:oddHBand="0" w:evenHBand="0" w:firstRowFirstColumn="0" w:firstRowLastColumn="0" w:lastRowFirstColumn="0" w:lastRowLastColumn="0"/>
              <w:rPr>
                <w:bCs w:val="0"/>
                <w:sz w:val="16"/>
                <w:szCs w:val="16"/>
                <w:lang w:val="en-GB"/>
              </w:rPr>
            </w:pPr>
            <w:r w:rsidRPr="00591F6E">
              <w:rPr>
                <w:sz w:val="16"/>
                <w:szCs w:val="16"/>
                <w:lang w:val="en-GB"/>
              </w:rPr>
              <w:t>national</w:t>
            </w:r>
          </w:p>
        </w:tc>
        <w:tc>
          <w:tcPr>
            <w:tcW w:w="0" w:type="auto"/>
            <w:shd w:val="clear" w:color="auto" w:fill="E7E6E6" w:themeFill="background2"/>
            <w:hideMark/>
          </w:tcPr>
          <w:p w14:paraId="1ECB01B6" w14:textId="77777777" w:rsidR="003E774C" w:rsidRPr="00591F6E" w:rsidRDefault="003E774C" w:rsidP="007E5CDA">
            <w:pPr>
              <w:jc w:val="both"/>
              <w:cnfStyle w:val="100000000000" w:firstRow="1" w:lastRow="0" w:firstColumn="0" w:lastColumn="0" w:oddVBand="0" w:evenVBand="0" w:oddHBand="0" w:evenHBand="0" w:firstRowFirstColumn="0" w:firstRowLastColumn="0" w:lastRowFirstColumn="0" w:lastRowLastColumn="0"/>
              <w:rPr>
                <w:bCs w:val="0"/>
                <w:sz w:val="16"/>
                <w:szCs w:val="16"/>
                <w:lang w:val="en-GB"/>
              </w:rPr>
            </w:pPr>
            <w:r w:rsidRPr="00591F6E">
              <w:rPr>
                <w:sz w:val="16"/>
                <w:szCs w:val="16"/>
                <w:lang w:val="en-GB"/>
              </w:rPr>
              <w:t>no lagged terms</w:t>
            </w:r>
          </w:p>
        </w:tc>
      </w:tr>
      <w:tr w:rsidR="00FD3AF2" w:rsidRPr="00591F6E" w14:paraId="566BA454" w14:textId="77777777" w:rsidTr="00CA64ED">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7A1515E5" w14:textId="4EF4C33E" w:rsidR="003E774C" w:rsidRPr="00591F6E" w:rsidRDefault="003E774C" w:rsidP="00FD3AF2">
            <w:pPr>
              <w:rPr>
                <w:sz w:val="16"/>
                <w:szCs w:val="16"/>
                <w:lang w:val="en-GB"/>
              </w:rPr>
            </w:pPr>
            <w:r w:rsidRPr="00591F6E">
              <w:rPr>
                <w:sz w:val="16"/>
                <w:szCs w:val="16"/>
                <w:lang w:val="en-GB"/>
              </w:rPr>
              <w:t>No. of observations</w:t>
            </w:r>
          </w:p>
        </w:tc>
        <w:tc>
          <w:tcPr>
            <w:tcW w:w="0" w:type="auto"/>
            <w:noWrap/>
            <w:vAlign w:val="bottom"/>
            <w:hideMark/>
          </w:tcPr>
          <w:p w14:paraId="15F5DBC5" w14:textId="66ED0D6F"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838</w:t>
            </w:r>
          </w:p>
        </w:tc>
        <w:tc>
          <w:tcPr>
            <w:tcW w:w="0" w:type="auto"/>
            <w:noWrap/>
            <w:vAlign w:val="bottom"/>
            <w:hideMark/>
          </w:tcPr>
          <w:p w14:paraId="13FCC57F" w14:textId="5E15D605"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343</w:t>
            </w:r>
          </w:p>
        </w:tc>
        <w:tc>
          <w:tcPr>
            <w:tcW w:w="0" w:type="auto"/>
            <w:noWrap/>
            <w:vAlign w:val="bottom"/>
            <w:hideMark/>
          </w:tcPr>
          <w:p w14:paraId="63316410" w14:textId="7CD80725" w:rsidR="003E774C" w:rsidRPr="00591F6E" w:rsidRDefault="003E774C"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2</w:t>
            </w:r>
            <w:r w:rsidR="006D2BEF" w:rsidRPr="00591F6E">
              <w:rPr>
                <w:sz w:val="16"/>
                <w:szCs w:val="16"/>
                <w:lang w:val="en-GB"/>
              </w:rPr>
              <w:t>68</w:t>
            </w:r>
          </w:p>
        </w:tc>
        <w:tc>
          <w:tcPr>
            <w:tcW w:w="0" w:type="auto"/>
            <w:noWrap/>
            <w:vAlign w:val="bottom"/>
            <w:hideMark/>
          </w:tcPr>
          <w:p w14:paraId="78D8AC3A" w14:textId="7E33BD56"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206</w:t>
            </w:r>
          </w:p>
        </w:tc>
        <w:tc>
          <w:tcPr>
            <w:tcW w:w="0" w:type="auto"/>
            <w:noWrap/>
            <w:vAlign w:val="bottom"/>
            <w:hideMark/>
          </w:tcPr>
          <w:p w14:paraId="2B5414EC" w14:textId="6EAB430B"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139</w:t>
            </w:r>
          </w:p>
        </w:tc>
        <w:tc>
          <w:tcPr>
            <w:tcW w:w="0" w:type="auto"/>
            <w:noWrap/>
            <w:vAlign w:val="bottom"/>
            <w:hideMark/>
          </w:tcPr>
          <w:p w14:paraId="53B37248" w14:textId="0D143499"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70</w:t>
            </w:r>
          </w:p>
        </w:tc>
      </w:tr>
      <w:tr w:rsidR="00FD3AF2" w:rsidRPr="00591F6E" w14:paraId="017FA4A7" w14:textId="77777777" w:rsidTr="00CA64ED">
        <w:trPr>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7A8C04F3" w14:textId="77777777" w:rsidR="003E774C" w:rsidRPr="00591F6E" w:rsidRDefault="003E774C" w:rsidP="00FD3AF2">
            <w:pPr>
              <w:rPr>
                <w:sz w:val="16"/>
                <w:szCs w:val="16"/>
                <w:lang w:val="en-GB"/>
              </w:rPr>
            </w:pPr>
            <w:r w:rsidRPr="00591F6E">
              <w:rPr>
                <w:sz w:val="16"/>
                <w:szCs w:val="16"/>
                <w:lang w:val="en-GB"/>
              </w:rPr>
              <w:t>Minimum</w:t>
            </w:r>
          </w:p>
        </w:tc>
        <w:tc>
          <w:tcPr>
            <w:tcW w:w="0" w:type="auto"/>
            <w:noWrap/>
            <w:vAlign w:val="bottom"/>
            <w:hideMark/>
          </w:tcPr>
          <w:p w14:paraId="68A6E7B2" w14:textId="660BDB2B"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-56.33</w:t>
            </w:r>
          </w:p>
        </w:tc>
        <w:tc>
          <w:tcPr>
            <w:tcW w:w="0" w:type="auto"/>
            <w:noWrap/>
            <w:vAlign w:val="bottom"/>
            <w:hideMark/>
          </w:tcPr>
          <w:p w14:paraId="66137699" w14:textId="2129BBBD"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-56.33</w:t>
            </w:r>
          </w:p>
        </w:tc>
        <w:tc>
          <w:tcPr>
            <w:tcW w:w="0" w:type="auto"/>
            <w:noWrap/>
            <w:vAlign w:val="bottom"/>
            <w:hideMark/>
          </w:tcPr>
          <w:p w14:paraId="13B9AABE" w14:textId="46FCB6D9"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-13.64</w:t>
            </w:r>
          </w:p>
        </w:tc>
        <w:tc>
          <w:tcPr>
            <w:tcW w:w="0" w:type="auto"/>
            <w:noWrap/>
            <w:vAlign w:val="bottom"/>
            <w:hideMark/>
          </w:tcPr>
          <w:p w14:paraId="54D808B9" w14:textId="36B3E069"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-13.64</w:t>
            </w:r>
          </w:p>
        </w:tc>
        <w:tc>
          <w:tcPr>
            <w:tcW w:w="0" w:type="auto"/>
            <w:noWrap/>
            <w:vAlign w:val="bottom"/>
            <w:hideMark/>
          </w:tcPr>
          <w:p w14:paraId="7ED388E7" w14:textId="3F9EE60A"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-13.64</w:t>
            </w:r>
          </w:p>
        </w:tc>
        <w:tc>
          <w:tcPr>
            <w:tcW w:w="0" w:type="auto"/>
            <w:noWrap/>
            <w:vAlign w:val="bottom"/>
            <w:hideMark/>
          </w:tcPr>
          <w:p w14:paraId="1438151C" w14:textId="5AA6EDBE"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-3.27</w:t>
            </w:r>
          </w:p>
        </w:tc>
      </w:tr>
      <w:tr w:rsidR="00FD3AF2" w:rsidRPr="00591F6E" w14:paraId="2EE8ECAB" w14:textId="77777777" w:rsidTr="00CA64ED">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18DC5903" w14:textId="77777777" w:rsidR="006D2BEF" w:rsidRPr="00591F6E" w:rsidRDefault="006D2BEF" w:rsidP="00FD3AF2">
            <w:pPr>
              <w:rPr>
                <w:sz w:val="16"/>
                <w:szCs w:val="16"/>
                <w:lang w:val="en-GB"/>
              </w:rPr>
            </w:pPr>
            <w:r w:rsidRPr="00591F6E">
              <w:rPr>
                <w:sz w:val="16"/>
                <w:szCs w:val="16"/>
                <w:lang w:val="en-GB"/>
              </w:rPr>
              <w:t>Maximum</w:t>
            </w:r>
          </w:p>
        </w:tc>
        <w:tc>
          <w:tcPr>
            <w:tcW w:w="0" w:type="auto"/>
            <w:noWrap/>
            <w:vAlign w:val="bottom"/>
            <w:hideMark/>
          </w:tcPr>
          <w:p w14:paraId="584F805C" w14:textId="65C4E13E" w:rsidR="006D2BEF"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46.83</w:t>
            </w:r>
          </w:p>
        </w:tc>
        <w:tc>
          <w:tcPr>
            <w:tcW w:w="0" w:type="auto"/>
            <w:noWrap/>
            <w:vAlign w:val="bottom"/>
            <w:hideMark/>
          </w:tcPr>
          <w:p w14:paraId="7CFC3E92" w14:textId="59914F8E" w:rsidR="006D2BEF"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31.72</w:t>
            </w:r>
          </w:p>
        </w:tc>
        <w:tc>
          <w:tcPr>
            <w:tcW w:w="0" w:type="auto"/>
            <w:noWrap/>
            <w:vAlign w:val="bottom"/>
            <w:hideMark/>
          </w:tcPr>
          <w:p w14:paraId="73F953D5" w14:textId="4BEA5814" w:rsidR="006D2BEF"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31.72</w:t>
            </w:r>
          </w:p>
        </w:tc>
        <w:tc>
          <w:tcPr>
            <w:tcW w:w="0" w:type="auto"/>
            <w:noWrap/>
            <w:vAlign w:val="bottom"/>
            <w:hideMark/>
          </w:tcPr>
          <w:p w14:paraId="3F1208B1" w14:textId="0F7C4671" w:rsidR="006D2BEF"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8.57</w:t>
            </w:r>
          </w:p>
        </w:tc>
        <w:tc>
          <w:tcPr>
            <w:tcW w:w="0" w:type="auto"/>
            <w:noWrap/>
            <w:vAlign w:val="bottom"/>
            <w:hideMark/>
          </w:tcPr>
          <w:p w14:paraId="31E440F3" w14:textId="76944A66" w:rsidR="006D2BEF"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8.57</w:t>
            </w:r>
          </w:p>
        </w:tc>
        <w:tc>
          <w:tcPr>
            <w:tcW w:w="0" w:type="auto"/>
            <w:noWrap/>
            <w:vAlign w:val="bottom"/>
            <w:hideMark/>
          </w:tcPr>
          <w:p w14:paraId="1C9C6B2B" w14:textId="34C1AB2C" w:rsidR="006D2BEF"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6.38</w:t>
            </w:r>
          </w:p>
        </w:tc>
      </w:tr>
      <w:tr w:rsidR="00FD3AF2" w:rsidRPr="00591F6E" w14:paraId="6FC70F7F" w14:textId="77777777" w:rsidTr="00CA64ED">
        <w:trPr>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38CC1751" w14:textId="77777777" w:rsidR="003E774C" w:rsidRPr="00591F6E" w:rsidRDefault="003E774C" w:rsidP="00FD3AF2">
            <w:pPr>
              <w:rPr>
                <w:sz w:val="16"/>
                <w:szCs w:val="16"/>
                <w:lang w:val="en-GB"/>
              </w:rPr>
            </w:pPr>
            <w:r w:rsidRPr="00591F6E">
              <w:rPr>
                <w:sz w:val="16"/>
                <w:szCs w:val="16"/>
                <w:lang w:val="en-GB"/>
              </w:rPr>
              <w:t>Median</w:t>
            </w:r>
          </w:p>
        </w:tc>
        <w:tc>
          <w:tcPr>
            <w:tcW w:w="0" w:type="auto"/>
            <w:noWrap/>
            <w:vAlign w:val="bottom"/>
            <w:hideMark/>
          </w:tcPr>
          <w:p w14:paraId="08A744F0" w14:textId="4A2EFDF6" w:rsidR="003E774C" w:rsidRPr="00591F6E" w:rsidRDefault="003E774C"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w:t>
            </w:r>
            <w:r w:rsidR="006D2BEF" w:rsidRPr="00591F6E">
              <w:rPr>
                <w:sz w:val="16"/>
                <w:szCs w:val="16"/>
                <w:lang w:val="en-GB"/>
              </w:rPr>
              <w:t>13</w:t>
            </w:r>
          </w:p>
        </w:tc>
        <w:tc>
          <w:tcPr>
            <w:tcW w:w="0" w:type="auto"/>
            <w:noWrap/>
            <w:vAlign w:val="bottom"/>
            <w:hideMark/>
          </w:tcPr>
          <w:p w14:paraId="140C5BBE" w14:textId="36A5EB34" w:rsidR="003E774C" w:rsidRPr="00591F6E" w:rsidRDefault="003E774C"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2.31</w:t>
            </w:r>
          </w:p>
        </w:tc>
        <w:tc>
          <w:tcPr>
            <w:tcW w:w="0" w:type="auto"/>
            <w:noWrap/>
            <w:vAlign w:val="bottom"/>
            <w:hideMark/>
          </w:tcPr>
          <w:p w14:paraId="39285679" w14:textId="7484268A"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2.18</w:t>
            </w:r>
          </w:p>
        </w:tc>
        <w:tc>
          <w:tcPr>
            <w:tcW w:w="0" w:type="auto"/>
            <w:noWrap/>
            <w:vAlign w:val="bottom"/>
            <w:hideMark/>
          </w:tcPr>
          <w:p w14:paraId="5B8A409D" w14:textId="44C57B2C"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2.15</w:t>
            </w:r>
          </w:p>
        </w:tc>
        <w:tc>
          <w:tcPr>
            <w:tcW w:w="0" w:type="auto"/>
            <w:noWrap/>
            <w:vAlign w:val="bottom"/>
            <w:hideMark/>
          </w:tcPr>
          <w:p w14:paraId="61DDAD03" w14:textId="3FF915E6"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0.00</w:t>
            </w:r>
          </w:p>
        </w:tc>
        <w:tc>
          <w:tcPr>
            <w:tcW w:w="0" w:type="auto"/>
            <w:noWrap/>
            <w:vAlign w:val="bottom"/>
            <w:hideMark/>
          </w:tcPr>
          <w:p w14:paraId="10432E19" w14:textId="54E93678"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-0.95</w:t>
            </w:r>
          </w:p>
        </w:tc>
      </w:tr>
      <w:tr w:rsidR="00FD3AF2" w:rsidRPr="00591F6E" w14:paraId="1F040361" w14:textId="77777777" w:rsidTr="00CA64ED">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42AA7AF7" w14:textId="77777777" w:rsidR="003E774C" w:rsidRPr="00591F6E" w:rsidRDefault="003E774C" w:rsidP="00FD3AF2">
            <w:pPr>
              <w:rPr>
                <w:sz w:val="16"/>
                <w:szCs w:val="16"/>
                <w:lang w:val="en-GB"/>
              </w:rPr>
            </w:pPr>
            <w:r w:rsidRPr="00591F6E">
              <w:rPr>
                <w:sz w:val="16"/>
                <w:szCs w:val="16"/>
                <w:lang w:val="en-GB"/>
              </w:rPr>
              <w:t>Mean</w:t>
            </w:r>
          </w:p>
        </w:tc>
        <w:tc>
          <w:tcPr>
            <w:tcW w:w="0" w:type="auto"/>
            <w:noWrap/>
            <w:vAlign w:val="bottom"/>
            <w:hideMark/>
          </w:tcPr>
          <w:p w14:paraId="213C2B13" w14:textId="3552C0C2" w:rsidR="003E774C" w:rsidRPr="00591F6E" w:rsidRDefault="003E774C"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w:t>
            </w:r>
            <w:r w:rsidR="006D2BEF" w:rsidRPr="00591F6E">
              <w:rPr>
                <w:sz w:val="16"/>
                <w:szCs w:val="16"/>
                <w:lang w:val="en-GB"/>
              </w:rPr>
              <w:t>2</w:t>
            </w:r>
            <w:r w:rsidRPr="00591F6E">
              <w:rPr>
                <w:sz w:val="16"/>
                <w:szCs w:val="16"/>
                <w:lang w:val="en-GB"/>
              </w:rPr>
              <w:t>4</w:t>
            </w:r>
          </w:p>
        </w:tc>
        <w:tc>
          <w:tcPr>
            <w:tcW w:w="0" w:type="auto"/>
            <w:noWrap/>
            <w:vAlign w:val="bottom"/>
            <w:hideMark/>
          </w:tcPr>
          <w:p w14:paraId="1C4D4D79" w14:textId="1FA9966D"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1.55</w:t>
            </w:r>
          </w:p>
        </w:tc>
        <w:tc>
          <w:tcPr>
            <w:tcW w:w="0" w:type="auto"/>
            <w:noWrap/>
            <w:vAlign w:val="bottom"/>
            <w:hideMark/>
          </w:tcPr>
          <w:p w14:paraId="5CA1DF11" w14:textId="70C08044"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1.40</w:t>
            </w:r>
          </w:p>
        </w:tc>
        <w:tc>
          <w:tcPr>
            <w:tcW w:w="0" w:type="auto"/>
            <w:noWrap/>
            <w:vAlign w:val="bottom"/>
            <w:hideMark/>
          </w:tcPr>
          <w:p w14:paraId="48F76D49" w14:textId="14911864"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1.22</w:t>
            </w:r>
          </w:p>
        </w:tc>
        <w:tc>
          <w:tcPr>
            <w:tcW w:w="0" w:type="auto"/>
            <w:noWrap/>
            <w:vAlign w:val="bottom"/>
            <w:hideMark/>
          </w:tcPr>
          <w:p w14:paraId="572868C1" w14:textId="2A6569BC"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0.62</w:t>
            </w:r>
          </w:p>
        </w:tc>
        <w:tc>
          <w:tcPr>
            <w:tcW w:w="0" w:type="auto"/>
            <w:noWrap/>
            <w:vAlign w:val="bottom"/>
            <w:hideMark/>
          </w:tcPr>
          <w:p w14:paraId="444788C8" w14:textId="1B073457"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0.30</w:t>
            </w:r>
          </w:p>
        </w:tc>
      </w:tr>
      <w:tr w:rsidR="00FD3AF2" w:rsidRPr="00591F6E" w14:paraId="71FDD22D" w14:textId="77777777" w:rsidTr="00CA64ED">
        <w:trPr>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78025270" w14:textId="77777777" w:rsidR="003E774C" w:rsidRPr="00591F6E" w:rsidRDefault="003E774C" w:rsidP="00FD3AF2">
            <w:pPr>
              <w:rPr>
                <w:sz w:val="16"/>
                <w:szCs w:val="16"/>
                <w:lang w:val="en-GB"/>
              </w:rPr>
            </w:pPr>
            <w:r w:rsidRPr="00591F6E">
              <w:rPr>
                <w:sz w:val="16"/>
                <w:szCs w:val="16"/>
                <w:lang w:val="en-GB"/>
              </w:rPr>
              <w:t>Variance</w:t>
            </w:r>
          </w:p>
        </w:tc>
        <w:tc>
          <w:tcPr>
            <w:tcW w:w="0" w:type="auto"/>
            <w:noWrap/>
            <w:vAlign w:val="bottom"/>
            <w:hideMark/>
          </w:tcPr>
          <w:p w14:paraId="0C21875B" w14:textId="7CD88183"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18.00</w:t>
            </w:r>
          </w:p>
        </w:tc>
        <w:tc>
          <w:tcPr>
            <w:tcW w:w="0" w:type="auto"/>
            <w:noWrap/>
            <w:vAlign w:val="bottom"/>
            <w:hideMark/>
          </w:tcPr>
          <w:p w14:paraId="7D525A7D" w14:textId="6E5B7AF0"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28.23</w:t>
            </w:r>
          </w:p>
        </w:tc>
        <w:tc>
          <w:tcPr>
            <w:tcW w:w="0" w:type="auto"/>
            <w:noWrap/>
            <w:vAlign w:val="bottom"/>
            <w:hideMark/>
          </w:tcPr>
          <w:p w14:paraId="5B666299" w14:textId="78B30882"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17.35</w:t>
            </w:r>
          </w:p>
        </w:tc>
        <w:tc>
          <w:tcPr>
            <w:tcW w:w="0" w:type="auto"/>
            <w:noWrap/>
            <w:vAlign w:val="bottom"/>
            <w:hideMark/>
          </w:tcPr>
          <w:p w14:paraId="01E164B9" w14:textId="143E5563"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11.04</w:t>
            </w:r>
          </w:p>
        </w:tc>
        <w:tc>
          <w:tcPr>
            <w:tcW w:w="0" w:type="auto"/>
            <w:noWrap/>
            <w:vAlign w:val="bottom"/>
            <w:hideMark/>
          </w:tcPr>
          <w:p w14:paraId="3EE1B837" w14:textId="1A85D99C"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12.64</w:t>
            </w:r>
          </w:p>
        </w:tc>
        <w:tc>
          <w:tcPr>
            <w:tcW w:w="0" w:type="auto"/>
            <w:noWrap/>
            <w:vAlign w:val="bottom"/>
            <w:hideMark/>
          </w:tcPr>
          <w:p w14:paraId="7464F9DC" w14:textId="0CD488F5"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11.07</w:t>
            </w:r>
          </w:p>
        </w:tc>
      </w:tr>
      <w:tr w:rsidR="00FD3AF2" w:rsidRPr="00591F6E" w14:paraId="4ECA00B1" w14:textId="77777777" w:rsidTr="00CA64ED">
        <w:trPr>
          <w:cnfStyle w:val="000000100000" w:firstRow="0" w:lastRow="0" w:firstColumn="0" w:lastColumn="0" w:oddVBand="0" w:evenVBand="0" w:oddHBand="1" w:evenHBand="0" w:firstRowFirstColumn="0" w:firstRowLastColumn="0" w:lastRowFirstColumn="0" w:lastRowLastColumn="0"/>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3174EABB" w14:textId="2EF3FB22" w:rsidR="003E774C" w:rsidRPr="00591F6E" w:rsidRDefault="003E774C" w:rsidP="00FD3AF2">
            <w:pPr>
              <w:rPr>
                <w:sz w:val="16"/>
                <w:szCs w:val="16"/>
                <w:lang w:val="en-GB"/>
              </w:rPr>
            </w:pPr>
            <w:r w:rsidRPr="00591F6E">
              <w:rPr>
                <w:sz w:val="16"/>
                <w:szCs w:val="16"/>
                <w:lang w:val="en-GB"/>
              </w:rPr>
              <w:t>1</w:t>
            </w:r>
            <w:r w:rsidRPr="00591F6E">
              <w:rPr>
                <w:sz w:val="16"/>
                <w:szCs w:val="16"/>
                <w:vertAlign w:val="superscript"/>
                <w:lang w:val="en-GB"/>
              </w:rPr>
              <w:t>st</w:t>
            </w:r>
            <w:r w:rsidRPr="00591F6E">
              <w:rPr>
                <w:sz w:val="16"/>
                <w:szCs w:val="16"/>
                <w:lang w:val="en-GB"/>
              </w:rPr>
              <w:t xml:space="preserve"> quartile</w:t>
            </w:r>
          </w:p>
        </w:tc>
        <w:tc>
          <w:tcPr>
            <w:tcW w:w="0" w:type="auto"/>
            <w:noWrap/>
            <w:vAlign w:val="bottom"/>
            <w:hideMark/>
          </w:tcPr>
          <w:p w14:paraId="6D5DE55E" w14:textId="1221C6C5"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-0.78</w:t>
            </w:r>
          </w:p>
        </w:tc>
        <w:tc>
          <w:tcPr>
            <w:tcW w:w="0" w:type="auto"/>
            <w:noWrap/>
            <w:vAlign w:val="bottom"/>
            <w:hideMark/>
          </w:tcPr>
          <w:p w14:paraId="46353465" w14:textId="7EBB8878"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-2.02</w:t>
            </w:r>
          </w:p>
        </w:tc>
        <w:tc>
          <w:tcPr>
            <w:tcW w:w="0" w:type="auto"/>
            <w:noWrap/>
            <w:vAlign w:val="bottom"/>
          </w:tcPr>
          <w:p w14:paraId="0227DA3E" w14:textId="52C4D1F2"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-2.16</w:t>
            </w:r>
          </w:p>
        </w:tc>
        <w:tc>
          <w:tcPr>
            <w:tcW w:w="0" w:type="auto"/>
            <w:noWrap/>
            <w:vAlign w:val="bottom"/>
          </w:tcPr>
          <w:p w14:paraId="4DEC1DF1" w14:textId="670DFEAE"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-2.04</w:t>
            </w:r>
          </w:p>
        </w:tc>
        <w:tc>
          <w:tcPr>
            <w:tcW w:w="0" w:type="auto"/>
            <w:noWrap/>
            <w:vAlign w:val="bottom"/>
          </w:tcPr>
          <w:p w14:paraId="764580D7" w14:textId="72156C7C"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-2.27</w:t>
            </w:r>
          </w:p>
        </w:tc>
        <w:tc>
          <w:tcPr>
            <w:tcW w:w="0" w:type="auto"/>
            <w:noWrap/>
            <w:vAlign w:val="bottom"/>
          </w:tcPr>
          <w:p w14:paraId="636CA43A" w14:textId="2F1F1A5C" w:rsidR="003E774C" w:rsidRPr="00591F6E" w:rsidRDefault="006D2BEF" w:rsidP="006D2BE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-2.39</w:t>
            </w:r>
          </w:p>
        </w:tc>
      </w:tr>
      <w:tr w:rsidR="00FD3AF2" w:rsidRPr="00591F6E" w14:paraId="23267DAF" w14:textId="77777777" w:rsidTr="00CA64ED">
        <w:trPr>
          <w:trHeight w:val="389"/>
        </w:trPr>
        <w:tc>
          <w:tcPr>
            <w:cnfStyle w:val="001000000000" w:firstRow="0" w:lastRow="0" w:firstColumn="1" w:lastColumn="0" w:oddVBand="0" w:evenVBand="0" w:oddHBand="0" w:evenHBand="0" w:firstRowFirstColumn="0" w:firstRowLastColumn="0" w:lastRowFirstColumn="0" w:lastRowLastColumn="0"/>
            <w:tcW w:w="0" w:type="auto"/>
            <w:shd w:val="clear" w:color="auto" w:fill="E7E6E6" w:themeFill="background2"/>
            <w:noWrap/>
            <w:vAlign w:val="bottom"/>
            <w:hideMark/>
          </w:tcPr>
          <w:p w14:paraId="36896982" w14:textId="41DEB76E" w:rsidR="003E774C" w:rsidRPr="00591F6E" w:rsidRDefault="003E774C" w:rsidP="00FD3AF2">
            <w:pPr>
              <w:rPr>
                <w:sz w:val="16"/>
                <w:szCs w:val="16"/>
                <w:lang w:val="en-GB"/>
              </w:rPr>
            </w:pPr>
            <w:r w:rsidRPr="00591F6E">
              <w:rPr>
                <w:sz w:val="16"/>
                <w:szCs w:val="16"/>
                <w:lang w:val="en-GB"/>
              </w:rPr>
              <w:t>3</w:t>
            </w:r>
            <w:r w:rsidRPr="00591F6E">
              <w:rPr>
                <w:sz w:val="16"/>
                <w:szCs w:val="16"/>
                <w:vertAlign w:val="superscript"/>
                <w:lang w:val="en-GB"/>
              </w:rPr>
              <w:t>rd</w:t>
            </w:r>
            <w:r w:rsidRPr="00591F6E">
              <w:rPr>
                <w:sz w:val="16"/>
                <w:szCs w:val="16"/>
                <w:lang w:val="en-GB"/>
              </w:rPr>
              <w:t xml:space="preserve"> quartile</w:t>
            </w:r>
          </w:p>
        </w:tc>
        <w:tc>
          <w:tcPr>
            <w:tcW w:w="0" w:type="auto"/>
            <w:noWrap/>
            <w:vAlign w:val="bottom"/>
            <w:hideMark/>
          </w:tcPr>
          <w:p w14:paraId="50A16695" w14:textId="67387589"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2.68</w:t>
            </w:r>
          </w:p>
        </w:tc>
        <w:tc>
          <w:tcPr>
            <w:tcW w:w="0" w:type="auto"/>
            <w:noWrap/>
            <w:vAlign w:val="bottom"/>
            <w:hideMark/>
          </w:tcPr>
          <w:p w14:paraId="5AE95179" w14:textId="7025C119"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3.24</w:t>
            </w:r>
          </w:p>
        </w:tc>
        <w:tc>
          <w:tcPr>
            <w:tcW w:w="0" w:type="auto"/>
            <w:noWrap/>
            <w:vAlign w:val="bottom"/>
          </w:tcPr>
          <w:p w14:paraId="43E765A6" w14:textId="60E93E27"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3.18</w:t>
            </w:r>
          </w:p>
        </w:tc>
        <w:tc>
          <w:tcPr>
            <w:tcW w:w="0" w:type="auto"/>
            <w:noWrap/>
            <w:vAlign w:val="bottom"/>
          </w:tcPr>
          <w:p w14:paraId="1F337137" w14:textId="5B24C693"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3.08</w:t>
            </w:r>
          </w:p>
        </w:tc>
        <w:tc>
          <w:tcPr>
            <w:tcW w:w="0" w:type="auto"/>
            <w:noWrap/>
            <w:vAlign w:val="bottom"/>
          </w:tcPr>
          <w:p w14:paraId="138B11A4" w14:textId="74F01C8C"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2.98</w:t>
            </w:r>
          </w:p>
        </w:tc>
        <w:tc>
          <w:tcPr>
            <w:tcW w:w="0" w:type="auto"/>
            <w:noWrap/>
            <w:vAlign w:val="bottom"/>
          </w:tcPr>
          <w:p w14:paraId="59307F11" w14:textId="181A2EDF" w:rsidR="003E774C" w:rsidRPr="00591F6E" w:rsidRDefault="006D2BEF" w:rsidP="006D2BE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3.08</w:t>
            </w:r>
          </w:p>
        </w:tc>
      </w:tr>
    </w:tbl>
    <w:p w14:paraId="16B05B5F" w14:textId="29CD1B32" w:rsidR="00666AE5" w:rsidRPr="00591F6E" w:rsidRDefault="00666AE5" w:rsidP="00E80692">
      <w:pPr>
        <w:pStyle w:val="Stile1"/>
        <w:spacing w:line="276" w:lineRule="auto"/>
        <w:ind w:firstLine="0"/>
        <w:jc w:val="both"/>
        <w:rPr>
          <w:i/>
          <w:lang w:val="en-GB"/>
        </w:rPr>
      </w:pPr>
      <w:r w:rsidRPr="00591F6E">
        <w:rPr>
          <w:i/>
          <w:lang w:val="en-GB"/>
        </w:rPr>
        <w:t xml:space="preserve">Table 2. Summary statistics referring to progressive reductions of the sample. </w:t>
      </w:r>
    </w:p>
    <w:p w14:paraId="3861AD58" w14:textId="77777777" w:rsidR="007F1AB4" w:rsidRPr="00591F6E" w:rsidRDefault="005E537D" w:rsidP="007363E9">
      <w:pPr>
        <w:pStyle w:val="Stile1"/>
        <w:ind w:firstLine="0"/>
        <w:jc w:val="both"/>
        <w:rPr>
          <w:i/>
          <w:lang w:val="en-GB"/>
        </w:rPr>
      </w:pPr>
      <w:r w:rsidRPr="00591F6E">
        <w:rPr>
          <w:noProof/>
          <w:lang w:val="it-IT" w:eastAsia="it-IT"/>
        </w:rPr>
        <w:drawing>
          <wp:inline distT="0" distB="0" distL="0" distR="0" wp14:anchorId="7AA5B051" wp14:editId="609D1982">
            <wp:extent cx="4572000" cy="293601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72000" cy="2936010"/>
                    </a:xfrm>
                    <a:prstGeom prst="rect">
                      <a:avLst/>
                    </a:prstGeom>
                  </pic:spPr>
                </pic:pic>
              </a:graphicData>
            </a:graphic>
          </wp:inline>
        </w:drawing>
      </w:r>
    </w:p>
    <w:p w14:paraId="62ACF45A" w14:textId="6C313F98" w:rsidR="005E537D" w:rsidRPr="00591F6E" w:rsidRDefault="005E537D" w:rsidP="00E80692">
      <w:pPr>
        <w:pStyle w:val="Stile1"/>
        <w:spacing w:line="276" w:lineRule="auto"/>
        <w:ind w:firstLine="0"/>
        <w:jc w:val="both"/>
        <w:rPr>
          <w:i/>
          <w:lang w:val="en-GB"/>
        </w:rPr>
      </w:pPr>
      <w:r w:rsidRPr="00591F6E">
        <w:rPr>
          <w:i/>
          <w:lang w:val="en-GB"/>
        </w:rPr>
        <w:t xml:space="preserve">Figure 5. Boxplot of the t-statistics reported by studies. </w:t>
      </w:r>
    </w:p>
    <w:p w14:paraId="52FB4582" w14:textId="77777777" w:rsidR="00AC7669" w:rsidRPr="00591F6E" w:rsidRDefault="00AC7669" w:rsidP="007363E9">
      <w:pPr>
        <w:pStyle w:val="Stile1"/>
        <w:ind w:firstLine="0"/>
        <w:jc w:val="both"/>
        <w:rPr>
          <w:lang w:val="en-GB"/>
        </w:rPr>
      </w:pPr>
    </w:p>
    <w:p w14:paraId="243A15E7" w14:textId="79B38949" w:rsidR="006C51D3" w:rsidRPr="00591F6E" w:rsidRDefault="005B54A4" w:rsidP="006C51D3">
      <w:pPr>
        <w:pStyle w:val="Stile1"/>
        <w:jc w:val="both"/>
        <w:rPr>
          <w:lang w:val="en-GB"/>
        </w:rPr>
      </w:pPr>
      <w:r w:rsidRPr="00591F6E">
        <w:rPr>
          <w:lang w:val="en-GB"/>
        </w:rPr>
        <w:t>Also,</w:t>
      </w:r>
      <w:r w:rsidR="006C51D3" w:rsidRPr="00591F6E">
        <w:rPr>
          <w:lang w:val="en-GB"/>
        </w:rPr>
        <w:t xml:space="preserve"> when restricting the sample to cross-national or country-level studies, we find that the variance of the </w:t>
      </w:r>
      <w:r w:rsidR="006C51D3" w:rsidRPr="00591F6E">
        <w:rPr>
          <w:i/>
          <w:lang w:val="en-GB"/>
        </w:rPr>
        <w:t>t-</w:t>
      </w:r>
      <w:r w:rsidR="006C51D3" w:rsidRPr="00591F6E">
        <w:rPr>
          <w:lang w:val="en-GB"/>
        </w:rPr>
        <w:t xml:space="preserve">statistics increases, indicating that non-global studies find more heterogeneous conclusions. </w:t>
      </w:r>
      <w:r w:rsidRPr="00591F6E">
        <w:rPr>
          <w:lang w:val="en-GB"/>
        </w:rPr>
        <w:t xml:space="preserve">Moreover, </w:t>
      </w:r>
      <w:r w:rsidR="006C51D3" w:rsidRPr="00591F6E">
        <w:rPr>
          <w:lang w:val="en-GB"/>
        </w:rPr>
        <w:t xml:space="preserve">excluding estimates containing lagged-terms reduces the variance of the </w:t>
      </w:r>
      <w:r w:rsidR="006C51D3" w:rsidRPr="00591F6E">
        <w:rPr>
          <w:i/>
          <w:lang w:val="en-GB"/>
        </w:rPr>
        <w:t>t</w:t>
      </w:r>
      <w:r w:rsidR="006C51D3" w:rsidRPr="00591F6E">
        <w:rPr>
          <w:lang w:val="en-GB"/>
        </w:rPr>
        <w:t xml:space="preserve">-statistics, possibly suggesting that the effect of natural resources on conflict is sensitive to the temporal span under consideration and the inclusion or exclusion of lagged coefficients. </w:t>
      </w:r>
    </w:p>
    <w:p w14:paraId="5077103D" w14:textId="1EAC4C63" w:rsidR="00F5086C" w:rsidRPr="00591F6E" w:rsidRDefault="00F5086C" w:rsidP="004B2A9A">
      <w:pPr>
        <w:pStyle w:val="Stile1"/>
        <w:jc w:val="both"/>
        <w:rPr>
          <w:lang w:val="en-GB"/>
        </w:rPr>
      </w:pPr>
      <w:r w:rsidRPr="00591F6E">
        <w:rPr>
          <w:lang w:val="en-GB"/>
        </w:rPr>
        <w:lastRenderedPageBreak/>
        <w:t>Figure 5 shows that the effect of resources on conflict is generally small but positive. The average and the median value</w:t>
      </w:r>
      <w:r w:rsidR="00993A6D" w:rsidRPr="00591F6E">
        <w:rPr>
          <w:lang w:val="en-GB"/>
        </w:rPr>
        <w:t>s</w:t>
      </w:r>
      <w:r w:rsidRPr="00591F6E">
        <w:rPr>
          <w:lang w:val="en-GB"/>
        </w:rPr>
        <w:t xml:space="preserve"> of the </w:t>
      </w:r>
      <w:r w:rsidRPr="00591F6E">
        <w:rPr>
          <w:i/>
          <w:lang w:val="en-GB"/>
        </w:rPr>
        <w:t>t</w:t>
      </w:r>
      <w:r w:rsidRPr="00591F6E">
        <w:rPr>
          <w:lang w:val="en-GB"/>
        </w:rPr>
        <w:t>-statistics are positive for both resource abundance and resource scarcity, although they tend to be smaller for the scarcity subset of the sample.</w:t>
      </w:r>
    </w:p>
    <w:p w14:paraId="5C7E0A4C" w14:textId="77777777" w:rsidR="00666AE5" w:rsidRPr="00591F6E" w:rsidRDefault="00666AE5" w:rsidP="007E5CDA">
      <w:pPr>
        <w:pStyle w:val="Stile1"/>
        <w:jc w:val="both"/>
        <w:rPr>
          <w:lang w:val="en-GB"/>
        </w:rPr>
      </w:pPr>
    </w:p>
    <w:tbl>
      <w:tblPr>
        <w:tblStyle w:val="Tabellasemplice-2"/>
        <w:tblW w:w="3330" w:type="pct"/>
        <w:tblInd w:w="755" w:type="dxa"/>
        <w:tblBorders>
          <w:top w:val="none" w:sz="0" w:space="0" w:color="auto"/>
          <w:bottom w:val="none" w:sz="0" w:space="0" w:color="auto"/>
        </w:tblBorders>
        <w:tblLook w:val="04A0" w:firstRow="1" w:lastRow="0" w:firstColumn="1" w:lastColumn="0" w:noHBand="0" w:noVBand="1"/>
      </w:tblPr>
      <w:tblGrid>
        <w:gridCol w:w="1798"/>
        <w:gridCol w:w="2644"/>
        <w:gridCol w:w="1569"/>
      </w:tblGrid>
      <w:tr w:rsidR="00EE389F" w:rsidRPr="00591F6E" w14:paraId="16C49268" w14:textId="77777777" w:rsidTr="00CA64ED">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496" w:type="pct"/>
            <w:hideMark/>
          </w:tcPr>
          <w:p w14:paraId="22A86BF7" w14:textId="0EF9BDE3" w:rsidR="00EE389F" w:rsidRPr="00591F6E" w:rsidRDefault="00EE389F" w:rsidP="007E5CDA">
            <w:pPr>
              <w:jc w:val="both"/>
              <w:rPr>
                <w:sz w:val="16"/>
                <w:szCs w:val="16"/>
                <w:lang w:val="en-GB"/>
              </w:rPr>
            </w:pPr>
            <w:r w:rsidRPr="00591F6E">
              <w:rPr>
                <w:sz w:val="16"/>
                <w:szCs w:val="16"/>
                <w:lang w:val="en-GB"/>
              </w:rPr>
              <w:t>SPECIFICATION OF THE INDEPENDENT VARIABLE</w:t>
            </w:r>
          </w:p>
        </w:tc>
        <w:tc>
          <w:tcPr>
            <w:tcW w:w="2199" w:type="pct"/>
            <w:hideMark/>
          </w:tcPr>
          <w:p w14:paraId="32429D7A" w14:textId="77777777" w:rsidR="00EE389F" w:rsidRPr="00591F6E" w:rsidRDefault="00EE389F" w:rsidP="00EE389F">
            <w:pPr>
              <w:jc w:val="center"/>
              <w:cnfStyle w:val="100000000000" w:firstRow="1"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Abundance</w:t>
            </w:r>
          </w:p>
        </w:tc>
        <w:tc>
          <w:tcPr>
            <w:tcW w:w="1305" w:type="pct"/>
            <w:hideMark/>
          </w:tcPr>
          <w:p w14:paraId="40A01462" w14:textId="77777777" w:rsidR="00EE389F" w:rsidRPr="00591F6E" w:rsidRDefault="00EE389F" w:rsidP="00EE389F">
            <w:pPr>
              <w:jc w:val="center"/>
              <w:cnfStyle w:val="100000000000" w:firstRow="1"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Scarcity</w:t>
            </w:r>
          </w:p>
        </w:tc>
      </w:tr>
      <w:tr w:rsidR="00EE389F" w:rsidRPr="00591F6E" w14:paraId="7454E870" w14:textId="77777777" w:rsidTr="00CA64ED">
        <w:trPr>
          <w:cnfStyle w:val="000000100000" w:firstRow="0" w:lastRow="0" w:firstColumn="0" w:lastColumn="0" w:oddVBand="0" w:evenVBand="0" w:oddHBand="1" w:evenHBand="0" w:firstRowFirstColumn="0" w:firstRowLastColumn="0" w:lastRowFirstColumn="0" w:lastRowLastColumn="0"/>
          <w:trHeight w:val="24"/>
        </w:trPr>
        <w:tc>
          <w:tcPr>
            <w:cnfStyle w:val="001000000000" w:firstRow="0" w:lastRow="0" w:firstColumn="1" w:lastColumn="0" w:oddVBand="0" w:evenVBand="0" w:oddHBand="0" w:evenHBand="0" w:firstRowFirstColumn="0" w:firstRowLastColumn="0" w:lastRowFirstColumn="0" w:lastRowLastColumn="0"/>
            <w:tcW w:w="1496" w:type="pct"/>
            <w:tcBorders>
              <w:bottom w:val="none" w:sz="0" w:space="0" w:color="auto"/>
            </w:tcBorders>
            <w:shd w:val="clear" w:color="auto" w:fill="F2F2F2" w:themeFill="background1" w:themeFillShade="F2"/>
            <w:noWrap/>
            <w:hideMark/>
          </w:tcPr>
          <w:p w14:paraId="0E31604C" w14:textId="12E1A6AE" w:rsidR="00EE389F" w:rsidRPr="00591F6E" w:rsidRDefault="00EE389F" w:rsidP="007E5CDA">
            <w:pPr>
              <w:jc w:val="both"/>
              <w:rPr>
                <w:b w:val="0"/>
                <w:i/>
                <w:sz w:val="18"/>
                <w:szCs w:val="16"/>
                <w:lang w:val="en-GB"/>
              </w:rPr>
            </w:pPr>
            <w:r w:rsidRPr="00591F6E">
              <w:rPr>
                <w:b w:val="0"/>
                <w:i/>
                <w:sz w:val="18"/>
                <w:szCs w:val="16"/>
                <w:lang w:val="en-GB"/>
              </w:rPr>
              <w:t>N</w:t>
            </w:r>
          </w:p>
        </w:tc>
        <w:tc>
          <w:tcPr>
            <w:tcW w:w="2199" w:type="pct"/>
            <w:tcBorders>
              <w:bottom w:val="none" w:sz="0" w:space="0" w:color="auto"/>
            </w:tcBorders>
            <w:noWrap/>
          </w:tcPr>
          <w:p w14:paraId="17480626" w14:textId="6852D123"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838</w:t>
            </w:r>
          </w:p>
        </w:tc>
        <w:tc>
          <w:tcPr>
            <w:tcW w:w="1305" w:type="pct"/>
            <w:tcBorders>
              <w:bottom w:val="none" w:sz="0" w:space="0" w:color="auto"/>
            </w:tcBorders>
            <w:noWrap/>
          </w:tcPr>
          <w:p w14:paraId="41209EAB" w14:textId="1D1C2450"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84</w:t>
            </w:r>
          </w:p>
        </w:tc>
      </w:tr>
      <w:tr w:rsidR="00EE389F" w:rsidRPr="00591F6E" w14:paraId="3F435439" w14:textId="77777777" w:rsidTr="00CA64ED">
        <w:trPr>
          <w:trHeight w:val="24"/>
        </w:trPr>
        <w:tc>
          <w:tcPr>
            <w:cnfStyle w:val="001000000000" w:firstRow="0" w:lastRow="0" w:firstColumn="1" w:lastColumn="0" w:oddVBand="0" w:evenVBand="0" w:oddHBand="0" w:evenHBand="0" w:firstRowFirstColumn="0" w:firstRowLastColumn="0" w:lastRowFirstColumn="0" w:lastRowLastColumn="0"/>
            <w:tcW w:w="1496" w:type="pct"/>
            <w:shd w:val="clear" w:color="auto" w:fill="F2F2F2" w:themeFill="background1" w:themeFillShade="F2"/>
            <w:noWrap/>
            <w:hideMark/>
          </w:tcPr>
          <w:p w14:paraId="786601C0" w14:textId="77777777" w:rsidR="00EE389F" w:rsidRPr="00591F6E" w:rsidRDefault="00EE389F" w:rsidP="007E5CDA">
            <w:pPr>
              <w:jc w:val="both"/>
              <w:rPr>
                <w:b w:val="0"/>
                <w:i/>
                <w:sz w:val="18"/>
                <w:szCs w:val="16"/>
                <w:lang w:val="en-GB"/>
              </w:rPr>
            </w:pPr>
            <w:r w:rsidRPr="00591F6E">
              <w:rPr>
                <w:b w:val="0"/>
                <w:i/>
                <w:sz w:val="18"/>
                <w:szCs w:val="16"/>
                <w:lang w:val="en-GB"/>
              </w:rPr>
              <w:t>Minimum</w:t>
            </w:r>
          </w:p>
        </w:tc>
        <w:tc>
          <w:tcPr>
            <w:tcW w:w="2199" w:type="pct"/>
            <w:noWrap/>
          </w:tcPr>
          <w:p w14:paraId="7C5E26B2" w14:textId="0A9E0168"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-56.33</w:t>
            </w:r>
          </w:p>
        </w:tc>
        <w:tc>
          <w:tcPr>
            <w:tcW w:w="1305" w:type="pct"/>
            <w:noWrap/>
          </w:tcPr>
          <w:p w14:paraId="42FF75EC" w14:textId="102D4E31"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-10.73</w:t>
            </w:r>
          </w:p>
        </w:tc>
      </w:tr>
      <w:tr w:rsidR="00EE389F" w:rsidRPr="00591F6E" w14:paraId="3543D446" w14:textId="77777777" w:rsidTr="00CA64ED">
        <w:trPr>
          <w:cnfStyle w:val="000000100000" w:firstRow="0" w:lastRow="0" w:firstColumn="0" w:lastColumn="0" w:oddVBand="0" w:evenVBand="0" w:oddHBand="1" w:evenHBand="0" w:firstRowFirstColumn="0" w:firstRowLastColumn="0" w:lastRowFirstColumn="0" w:lastRowLastColumn="0"/>
          <w:trHeight w:val="24"/>
        </w:trPr>
        <w:tc>
          <w:tcPr>
            <w:cnfStyle w:val="001000000000" w:firstRow="0" w:lastRow="0" w:firstColumn="1" w:lastColumn="0" w:oddVBand="0" w:evenVBand="0" w:oddHBand="0" w:evenHBand="0" w:firstRowFirstColumn="0" w:firstRowLastColumn="0" w:lastRowFirstColumn="0" w:lastRowLastColumn="0"/>
            <w:tcW w:w="1496" w:type="pct"/>
            <w:tcBorders>
              <w:top w:val="none" w:sz="0" w:space="0" w:color="auto"/>
              <w:bottom w:val="none" w:sz="0" w:space="0" w:color="auto"/>
            </w:tcBorders>
            <w:shd w:val="clear" w:color="auto" w:fill="F2F2F2" w:themeFill="background1" w:themeFillShade="F2"/>
            <w:noWrap/>
            <w:hideMark/>
          </w:tcPr>
          <w:p w14:paraId="1502E062" w14:textId="77777777" w:rsidR="00EE389F" w:rsidRPr="00591F6E" w:rsidRDefault="00EE389F" w:rsidP="007E5CDA">
            <w:pPr>
              <w:jc w:val="both"/>
              <w:rPr>
                <w:b w:val="0"/>
                <w:i/>
                <w:sz w:val="18"/>
                <w:szCs w:val="16"/>
                <w:lang w:val="en-GB"/>
              </w:rPr>
            </w:pPr>
            <w:r w:rsidRPr="00591F6E">
              <w:rPr>
                <w:b w:val="0"/>
                <w:i/>
                <w:sz w:val="18"/>
                <w:szCs w:val="16"/>
                <w:lang w:val="en-GB"/>
              </w:rPr>
              <w:t>Maximum</w:t>
            </w:r>
          </w:p>
        </w:tc>
        <w:tc>
          <w:tcPr>
            <w:tcW w:w="2199" w:type="pct"/>
            <w:tcBorders>
              <w:top w:val="none" w:sz="0" w:space="0" w:color="auto"/>
              <w:bottom w:val="none" w:sz="0" w:space="0" w:color="auto"/>
            </w:tcBorders>
            <w:noWrap/>
          </w:tcPr>
          <w:p w14:paraId="2A66C2A1" w14:textId="392CCBC5"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46.83</w:t>
            </w:r>
          </w:p>
        </w:tc>
        <w:tc>
          <w:tcPr>
            <w:tcW w:w="1305" w:type="pct"/>
            <w:tcBorders>
              <w:top w:val="none" w:sz="0" w:space="0" w:color="auto"/>
              <w:bottom w:val="none" w:sz="0" w:space="0" w:color="auto"/>
            </w:tcBorders>
            <w:noWrap/>
          </w:tcPr>
          <w:p w14:paraId="434568B7" w14:textId="10AA3E29"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16.33</w:t>
            </w:r>
          </w:p>
        </w:tc>
      </w:tr>
      <w:tr w:rsidR="00EE389F" w:rsidRPr="00591F6E" w14:paraId="2378AF6E" w14:textId="77777777" w:rsidTr="00CA64ED">
        <w:trPr>
          <w:trHeight w:val="24"/>
        </w:trPr>
        <w:tc>
          <w:tcPr>
            <w:cnfStyle w:val="001000000000" w:firstRow="0" w:lastRow="0" w:firstColumn="1" w:lastColumn="0" w:oddVBand="0" w:evenVBand="0" w:oddHBand="0" w:evenHBand="0" w:firstRowFirstColumn="0" w:firstRowLastColumn="0" w:lastRowFirstColumn="0" w:lastRowLastColumn="0"/>
            <w:tcW w:w="1496" w:type="pct"/>
            <w:shd w:val="clear" w:color="auto" w:fill="F2F2F2" w:themeFill="background1" w:themeFillShade="F2"/>
            <w:noWrap/>
            <w:hideMark/>
          </w:tcPr>
          <w:p w14:paraId="06334C83" w14:textId="77777777" w:rsidR="00EE389F" w:rsidRPr="00591F6E" w:rsidRDefault="00EE389F" w:rsidP="007E5CDA">
            <w:pPr>
              <w:jc w:val="both"/>
              <w:rPr>
                <w:b w:val="0"/>
                <w:i/>
                <w:sz w:val="18"/>
                <w:szCs w:val="16"/>
                <w:lang w:val="en-GB"/>
              </w:rPr>
            </w:pPr>
            <w:r w:rsidRPr="00591F6E">
              <w:rPr>
                <w:b w:val="0"/>
                <w:i/>
                <w:sz w:val="18"/>
                <w:szCs w:val="16"/>
                <w:lang w:val="en-GB"/>
              </w:rPr>
              <w:t>Range</w:t>
            </w:r>
          </w:p>
        </w:tc>
        <w:tc>
          <w:tcPr>
            <w:tcW w:w="2199" w:type="pct"/>
            <w:noWrap/>
          </w:tcPr>
          <w:p w14:paraId="790AF136" w14:textId="0D1A4052"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103.16</w:t>
            </w:r>
          </w:p>
        </w:tc>
        <w:tc>
          <w:tcPr>
            <w:tcW w:w="1305" w:type="pct"/>
            <w:noWrap/>
          </w:tcPr>
          <w:p w14:paraId="33D4AA97" w14:textId="05B2EC0A"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27.07</w:t>
            </w:r>
          </w:p>
        </w:tc>
      </w:tr>
      <w:tr w:rsidR="00EE389F" w:rsidRPr="00591F6E" w14:paraId="72725099" w14:textId="77777777" w:rsidTr="00CA64ED">
        <w:trPr>
          <w:cnfStyle w:val="000000100000" w:firstRow="0" w:lastRow="0" w:firstColumn="0" w:lastColumn="0" w:oddVBand="0" w:evenVBand="0" w:oddHBand="1" w:evenHBand="0" w:firstRowFirstColumn="0" w:firstRowLastColumn="0" w:lastRowFirstColumn="0" w:lastRowLastColumn="0"/>
          <w:trHeight w:val="24"/>
        </w:trPr>
        <w:tc>
          <w:tcPr>
            <w:cnfStyle w:val="001000000000" w:firstRow="0" w:lastRow="0" w:firstColumn="1" w:lastColumn="0" w:oddVBand="0" w:evenVBand="0" w:oddHBand="0" w:evenHBand="0" w:firstRowFirstColumn="0" w:firstRowLastColumn="0" w:lastRowFirstColumn="0" w:lastRowLastColumn="0"/>
            <w:tcW w:w="1496" w:type="pct"/>
            <w:tcBorders>
              <w:top w:val="none" w:sz="0" w:space="0" w:color="auto"/>
              <w:bottom w:val="none" w:sz="0" w:space="0" w:color="auto"/>
            </w:tcBorders>
            <w:shd w:val="clear" w:color="auto" w:fill="F2F2F2" w:themeFill="background1" w:themeFillShade="F2"/>
            <w:noWrap/>
            <w:hideMark/>
          </w:tcPr>
          <w:p w14:paraId="67EED5EA" w14:textId="77777777" w:rsidR="00EE389F" w:rsidRPr="00591F6E" w:rsidRDefault="00EE389F" w:rsidP="007E5CDA">
            <w:pPr>
              <w:jc w:val="both"/>
              <w:rPr>
                <w:b w:val="0"/>
                <w:i/>
                <w:sz w:val="18"/>
                <w:szCs w:val="16"/>
                <w:lang w:val="en-GB"/>
              </w:rPr>
            </w:pPr>
            <w:r w:rsidRPr="00591F6E">
              <w:rPr>
                <w:b w:val="0"/>
                <w:i/>
                <w:sz w:val="18"/>
                <w:szCs w:val="16"/>
                <w:lang w:val="en-GB"/>
              </w:rPr>
              <w:t>Median</w:t>
            </w:r>
          </w:p>
        </w:tc>
        <w:tc>
          <w:tcPr>
            <w:tcW w:w="2199" w:type="pct"/>
            <w:tcBorders>
              <w:top w:val="none" w:sz="0" w:space="0" w:color="auto"/>
              <w:bottom w:val="none" w:sz="0" w:space="0" w:color="auto"/>
            </w:tcBorders>
            <w:noWrap/>
          </w:tcPr>
          <w:p w14:paraId="509172BC" w14:textId="45A1E586"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1.13</w:t>
            </w:r>
          </w:p>
        </w:tc>
        <w:tc>
          <w:tcPr>
            <w:tcW w:w="1305" w:type="pct"/>
            <w:tcBorders>
              <w:top w:val="none" w:sz="0" w:space="0" w:color="auto"/>
              <w:bottom w:val="none" w:sz="0" w:space="0" w:color="auto"/>
            </w:tcBorders>
            <w:noWrap/>
          </w:tcPr>
          <w:p w14:paraId="76EB7261" w14:textId="129950AA" w:rsidR="003029C1" w:rsidRPr="00591F6E" w:rsidRDefault="003029C1" w:rsidP="003029C1">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0.20</w:t>
            </w:r>
          </w:p>
        </w:tc>
      </w:tr>
      <w:tr w:rsidR="00EE389F" w:rsidRPr="00591F6E" w14:paraId="34838018" w14:textId="77777777" w:rsidTr="00CA64ED">
        <w:trPr>
          <w:trHeight w:val="24"/>
        </w:trPr>
        <w:tc>
          <w:tcPr>
            <w:cnfStyle w:val="001000000000" w:firstRow="0" w:lastRow="0" w:firstColumn="1" w:lastColumn="0" w:oddVBand="0" w:evenVBand="0" w:oddHBand="0" w:evenHBand="0" w:firstRowFirstColumn="0" w:firstRowLastColumn="0" w:lastRowFirstColumn="0" w:lastRowLastColumn="0"/>
            <w:tcW w:w="1496" w:type="pct"/>
            <w:shd w:val="clear" w:color="auto" w:fill="F2F2F2" w:themeFill="background1" w:themeFillShade="F2"/>
            <w:noWrap/>
            <w:hideMark/>
          </w:tcPr>
          <w:p w14:paraId="268AF04D" w14:textId="77777777" w:rsidR="00EE389F" w:rsidRPr="00591F6E" w:rsidRDefault="00EE389F" w:rsidP="007E5CDA">
            <w:pPr>
              <w:jc w:val="both"/>
              <w:rPr>
                <w:b w:val="0"/>
                <w:i/>
                <w:sz w:val="18"/>
                <w:szCs w:val="16"/>
                <w:lang w:val="en-GB"/>
              </w:rPr>
            </w:pPr>
            <w:r w:rsidRPr="00591F6E">
              <w:rPr>
                <w:b w:val="0"/>
                <w:i/>
                <w:sz w:val="18"/>
                <w:szCs w:val="16"/>
                <w:lang w:val="en-GB"/>
              </w:rPr>
              <w:t>Mean</w:t>
            </w:r>
          </w:p>
        </w:tc>
        <w:tc>
          <w:tcPr>
            <w:tcW w:w="2199" w:type="pct"/>
            <w:noWrap/>
          </w:tcPr>
          <w:p w14:paraId="3B31710C" w14:textId="34AE035E"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1.24</w:t>
            </w:r>
          </w:p>
        </w:tc>
        <w:tc>
          <w:tcPr>
            <w:tcW w:w="1305" w:type="pct"/>
            <w:noWrap/>
          </w:tcPr>
          <w:p w14:paraId="72CAA03D" w14:textId="32E6AAF3"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0.89</w:t>
            </w:r>
          </w:p>
        </w:tc>
      </w:tr>
      <w:tr w:rsidR="00EE389F" w:rsidRPr="00591F6E" w14:paraId="04A2B072" w14:textId="77777777" w:rsidTr="00CA64ED">
        <w:trPr>
          <w:cnfStyle w:val="000000100000" w:firstRow="0" w:lastRow="0" w:firstColumn="0" w:lastColumn="0" w:oddVBand="0" w:evenVBand="0" w:oddHBand="1" w:evenHBand="0" w:firstRowFirstColumn="0" w:firstRowLastColumn="0" w:lastRowFirstColumn="0" w:lastRowLastColumn="0"/>
          <w:trHeight w:val="24"/>
        </w:trPr>
        <w:tc>
          <w:tcPr>
            <w:cnfStyle w:val="001000000000" w:firstRow="0" w:lastRow="0" w:firstColumn="1" w:lastColumn="0" w:oddVBand="0" w:evenVBand="0" w:oddHBand="0" w:evenHBand="0" w:firstRowFirstColumn="0" w:firstRowLastColumn="0" w:lastRowFirstColumn="0" w:lastRowLastColumn="0"/>
            <w:tcW w:w="1496" w:type="pct"/>
            <w:tcBorders>
              <w:top w:val="none" w:sz="0" w:space="0" w:color="auto"/>
              <w:bottom w:val="none" w:sz="0" w:space="0" w:color="auto"/>
            </w:tcBorders>
            <w:shd w:val="clear" w:color="auto" w:fill="F2F2F2" w:themeFill="background1" w:themeFillShade="F2"/>
            <w:noWrap/>
            <w:hideMark/>
          </w:tcPr>
          <w:p w14:paraId="33D5E885" w14:textId="77777777" w:rsidR="00EE389F" w:rsidRPr="00591F6E" w:rsidRDefault="00EE389F" w:rsidP="007E5CDA">
            <w:pPr>
              <w:jc w:val="both"/>
              <w:rPr>
                <w:b w:val="0"/>
                <w:i/>
                <w:sz w:val="18"/>
                <w:szCs w:val="16"/>
                <w:lang w:val="en-GB"/>
              </w:rPr>
            </w:pPr>
            <w:r w:rsidRPr="00591F6E">
              <w:rPr>
                <w:b w:val="0"/>
                <w:i/>
                <w:sz w:val="18"/>
                <w:szCs w:val="16"/>
                <w:lang w:val="en-GB"/>
              </w:rPr>
              <w:t>SE mean</w:t>
            </w:r>
          </w:p>
        </w:tc>
        <w:tc>
          <w:tcPr>
            <w:tcW w:w="2199" w:type="pct"/>
            <w:tcBorders>
              <w:top w:val="none" w:sz="0" w:space="0" w:color="auto"/>
              <w:bottom w:val="none" w:sz="0" w:space="0" w:color="auto"/>
            </w:tcBorders>
            <w:noWrap/>
          </w:tcPr>
          <w:p w14:paraId="3045FAF4" w14:textId="5006C6F1"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0.15</w:t>
            </w:r>
          </w:p>
        </w:tc>
        <w:tc>
          <w:tcPr>
            <w:tcW w:w="1305" w:type="pct"/>
            <w:tcBorders>
              <w:top w:val="none" w:sz="0" w:space="0" w:color="auto"/>
              <w:bottom w:val="none" w:sz="0" w:space="0" w:color="auto"/>
            </w:tcBorders>
            <w:noWrap/>
          </w:tcPr>
          <w:p w14:paraId="07B924CE" w14:textId="31862119"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0.43</w:t>
            </w:r>
          </w:p>
        </w:tc>
      </w:tr>
      <w:tr w:rsidR="00EE389F" w:rsidRPr="00591F6E" w14:paraId="3166BF5F" w14:textId="77777777" w:rsidTr="00CA64ED">
        <w:trPr>
          <w:trHeight w:val="24"/>
        </w:trPr>
        <w:tc>
          <w:tcPr>
            <w:cnfStyle w:val="001000000000" w:firstRow="0" w:lastRow="0" w:firstColumn="1" w:lastColumn="0" w:oddVBand="0" w:evenVBand="0" w:oddHBand="0" w:evenHBand="0" w:firstRowFirstColumn="0" w:firstRowLastColumn="0" w:lastRowFirstColumn="0" w:lastRowLastColumn="0"/>
            <w:tcW w:w="1496" w:type="pct"/>
            <w:shd w:val="clear" w:color="auto" w:fill="F2F2F2" w:themeFill="background1" w:themeFillShade="F2"/>
            <w:noWrap/>
            <w:hideMark/>
          </w:tcPr>
          <w:p w14:paraId="7057AF72" w14:textId="77777777" w:rsidR="00EE389F" w:rsidRPr="00591F6E" w:rsidRDefault="00EE389F" w:rsidP="007E5CDA">
            <w:pPr>
              <w:jc w:val="both"/>
              <w:rPr>
                <w:b w:val="0"/>
                <w:i/>
                <w:sz w:val="18"/>
                <w:szCs w:val="16"/>
                <w:lang w:val="en-GB"/>
              </w:rPr>
            </w:pPr>
            <w:r w:rsidRPr="00591F6E">
              <w:rPr>
                <w:b w:val="0"/>
                <w:i/>
                <w:sz w:val="18"/>
                <w:szCs w:val="16"/>
                <w:lang w:val="en-GB"/>
              </w:rPr>
              <w:t>Variance</w:t>
            </w:r>
          </w:p>
        </w:tc>
        <w:tc>
          <w:tcPr>
            <w:tcW w:w="2199" w:type="pct"/>
            <w:noWrap/>
          </w:tcPr>
          <w:p w14:paraId="6EF2A4CB" w14:textId="43111748"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18.00</w:t>
            </w:r>
          </w:p>
        </w:tc>
        <w:tc>
          <w:tcPr>
            <w:tcW w:w="1305" w:type="pct"/>
            <w:noWrap/>
          </w:tcPr>
          <w:p w14:paraId="6DA8EDAA" w14:textId="2EC6A00D"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15.19</w:t>
            </w:r>
          </w:p>
        </w:tc>
      </w:tr>
      <w:tr w:rsidR="00EE389F" w:rsidRPr="00591F6E" w14:paraId="3C909DF0" w14:textId="77777777" w:rsidTr="00CA64ED">
        <w:trPr>
          <w:cnfStyle w:val="000000100000" w:firstRow="0" w:lastRow="0" w:firstColumn="0" w:lastColumn="0" w:oddVBand="0" w:evenVBand="0" w:oddHBand="1" w:evenHBand="0" w:firstRowFirstColumn="0" w:firstRowLastColumn="0" w:lastRowFirstColumn="0" w:lastRowLastColumn="0"/>
          <w:trHeight w:val="24"/>
        </w:trPr>
        <w:tc>
          <w:tcPr>
            <w:cnfStyle w:val="001000000000" w:firstRow="0" w:lastRow="0" w:firstColumn="1" w:lastColumn="0" w:oddVBand="0" w:evenVBand="0" w:oddHBand="0" w:evenHBand="0" w:firstRowFirstColumn="0" w:firstRowLastColumn="0" w:lastRowFirstColumn="0" w:lastRowLastColumn="0"/>
            <w:tcW w:w="1496" w:type="pct"/>
            <w:tcBorders>
              <w:top w:val="none" w:sz="0" w:space="0" w:color="auto"/>
              <w:bottom w:val="none" w:sz="0" w:space="0" w:color="auto"/>
            </w:tcBorders>
            <w:shd w:val="clear" w:color="auto" w:fill="F2F2F2" w:themeFill="background1" w:themeFillShade="F2"/>
            <w:noWrap/>
            <w:hideMark/>
          </w:tcPr>
          <w:p w14:paraId="4DC86B90" w14:textId="5FD82A0D" w:rsidR="00EE389F" w:rsidRPr="00591F6E" w:rsidRDefault="00EE389F" w:rsidP="007E5CDA">
            <w:pPr>
              <w:jc w:val="both"/>
              <w:rPr>
                <w:b w:val="0"/>
                <w:i/>
                <w:sz w:val="18"/>
                <w:szCs w:val="16"/>
                <w:lang w:val="en-GB"/>
              </w:rPr>
            </w:pPr>
            <w:r w:rsidRPr="00591F6E">
              <w:rPr>
                <w:b w:val="0"/>
                <w:i/>
                <w:sz w:val="18"/>
                <w:szCs w:val="16"/>
                <w:lang w:val="en-GB"/>
              </w:rPr>
              <w:t>1</w:t>
            </w:r>
            <w:r w:rsidRPr="00591F6E">
              <w:rPr>
                <w:b w:val="0"/>
                <w:i/>
                <w:sz w:val="18"/>
                <w:szCs w:val="16"/>
                <w:vertAlign w:val="superscript"/>
                <w:lang w:val="en-GB"/>
              </w:rPr>
              <w:t>st</w:t>
            </w:r>
            <w:r w:rsidRPr="00591F6E">
              <w:rPr>
                <w:b w:val="0"/>
                <w:i/>
                <w:sz w:val="18"/>
                <w:szCs w:val="16"/>
                <w:lang w:val="en-GB"/>
              </w:rPr>
              <w:t xml:space="preserve"> qua</w:t>
            </w:r>
            <w:r w:rsidR="003029C1" w:rsidRPr="00591F6E">
              <w:rPr>
                <w:b w:val="0"/>
                <w:i/>
                <w:sz w:val="18"/>
                <w:szCs w:val="16"/>
                <w:lang w:val="en-GB"/>
              </w:rPr>
              <w:t>r</w:t>
            </w:r>
            <w:r w:rsidRPr="00591F6E">
              <w:rPr>
                <w:b w:val="0"/>
                <w:i/>
                <w:sz w:val="18"/>
                <w:szCs w:val="16"/>
                <w:lang w:val="en-GB"/>
              </w:rPr>
              <w:t>tile</w:t>
            </w:r>
          </w:p>
        </w:tc>
        <w:tc>
          <w:tcPr>
            <w:tcW w:w="2199" w:type="pct"/>
            <w:tcBorders>
              <w:top w:val="none" w:sz="0" w:space="0" w:color="auto"/>
              <w:bottom w:val="none" w:sz="0" w:space="0" w:color="auto"/>
            </w:tcBorders>
            <w:noWrap/>
          </w:tcPr>
          <w:p w14:paraId="1CD35B2A" w14:textId="0738FDE0"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-0.78</w:t>
            </w:r>
          </w:p>
        </w:tc>
        <w:tc>
          <w:tcPr>
            <w:tcW w:w="1305" w:type="pct"/>
            <w:tcBorders>
              <w:top w:val="none" w:sz="0" w:space="0" w:color="auto"/>
              <w:bottom w:val="none" w:sz="0" w:space="0" w:color="auto"/>
            </w:tcBorders>
            <w:noWrap/>
          </w:tcPr>
          <w:p w14:paraId="735D2AA7" w14:textId="01DD72F0" w:rsidR="00EE389F" w:rsidRPr="00591F6E" w:rsidRDefault="003029C1" w:rsidP="00EE389F">
            <w:pPr>
              <w:jc w:val="center"/>
              <w:cnfStyle w:val="000000100000" w:firstRow="0" w:lastRow="0" w:firstColumn="0" w:lastColumn="0" w:oddVBand="0" w:evenVBand="0" w:oddHBand="1" w:evenHBand="0" w:firstRowFirstColumn="0" w:firstRowLastColumn="0" w:lastRowFirstColumn="0" w:lastRowLastColumn="0"/>
              <w:rPr>
                <w:sz w:val="16"/>
                <w:szCs w:val="16"/>
                <w:lang w:val="en-GB"/>
              </w:rPr>
            </w:pPr>
            <w:r w:rsidRPr="00591F6E">
              <w:rPr>
                <w:sz w:val="16"/>
                <w:szCs w:val="16"/>
                <w:lang w:val="en-GB"/>
              </w:rPr>
              <w:t>-1.33</w:t>
            </w:r>
          </w:p>
        </w:tc>
      </w:tr>
      <w:tr w:rsidR="00EE389F" w:rsidRPr="00591F6E" w14:paraId="295807C0" w14:textId="77777777" w:rsidTr="00CA64ED">
        <w:trPr>
          <w:trHeight w:val="24"/>
        </w:trPr>
        <w:tc>
          <w:tcPr>
            <w:cnfStyle w:val="001000000000" w:firstRow="0" w:lastRow="0" w:firstColumn="1" w:lastColumn="0" w:oddVBand="0" w:evenVBand="0" w:oddHBand="0" w:evenHBand="0" w:firstRowFirstColumn="0" w:firstRowLastColumn="0" w:lastRowFirstColumn="0" w:lastRowLastColumn="0"/>
            <w:tcW w:w="1496" w:type="pct"/>
            <w:tcBorders>
              <w:bottom w:val="single" w:sz="4" w:space="0" w:color="7F7F7F" w:themeColor="text1" w:themeTint="80"/>
            </w:tcBorders>
            <w:shd w:val="clear" w:color="auto" w:fill="F2F2F2" w:themeFill="background1" w:themeFillShade="F2"/>
            <w:noWrap/>
            <w:hideMark/>
          </w:tcPr>
          <w:p w14:paraId="1307DB3A" w14:textId="0134E120" w:rsidR="00EE389F" w:rsidRPr="00591F6E" w:rsidRDefault="003029C1" w:rsidP="007E5CDA">
            <w:pPr>
              <w:jc w:val="both"/>
              <w:rPr>
                <w:b w:val="0"/>
                <w:i/>
                <w:sz w:val="18"/>
                <w:szCs w:val="16"/>
                <w:lang w:val="en-GB"/>
              </w:rPr>
            </w:pPr>
            <w:r w:rsidRPr="00591F6E">
              <w:rPr>
                <w:b w:val="0"/>
                <w:i/>
                <w:sz w:val="18"/>
                <w:szCs w:val="16"/>
                <w:lang w:val="en-GB"/>
              </w:rPr>
              <w:t>3rd</w:t>
            </w:r>
            <w:r w:rsidR="00EE389F" w:rsidRPr="00591F6E">
              <w:rPr>
                <w:b w:val="0"/>
                <w:i/>
                <w:sz w:val="18"/>
                <w:szCs w:val="16"/>
                <w:lang w:val="en-GB"/>
              </w:rPr>
              <w:t xml:space="preserve"> qua</w:t>
            </w:r>
            <w:r w:rsidRPr="00591F6E">
              <w:rPr>
                <w:b w:val="0"/>
                <w:i/>
                <w:sz w:val="18"/>
                <w:szCs w:val="16"/>
                <w:lang w:val="en-GB"/>
              </w:rPr>
              <w:t>r</w:t>
            </w:r>
            <w:r w:rsidR="00EE389F" w:rsidRPr="00591F6E">
              <w:rPr>
                <w:b w:val="0"/>
                <w:i/>
                <w:sz w:val="18"/>
                <w:szCs w:val="16"/>
                <w:lang w:val="en-GB"/>
              </w:rPr>
              <w:t>tile</w:t>
            </w:r>
          </w:p>
        </w:tc>
        <w:tc>
          <w:tcPr>
            <w:tcW w:w="2199" w:type="pct"/>
            <w:tcBorders>
              <w:bottom w:val="single" w:sz="4" w:space="0" w:color="7F7F7F" w:themeColor="text1" w:themeTint="80"/>
            </w:tcBorders>
            <w:noWrap/>
          </w:tcPr>
          <w:p w14:paraId="2F720E26" w14:textId="2868DD71"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2.68</w:t>
            </w:r>
          </w:p>
        </w:tc>
        <w:tc>
          <w:tcPr>
            <w:tcW w:w="1305" w:type="pct"/>
            <w:tcBorders>
              <w:bottom w:val="single" w:sz="4" w:space="0" w:color="7F7F7F" w:themeColor="text1" w:themeTint="80"/>
            </w:tcBorders>
            <w:noWrap/>
          </w:tcPr>
          <w:p w14:paraId="4595859F" w14:textId="0B1312FE" w:rsidR="00EE389F" w:rsidRPr="00591F6E" w:rsidRDefault="003029C1" w:rsidP="00EE389F">
            <w:pPr>
              <w:jc w:val="center"/>
              <w:cnfStyle w:val="000000000000" w:firstRow="0" w:lastRow="0" w:firstColumn="0" w:lastColumn="0" w:oddVBand="0" w:evenVBand="0" w:oddHBand="0" w:evenHBand="0" w:firstRowFirstColumn="0" w:firstRowLastColumn="0" w:lastRowFirstColumn="0" w:lastRowLastColumn="0"/>
              <w:rPr>
                <w:sz w:val="16"/>
                <w:szCs w:val="16"/>
                <w:lang w:val="en-GB"/>
              </w:rPr>
            </w:pPr>
            <w:r w:rsidRPr="00591F6E">
              <w:rPr>
                <w:sz w:val="16"/>
                <w:szCs w:val="16"/>
                <w:lang w:val="en-GB"/>
              </w:rPr>
              <w:t>3.49</w:t>
            </w:r>
          </w:p>
        </w:tc>
      </w:tr>
    </w:tbl>
    <w:p w14:paraId="5953A670" w14:textId="77777777" w:rsidR="00CC52A0" w:rsidRPr="00591F6E" w:rsidRDefault="00CC52A0" w:rsidP="00CC52A0">
      <w:pPr>
        <w:pStyle w:val="Stile1"/>
        <w:ind w:firstLine="0"/>
        <w:jc w:val="both"/>
        <w:rPr>
          <w:i/>
          <w:lang w:val="en-GB"/>
        </w:rPr>
      </w:pPr>
    </w:p>
    <w:p w14:paraId="312E2798" w14:textId="722D3413" w:rsidR="00666AE5" w:rsidRPr="00591F6E" w:rsidRDefault="00666AE5" w:rsidP="00E80692">
      <w:pPr>
        <w:pStyle w:val="Stile1"/>
        <w:spacing w:line="276" w:lineRule="auto"/>
        <w:ind w:firstLine="0"/>
        <w:jc w:val="both"/>
        <w:rPr>
          <w:i/>
          <w:lang w:val="en-GB"/>
        </w:rPr>
      </w:pPr>
      <w:r w:rsidRPr="00591F6E">
        <w:rPr>
          <w:i/>
          <w:lang w:val="en-GB"/>
        </w:rPr>
        <w:t>Table 3. Descriptive statistics according to the pre-defined subsets of the sample, based on the specification of the resource variable.</w:t>
      </w:r>
    </w:p>
    <w:p w14:paraId="52B1B9B3" w14:textId="22343B24" w:rsidR="00666AE5" w:rsidRPr="00591F6E" w:rsidRDefault="006C51D3" w:rsidP="006C51D3">
      <w:pPr>
        <w:pStyle w:val="Stile1"/>
        <w:jc w:val="both"/>
        <w:rPr>
          <w:lang w:val="en-GB"/>
        </w:rPr>
      </w:pPr>
      <w:r w:rsidRPr="00591F6E">
        <w:rPr>
          <w:lang w:val="en-GB"/>
        </w:rPr>
        <w:t>In general, it is</w:t>
      </w:r>
      <w:r w:rsidR="005B54A4" w:rsidRPr="00591F6E">
        <w:rPr>
          <w:lang w:val="en-GB"/>
        </w:rPr>
        <w:t xml:space="preserve"> therefore</w:t>
      </w:r>
      <w:r w:rsidRPr="00591F6E">
        <w:rPr>
          <w:lang w:val="en-GB"/>
        </w:rPr>
        <w:t xml:space="preserve"> evident (Table 3) that the studies collected in our sample mirror the divergency that is characterized in the literature, as the average value of the </w:t>
      </w:r>
      <w:r w:rsidRPr="00591F6E">
        <w:rPr>
          <w:i/>
          <w:lang w:val="en-GB"/>
        </w:rPr>
        <w:t>t</w:t>
      </w:r>
      <w:r w:rsidRPr="00591F6E">
        <w:rPr>
          <w:lang w:val="en-GB"/>
        </w:rPr>
        <w:t xml:space="preserve">-statistics suggests that conflict is associated with both abundance and scarcity of natural resources. </w:t>
      </w:r>
    </w:p>
    <w:p w14:paraId="47C1FECD" w14:textId="77777777" w:rsidR="00603AB5" w:rsidRPr="00591F6E" w:rsidRDefault="00603AB5" w:rsidP="007E5CDA">
      <w:pPr>
        <w:pStyle w:val="Stile1"/>
        <w:jc w:val="both"/>
        <w:rPr>
          <w:lang w:val="en-GB"/>
        </w:rPr>
      </w:pPr>
    </w:p>
    <w:p w14:paraId="072DECCF" w14:textId="40018E4E" w:rsidR="00666AE5" w:rsidRPr="00591F6E" w:rsidRDefault="00AC7669" w:rsidP="0004645C">
      <w:pPr>
        <w:pStyle w:val="Stile1"/>
        <w:ind w:firstLine="360"/>
        <w:jc w:val="both"/>
        <w:rPr>
          <w:b/>
          <w:i/>
          <w:lang w:val="en-GB"/>
        </w:rPr>
      </w:pPr>
      <w:r w:rsidRPr="00591F6E">
        <w:rPr>
          <w:b/>
          <w:i/>
          <w:lang w:val="en-GB"/>
        </w:rPr>
        <w:t xml:space="preserve">3.2 </w:t>
      </w:r>
      <w:r w:rsidR="00666AE5" w:rsidRPr="00591F6E">
        <w:rPr>
          <w:b/>
          <w:i/>
          <w:lang w:val="en-GB"/>
        </w:rPr>
        <w:t xml:space="preserve">Regression results </w:t>
      </w:r>
    </w:p>
    <w:p w14:paraId="5C6DB5A8" w14:textId="77777777" w:rsidR="00CA64ED" w:rsidRPr="00591F6E" w:rsidRDefault="00CA64ED" w:rsidP="007E5CDA">
      <w:pPr>
        <w:pStyle w:val="Stile1"/>
        <w:jc w:val="both"/>
        <w:rPr>
          <w:b/>
          <w:i/>
          <w:lang w:val="en-GB"/>
        </w:rPr>
      </w:pPr>
    </w:p>
    <w:p w14:paraId="0F6C751C" w14:textId="7A0CD9E1" w:rsidR="00D1004C" w:rsidRPr="00591F6E" w:rsidRDefault="00666AE5" w:rsidP="007E5CDA">
      <w:pPr>
        <w:pStyle w:val="Stile1"/>
        <w:jc w:val="both"/>
        <w:rPr>
          <w:lang w:val="en-GB"/>
        </w:rPr>
      </w:pPr>
      <w:r w:rsidRPr="00591F6E">
        <w:rPr>
          <w:lang w:val="en-GB"/>
        </w:rPr>
        <w:t>Tables 4 and 5 present the</w:t>
      </w:r>
      <w:r w:rsidR="00B63643" w:rsidRPr="00591F6E">
        <w:rPr>
          <w:lang w:val="en-GB"/>
        </w:rPr>
        <w:t xml:space="preserve"> main</w:t>
      </w:r>
      <w:r w:rsidRPr="00591F6E">
        <w:rPr>
          <w:lang w:val="en-GB"/>
        </w:rPr>
        <w:t xml:space="preserve"> re</w:t>
      </w:r>
      <w:r w:rsidR="007363E9" w:rsidRPr="00591F6E">
        <w:rPr>
          <w:lang w:val="en-GB"/>
        </w:rPr>
        <w:t>gression results</w:t>
      </w:r>
      <w:r w:rsidR="00B63643" w:rsidRPr="00591F6E">
        <w:rPr>
          <w:lang w:val="en-GB"/>
        </w:rPr>
        <w:t>, while r</w:t>
      </w:r>
      <w:r w:rsidRPr="00591F6E">
        <w:rPr>
          <w:lang w:val="en-GB"/>
        </w:rPr>
        <w:t xml:space="preserve">esults for the other pre-defined subsets of the sample, along with robustness tests, are reported in the </w:t>
      </w:r>
      <w:r w:rsidR="00993A6D" w:rsidRPr="00591F6E">
        <w:rPr>
          <w:lang w:val="en-GB"/>
        </w:rPr>
        <w:t>Supplementary Materials</w:t>
      </w:r>
      <w:r w:rsidRPr="00591F6E">
        <w:rPr>
          <w:lang w:val="en-GB"/>
        </w:rPr>
        <w:t xml:space="preserve">. In order to better understand the link between natural resources and conflict as well as the influence that climatic and socio-economic variables exert on this relationship, we gradually increase the set of predictors. First, we evaluate </w:t>
      </w:r>
      <w:r w:rsidRPr="00591F6E">
        <w:rPr>
          <w:rFonts w:eastAsia="Century Schoolbook"/>
          <w:szCs w:val="20"/>
          <w:lang w:val="en-GB"/>
        </w:rPr>
        <w:t>whether</w:t>
      </w:r>
      <w:r w:rsidRPr="00591F6E">
        <w:rPr>
          <w:lang w:val="en-GB"/>
        </w:rPr>
        <w:t xml:space="preserve"> including </w:t>
      </w:r>
      <w:r w:rsidRPr="00591F6E">
        <w:rPr>
          <w:rFonts w:eastAsia="Century Schoolbook"/>
          <w:szCs w:val="20"/>
          <w:lang w:val="en-GB"/>
        </w:rPr>
        <w:t xml:space="preserve">different types of </w:t>
      </w:r>
      <w:r w:rsidRPr="00591F6E">
        <w:rPr>
          <w:lang w:val="en-GB"/>
        </w:rPr>
        <w:t>natural resources (water, mineral and drugs, land and vegetation)</w:t>
      </w:r>
      <w:r w:rsidRPr="00591F6E">
        <w:rPr>
          <w:rFonts w:eastAsia="Century Schoolbook"/>
          <w:szCs w:val="20"/>
          <w:lang w:val="en-GB"/>
        </w:rPr>
        <w:t xml:space="preserve"> identified as key predictors,</w:t>
      </w:r>
      <w:r w:rsidRPr="00591F6E">
        <w:rPr>
          <w:lang w:val="en-GB"/>
        </w:rPr>
        <w:t xml:space="preserve"> affects the literature’s results about the relationship between resources and conflict.</w:t>
      </w:r>
    </w:p>
    <w:p w14:paraId="07E28071" w14:textId="48203551" w:rsidR="00666AE5" w:rsidRPr="00591F6E" w:rsidRDefault="00666AE5" w:rsidP="007E5CDA">
      <w:pPr>
        <w:pStyle w:val="Stile1"/>
        <w:jc w:val="both"/>
        <w:rPr>
          <w:lang w:val="en-GB"/>
        </w:rPr>
      </w:pPr>
      <w:r w:rsidRPr="00591F6E">
        <w:rPr>
          <w:lang w:val="en-GB"/>
        </w:rPr>
        <w:t xml:space="preserve">Second, we include climatic exposure in the form of a dummy variable coded as 1 if the literature controls for climate factors </w:t>
      </w:r>
      <w:r w:rsidR="00D1004C" w:rsidRPr="00591F6E">
        <w:rPr>
          <w:lang w:val="en-GB"/>
        </w:rPr>
        <w:t xml:space="preserve">(e.g. temperature, precipitation, droughts) </w:t>
      </w:r>
      <w:r w:rsidRPr="00591F6E">
        <w:rPr>
          <w:lang w:val="en-GB"/>
        </w:rPr>
        <w:t xml:space="preserve">and </w:t>
      </w:r>
      <w:r w:rsidR="00993A6D" w:rsidRPr="00591F6E">
        <w:rPr>
          <w:lang w:val="en-GB"/>
        </w:rPr>
        <w:t xml:space="preserve">0 </w:t>
      </w:r>
      <w:r w:rsidRPr="00591F6E">
        <w:rPr>
          <w:lang w:val="en-GB"/>
        </w:rPr>
        <w:t>otherwise. Table 4 summarizes the results of these model specifications. In Table 5, we focus on the abundance-</w:t>
      </w:r>
      <w:r w:rsidR="00D1004C" w:rsidRPr="00591F6E">
        <w:rPr>
          <w:lang w:val="en-GB"/>
        </w:rPr>
        <w:t>conflict</w:t>
      </w:r>
      <w:r w:rsidRPr="00591F6E">
        <w:rPr>
          <w:lang w:val="en-GB"/>
        </w:rPr>
        <w:t xml:space="preserve"> subset of the sample; we include all the different types of natural resources in the same model specification (column 1) and then introduce the climate controls (column 2). Next, we add the binary variables identifying the main study features to assess </w:t>
      </w:r>
      <w:r w:rsidR="00993A6D" w:rsidRPr="00591F6E">
        <w:rPr>
          <w:lang w:val="en-GB"/>
        </w:rPr>
        <w:t xml:space="preserve">their </w:t>
      </w:r>
      <w:r w:rsidRPr="00591F6E">
        <w:rPr>
          <w:lang w:val="en-GB"/>
        </w:rPr>
        <w:t xml:space="preserve">influence </w:t>
      </w:r>
      <w:r w:rsidR="00993A6D" w:rsidRPr="00591F6E">
        <w:rPr>
          <w:lang w:val="en-GB"/>
        </w:rPr>
        <w:t xml:space="preserve">on </w:t>
      </w:r>
      <w:r w:rsidRPr="00591F6E">
        <w:rPr>
          <w:lang w:val="en-GB"/>
        </w:rPr>
        <w:t xml:space="preserve">the results (column 3, Table 5). </w:t>
      </w:r>
    </w:p>
    <w:p w14:paraId="6CDA03E4" w14:textId="6AD88AE2" w:rsidR="00EA1392" w:rsidRPr="00591F6E" w:rsidRDefault="00EA1392" w:rsidP="008124CC">
      <w:pPr>
        <w:pStyle w:val="Stile1"/>
        <w:jc w:val="both"/>
        <w:rPr>
          <w:lang w:val="en-GB"/>
        </w:rPr>
      </w:pPr>
      <w:r w:rsidRPr="00591F6E">
        <w:rPr>
          <w:lang w:val="en-GB"/>
        </w:rPr>
        <w:lastRenderedPageBreak/>
        <w:t xml:space="preserve">All regression results report the constant term as a measure of the publication bias and the coefficient for precision, which represents the genuine effect of natural resources on conflict. Our results show that the constant term is always positive but not always statistically significant, indicating that a publication bias may be affecting the results to some extent but the effect varies according to the study design and its methodological specifications. </w:t>
      </w:r>
      <w:bookmarkStart w:id="5" w:name="_Toc26202705"/>
      <w:r w:rsidRPr="00591F6E">
        <w:rPr>
          <w:lang w:val="en-GB"/>
        </w:rPr>
        <w:t xml:space="preserve">The results </w:t>
      </w:r>
      <w:r w:rsidR="00772AD4">
        <w:rPr>
          <w:lang w:val="en-GB"/>
        </w:rPr>
        <w:t xml:space="preserve">suggest </w:t>
      </w:r>
      <w:r w:rsidRPr="00591F6E">
        <w:rPr>
          <w:lang w:val="en-GB"/>
        </w:rPr>
        <w:t>that the type of resource chose</w:t>
      </w:r>
      <w:r w:rsidR="00772AD4">
        <w:rPr>
          <w:lang w:val="en-GB"/>
        </w:rPr>
        <w:t>n</w:t>
      </w:r>
      <w:r w:rsidRPr="00591F6E">
        <w:rPr>
          <w:lang w:val="en-GB"/>
        </w:rPr>
        <w:t xml:space="preserve"> as predictor has a considerable impact on the findings. The effect of the abundance of mineral resources on conflict is consistently positive and statistically significant across all specifications and is not affected by climate. Therefore, the wealth of mineral resources is associated with a higher risk of conflict, confirming the resource curse hypothesis. Unfortunately, due to the lack of studies on the link between scarcity of mineral resources and conflict, we could not test this mechanism.</w:t>
      </w:r>
      <w:bookmarkEnd w:id="5"/>
      <w:r w:rsidRPr="00591F6E">
        <w:rPr>
          <w:lang w:val="en-GB"/>
        </w:rPr>
        <w:t xml:space="preserve"> Hence, our results substantiate the hypothesis that the resource curse is activated by </w:t>
      </w:r>
      <w:r w:rsidRPr="00591F6E">
        <w:rPr>
          <w:i/>
          <w:lang w:val="en-GB"/>
        </w:rPr>
        <w:t xml:space="preserve">lootable, </w:t>
      </w:r>
      <w:r w:rsidRPr="00591F6E">
        <w:rPr>
          <w:lang w:val="en-GB"/>
        </w:rPr>
        <w:t>highly profitable</w:t>
      </w:r>
      <w:r w:rsidRPr="00591F6E">
        <w:rPr>
          <w:i/>
          <w:lang w:val="en-GB"/>
        </w:rPr>
        <w:t xml:space="preserve"> </w:t>
      </w:r>
      <w:r w:rsidRPr="00591F6E">
        <w:rPr>
          <w:lang w:val="en-GB"/>
        </w:rPr>
        <w:t xml:space="preserve">resources, whose rents could be sold and contribute to finance the costs of fighting. Moreover, climate does not seem to have an impact on the relationship between mineral resource wealth and conflict. </w:t>
      </w:r>
    </w:p>
    <w:p w14:paraId="02D43825" w14:textId="35A53FF5" w:rsidR="00EA1392" w:rsidRPr="00591F6E" w:rsidRDefault="00EA1392" w:rsidP="008124CC">
      <w:pPr>
        <w:pStyle w:val="Stile1"/>
        <w:jc w:val="both"/>
        <w:rPr>
          <w:lang w:val="en-GB"/>
        </w:rPr>
      </w:pPr>
      <w:r w:rsidRPr="00591F6E">
        <w:rPr>
          <w:lang w:val="en-GB"/>
        </w:rPr>
        <w:t>By contrast, the scarcity of resources</w:t>
      </w:r>
      <w:r w:rsidR="00A16801" w:rsidRPr="00591F6E">
        <w:rPr>
          <w:lang w:val="en-GB"/>
        </w:rPr>
        <w:t xml:space="preserve"> related to agricultural production, such as water and fertile land, as well as vegetation,</w:t>
      </w:r>
      <w:r w:rsidRPr="00591F6E">
        <w:rPr>
          <w:lang w:val="en-GB"/>
        </w:rPr>
        <w:t xml:space="preserve"> is associated with conflict, according to the reviewed studies. Specifically, the effect of land scarcity on conflict is significant and positive both in presence and absence of controls for climate, signal</w:t>
      </w:r>
      <w:r w:rsidR="00E80692">
        <w:rPr>
          <w:lang w:val="en-GB"/>
        </w:rPr>
        <w:t>l</w:t>
      </w:r>
      <w:r w:rsidRPr="00591F6E">
        <w:rPr>
          <w:lang w:val="en-GB"/>
        </w:rPr>
        <w:t>ing that highly degraded or scarce land and vegetation may induce a higher risk of conflict.</w:t>
      </w:r>
    </w:p>
    <w:p w14:paraId="227A8FBA" w14:textId="585CF840" w:rsidR="00EA1392" w:rsidRPr="00591F6E" w:rsidRDefault="00EA1392" w:rsidP="00EA1392">
      <w:pPr>
        <w:pStyle w:val="Stile1"/>
        <w:rPr>
          <w:lang w:val="en-GB"/>
        </w:rPr>
      </w:pPr>
      <w:r w:rsidRPr="00591F6E">
        <w:rPr>
          <w:lang w:val="en-GB"/>
        </w:rPr>
        <w:t>These results would confirm the Neo-Malthusian arguments, advancing that eco-scarcity is associated with increased likelihood of violence (Homer-Dixon, 1999). However, this does not seem to hold true for water scarcity</w:t>
      </w:r>
      <w:r w:rsidR="006108D4">
        <w:rPr>
          <w:lang w:val="en-GB"/>
        </w:rPr>
        <w:t>,</w:t>
      </w:r>
      <w:r w:rsidR="006108D4" w:rsidRPr="00591F6E">
        <w:rPr>
          <w:lang w:val="en-GB"/>
        </w:rPr>
        <w:t xml:space="preserve"> </w:t>
      </w:r>
      <w:r w:rsidRPr="00591F6E">
        <w:rPr>
          <w:lang w:val="en-GB"/>
        </w:rPr>
        <w:t xml:space="preserve">the coefficient for water scarcity is significant but negative, suggesting that lower levels of freshwater are associated with reduced odds of violence. This may be explained by the vital importance of water for human needs, such that water scarcity could inhibit the outbreak and continuation of a conflict. By contrast, the scarcity of land would cause no such inhibition. </w:t>
      </w:r>
      <w:bookmarkStart w:id="6" w:name="_heading=h.23ckvvd" w:colFirst="0" w:colLast="0"/>
      <w:bookmarkEnd w:id="6"/>
    </w:p>
    <w:tbl>
      <w:tblPr>
        <w:tblW w:w="8807" w:type="dxa"/>
        <w:tblCellMar>
          <w:left w:w="70" w:type="dxa"/>
          <w:right w:w="70" w:type="dxa"/>
        </w:tblCellMar>
        <w:tblLook w:val="04A0" w:firstRow="1" w:lastRow="0" w:firstColumn="1" w:lastColumn="0" w:noHBand="0" w:noVBand="1"/>
      </w:tblPr>
      <w:tblGrid>
        <w:gridCol w:w="2037"/>
        <w:gridCol w:w="1703"/>
        <w:gridCol w:w="1682"/>
        <w:gridCol w:w="1703"/>
        <w:gridCol w:w="1682"/>
      </w:tblGrid>
      <w:tr w:rsidR="00271643" w:rsidRPr="00591F6E" w14:paraId="7C9090B4" w14:textId="77777777" w:rsidTr="00271643">
        <w:trPr>
          <w:trHeight w:val="616"/>
        </w:trPr>
        <w:tc>
          <w:tcPr>
            <w:tcW w:w="2037" w:type="dxa"/>
            <w:tcBorders>
              <w:top w:val="nil"/>
              <w:left w:val="nil"/>
              <w:bottom w:val="nil"/>
              <w:right w:val="nil"/>
            </w:tcBorders>
            <w:shd w:val="clear" w:color="auto" w:fill="auto"/>
            <w:noWrap/>
            <w:vAlign w:val="bottom"/>
            <w:hideMark/>
          </w:tcPr>
          <w:p w14:paraId="6BA1B954" w14:textId="77777777" w:rsidR="00271643" w:rsidRPr="00591F6E" w:rsidRDefault="00271643" w:rsidP="00271643">
            <w:pPr>
              <w:rPr>
                <w:sz w:val="20"/>
                <w:lang w:val="en-GB" w:eastAsia="it-IT"/>
              </w:rPr>
            </w:pPr>
          </w:p>
        </w:tc>
        <w:tc>
          <w:tcPr>
            <w:tcW w:w="3385" w:type="dxa"/>
            <w:gridSpan w:val="2"/>
            <w:tcBorders>
              <w:top w:val="nil"/>
              <w:left w:val="nil"/>
              <w:bottom w:val="single" w:sz="8" w:space="0" w:color="auto"/>
              <w:right w:val="nil"/>
            </w:tcBorders>
            <w:shd w:val="clear" w:color="auto" w:fill="auto"/>
            <w:vAlign w:val="center"/>
            <w:hideMark/>
          </w:tcPr>
          <w:p w14:paraId="364FBAEF" w14:textId="77777777" w:rsidR="00271643" w:rsidRPr="00591F6E" w:rsidRDefault="00271643" w:rsidP="00271643">
            <w:pPr>
              <w:jc w:val="center"/>
              <w:rPr>
                <w:rFonts w:ascii="Garamond" w:hAnsi="Garamond" w:cs="Calibri"/>
                <w:b/>
                <w:bCs/>
                <w:color w:val="000000"/>
                <w:sz w:val="20"/>
                <w:szCs w:val="16"/>
                <w:lang w:val="en-GB" w:eastAsia="it-IT"/>
              </w:rPr>
            </w:pPr>
            <w:r w:rsidRPr="00591F6E">
              <w:rPr>
                <w:rFonts w:ascii="Garamond" w:hAnsi="Garamond" w:cs="Calibri"/>
                <w:b/>
                <w:bCs/>
                <w:color w:val="000000"/>
                <w:sz w:val="20"/>
                <w:szCs w:val="16"/>
                <w:lang w:val="en-GB" w:eastAsia="it-IT"/>
              </w:rPr>
              <w:t>ABUNDANCE</w:t>
            </w:r>
          </w:p>
        </w:tc>
        <w:tc>
          <w:tcPr>
            <w:tcW w:w="3385" w:type="dxa"/>
            <w:gridSpan w:val="2"/>
            <w:tcBorders>
              <w:top w:val="nil"/>
              <w:left w:val="nil"/>
              <w:bottom w:val="single" w:sz="8" w:space="0" w:color="auto"/>
              <w:right w:val="nil"/>
            </w:tcBorders>
            <w:shd w:val="clear" w:color="auto" w:fill="auto"/>
            <w:vAlign w:val="center"/>
            <w:hideMark/>
          </w:tcPr>
          <w:p w14:paraId="2BC34090" w14:textId="77777777" w:rsidR="00271643" w:rsidRPr="00591F6E" w:rsidRDefault="00271643" w:rsidP="00271643">
            <w:pPr>
              <w:jc w:val="center"/>
              <w:rPr>
                <w:rFonts w:ascii="Garamond" w:hAnsi="Garamond" w:cs="Calibri"/>
                <w:b/>
                <w:bCs/>
                <w:color w:val="000000"/>
                <w:sz w:val="20"/>
                <w:szCs w:val="16"/>
                <w:lang w:val="en-GB" w:eastAsia="it-IT"/>
              </w:rPr>
            </w:pPr>
            <w:r w:rsidRPr="00591F6E">
              <w:rPr>
                <w:rFonts w:ascii="Garamond" w:hAnsi="Garamond" w:cs="Calibri"/>
                <w:b/>
                <w:bCs/>
                <w:color w:val="000000"/>
                <w:sz w:val="20"/>
                <w:szCs w:val="16"/>
                <w:lang w:val="en-GB" w:eastAsia="it-IT"/>
              </w:rPr>
              <w:t>SCARCITY</w:t>
            </w:r>
          </w:p>
        </w:tc>
      </w:tr>
      <w:tr w:rsidR="00271643" w:rsidRPr="00591F6E" w14:paraId="057C94BA" w14:textId="77777777" w:rsidTr="008516DF">
        <w:trPr>
          <w:trHeight w:val="616"/>
        </w:trPr>
        <w:tc>
          <w:tcPr>
            <w:tcW w:w="2037" w:type="dxa"/>
            <w:tcBorders>
              <w:top w:val="nil"/>
              <w:left w:val="nil"/>
              <w:bottom w:val="single" w:sz="8" w:space="0" w:color="auto"/>
              <w:right w:val="nil"/>
            </w:tcBorders>
            <w:shd w:val="clear" w:color="auto" w:fill="auto"/>
            <w:vAlign w:val="center"/>
            <w:hideMark/>
          </w:tcPr>
          <w:p w14:paraId="510C32AA"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Variable</w:t>
            </w:r>
          </w:p>
        </w:tc>
        <w:tc>
          <w:tcPr>
            <w:tcW w:w="1703" w:type="dxa"/>
            <w:tcBorders>
              <w:top w:val="nil"/>
              <w:left w:val="nil"/>
              <w:bottom w:val="single" w:sz="8" w:space="0" w:color="auto"/>
              <w:right w:val="nil"/>
            </w:tcBorders>
            <w:shd w:val="clear" w:color="auto" w:fill="auto"/>
            <w:vAlign w:val="center"/>
            <w:hideMark/>
          </w:tcPr>
          <w:p w14:paraId="5C00858A"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Effect without climate</w:t>
            </w:r>
          </w:p>
        </w:tc>
        <w:tc>
          <w:tcPr>
            <w:tcW w:w="1682" w:type="dxa"/>
            <w:tcBorders>
              <w:top w:val="nil"/>
              <w:left w:val="nil"/>
              <w:bottom w:val="single" w:sz="8" w:space="0" w:color="auto"/>
              <w:right w:val="nil"/>
            </w:tcBorders>
            <w:shd w:val="clear" w:color="auto" w:fill="auto"/>
            <w:vAlign w:val="center"/>
            <w:hideMark/>
          </w:tcPr>
          <w:p w14:paraId="1B0FDA8C"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Effect with climate</w:t>
            </w:r>
          </w:p>
        </w:tc>
        <w:tc>
          <w:tcPr>
            <w:tcW w:w="1703" w:type="dxa"/>
            <w:tcBorders>
              <w:top w:val="nil"/>
              <w:left w:val="nil"/>
              <w:bottom w:val="single" w:sz="8" w:space="0" w:color="auto"/>
              <w:right w:val="nil"/>
            </w:tcBorders>
            <w:shd w:val="clear" w:color="auto" w:fill="auto"/>
            <w:vAlign w:val="center"/>
            <w:hideMark/>
          </w:tcPr>
          <w:p w14:paraId="4A3FF76A"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Effect without climate</w:t>
            </w:r>
          </w:p>
        </w:tc>
        <w:tc>
          <w:tcPr>
            <w:tcW w:w="1682" w:type="dxa"/>
            <w:tcBorders>
              <w:top w:val="nil"/>
              <w:left w:val="nil"/>
              <w:bottom w:val="single" w:sz="8" w:space="0" w:color="auto"/>
              <w:right w:val="nil"/>
            </w:tcBorders>
            <w:shd w:val="clear" w:color="auto" w:fill="auto"/>
            <w:vAlign w:val="center"/>
            <w:hideMark/>
          </w:tcPr>
          <w:p w14:paraId="13036D16"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Effect with climate</w:t>
            </w:r>
          </w:p>
        </w:tc>
      </w:tr>
      <w:tr w:rsidR="00271643" w:rsidRPr="00591F6E" w14:paraId="3D2CC430" w14:textId="77777777" w:rsidTr="008516DF">
        <w:trPr>
          <w:trHeight w:val="616"/>
        </w:trPr>
        <w:tc>
          <w:tcPr>
            <w:tcW w:w="2037" w:type="dxa"/>
            <w:tcBorders>
              <w:top w:val="nil"/>
              <w:left w:val="nil"/>
              <w:bottom w:val="single" w:sz="8" w:space="0" w:color="auto"/>
              <w:right w:val="single" w:sz="8" w:space="0" w:color="auto"/>
            </w:tcBorders>
            <w:shd w:val="clear" w:color="auto" w:fill="auto"/>
            <w:vAlign w:val="center"/>
            <w:hideMark/>
          </w:tcPr>
          <w:p w14:paraId="17624BBC"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Minerals, drugs</w:t>
            </w:r>
          </w:p>
        </w:tc>
        <w:tc>
          <w:tcPr>
            <w:tcW w:w="1703" w:type="dxa"/>
            <w:tcBorders>
              <w:top w:val="nil"/>
              <w:left w:val="nil"/>
              <w:bottom w:val="single" w:sz="8" w:space="0" w:color="auto"/>
              <w:right w:val="single" w:sz="8" w:space="0" w:color="auto"/>
            </w:tcBorders>
            <w:shd w:val="clear" w:color="000000" w:fill="A6A6A6"/>
            <w:vAlign w:val="center"/>
            <w:hideMark/>
          </w:tcPr>
          <w:p w14:paraId="31002C90"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682" w:type="dxa"/>
            <w:tcBorders>
              <w:top w:val="nil"/>
              <w:left w:val="nil"/>
              <w:bottom w:val="single" w:sz="8" w:space="0" w:color="auto"/>
              <w:right w:val="single" w:sz="8" w:space="0" w:color="auto"/>
            </w:tcBorders>
            <w:shd w:val="clear" w:color="000000" w:fill="A6A6A6"/>
            <w:vAlign w:val="center"/>
            <w:hideMark/>
          </w:tcPr>
          <w:p w14:paraId="6EBA4BCE"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703" w:type="dxa"/>
            <w:tcBorders>
              <w:top w:val="nil"/>
              <w:left w:val="nil"/>
              <w:bottom w:val="single" w:sz="8" w:space="0" w:color="auto"/>
              <w:right w:val="single" w:sz="8" w:space="0" w:color="auto"/>
            </w:tcBorders>
            <w:shd w:val="clear" w:color="auto" w:fill="auto"/>
            <w:vAlign w:val="center"/>
            <w:hideMark/>
          </w:tcPr>
          <w:p w14:paraId="7BFB0037" w14:textId="5D9B57A4" w:rsidR="00271643" w:rsidRPr="00591F6E" w:rsidRDefault="00271643" w:rsidP="00BE5C39">
            <w:pPr>
              <w:jc w:val="center"/>
              <w:rPr>
                <w:color w:val="000000"/>
                <w:sz w:val="20"/>
                <w:szCs w:val="14"/>
                <w:lang w:val="en-GB" w:eastAsia="it-IT"/>
              </w:rPr>
            </w:pPr>
            <w:r w:rsidRPr="00591F6E">
              <w:rPr>
                <w:color w:val="000000"/>
                <w:sz w:val="20"/>
                <w:szCs w:val="14"/>
                <w:lang w:val="en-GB" w:eastAsia="it-IT"/>
              </w:rPr>
              <w:t>n</w:t>
            </w:r>
            <w:r w:rsidR="00BE5C39" w:rsidRPr="00591F6E">
              <w:rPr>
                <w:color w:val="000000"/>
                <w:sz w:val="20"/>
                <w:szCs w:val="14"/>
                <w:lang w:val="en-GB" w:eastAsia="it-IT"/>
              </w:rPr>
              <w:t>.</w:t>
            </w:r>
            <w:r w:rsidRPr="00591F6E">
              <w:rPr>
                <w:color w:val="000000"/>
                <w:sz w:val="20"/>
                <w:szCs w:val="14"/>
                <w:lang w:val="en-GB" w:eastAsia="it-IT"/>
              </w:rPr>
              <w:t>a</w:t>
            </w:r>
            <w:r w:rsidR="00BE5C39" w:rsidRPr="00591F6E">
              <w:rPr>
                <w:color w:val="000000"/>
                <w:sz w:val="20"/>
                <w:szCs w:val="14"/>
                <w:lang w:val="en-GB" w:eastAsia="it-IT"/>
              </w:rPr>
              <w:t>.</w:t>
            </w:r>
          </w:p>
        </w:tc>
        <w:tc>
          <w:tcPr>
            <w:tcW w:w="1682" w:type="dxa"/>
            <w:tcBorders>
              <w:top w:val="nil"/>
              <w:left w:val="nil"/>
              <w:bottom w:val="single" w:sz="8" w:space="0" w:color="auto"/>
              <w:right w:val="single" w:sz="8" w:space="0" w:color="auto"/>
            </w:tcBorders>
            <w:shd w:val="clear" w:color="auto" w:fill="auto"/>
            <w:vAlign w:val="center"/>
            <w:hideMark/>
          </w:tcPr>
          <w:p w14:paraId="67442AD9" w14:textId="0532B102" w:rsidR="00271643" w:rsidRPr="00591F6E" w:rsidRDefault="00271643" w:rsidP="00BE5C39">
            <w:pPr>
              <w:jc w:val="center"/>
              <w:rPr>
                <w:color w:val="000000"/>
                <w:sz w:val="20"/>
                <w:szCs w:val="14"/>
                <w:lang w:val="en-GB" w:eastAsia="it-IT"/>
              </w:rPr>
            </w:pPr>
            <w:r w:rsidRPr="00591F6E">
              <w:rPr>
                <w:color w:val="000000"/>
                <w:sz w:val="20"/>
                <w:szCs w:val="14"/>
                <w:lang w:val="en-GB" w:eastAsia="it-IT"/>
              </w:rPr>
              <w:t>n</w:t>
            </w:r>
            <w:r w:rsidR="00BE5C39" w:rsidRPr="00591F6E">
              <w:rPr>
                <w:color w:val="000000"/>
                <w:sz w:val="20"/>
                <w:szCs w:val="14"/>
                <w:lang w:val="en-GB" w:eastAsia="it-IT"/>
              </w:rPr>
              <w:t>.</w:t>
            </w:r>
            <w:r w:rsidRPr="00591F6E">
              <w:rPr>
                <w:color w:val="000000"/>
                <w:sz w:val="20"/>
                <w:szCs w:val="14"/>
                <w:lang w:val="en-GB" w:eastAsia="it-IT"/>
              </w:rPr>
              <w:t>a</w:t>
            </w:r>
            <w:r w:rsidR="00BE5C39" w:rsidRPr="00591F6E">
              <w:rPr>
                <w:color w:val="000000"/>
                <w:sz w:val="20"/>
                <w:szCs w:val="14"/>
                <w:lang w:val="en-GB" w:eastAsia="it-IT"/>
              </w:rPr>
              <w:t>.</w:t>
            </w:r>
          </w:p>
        </w:tc>
      </w:tr>
      <w:tr w:rsidR="00271643" w:rsidRPr="00591F6E" w14:paraId="58D45233" w14:textId="77777777" w:rsidTr="008516DF">
        <w:trPr>
          <w:trHeight w:val="616"/>
        </w:trPr>
        <w:tc>
          <w:tcPr>
            <w:tcW w:w="2037" w:type="dxa"/>
            <w:tcBorders>
              <w:top w:val="nil"/>
              <w:left w:val="nil"/>
              <w:bottom w:val="single" w:sz="8" w:space="0" w:color="auto"/>
              <w:right w:val="single" w:sz="8" w:space="0" w:color="auto"/>
            </w:tcBorders>
            <w:shd w:val="clear" w:color="auto" w:fill="auto"/>
            <w:vAlign w:val="center"/>
            <w:hideMark/>
          </w:tcPr>
          <w:p w14:paraId="796F3ADA"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Water</w:t>
            </w:r>
          </w:p>
        </w:tc>
        <w:tc>
          <w:tcPr>
            <w:tcW w:w="1703" w:type="dxa"/>
            <w:tcBorders>
              <w:top w:val="nil"/>
              <w:left w:val="nil"/>
              <w:bottom w:val="single" w:sz="8" w:space="0" w:color="auto"/>
              <w:right w:val="single" w:sz="8" w:space="0" w:color="auto"/>
            </w:tcBorders>
            <w:shd w:val="clear" w:color="auto" w:fill="auto"/>
            <w:vAlign w:val="center"/>
            <w:hideMark/>
          </w:tcPr>
          <w:p w14:paraId="3B31C018"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682" w:type="dxa"/>
            <w:tcBorders>
              <w:top w:val="nil"/>
              <w:left w:val="nil"/>
              <w:bottom w:val="single" w:sz="8" w:space="0" w:color="auto"/>
              <w:right w:val="single" w:sz="8" w:space="0" w:color="auto"/>
            </w:tcBorders>
            <w:shd w:val="clear" w:color="auto" w:fill="auto"/>
            <w:vAlign w:val="center"/>
            <w:hideMark/>
          </w:tcPr>
          <w:p w14:paraId="7EA33F24"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703" w:type="dxa"/>
            <w:tcBorders>
              <w:top w:val="nil"/>
              <w:left w:val="nil"/>
              <w:bottom w:val="single" w:sz="8" w:space="0" w:color="auto"/>
              <w:right w:val="single" w:sz="8" w:space="0" w:color="auto"/>
            </w:tcBorders>
            <w:shd w:val="clear" w:color="000000" w:fill="E7E6E6"/>
            <w:vAlign w:val="center"/>
            <w:hideMark/>
          </w:tcPr>
          <w:p w14:paraId="57BA53E5"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682" w:type="dxa"/>
            <w:tcBorders>
              <w:top w:val="nil"/>
              <w:left w:val="nil"/>
              <w:bottom w:val="single" w:sz="8" w:space="0" w:color="auto"/>
              <w:right w:val="single" w:sz="8" w:space="0" w:color="auto"/>
            </w:tcBorders>
            <w:shd w:val="clear" w:color="000000" w:fill="A6A6A6"/>
            <w:vAlign w:val="center"/>
            <w:hideMark/>
          </w:tcPr>
          <w:p w14:paraId="22314FEF"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r>
      <w:tr w:rsidR="00271643" w:rsidRPr="00591F6E" w14:paraId="76957636" w14:textId="77777777" w:rsidTr="008516DF">
        <w:trPr>
          <w:trHeight w:val="616"/>
        </w:trPr>
        <w:tc>
          <w:tcPr>
            <w:tcW w:w="2037" w:type="dxa"/>
            <w:tcBorders>
              <w:top w:val="nil"/>
              <w:left w:val="nil"/>
              <w:bottom w:val="single" w:sz="8" w:space="0" w:color="auto"/>
              <w:right w:val="single" w:sz="8" w:space="0" w:color="auto"/>
            </w:tcBorders>
            <w:shd w:val="clear" w:color="auto" w:fill="auto"/>
            <w:vAlign w:val="center"/>
            <w:hideMark/>
          </w:tcPr>
          <w:p w14:paraId="64624837" w14:textId="77777777" w:rsidR="00271643" w:rsidRPr="00591F6E" w:rsidRDefault="00271643" w:rsidP="00271643">
            <w:pPr>
              <w:jc w:val="both"/>
              <w:rPr>
                <w:b/>
                <w:bCs/>
                <w:color w:val="000000"/>
                <w:sz w:val="20"/>
                <w:szCs w:val="14"/>
                <w:lang w:val="en-GB" w:eastAsia="it-IT"/>
              </w:rPr>
            </w:pPr>
            <w:r w:rsidRPr="00591F6E">
              <w:rPr>
                <w:b/>
                <w:bCs/>
                <w:color w:val="000000"/>
                <w:sz w:val="20"/>
                <w:szCs w:val="14"/>
                <w:lang w:val="en-GB" w:eastAsia="it-IT"/>
              </w:rPr>
              <w:t>Land, vegetation</w:t>
            </w:r>
          </w:p>
        </w:tc>
        <w:tc>
          <w:tcPr>
            <w:tcW w:w="1703" w:type="dxa"/>
            <w:tcBorders>
              <w:top w:val="nil"/>
              <w:left w:val="nil"/>
              <w:bottom w:val="single" w:sz="8" w:space="0" w:color="auto"/>
              <w:right w:val="single" w:sz="8" w:space="0" w:color="auto"/>
            </w:tcBorders>
            <w:shd w:val="clear" w:color="auto" w:fill="auto"/>
            <w:vAlign w:val="center"/>
            <w:hideMark/>
          </w:tcPr>
          <w:p w14:paraId="29795015"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682" w:type="dxa"/>
            <w:tcBorders>
              <w:top w:val="nil"/>
              <w:left w:val="nil"/>
              <w:bottom w:val="single" w:sz="8" w:space="0" w:color="auto"/>
              <w:right w:val="single" w:sz="8" w:space="0" w:color="auto"/>
            </w:tcBorders>
            <w:shd w:val="clear" w:color="auto" w:fill="auto"/>
            <w:vAlign w:val="center"/>
            <w:hideMark/>
          </w:tcPr>
          <w:p w14:paraId="2E01F0E6"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703" w:type="dxa"/>
            <w:tcBorders>
              <w:top w:val="nil"/>
              <w:left w:val="nil"/>
              <w:bottom w:val="single" w:sz="8" w:space="0" w:color="auto"/>
              <w:right w:val="single" w:sz="8" w:space="0" w:color="auto"/>
            </w:tcBorders>
            <w:shd w:val="clear" w:color="000000" w:fill="E7E6E6"/>
            <w:vAlign w:val="center"/>
            <w:hideMark/>
          </w:tcPr>
          <w:p w14:paraId="1B837508"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c>
          <w:tcPr>
            <w:tcW w:w="1682" w:type="dxa"/>
            <w:tcBorders>
              <w:top w:val="nil"/>
              <w:left w:val="nil"/>
              <w:bottom w:val="single" w:sz="8" w:space="0" w:color="auto"/>
              <w:right w:val="single" w:sz="8" w:space="0" w:color="auto"/>
            </w:tcBorders>
            <w:shd w:val="clear" w:color="000000" w:fill="A6A6A6"/>
            <w:vAlign w:val="center"/>
            <w:hideMark/>
          </w:tcPr>
          <w:p w14:paraId="1D2D86B4" w14:textId="77777777" w:rsidR="00271643" w:rsidRPr="00591F6E" w:rsidRDefault="00271643" w:rsidP="00BE5C39">
            <w:pPr>
              <w:jc w:val="center"/>
              <w:rPr>
                <w:color w:val="000000"/>
                <w:sz w:val="20"/>
                <w:szCs w:val="14"/>
                <w:lang w:val="en-GB" w:eastAsia="it-IT"/>
              </w:rPr>
            </w:pPr>
            <w:r w:rsidRPr="00591F6E">
              <w:rPr>
                <w:color w:val="000000"/>
                <w:sz w:val="20"/>
                <w:szCs w:val="14"/>
                <w:lang w:val="en-GB" w:eastAsia="it-IT"/>
              </w:rPr>
              <w:t>+</w:t>
            </w:r>
          </w:p>
        </w:tc>
      </w:tr>
    </w:tbl>
    <w:p w14:paraId="715BD5AD" w14:textId="657590D7" w:rsidR="00064E6C" w:rsidRPr="00591F6E" w:rsidRDefault="00666AE5" w:rsidP="0004645C">
      <w:pPr>
        <w:pStyle w:val="Stile1"/>
        <w:spacing w:line="276" w:lineRule="auto"/>
        <w:ind w:firstLine="0"/>
        <w:jc w:val="both"/>
        <w:rPr>
          <w:i/>
          <w:lang w:val="en-GB"/>
        </w:rPr>
      </w:pPr>
      <w:r w:rsidRPr="00591F6E">
        <w:rPr>
          <w:i/>
          <w:lang w:val="en-GB"/>
        </w:rPr>
        <w:t xml:space="preserve">Table 4. Mean effect of natural resources (abundance or scarcity) on conflict according to the explored literature, when studies do or do not control for climatic conditions and/or trends. Some effects could not be computed due </w:t>
      </w:r>
      <w:r w:rsidRPr="00591F6E">
        <w:rPr>
          <w:i/>
          <w:lang w:val="en-GB"/>
        </w:rPr>
        <w:lastRenderedPageBreak/>
        <w:t xml:space="preserve">to lack of sufficient variability </w:t>
      </w:r>
      <w:r w:rsidR="00CA64ED" w:rsidRPr="00591F6E">
        <w:rPr>
          <w:i/>
          <w:lang w:val="en-GB"/>
        </w:rPr>
        <w:t>of</w:t>
      </w:r>
      <w:r w:rsidRPr="00591F6E">
        <w:rPr>
          <w:i/>
          <w:lang w:val="en-GB"/>
        </w:rPr>
        <w:t xml:space="preserve"> some </w:t>
      </w:r>
      <w:r w:rsidR="00CA64ED" w:rsidRPr="00591F6E">
        <w:rPr>
          <w:i/>
          <w:lang w:val="en-GB"/>
        </w:rPr>
        <w:t xml:space="preserve">control variables </w:t>
      </w:r>
      <w:r w:rsidRPr="00591F6E">
        <w:rPr>
          <w:i/>
          <w:lang w:val="en-GB"/>
        </w:rPr>
        <w:t>(n.a.). Grey cells indicate that the effect is significant</w:t>
      </w:r>
      <w:r w:rsidR="00271643" w:rsidRPr="00591F6E">
        <w:rPr>
          <w:i/>
          <w:lang w:val="en-GB"/>
        </w:rPr>
        <w:t>; darker shades correspond to greater significance levels</w:t>
      </w:r>
      <w:r w:rsidRPr="00591F6E">
        <w:rPr>
          <w:i/>
          <w:lang w:val="en-GB"/>
        </w:rPr>
        <w:t xml:space="preserve">. For a definition of the resource variables, refer to Table </w:t>
      </w:r>
      <w:r w:rsidR="00F34615" w:rsidRPr="00591F6E">
        <w:rPr>
          <w:i/>
          <w:lang w:val="en-GB"/>
        </w:rPr>
        <w:t>S3</w:t>
      </w:r>
      <w:r w:rsidRPr="00591F6E">
        <w:rPr>
          <w:i/>
          <w:lang w:val="en-GB"/>
        </w:rPr>
        <w:t xml:space="preserve">. </w:t>
      </w:r>
    </w:p>
    <w:p w14:paraId="5D98CC6F" w14:textId="77777777" w:rsidR="00603AB5" w:rsidRPr="00591F6E" w:rsidRDefault="00603AB5" w:rsidP="0004645C">
      <w:pPr>
        <w:pStyle w:val="Stile1"/>
        <w:spacing w:line="276" w:lineRule="auto"/>
        <w:ind w:firstLine="0"/>
        <w:jc w:val="both"/>
        <w:rPr>
          <w:i/>
          <w:lang w:val="en-GB"/>
        </w:rPr>
      </w:pPr>
    </w:p>
    <w:bookmarkEnd w:id="0"/>
    <w:p w14:paraId="685E900C" w14:textId="77777777" w:rsidR="00EA1392" w:rsidRPr="00591F6E" w:rsidRDefault="00EA1392" w:rsidP="00EA1392">
      <w:pPr>
        <w:pStyle w:val="Stile1"/>
        <w:jc w:val="both"/>
        <w:rPr>
          <w:lang w:val="en-GB"/>
        </w:rPr>
      </w:pPr>
      <w:r w:rsidRPr="00591F6E">
        <w:rPr>
          <w:lang w:val="en-GB"/>
        </w:rPr>
        <w:t xml:space="preserve">In general, we find that the link between resource and conflict varies considerably according to the type of resource; while the abundance of minerals increases the likelihood of conflict, thus backing the resource curse argument, renewable resources are mostly linked to violence through scarcity. Although the results also suggest a positive association between land abundance and conflict risk, the effect does not always reach significance at the 10% level. The land/vegetation regressor in the empirical model broadly includes many operationalizations of the resource variable, such as the availability of arable land (Binningsbø et al., 2007; Østby et al., 2011; Rowhani et al., 2011), the amount of ‘agricultural resources’ akin forests, croplands and pasturelands (Welsch, 2008; Hauge and Ellingsen, 1998), the degree of agricultural productivity (Bohmelt et al., 2014) or the amount of growing vegetation proxied by indicators such as the NDVI (Meier et al., 2007). This finding hence seems to confirm the results of an extensive academic literature on land invasions, arguing in favor of a positive association between the amount of arable land and the likelihood of conflict (e.g. Robinson and Acemoglu, 2006; Hidalgo, 2010). </w:t>
      </w:r>
    </w:p>
    <w:p w14:paraId="0EC8FBAC" w14:textId="4FC01000" w:rsidR="00EA1392" w:rsidRPr="00591F6E" w:rsidRDefault="00EA1392" w:rsidP="00EA1392">
      <w:pPr>
        <w:pStyle w:val="Stile1"/>
        <w:jc w:val="both"/>
        <w:rPr>
          <w:lang w:val="en-GB"/>
        </w:rPr>
      </w:pPr>
      <w:r w:rsidRPr="00591F6E">
        <w:rPr>
          <w:lang w:val="en-GB"/>
        </w:rPr>
        <w:t>Furthermore, the relationship between</w:t>
      </w:r>
      <w:r w:rsidR="00A16801" w:rsidRPr="00591F6E">
        <w:rPr>
          <w:lang w:val="en-GB"/>
        </w:rPr>
        <w:t xml:space="preserve"> resources such as water, fertile land and vegetation,</w:t>
      </w:r>
      <w:r w:rsidRPr="00591F6E">
        <w:rPr>
          <w:lang w:val="en-GB"/>
        </w:rPr>
        <w:t xml:space="preserve"> and conflict is considerably affected by climatic factors/trends. In fact, results from the scarcity subset of the sample show that the dummy variable for climate controls is significant across all the specifications, suggesting that climate has a mediating role in the relationship between renewable natural resource scarcity and conflict. </w:t>
      </w:r>
    </w:p>
    <w:p w14:paraId="4F6BAAC2" w14:textId="77777777" w:rsidR="00EA1392" w:rsidRPr="00591F6E" w:rsidRDefault="00EA1392" w:rsidP="00EA1392">
      <w:pPr>
        <w:pStyle w:val="Stile1"/>
        <w:jc w:val="both"/>
        <w:rPr>
          <w:lang w:val="en-GB"/>
        </w:rPr>
      </w:pPr>
      <w:r w:rsidRPr="00591F6E">
        <w:rPr>
          <w:lang w:val="en-GB"/>
        </w:rPr>
        <w:t>As we may expect, inclusion of climatic variables does not change the direction of the relationship between natural resource scarcity and conflict. However, the coefficients for resource scarcity reach higher statistical significance when climate controls are introduced, possibly suggesting that climatic conditions increase the strength of the effect.</w:t>
      </w:r>
    </w:p>
    <w:p w14:paraId="7082B3EF" w14:textId="0E70FDC1" w:rsidR="00EA1392" w:rsidRPr="00591F6E" w:rsidRDefault="00EA1392" w:rsidP="00EA1392">
      <w:pPr>
        <w:pStyle w:val="Stile1"/>
        <w:jc w:val="both"/>
        <w:rPr>
          <w:lang w:val="en-GB"/>
        </w:rPr>
      </w:pPr>
      <w:r w:rsidRPr="00591F6E">
        <w:rPr>
          <w:lang w:val="en-GB"/>
        </w:rPr>
        <w:t xml:space="preserve">This seems to limitedly confirm the hypothesis that climate alters the probability of conflict by affecting resource availability (Raleigh and Urdal, 2007; Burke et al., 2009; Raleigh and Kniveton, 2012; Hsiang et al., 2014). The possible influence of climate on conflict through natural resources appears to have an effect only through scarcity, while abundant goods are not conditioned by climatic changes. Since climatic conditions do not influence the amount or allocation of minerals or fossil fuels, this result is consistent with the previous finding that only the abundance of minerals and highly profitable resources increases the odds of violence. Also, the role of climate in conditioning the relationship between </w:t>
      </w:r>
      <w:r w:rsidR="00A16801" w:rsidRPr="00591F6E">
        <w:rPr>
          <w:lang w:val="en-GB"/>
        </w:rPr>
        <w:t xml:space="preserve">the scarcity of water/land </w:t>
      </w:r>
      <w:r w:rsidRPr="00591F6E">
        <w:rPr>
          <w:lang w:val="en-GB"/>
        </w:rPr>
        <w:t xml:space="preserve">and conflict is consistent with the predicted impact of climate change on natural resources, which is likely to shrink rather than increase the availability of freshwater and arable land in many regions of the world (IPCC, 2014). </w:t>
      </w:r>
    </w:p>
    <w:p w14:paraId="3AA40E97" w14:textId="1EC80BBE" w:rsidR="00EA1392" w:rsidRPr="00591F6E" w:rsidRDefault="00EA1392" w:rsidP="00EA1392">
      <w:pPr>
        <w:pStyle w:val="Stile1"/>
        <w:jc w:val="both"/>
        <w:rPr>
          <w:lang w:val="en-GB"/>
        </w:rPr>
      </w:pPr>
      <w:r w:rsidRPr="00591F6E">
        <w:rPr>
          <w:lang w:val="en-GB"/>
        </w:rPr>
        <w:lastRenderedPageBreak/>
        <w:t>We now focus on the full meta-regression specification that includes the regressors for the study features (</w:t>
      </w:r>
      <w:r w:rsidRPr="00591F6E">
        <w:rPr>
          <w:lang w:val="en-GB"/>
        </w:rPr>
        <w:fldChar w:fldCharType="begin"/>
      </w:r>
      <w:r w:rsidRPr="00591F6E">
        <w:rPr>
          <w:lang w:val="en-GB"/>
        </w:rPr>
        <w:instrText xml:space="preserve"> REF _Ref26283119 \h \* Charformat  \* MERGEFORMAT </w:instrText>
      </w:r>
      <w:r w:rsidRPr="00591F6E">
        <w:rPr>
          <w:lang w:val="en-GB"/>
        </w:rPr>
      </w:r>
      <w:r w:rsidRPr="00591F6E">
        <w:rPr>
          <w:lang w:val="en-GB"/>
        </w:rPr>
        <w:fldChar w:fldCharType="separate"/>
      </w:r>
      <w:r w:rsidRPr="00591F6E">
        <w:rPr>
          <w:lang w:val="en-GB"/>
        </w:rPr>
        <w:t>Table 2.4</w:t>
      </w:r>
      <w:r w:rsidRPr="00591F6E">
        <w:rPr>
          <w:lang w:val="en-GB"/>
        </w:rPr>
        <w:fldChar w:fldCharType="end"/>
      </w:r>
      <w:r w:rsidRPr="00591F6E">
        <w:rPr>
          <w:lang w:val="en-GB"/>
        </w:rPr>
        <w:t xml:space="preserve">). First, the coefficient for precision is negative but not statistically significant, suggesting that the effect of natural resource abundance on conflict found by studies is driven by publication bias (the constant term is positive and significant). However, the coefficient for minerals remain positive and significant across all specifications, confirming that the impact of resource abundance on the likelihood of conflict is confined to lootable resources, whose rents could be profitable for the groups who seize them and thus lower the opportunity costs of fighting. </w:t>
      </w:r>
    </w:p>
    <w:p w14:paraId="7CD640AC" w14:textId="3014B8C4" w:rsidR="00FB154B" w:rsidRPr="00591F6E" w:rsidRDefault="003D0372" w:rsidP="00EA1392">
      <w:pPr>
        <w:pStyle w:val="Stile1"/>
        <w:jc w:val="both"/>
        <w:rPr>
          <w:lang w:val="en-GB"/>
        </w:rPr>
      </w:pPr>
      <w:r w:rsidRPr="00591F6E">
        <w:rPr>
          <w:lang w:val="en-GB"/>
        </w:rPr>
        <w:t xml:space="preserve">The results also suggest that other methodological choices affect </w:t>
      </w:r>
      <w:r w:rsidR="00DE66F6" w:rsidRPr="00591F6E">
        <w:rPr>
          <w:lang w:val="en-GB"/>
        </w:rPr>
        <w:t xml:space="preserve">the </w:t>
      </w:r>
      <w:r w:rsidRPr="00591F6E">
        <w:rPr>
          <w:lang w:val="en-GB"/>
        </w:rPr>
        <w:t>stud</w:t>
      </w:r>
      <w:r w:rsidR="00DE66F6" w:rsidRPr="00591F6E">
        <w:rPr>
          <w:lang w:val="en-GB"/>
        </w:rPr>
        <w:t>ies’</w:t>
      </w:r>
      <w:r w:rsidRPr="00591F6E">
        <w:rPr>
          <w:lang w:val="en-GB"/>
        </w:rPr>
        <w:t xml:space="preserve"> findings. In particular, the inclusion or exclusion of specific variables as controls has a significant impact on the response. </w:t>
      </w:r>
      <w:r w:rsidR="00FB154B" w:rsidRPr="00591F6E">
        <w:rPr>
          <w:lang w:val="en-GB"/>
        </w:rPr>
        <w:t>The coefficient for climate is again significant, indicating that controlling for climatic conditions affect</w:t>
      </w:r>
      <w:r w:rsidR="00DE66F6" w:rsidRPr="00591F6E">
        <w:rPr>
          <w:lang w:val="en-GB"/>
        </w:rPr>
        <w:t xml:space="preserve">s </w:t>
      </w:r>
      <w:r w:rsidR="00FB154B" w:rsidRPr="00591F6E">
        <w:rPr>
          <w:lang w:val="en-GB"/>
        </w:rPr>
        <w:t>the results</w:t>
      </w:r>
      <w:r w:rsidR="00026855" w:rsidRPr="00591F6E">
        <w:rPr>
          <w:rStyle w:val="Rimandonotaapidipagina"/>
          <w:lang w:val="en-GB"/>
        </w:rPr>
        <w:footnoteReference w:id="3"/>
      </w:r>
      <w:r w:rsidR="00FB154B" w:rsidRPr="00591F6E">
        <w:rPr>
          <w:lang w:val="en-GB"/>
        </w:rPr>
        <w:t>.</w:t>
      </w:r>
      <w:r w:rsidR="00DE66F6" w:rsidRPr="00591F6E">
        <w:rPr>
          <w:lang w:val="en-GB"/>
        </w:rPr>
        <w:t xml:space="preserve"> </w:t>
      </w:r>
      <w:r w:rsidR="00026855" w:rsidRPr="00591F6E">
        <w:rPr>
          <w:lang w:val="en-GB"/>
        </w:rPr>
        <w:t>W</w:t>
      </w:r>
      <w:r w:rsidR="00FD5792" w:rsidRPr="00591F6E">
        <w:rPr>
          <w:lang w:val="en-GB"/>
        </w:rPr>
        <w:t>e could</w:t>
      </w:r>
      <w:r w:rsidR="00DE66F6" w:rsidRPr="00591F6E">
        <w:rPr>
          <w:lang w:val="en-GB"/>
        </w:rPr>
        <w:t xml:space="preserve"> interpret this change in sign as a proof that</w:t>
      </w:r>
      <w:r w:rsidR="00FD5792" w:rsidRPr="00591F6E">
        <w:rPr>
          <w:lang w:val="en-GB"/>
        </w:rPr>
        <w:t xml:space="preserve"> the effect of climatic conditions is mediated by socio-economic, institutional and political factors: once the studies control for contextual variables akin the economic development or the degree of ethnic homogeneity, the </w:t>
      </w:r>
      <w:r w:rsidR="00E047FA" w:rsidRPr="00591F6E">
        <w:rPr>
          <w:lang w:val="en-GB"/>
        </w:rPr>
        <w:t>climate variable</w:t>
      </w:r>
      <w:r w:rsidR="00E61BFF" w:rsidRPr="00591F6E">
        <w:rPr>
          <w:lang w:val="en-GB"/>
        </w:rPr>
        <w:t xml:space="preserve"> </w:t>
      </w:r>
      <w:r w:rsidR="005B54A4" w:rsidRPr="00591F6E">
        <w:rPr>
          <w:lang w:val="en-GB"/>
        </w:rPr>
        <w:t>points to a different direction</w:t>
      </w:r>
      <w:r w:rsidR="00FD5792" w:rsidRPr="00591F6E">
        <w:rPr>
          <w:lang w:val="en-GB"/>
        </w:rPr>
        <w:t xml:space="preserve">. This </w:t>
      </w:r>
      <w:r w:rsidR="00E357E1" w:rsidRPr="00591F6E">
        <w:rPr>
          <w:lang w:val="en-GB"/>
        </w:rPr>
        <w:t xml:space="preserve">is consistent with the conflict </w:t>
      </w:r>
      <w:r w:rsidR="006108D4">
        <w:rPr>
          <w:lang w:val="en-GB"/>
        </w:rPr>
        <w:t>literature</w:t>
      </w:r>
      <w:r w:rsidR="00E357E1" w:rsidRPr="00591F6E">
        <w:rPr>
          <w:lang w:val="en-GB"/>
        </w:rPr>
        <w:t>, demonstrating</w:t>
      </w:r>
      <w:r w:rsidR="00ED5C06" w:rsidRPr="00591F6E">
        <w:rPr>
          <w:lang w:val="en-GB"/>
        </w:rPr>
        <w:t xml:space="preserve"> </w:t>
      </w:r>
      <w:r w:rsidR="00FD5792" w:rsidRPr="00591F6E">
        <w:rPr>
          <w:lang w:val="en-GB"/>
        </w:rPr>
        <w:t xml:space="preserve">that </w:t>
      </w:r>
      <w:r w:rsidR="00E047FA" w:rsidRPr="00591F6E">
        <w:rPr>
          <w:lang w:val="en-GB"/>
        </w:rPr>
        <w:t xml:space="preserve">the effect of </w:t>
      </w:r>
      <w:r w:rsidR="00A51E64" w:rsidRPr="00591F6E">
        <w:rPr>
          <w:lang w:val="en-GB"/>
        </w:rPr>
        <w:t xml:space="preserve">climatic shocks </w:t>
      </w:r>
      <w:r w:rsidR="00E047FA" w:rsidRPr="00591F6E">
        <w:rPr>
          <w:lang w:val="en-GB"/>
        </w:rPr>
        <w:t xml:space="preserve">on conflict risk is </w:t>
      </w:r>
      <w:r w:rsidR="00A51E64" w:rsidRPr="00591F6E">
        <w:rPr>
          <w:lang w:val="en-GB"/>
        </w:rPr>
        <w:t xml:space="preserve">conditional upon </w:t>
      </w:r>
      <w:r w:rsidR="00FD5792" w:rsidRPr="00591F6E">
        <w:rPr>
          <w:lang w:val="en-GB"/>
        </w:rPr>
        <w:t xml:space="preserve">socio-economic and contextual factors </w:t>
      </w:r>
      <w:r w:rsidR="00E357E1" w:rsidRPr="00591F6E">
        <w:rPr>
          <w:lang w:val="en-GB"/>
        </w:rPr>
        <w:t>(Koubi, 2018)</w:t>
      </w:r>
      <w:r w:rsidR="00FD5792" w:rsidRPr="00591F6E">
        <w:rPr>
          <w:lang w:val="en-GB"/>
        </w:rPr>
        <w:t xml:space="preserve">: human systems can </w:t>
      </w:r>
      <w:r w:rsidR="00F23FC9" w:rsidRPr="00591F6E">
        <w:rPr>
          <w:lang w:val="en-GB"/>
        </w:rPr>
        <w:t xml:space="preserve">be more or less vulnerable </w:t>
      </w:r>
      <w:r w:rsidR="00FD5792" w:rsidRPr="00591F6E">
        <w:rPr>
          <w:lang w:val="en-GB"/>
        </w:rPr>
        <w:t xml:space="preserve">to environmental hardships </w:t>
      </w:r>
      <w:r w:rsidR="00F23FC9" w:rsidRPr="00591F6E">
        <w:rPr>
          <w:lang w:val="en-GB"/>
        </w:rPr>
        <w:t>due to</w:t>
      </w:r>
      <w:r w:rsidR="00FD5792" w:rsidRPr="00591F6E">
        <w:rPr>
          <w:lang w:val="en-GB"/>
        </w:rPr>
        <w:t xml:space="preserve"> a variety of political, economic, institutional dynamics, </w:t>
      </w:r>
      <w:r w:rsidR="00675604" w:rsidRPr="00591F6E">
        <w:rPr>
          <w:lang w:val="en-GB"/>
        </w:rPr>
        <w:t xml:space="preserve">which can </w:t>
      </w:r>
      <w:r w:rsidR="00FD5792" w:rsidRPr="00591F6E">
        <w:rPr>
          <w:lang w:val="en-GB"/>
        </w:rPr>
        <w:t>absorb</w:t>
      </w:r>
      <w:r w:rsidR="00F23FC9" w:rsidRPr="00591F6E">
        <w:rPr>
          <w:lang w:val="en-GB"/>
        </w:rPr>
        <w:t xml:space="preserve"> or exacerbate</w:t>
      </w:r>
      <w:r w:rsidR="00FD5792" w:rsidRPr="00591F6E">
        <w:rPr>
          <w:lang w:val="en-GB"/>
        </w:rPr>
        <w:t xml:space="preserve"> the negative impacts of climatic variability. </w:t>
      </w:r>
      <w:r w:rsidR="00A34BE7" w:rsidRPr="00591F6E">
        <w:rPr>
          <w:lang w:val="en-GB"/>
        </w:rPr>
        <w:t xml:space="preserve">For instance, we observe that the coefficient for institutions is statistically significant and negative: the presence of institutions can moderate the relationship between resources and </w:t>
      </w:r>
      <w:r w:rsidR="00C116FF" w:rsidRPr="00591F6E">
        <w:rPr>
          <w:lang w:val="en-GB"/>
        </w:rPr>
        <w:t>conflict</w:t>
      </w:r>
      <w:r w:rsidR="00A34BE7" w:rsidRPr="00591F6E">
        <w:rPr>
          <w:lang w:val="en-GB"/>
        </w:rPr>
        <w:t xml:space="preserve"> </w:t>
      </w:r>
      <w:r w:rsidR="00C45729" w:rsidRPr="00591F6E">
        <w:rPr>
          <w:lang w:val="en-GB"/>
        </w:rPr>
        <w:t>and increase the community</w:t>
      </w:r>
      <w:r w:rsidR="00645399" w:rsidRPr="00591F6E">
        <w:rPr>
          <w:lang w:val="en-GB"/>
        </w:rPr>
        <w:t>’s</w:t>
      </w:r>
      <w:r w:rsidR="00C45729" w:rsidRPr="00591F6E">
        <w:rPr>
          <w:lang w:val="en-GB"/>
        </w:rPr>
        <w:t xml:space="preserve"> resilience </w:t>
      </w:r>
      <w:r w:rsidR="00645399" w:rsidRPr="00591F6E">
        <w:rPr>
          <w:lang w:val="en-GB"/>
        </w:rPr>
        <w:t>against</w:t>
      </w:r>
      <w:r w:rsidR="00C45729" w:rsidRPr="00591F6E">
        <w:rPr>
          <w:lang w:val="en-GB"/>
        </w:rPr>
        <w:t xml:space="preserve"> environmental shocks </w:t>
      </w:r>
      <w:r w:rsidR="00A34BE7" w:rsidRPr="00591F6E">
        <w:rPr>
          <w:lang w:val="en-GB"/>
        </w:rPr>
        <w:t xml:space="preserve">(e.g. Gizelis and Wooden, 2010). </w:t>
      </w:r>
    </w:p>
    <w:p w14:paraId="4CB37B06" w14:textId="1C7BDA2B" w:rsidR="00031A39" w:rsidRPr="00591F6E" w:rsidRDefault="00666AE5" w:rsidP="007E5CDA">
      <w:pPr>
        <w:pStyle w:val="Stile1"/>
        <w:jc w:val="both"/>
        <w:rPr>
          <w:rFonts w:eastAsia="Calibri"/>
          <w:sz w:val="14"/>
          <w:szCs w:val="14"/>
          <w:lang w:val="en-GB"/>
        </w:rPr>
      </w:pPr>
      <w:r w:rsidRPr="00591F6E">
        <w:rPr>
          <w:lang w:val="en-GB"/>
        </w:rPr>
        <w:t xml:space="preserve">Controlling for ethnic and/or religious heterogeneity increases the probability of finding a positive and significant relationship between resource abundance and conflict incidence. This </w:t>
      </w:r>
      <w:r w:rsidR="00ED5C06" w:rsidRPr="00591F6E">
        <w:rPr>
          <w:lang w:val="en-GB"/>
        </w:rPr>
        <w:t>indicate</w:t>
      </w:r>
      <w:r w:rsidRPr="00591F6E">
        <w:rPr>
          <w:lang w:val="en-GB"/>
        </w:rPr>
        <w:t>s that the availability of resources is indeed intertwined with group-specific features</w:t>
      </w:r>
      <w:r w:rsidR="0028235D" w:rsidRPr="00591F6E">
        <w:rPr>
          <w:lang w:val="en-GB"/>
        </w:rPr>
        <w:t xml:space="preserve"> and </w:t>
      </w:r>
      <w:r w:rsidR="00DE66F6" w:rsidRPr="00591F6E">
        <w:rPr>
          <w:lang w:val="en-GB"/>
        </w:rPr>
        <w:t>mirrors the findings</w:t>
      </w:r>
      <w:r w:rsidR="0028235D" w:rsidRPr="00591F6E">
        <w:rPr>
          <w:lang w:val="en-GB"/>
        </w:rPr>
        <w:t xml:space="preserve"> of the literature </w:t>
      </w:r>
      <w:r w:rsidR="00B66734" w:rsidRPr="00591F6E">
        <w:rPr>
          <w:lang w:val="en-GB"/>
        </w:rPr>
        <w:t>that connects</w:t>
      </w:r>
      <w:r w:rsidR="0028235D" w:rsidRPr="00591F6E">
        <w:rPr>
          <w:lang w:val="en-GB"/>
        </w:rPr>
        <w:t xml:space="preserve"> ethnic fractionalization </w:t>
      </w:r>
      <w:r w:rsidR="00EE3F34" w:rsidRPr="00591F6E">
        <w:rPr>
          <w:lang w:val="en-GB"/>
        </w:rPr>
        <w:t xml:space="preserve">and groups inequality </w:t>
      </w:r>
      <w:r w:rsidR="0028235D" w:rsidRPr="00591F6E">
        <w:rPr>
          <w:lang w:val="en-GB"/>
        </w:rPr>
        <w:t>with higher risks of conflict (</w:t>
      </w:r>
      <w:r w:rsidR="00EE3F34" w:rsidRPr="00591F6E">
        <w:rPr>
          <w:lang w:val="en-GB"/>
        </w:rPr>
        <w:t xml:space="preserve">Ostby, 2008). </w:t>
      </w:r>
    </w:p>
    <w:p w14:paraId="1C837B62" w14:textId="6007DFC6" w:rsidR="00031A39" w:rsidRPr="00591F6E" w:rsidRDefault="00031A39" w:rsidP="007E5CDA">
      <w:pPr>
        <w:pStyle w:val="Stile1"/>
        <w:jc w:val="both"/>
        <w:rPr>
          <w:lang w:val="en-GB"/>
        </w:rPr>
      </w:pPr>
      <w:r w:rsidRPr="00591F6E">
        <w:rPr>
          <w:lang w:val="en-GB"/>
        </w:rPr>
        <w:t xml:space="preserve">The inclusion of location fixed-effects </w:t>
      </w:r>
      <w:r w:rsidR="00EE3F34" w:rsidRPr="00591F6E">
        <w:rPr>
          <w:lang w:val="en-GB"/>
        </w:rPr>
        <w:t>increas</w:t>
      </w:r>
      <w:r w:rsidRPr="00591F6E">
        <w:rPr>
          <w:lang w:val="en-GB"/>
        </w:rPr>
        <w:t>es the strength of the relationship between resources and conflic</w:t>
      </w:r>
      <w:r w:rsidR="00EE3F34" w:rsidRPr="00591F6E">
        <w:rPr>
          <w:lang w:val="en-GB"/>
        </w:rPr>
        <w:t xml:space="preserve">t, </w:t>
      </w:r>
      <w:r w:rsidR="00DE66F6" w:rsidRPr="00591F6E">
        <w:rPr>
          <w:lang w:val="en-GB"/>
        </w:rPr>
        <w:t>which</w:t>
      </w:r>
      <w:r w:rsidRPr="00591F6E">
        <w:rPr>
          <w:lang w:val="en-GB"/>
        </w:rPr>
        <w:t xml:space="preserve"> may partiall</w:t>
      </w:r>
      <w:r w:rsidR="00AE5373" w:rsidRPr="00591F6E">
        <w:rPr>
          <w:lang w:val="en-GB"/>
        </w:rPr>
        <w:t>y</w:t>
      </w:r>
      <w:r w:rsidRPr="00591F6E">
        <w:rPr>
          <w:lang w:val="en-GB"/>
        </w:rPr>
        <w:t xml:space="preserve"> reflect the claims advanced by Buhaug (2010) that fixed</w:t>
      </w:r>
      <w:r w:rsidRPr="00591F6E">
        <w:rPr>
          <w:rFonts w:eastAsia="Century Schoolbook"/>
          <w:szCs w:val="20"/>
          <w:lang w:val="en-GB"/>
        </w:rPr>
        <w:t>-</w:t>
      </w:r>
      <w:r w:rsidRPr="00591F6E">
        <w:rPr>
          <w:lang w:val="en-GB"/>
        </w:rPr>
        <w:t>effects raise multicollinearity issues</w:t>
      </w:r>
      <w:r w:rsidR="00D108A6" w:rsidRPr="00591F6E">
        <w:rPr>
          <w:lang w:val="en-GB"/>
        </w:rPr>
        <w:t>: studies that include fixed</w:t>
      </w:r>
      <w:r w:rsidR="006108D4">
        <w:rPr>
          <w:lang w:val="en-GB"/>
        </w:rPr>
        <w:t>-</w:t>
      </w:r>
      <w:r w:rsidR="00D108A6" w:rsidRPr="00591F6E">
        <w:rPr>
          <w:lang w:val="en-GB"/>
        </w:rPr>
        <w:t>effects in the model seem to be more likely to find a significant relationship between resource abundance and conflict but the effect may also capture the influence of other factors than only natural resources</w:t>
      </w:r>
      <w:r w:rsidRPr="00591F6E">
        <w:rPr>
          <w:lang w:val="en-GB"/>
        </w:rPr>
        <w:t xml:space="preserve">. </w:t>
      </w:r>
    </w:p>
    <w:p w14:paraId="5F47ECB7" w14:textId="7CEEF1AC" w:rsidR="00DC259A" w:rsidRPr="00591F6E" w:rsidRDefault="00DC259A" w:rsidP="00DC259A">
      <w:pPr>
        <w:pStyle w:val="Stile1"/>
        <w:jc w:val="both"/>
        <w:rPr>
          <w:lang w:val="en-GB"/>
        </w:rPr>
      </w:pPr>
      <w:r w:rsidRPr="00591F6E">
        <w:rPr>
          <w:lang w:val="en-GB"/>
        </w:rPr>
        <w:lastRenderedPageBreak/>
        <w:t>Next, t</w:t>
      </w:r>
      <w:r w:rsidR="001953F6" w:rsidRPr="00591F6E">
        <w:rPr>
          <w:lang w:val="en-GB"/>
        </w:rPr>
        <w:t xml:space="preserve">he specification of the main variables appears to have an influence on the study’s results: analyses focusing on the incidence or the intensity of </w:t>
      </w:r>
      <w:r w:rsidR="00C116FF" w:rsidRPr="00591F6E">
        <w:rPr>
          <w:lang w:val="en-GB"/>
        </w:rPr>
        <w:t>conflict</w:t>
      </w:r>
      <w:r w:rsidR="001953F6" w:rsidRPr="00591F6E">
        <w:rPr>
          <w:lang w:val="en-GB"/>
        </w:rPr>
        <w:t xml:space="preserve"> (rather than the onset) are less likely to find a robust relationship with resource abundance</w:t>
      </w:r>
      <w:r w:rsidR="00B66734" w:rsidRPr="00591F6E">
        <w:rPr>
          <w:lang w:val="en-GB"/>
        </w:rPr>
        <w:t>; h</w:t>
      </w:r>
      <w:r w:rsidR="0061768E" w:rsidRPr="00591F6E">
        <w:rPr>
          <w:lang w:val="en-GB"/>
        </w:rPr>
        <w:t xml:space="preserve">owever, </w:t>
      </w:r>
      <w:r w:rsidR="00464D91" w:rsidRPr="00591F6E">
        <w:rPr>
          <w:lang w:val="en-GB"/>
        </w:rPr>
        <w:t xml:space="preserve">the coefficients </w:t>
      </w:r>
      <w:r w:rsidR="00B66734" w:rsidRPr="00591F6E">
        <w:rPr>
          <w:lang w:val="en-GB"/>
        </w:rPr>
        <w:t xml:space="preserve">are </w:t>
      </w:r>
      <w:r w:rsidR="00464D91" w:rsidRPr="00591F6E">
        <w:rPr>
          <w:lang w:val="en-GB"/>
        </w:rPr>
        <w:t xml:space="preserve">barely </w:t>
      </w:r>
      <w:r w:rsidR="006B505C" w:rsidRPr="00591F6E">
        <w:rPr>
          <w:lang w:val="en-GB"/>
        </w:rPr>
        <w:t xml:space="preserve">significant at </w:t>
      </w:r>
      <w:r w:rsidR="00464D91" w:rsidRPr="00591F6E">
        <w:rPr>
          <w:lang w:val="en-GB"/>
        </w:rPr>
        <w:t>10%</w:t>
      </w:r>
      <w:r w:rsidR="0061768E" w:rsidRPr="00591F6E">
        <w:rPr>
          <w:lang w:val="en-GB"/>
        </w:rPr>
        <w:t xml:space="preserve">. </w:t>
      </w:r>
      <w:r w:rsidR="00FB154B" w:rsidRPr="00591F6E">
        <w:rPr>
          <w:lang w:val="en-GB"/>
        </w:rPr>
        <w:t>S</w:t>
      </w:r>
      <w:r w:rsidR="00031A39" w:rsidRPr="00591F6E">
        <w:rPr>
          <w:lang w:val="en-GB"/>
        </w:rPr>
        <w:t xml:space="preserve">tudies that adopt a threshold of twenty-five battle-related deaths to </w:t>
      </w:r>
      <w:r w:rsidRPr="00591F6E">
        <w:rPr>
          <w:lang w:val="en-GB"/>
        </w:rPr>
        <w:t>define an event as conflict are associated with a lower probability of finding a significant response</w:t>
      </w:r>
      <w:r w:rsidR="00264C57" w:rsidRPr="00591F6E">
        <w:rPr>
          <w:lang w:val="en-GB"/>
        </w:rPr>
        <w:t>; t</w:t>
      </w:r>
      <w:r w:rsidRPr="00591F6E">
        <w:rPr>
          <w:lang w:val="en-GB"/>
        </w:rPr>
        <w:t xml:space="preserve">his indicates that when focusing on smaller conflictual events, studies find a weaker impact of resources on conflict. </w:t>
      </w:r>
    </w:p>
    <w:p w14:paraId="264AB0FB" w14:textId="0D64495F" w:rsidR="00EA1392" w:rsidRDefault="006108D4" w:rsidP="00264F3A">
      <w:pPr>
        <w:pStyle w:val="Stile1"/>
        <w:ind w:firstLine="720"/>
        <w:jc w:val="both"/>
        <w:rPr>
          <w:lang w:val="en-GB"/>
        </w:rPr>
      </w:pPr>
      <w:r>
        <w:rPr>
          <w:lang w:val="en-GB"/>
        </w:rPr>
        <w:t>T</w:t>
      </w:r>
      <w:r w:rsidR="00DC259A" w:rsidRPr="00591F6E">
        <w:rPr>
          <w:lang w:val="en-GB"/>
        </w:rPr>
        <w:t>he operationalization of the resource variable has a negative influence on the response</w:t>
      </w:r>
      <w:r>
        <w:rPr>
          <w:lang w:val="en-GB"/>
        </w:rPr>
        <w:t xml:space="preserve"> and</w:t>
      </w:r>
      <w:r w:rsidR="00DC259A" w:rsidRPr="00591F6E">
        <w:rPr>
          <w:lang w:val="en-GB"/>
        </w:rPr>
        <w:t xml:space="preserve"> studies that operationalize resource availability as a stock tend to find less significant results. </w:t>
      </w:r>
    </w:p>
    <w:p w14:paraId="3C075DC1" w14:textId="77777777" w:rsidR="00264F3A" w:rsidRPr="00591F6E" w:rsidRDefault="00264F3A" w:rsidP="00264F3A">
      <w:pPr>
        <w:pStyle w:val="Stile1"/>
        <w:ind w:firstLine="720"/>
        <w:jc w:val="both"/>
        <w:rPr>
          <w:lang w:val="en-GB"/>
        </w:rPr>
      </w:pPr>
    </w:p>
    <w:tbl>
      <w:tblPr>
        <w:tblW w:w="8948" w:type="dxa"/>
        <w:jc w:val="center"/>
        <w:tblCellMar>
          <w:left w:w="70" w:type="dxa"/>
          <w:right w:w="70" w:type="dxa"/>
        </w:tblCellMar>
        <w:tblLook w:val="04A0" w:firstRow="1" w:lastRow="0" w:firstColumn="1" w:lastColumn="0" w:noHBand="0" w:noVBand="1"/>
      </w:tblPr>
      <w:tblGrid>
        <w:gridCol w:w="4115"/>
        <w:gridCol w:w="1540"/>
        <w:gridCol w:w="1645"/>
        <w:gridCol w:w="1648"/>
      </w:tblGrid>
      <w:tr w:rsidR="003322DA" w:rsidRPr="00591F6E" w14:paraId="16993E3F" w14:textId="77777777" w:rsidTr="009706C5">
        <w:trPr>
          <w:trHeight w:val="152"/>
          <w:jc w:val="center"/>
        </w:trPr>
        <w:tc>
          <w:tcPr>
            <w:tcW w:w="8948" w:type="dxa"/>
            <w:gridSpan w:val="4"/>
            <w:tcBorders>
              <w:top w:val="single" w:sz="4" w:space="0" w:color="7F7F7F" w:themeColor="text1" w:themeTint="80"/>
              <w:left w:val="nil"/>
              <w:bottom w:val="single" w:sz="4" w:space="0" w:color="7F7F7F" w:themeColor="text1" w:themeTint="80"/>
              <w:right w:val="nil"/>
            </w:tcBorders>
            <w:shd w:val="clear" w:color="auto" w:fill="auto"/>
            <w:noWrap/>
            <w:vAlign w:val="center"/>
            <w:hideMark/>
          </w:tcPr>
          <w:p w14:paraId="6D52A538" w14:textId="77777777" w:rsidR="003322DA" w:rsidRPr="00591F6E" w:rsidRDefault="003322DA" w:rsidP="00132F29">
            <w:pPr>
              <w:jc w:val="both"/>
              <w:rPr>
                <w:b/>
                <w:bCs/>
                <w:color w:val="000000"/>
                <w:sz w:val="18"/>
                <w:szCs w:val="16"/>
                <w:lang w:val="en-GB" w:eastAsia="it-IT"/>
              </w:rPr>
            </w:pPr>
            <w:r w:rsidRPr="00591F6E">
              <w:rPr>
                <w:b/>
                <w:bCs/>
                <w:color w:val="000000"/>
                <w:sz w:val="18"/>
                <w:szCs w:val="16"/>
                <w:lang w:val="en-GB" w:eastAsia="it-IT"/>
              </w:rPr>
              <w:t xml:space="preserve">Table 5. Impact of methodological features of the studies on the relationship between resource wealth and conflict. </w:t>
            </w:r>
          </w:p>
        </w:tc>
      </w:tr>
      <w:tr w:rsidR="003322DA" w:rsidRPr="00591F6E" w14:paraId="210FAFB7" w14:textId="77777777" w:rsidTr="00EA1392">
        <w:trPr>
          <w:trHeight w:val="152"/>
          <w:jc w:val="center"/>
        </w:trPr>
        <w:tc>
          <w:tcPr>
            <w:tcW w:w="4115" w:type="dxa"/>
            <w:tcBorders>
              <w:top w:val="single" w:sz="4" w:space="0" w:color="7F7F7F" w:themeColor="text1" w:themeTint="80"/>
              <w:left w:val="nil"/>
              <w:bottom w:val="nil"/>
              <w:right w:val="nil"/>
            </w:tcBorders>
            <w:shd w:val="clear" w:color="auto" w:fill="auto"/>
            <w:noWrap/>
            <w:vAlign w:val="bottom"/>
            <w:hideMark/>
          </w:tcPr>
          <w:p w14:paraId="0FF5B5C1" w14:textId="77777777" w:rsidR="003322DA" w:rsidRPr="00591F6E" w:rsidRDefault="003322DA" w:rsidP="00132F29">
            <w:pPr>
              <w:rPr>
                <w:sz w:val="18"/>
                <w:szCs w:val="16"/>
                <w:lang w:val="en-GB" w:eastAsia="it-IT"/>
              </w:rPr>
            </w:pPr>
            <w:r w:rsidRPr="00591F6E">
              <w:rPr>
                <w:sz w:val="18"/>
                <w:szCs w:val="16"/>
                <w:lang w:val="en-GB" w:eastAsia="it-IT"/>
              </w:rPr>
              <w:t> </w:t>
            </w:r>
          </w:p>
        </w:tc>
        <w:tc>
          <w:tcPr>
            <w:tcW w:w="1540" w:type="dxa"/>
            <w:tcBorders>
              <w:top w:val="single" w:sz="4" w:space="0" w:color="7F7F7F" w:themeColor="text1" w:themeTint="80"/>
              <w:left w:val="nil"/>
              <w:bottom w:val="nil"/>
              <w:right w:val="nil"/>
            </w:tcBorders>
            <w:shd w:val="clear" w:color="auto" w:fill="auto"/>
            <w:noWrap/>
            <w:vAlign w:val="bottom"/>
            <w:hideMark/>
          </w:tcPr>
          <w:p w14:paraId="604A6FCC" w14:textId="77777777" w:rsidR="003322DA" w:rsidRPr="00591F6E" w:rsidRDefault="003322DA" w:rsidP="00132F29">
            <w:pPr>
              <w:jc w:val="center"/>
              <w:rPr>
                <w:sz w:val="18"/>
                <w:szCs w:val="16"/>
                <w:lang w:val="en-GB" w:eastAsia="it-IT"/>
              </w:rPr>
            </w:pPr>
            <w:r w:rsidRPr="00591F6E">
              <w:rPr>
                <w:sz w:val="18"/>
                <w:szCs w:val="16"/>
                <w:lang w:val="en-GB" w:eastAsia="it-IT"/>
              </w:rPr>
              <w:t>(1)</w:t>
            </w:r>
          </w:p>
        </w:tc>
        <w:tc>
          <w:tcPr>
            <w:tcW w:w="1645" w:type="dxa"/>
            <w:tcBorders>
              <w:top w:val="single" w:sz="4" w:space="0" w:color="7F7F7F" w:themeColor="text1" w:themeTint="80"/>
              <w:left w:val="nil"/>
              <w:bottom w:val="nil"/>
              <w:right w:val="nil"/>
            </w:tcBorders>
            <w:shd w:val="clear" w:color="auto" w:fill="auto"/>
            <w:noWrap/>
            <w:vAlign w:val="bottom"/>
            <w:hideMark/>
          </w:tcPr>
          <w:p w14:paraId="22AFD847" w14:textId="77777777" w:rsidR="003322DA" w:rsidRPr="00591F6E" w:rsidRDefault="003322DA" w:rsidP="00132F29">
            <w:pPr>
              <w:jc w:val="center"/>
              <w:rPr>
                <w:sz w:val="18"/>
                <w:szCs w:val="16"/>
                <w:lang w:val="en-GB" w:eastAsia="it-IT"/>
              </w:rPr>
            </w:pPr>
            <w:r w:rsidRPr="00591F6E">
              <w:rPr>
                <w:sz w:val="18"/>
                <w:szCs w:val="16"/>
                <w:lang w:val="en-GB" w:eastAsia="it-IT"/>
              </w:rPr>
              <w:t>(2)</w:t>
            </w:r>
          </w:p>
        </w:tc>
        <w:tc>
          <w:tcPr>
            <w:tcW w:w="1648" w:type="dxa"/>
            <w:tcBorders>
              <w:top w:val="single" w:sz="4" w:space="0" w:color="7F7F7F" w:themeColor="text1" w:themeTint="80"/>
              <w:left w:val="nil"/>
              <w:bottom w:val="nil"/>
              <w:right w:val="nil"/>
            </w:tcBorders>
            <w:shd w:val="clear" w:color="auto" w:fill="auto"/>
            <w:noWrap/>
            <w:vAlign w:val="bottom"/>
            <w:hideMark/>
          </w:tcPr>
          <w:p w14:paraId="4F08D63D" w14:textId="77777777" w:rsidR="003322DA" w:rsidRPr="00591F6E" w:rsidRDefault="003322DA" w:rsidP="00132F29">
            <w:pPr>
              <w:jc w:val="center"/>
              <w:rPr>
                <w:sz w:val="18"/>
                <w:szCs w:val="16"/>
                <w:lang w:val="en-GB" w:eastAsia="it-IT"/>
              </w:rPr>
            </w:pPr>
            <w:r w:rsidRPr="00591F6E">
              <w:rPr>
                <w:sz w:val="18"/>
                <w:szCs w:val="16"/>
                <w:lang w:val="en-GB" w:eastAsia="it-IT"/>
              </w:rPr>
              <w:t>(3)</w:t>
            </w:r>
          </w:p>
        </w:tc>
      </w:tr>
      <w:tr w:rsidR="003322DA" w:rsidRPr="00591F6E" w14:paraId="5BC08E3D" w14:textId="77777777" w:rsidTr="00EA1392">
        <w:trPr>
          <w:trHeight w:val="152"/>
          <w:jc w:val="center"/>
        </w:trPr>
        <w:tc>
          <w:tcPr>
            <w:tcW w:w="4115" w:type="dxa"/>
            <w:tcBorders>
              <w:top w:val="single" w:sz="4" w:space="0" w:color="000000"/>
              <w:left w:val="nil"/>
              <w:bottom w:val="nil"/>
              <w:right w:val="nil"/>
            </w:tcBorders>
            <w:shd w:val="clear" w:color="auto" w:fill="auto"/>
            <w:noWrap/>
            <w:vAlign w:val="bottom"/>
            <w:hideMark/>
          </w:tcPr>
          <w:p w14:paraId="71D4B2E1" w14:textId="77777777" w:rsidR="003322DA" w:rsidRPr="00591F6E" w:rsidRDefault="003322DA" w:rsidP="00132F29">
            <w:pPr>
              <w:rPr>
                <w:sz w:val="18"/>
                <w:szCs w:val="16"/>
                <w:lang w:val="en-GB" w:eastAsia="it-IT"/>
              </w:rPr>
            </w:pPr>
            <w:r w:rsidRPr="00591F6E">
              <w:rPr>
                <w:sz w:val="18"/>
                <w:szCs w:val="16"/>
                <w:lang w:val="en-GB" w:eastAsia="it-IT"/>
              </w:rPr>
              <w:t> </w:t>
            </w:r>
          </w:p>
        </w:tc>
        <w:tc>
          <w:tcPr>
            <w:tcW w:w="1540" w:type="dxa"/>
            <w:tcBorders>
              <w:top w:val="single" w:sz="4" w:space="0" w:color="000000"/>
              <w:left w:val="nil"/>
              <w:bottom w:val="nil"/>
              <w:right w:val="nil"/>
            </w:tcBorders>
            <w:shd w:val="clear" w:color="auto" w:fill="auto"/>
            <w:noWrap/>
            <w:vAlign w:val="bottom"/>
            <w:hideMark/>
          </w:tcPr>
          <w:p w14:paraId="07DF52CF" w14:textId="77777777" w:rsidR="003322DA" w:rsidRPr="00591F6E" w:rsidRDefault="003322DA" w:rsidP="00132F29">
            <w:pPr>
              <w:jc w:val="center"/>
              <w:rPr>
                <w:sz w:val="18"/>
                <w:szCs w:val="16"/>
                <w:lang w:val="en-GB" w:eastAsia="it-IT"/>
              </w:rPr>
            </w:pPr>
            <w:r w:rsidRPr="00591F6E">
              <w:rPr>
                <w:sz w:val="18"/>
                <w:szCs w:val="16"/>
                <w:lang w:val="en-GB" w:eastAsia="it-IT"/>
              </w:rPr>
              <w:t> </w:t>
            </w:r>
          </w:p>
        </w:tc>
        <w:tc>
          <w:tcPr>
            <w:tcW w:w="1645" w:type="dxa"/>
            <w:tcBorders>
              <w:top w:val="single" w:sz="4" w:space="0" w:color="000000"/>
              <w:left w:val="nil"/>
              <w:bottom w:val="nil"/>
              <w:right w:val="nil"/>
            </w:tcBorders>
            <w:shd w:val="clear" w:color="auto" w:fill="auto"/>
            <w:noWrap/>
            <w:vAlign w:val="bottom"/>
            <w:hideMark/>
          </w:tcPr>
          <w:p w14:paraId="1D78866C" w14:textId="77777777" w:rsidR="003322DA" w:rsidRPr="00591F6E" w:rsidRDefault="003322DA" w:rsidP="00132F29">
            <w:pPr>
              <w:jc w:val="center"/>
              <w:rPr>
                <w:sz w:val="18"/>
                <w:szCs w:val="16"/>
                <w:lang w:val="en-GB" w:eastAsia="it-IT"/>
              </w:rPr>
            </w:pPr>
            <w:r w:rsidRPr="00591F6E">
              <w:rPr>
                <w:sz w:val="18"/>
                <w:szCs w:val="16"/>
                <w:lang w:val="en-GB" w:eastAsia="it-IT"/>
              </w:rPr>
              <w:t> </w:t>
            </w:r>
          </w:p>
        </w:tc>
        <w:tc>
          <w:tcPr>
            <w:tcW w:w="1648" w:type="dxa"/>
            <w:tcBorders>
              <w:top w:val="single" w:sz="4" w:space="0" w:color="000000"/>
              <w:left w:val="nil"/>
              <w:bottom w:val="nil"/>
              <w:right w:val="nil"/>
            </w:tcBorders>
            <w:shd w:val="clear" w:color="auto" w:fill="auto"/>
            <w:noWrap/>
            <w:vAlign w:val="bottom"/>
            <w:hideMark/>
          </w:tcPr>
          <w:p w14:paraId="33C9B20E" w14:textId="77777777" w:rsidR="003322DA" w:rsidRPr="00591F6E" w:rsidRDefault="003322DA" w:rsidP="00132F29">
            <w:pPr>
              <w:jc w:val="center"/>
              <w:rPr>
                <w:sz w:val="18"/>
                <w:szCs w:val="16"/>
                <w:lang w:val="en-GB" w:eastAsia="it-IT"/>
              </w:rPr>
            </w:pPr>
            <w:r w:rsidRPr="00591F6E">
              <w:rPr>
                <w:sz w:val="18"/>
                <w:szCs w:val="16"/>
                <w:lang w:val="en-GB" w:eastAsia="it-IT"/>
              </w:rPr>
              <w:t> </w:t>
            </w:r>
          </w:p>
        </w:tc>
      </w:tr>
      <w:tr w:rsidR="003322DA" w:rsidRPr="00591F6E" w14:paraId="29B60EC1"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51D9B1F" w14:textId="77777777" w:rsidR="003322DA" w:rsidRPr="00591F6E" w:rsidRDefault="003322DA" w:rsidP="00132F29">
            <w:pPr>
              <w:rPr>
                <w:sz w:val="18"/>
                <w:szCs w:val="16"/>
                <w:lang w:val="en-GB" w:eastAsia="it-IT"/>
              </w:rPr>
            </w:pPr>
            <w:r w:rsidRPr="00591F6E">
              <w:rPr>
                <w:sz w:val="18"/>
                <w:szCs w:val="16"/>
                <w:lang w:val="en-GB" w:eastAsia="it-IT"/>
              </w:rPr>
              <w:t>Precision</w:t>
            </w:r>
          </w:p>
        </w:tc>
        <w:tc>
          <w:tcPr>
            <w:tcW w:w="1540" w:type="dxa"/>
            <w:tcBorders>
              <w:top w:val="nil"/>
              <w:left w:val="nil"/>
              <w:bottom w:val="nil"/>
              <w:right w:val="nil"/>
            </w:tcBorders>
            <w:shd w:val="clear" w:color="auto" w:fill="auto"/>
            <w:noWrap/>
            <w:vAlign w:val="bottom"/>
            <w:hideMark/>
          </w:tcPr>
          <w:p w14:paraId="5BD4A962" w14:textId="0250CA21" w:rsidR="003322DA" w:rsidRPr="00591F6E" w:rsidRDefault="003322DA" w:rsidP="00132F29">
            <w:pPr>
              <w:jc w:val="center"/>
              <w:rPr>
                <w:sz w:val="18"/>
                <w:szCs w:val="16"/>
                <w:lang w:val="en-GB" w:eastAsia="it-IT"/>
              </w:rPr>
            </w:pPr>
            <w:r w:rsidRPr="00591F6E">
              <w:rPr>
                <w:sz w:val="18"/>
                <w:szCs w:val="16"/>
                <w:lang w:val="en-GB" w:eastAsia="it-IT"/>
              </w:rPr>
              <w:t>-11.47</w:t>
            </w:r>
            <w:r w:rsidR="00E94F0C" w:rsidRPr="00591F6E">
              <w:rPr>
                <w:sz w:val="18"/>
                <w:szCs w:val="16"/>
                <w:lang w:val="en-GB" w:eastAsia="it-IT"/>
              </w:rPr>
              <w:t>6</w:t>
            </w:r>
          </w:p>
        </w:tc>
        <w:tc>
          <w:tcPr>
            <w:tcW w:w="1645" w:type="dxa"/>
            <w:tcBorders>
              <w:top w:val="nil"/>
              <w:left w:val="nil"/>
              <w:bottom w:val="nil"/>
              <w:right w:val="nil"/>
            </w:tcBorders>
            <w:shd w:val="clear" w:color="auto" w:fill="auto"/>
            <w:noWrap/>
            <w:vAlign w:val="bottom"/>
            <w:hideMark/>
          </w:tcPr>
          <w:p w14:paraId="08730C7E" w14:textId="3D53BDDC" w:rsidR="003322DA" w:rsidRPr="00591F6E" w:rsidRDefault="003322DA" w:rsidP="00132F29">
            <w:pPr>
              <w:jc w:val="center"/>
              <w:rPr>
                <w:sz w:val="18"/>
                <w:szCs w:val="16"/>
                <w:lang w:val="en-GB" w:eastAsia="it-IT"/>
              </w:rPr>
            </w:pPr>
            <w:r w:rsidRPr="00591F6E">
              <w:rPr>
                <w:sz w:val="18"/>
                <w:szCs w:val="16"/>
                <w:lang w:val="en-GB" w:eastAsia="it-IT"/>
              </w:rPr>
              <w:t>-12.49</w:t>
            </w:r>
            <w:r w:rsidR="00E94F0C" w:rsidRPr="00591F6E">
              <w:rPr>
                <w:sz w:val="18"/>
                <w:szCs w:val="16"/>
                <w:lang w:val="en-GB" w:eastAsia="it-IT"/>
              </w:rPr>
              <w:t>8</w:t>
            </w:r>
          </w:p>
        </w:tc>
        <w:tc>
          <w:tcPr>
            <w:tcW w:w="1648" w:type="dxa"/>
            <w:tcBorders>
              <w:top w:val="nil"/>
              <w:left w:val="nil"/>
              <w:bottom w:val="nil"/>
              <w:right w:val="nil"/>
            </w:tcBorders>
            <w:shd w:val="clear" w:color="auto" w:fill="auto"/>
            <w:noWrap/>
            <w:vAlign w:val="bottom"/>
            <w:hideMark/>
          </w:tcPr>
          <w:p w14:paraId="40B2E2DD" w14:textId="43C160A6" w:rsidR="003322DA" w:rsidRPr="00591F6E" w:rsidRDefault="003322DA" w:rsidP="00132F29">
            <w:pPr>
              <w:jc w:val="center"/>
              <w:rPr>
                <w:sz w:val="18"/>
                <w:szCs w:val="16"/>
                <w:lang w:val="en-GB" w:eastAsia="it-IT"/>
              </w:rPr>
            </w:pPr>
            <w:r w:rsidRPr="00591F6E">
              <w:rPr>
                <w:sz w:val="18"/>
                <w:szCs w:val="16"/>
                <w:lang w:val="en-GB" w:eastAsia="it-IT"/>
              </w:rPr>
              <w:t>-3.60</w:t>
            </w:r>
            <w:r w:rsidR="00E94F0C" w:rsidRPr="00591F6E">
              <w:rPr>
                <w:sz w:val="18"/>
                <w:szCs w:val="16"/>
                <w:lang w:val="en-GB" w:eastAsia="it-IT"/>
              </w:rPr>
              <w:t>2</w:t>
            </w:r>
          </w:p>
        </w:tc>
      </w:tr>
      <w:tr w:rsidR="003322DA" w:rsidRPr="00591F6E" w14:paraId="680079D6"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4860CD1E"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44A9CAEB" w14:textId="6119CEF0" w:rsidR="003322DA" w:rsidRPr="00591F6E" w:rsidRDefault="003322DA" w:rsidP="00132F29">
            <w:pPr>
              <w:jc w:val="center"/>
              <w:rPr>
                <w:sz w:val="18"/>
                <w:szCs w:val="16"/>
                <w:lang w:val="en-GB" w:eastAsia="it-IT"/>
              </w:rPr>
            </w:pPr>
            <w:r w:rsidRPr="00591F6E">
              <w:rPr>
                <w:sz w:val="18"/>
                <w:szCs w:val="16"/>
                <w:lang w:val="en-GB" w:eastAsia="it-IT"/>
              </w:rPr>
              <w:t>(9.70</w:t>
            </w:r>
            <w:r w:rsidR="00E94F0C" w:rsidRPr="00591F6E">
              <w:rPr>
                <w:sz w:val="18"/>
                <w:szCs w:val="16"/>
                <w:lang w:val="en-GB" w:eastAsia="it-IT"/>
              </w:rPr>
              <w:t>4</w:t>
            </w:r>
            <w:r w:rsidRPr="00591F6E">
              <w:rPr>
                <w:sz w:val="18"/>
                <w:szCs w:val="16"/>
                <w:lang w:val="en-GB" w:eastAsia="it-IT"/>
              </w:rPr>
              <w:t>)</w:t>
            </w:r>
          </w:p>
        </w:tc>
        <w:tc>
          <w:tcPr>
            <w:tcW w:w="1645" w:type="dxa"/>
            <w:tcBorders>
              <w:top w:val="nil"/>
              <w:left w:val="nil"/>
              <w:bottom w:val="nil"/>
              <w:right w:val="nil"/>
            </w:tcBorders>
            <w:shd w:val="clear" w:color="auto" w:fill="auto"/>
            <w:noWrap/>
            <w:vAlign w:val="bottom"/>
            <w:hideMark/>
          </w:tcPr>
          <w:p w14:paraId="40DA7D1A" w14:textId="3624A767" w:rsidR="003322DA" w:rsidRPr="00591F6E" w:rsidRDefault="003322DA" w:rsidP="00132F29">
            <w:pPr>
              <w:jc w:val="center"/>
              <w:rPr>
                <w:sz w:val="18"/>
                <w:szCs w:val="16"/>
                <w:lang w:val="en-GB" w:eastAsia="it-IT"/>
              </w:rPr>
            </w:pPr>
            <w:r w:rsidRPr="00591F6E">
              <w:rPr>
                <w:sz w:val="18"/>
                <w:szCs w:val="16"/>
                <w:lang w:val="en-GB" w:eastAsia="it-IT"/>
              </w:rPr>
              <w:t>(8.198)</w:t>
            </w:r>
          </w:p>
        </w:tc>
        <w:tc>
          <w:tcPr>
            <w:tcW w:w="1648" w:type="dxa"/>
            <w:tcBorders>
              <w:top w:val="nil"/>
              <w:left w:val="nil"/>
              <w:bottom w:val="nil"/>
              <w:right w:val="nil"/>
            </w:tcBorders>
            <w:shd w:val="clear" w:color="auto" w:fill="auto"/>
            <w:noWrap/>
            <w:vAlign w:val="bottom"/>
            <w:hideMark/>
          </w:tcPr>
          <w:p w14:paraId="18FE1F39" w14:textId="5084EDD3" w:rsidR="003322DA" w:rsidRPr="00591F6E" w:rsidRDefault="003322DA" w:rsidP="00132F29">
            <w:pPr>
              <w:jc w:val="center"/>
              <w:rPr>
                <w:sz w:val="18"/>
                <w:szCs w:val="16"/>
                <w:lang w:val="en-GB" w:eastAsia="it-IT"/>
              </w:rPr>
            </w:pPr>
            <w:r w:rsidRPr="00591F6E">
              <w:rPr>
                <w:sz w:val="18"/>
                <w:szCs w:val="16"/>
                <w:lang w:val="en-GB" w:eastAsia="it-IT"/>
              </w:rPr>
              <w:t>(3.59</w:t>
            </w:r>
            <w:r w:rsidR="00E94F0C" w:rsidRPr="00591F6E">
              <w:rPr>
                <w:sz w:val="18"/>
                <w:szCs w:val="16"/>
                <w:lang w:val="en-GB" w:eastAsia="it-IT"/>
              </w:rPr>
              <w:t>3</w:t>
            </w:r>
            <w:r w:rsidRPr="00591F6E">
              <w:rPr>
                <w:sz w:val="18"/>
                <w:szCs w:val="16"/>
                <w:lang w:val="en-GB" w:eastAsia="it-IT"/>
              </w:rPr>
              <w:t>)</w:t>
            </w:r>
          </w:p>
        </w:tc>
      </w:tr>
      <w:tr w:rsidR="003322DA" w:rsidRPr="00591F6E" w14:paraId="78C7BE71"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754F066B" w14:textId="77777777" w:rsidR="003322DA" w:rsidRPr="00591F6E" w:rsidRDefault="003322DA" w:rsidP="00132F29">
            <w:pPr>
              <w:rPr>
                <w:sz w:val="18"/>
                <w:szCs w:val="16"/>
                <w:lang w:val="en-GB" w:eastAsia="it-IT"/>
              </w:rPr>
            </w:pPr>
            <w:r w:rsidRPr="00591F6E">
              <w:rPr>
                <w:sz w:val="18"/>
                <w:szCs w:val="16"/>
                <w:lang w:val="en-GB" w:eastAsia="it-IT"/>
              </w:rPr>
              <w:t>Minerals, drugs</w:t>
            </w:r>
          </w:p>
        </w:tc>
        <w:tc>
          <w:tcPr>
            <w:tcW w:w="1540" w:type="dxa"/>
            <w:tcBorders>
              <w:top w:val="nil"/>
              <w:left w:val="nil"/>
              <w:bottom w:val="nil"/>
              <w:right w:val="nil"/>
            </w:tcBorders>
            <w:shd w:val="clear" w:color="auto" w:fill="auto"/>
            <w:noWrap/>
            <w:vAlign w:val="bottom"/>
            <w:hideMark/>
          </w:tcPr>
          <w:p w14:paraId="73B6247D" w14:textId="16A487C1" w:rsidR="003322DA" w:rsidRPr="00591F6E" w:rsidRDefault="003322DA" w:rsidP="00132F29">
            <w:pPr>
              <w:jc w:val="center"/>
              <w:rPr>
                <w:sz w:val="18"/>
                <w:szCs w:val="16"/>
                <w:lang w:val="en-GB" w:eastAsia="it-IT"/>
              </w:rPr>
            </w:pPr>
            <w:r w:rsidRPr="00591F6E">
              <w:rPr>
                <w:sz w:val="18"/>
                <w:szCs w:val="16"/>
                <w:lang w:val="en-GB" w:eastAsia="it-IT"/>
              </w:rPr>
              <w:t>4.681**</w:t>
            </w:r>
          </w:p>
        </w:tc>
        <w:tc>
          <w:tcPr>
            <w:tcW w:w="1645" w:type="dxa"/>
            <w:tcBorders>
              <w:top w:val="nil"/>
              <w:left w:val="nil"/>
              <w:bottom w:val="nil"/>
              <w:right w:val="nil"/>
            </w:tcBorders>
            <w:shd w:val="clear" w:color="auto" w:fill="auto"/>
            <w:noWrap/>
            <w:vAlign w:val="bottom"/>
            <w:hideMark/>
          </w:tcPr>
          <w:p w14:paraId="2DA2C5B9" w14:textId="1FB50905" w:rsidR="003322DA" w:rsidRPr="00591F6E" w:rsidRDefault="003322DA" w:rsidP="00132F29">
            <w:pPr>
              <w:jc w:val="center"/>
              <w:rPr>
                <w:sz w:val="18"/>
                <w:szCs w:val="16"/>
                <w:lang w:val="en-GB" w:eastAsia="it-IT"/>
              </w:rPr>
            </w:pPr>
            <w:r w:rsidRPr="00591F6E">
              <w:rPr>
                <w:sz w:val="18"/>
                <w:szCs w:val="16"/>
                <w:lang w:val="en-GB" w:eastAsia="it-IT"/>
              </w:rPr>
              <w:t>6.36</w:t>
            </w:r>
            <w:r w:rsidR="00E94F0C" w:rsidRPr="00591F6E">
              <w:rPr>
                <w:sz w:val="18"/>
                <w:szCs w:val="16"/>
                <w:lang w:val="en-GB" w:eastAsia="it-IT"/>
              </w:rPr>
              <w:t>6</w:t>
            </w:r>
            <w:r w:rsidRPr="00591F6E">
              <w:rPr>
                <w:sz w:val="18"/>
                <w:szCs w:val="16"/>
                <w:lang w:val="en-GB" w:eastAsia="it-IT"/>
              </w:rPr>
              <w:t>***</w:t>
            </w:r>
          </w:p>
        </w:tc>
        <w:tc>
          <w:tcPr>
            <w:tcW w:w="1648" w:type="dxa"/>
            <w:tcBorders>
              <w:top w:val="nil"/>
              <w:left w:val="nil"/>
              <w:bottom w:val="nil"/>
              <w:right w:val="nil"/>
            </w:tcBorders>
            <w:shd w:val="clear" w:color="auto" w:fill="auto"/>
            <w:noWrap/>
            <w:vAlign w:val="bottom"/>
            <w:hideMark/>
          </w:tcPr>
          <w:p w14:paraId="58881CDA" w14:textId="7F27C8B3" w:rsidR="003322DA" w:rsidRPr="00591F6E" w:rsidRDefault="003322DA" w:rsidP="00132F29">
            <w:pPr>
              <w:jc w:val="center"/>
              <w:rPr>
                <w:sz w:val="18"/>
                <w:szCs w:val="16"/>
                <w:lang w:val="en-GB" w:eastAsia="it-IT"/>
              </w:rPr>
            </w:pPr>
            <w:r w:rsidRPr="00591F6E">
              <w:rPr>
                <w:sz w:val="18"/>
                <w:szCs w:val="16"/>
                <w:lang w:val="en-GB" w:eastAsia="it-IT"/>
              </w:rPr>
              <w:t>3.298*</w:t>
            </w:r>
          </w:p>
        </w:tc>
      </w:tr>
      <w:tr w:rsidR="003322DA" w:rsidRPr="00591F6E" w14:paraId="14288ECC"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21E200CB"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76453C71" w14:textId="4C4534E4" w:rsidR="003322DA" w:rsidRPr="00591F6E" w:rsidRDefault="003322DA" w:rsidP="00132F29">
            <w:pPr>
              <w:jc w:val="center"/>
              <w:rPr>
                <w:sz w:val="18"/>
                <w:szCs w:val="16"/>
                <w:lang w:val="en-GB" w:eastAsia="it-IT"/>
              </w:rPr>
            </w:pPr>
            <w:r w:rsidRPr="00591F6E">
              <w:rPr>
                <w:sz w:val="18"/>
                <w:szCs w:val="16"/>
                <w:lang w:val="en-GB" w:eastAsia="it-IT"/>
              </w:rPr>
              <w:t>(1.78</w:t>
            </w:r>
            <w:r w:rsidR="00E94F0C" w:rsidRPr="00591F6E">
              <w:rPr>
                <w:sz w:val="18"/>
                <w:szCs w:val="16"/>
                <w:lang w:val="en-GB" w:eastAsia="it-IT"/>
              </w:rPr>
              <w:t>6</w:t>
            </w:r>
            <w:r w:rsidRPr="00591F6E">
              <w:rPr>
                <w:sz w:val="18"/>
                <w:szCs w:val="16"/>
                <w:lang w:val="en-GB" w:eastAsia="it-IT"/>
              </w:rPr>
              <w:t>)</w:t>
            </w:r>
          </w:p>
        </w:tc>
        <w:tc>
          <w:tcPr>
            <w:tcW w:w="1645" w:type="dxa"/>
            <w:tcBorders>
              <w:top w:val="nil"/>
              <w:left w:val="nil"/>
              <w:bottom w:val="nil"/>
              <w:right w:val="nil"/>
            </w:tcBorders>
            <w:shd w:val="clear" w:color="auto" w:fill="auto"/>
            <w:noWrap/>
            <w:vAlign w:val="bottom"/>
            <w:hideMark/>
          </w:tcPr>
          <w:p w14:paraId="592CACF1" w14:textId="3BA698A1" w:rsidR="003322DA" w:rsidRPr="00591F6E" w:rsidRDefault="003322DA" w:rsidP="00132F29">
            <w:pPr>
              <w:jc w:val="center"/>
              <w:rPr>
                <w:sz w:val="18"/>
                <w:szCs w:val="16"/>
                <w:lang w:val="en-GB" w:eastAsia="it-IT"/>
              </w:rPr>
            </w:pPr>
            <w:r w:rsidRPr="00591F6E">
              <w:rPr>
                <w:sz w:val="18"/>
                <w:szCs w:val="16"/>
                <w:lang w:val="en-GB" w:eastAsia="it-IT"/>
              </w:rPr>
              <w:t>(0.06</w:t>
            </w:r>
            <w:r w:rsidR="00E94F0C" w:rsidRPr="00591F6E">
              <w:rPr>
                <w:sz w:val="18"/>
                <w:szCs w:val="16"/>
                <w:lang w:val="en-GB" w:eastAsia="it-IT"/>
              </w:rPr>
              <w:t>4</w:t>
            </w:r>
            <w:r w:rsidRPr="00591F6E">
              <w:rPr>
                <w:sz w:val="18"/>
                <w:szCs w:val="16"/>
                <w:lang w:val="en-GB" w:eastAsia="it-IT"/>
              </w:rPr>
              <w:t>)</w:t>
            </w:r>
          </w:p>
        </w:tc>
        <w:tc>
          <w:tcPr>
            <w:tcW w:w="1648" w:type="dxa"/>
            <w:tcBorders>
              <w:top w:val="nil"/>
              <w:left w:val="nil"/>
              <w:bottom w:val="nil"/>
              <w:right w:val="nil"/>
            </w:tcBorders>
            <w:shd w:val="clear" w:color="auto" w:fill="auto"/>
            <w:noWrap/>
            <w:vAlign w:val="bottom"/>
            <w:hideMark/>
          </w:tcPr>
          <w:p w14:paraId="21F376FD" w14:textId="013A3328" w:rsidR="003322DA" w:rsidRPr="00591F6E" w:rsidRDefault="003322DA" w:rsidP="00132F29">
            <w:pPr>
              <w:jc w:val="center"/>
              <w:rPr>
                <w:sz w:val="18"/>
                <w:szCs w:val="16"/>
                <w:lang w:val="en-GB" w:eastAsia="it-IT"/>
              </w:rPr>
            </w:pPr>
            <w:r w:rsidRPr="00591F6E">
              <w:rPr>
                <w:sz w:val="18"/>
                <w:szCs w:val="16"/>
                <w:lang w:val="en-GB" w:eastAsia="it-IT"/>
              </w:rPr>
              <w:t>(1.905)</w:t>
            </w:r>
          </w:p>
        </w:tc>
      </w:tr>
      <w:tr w:rsidR="003322DA" w:rsidRPr="00591F6E" w14:paraId="0132946E"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72FAD523" w14:textId="77777777" w:rsidR="003322DA" w:rsidRPr="00591F6E" w:rsidRDefault="003322DA" w:rsidP="00132F29">
            <w:pPr>
              <w:rPr>
                <w:sz w:val="18"/>
                <w:szCs w:val="16"/>
                <w:lang w:val="en-GB" w:eastAsia="it-IT"/>
              </w:rPr>
            </w:pPr>
            <w:r w:rsidRPr="00591F6E">
              <w:rPr>
                <w:sz w:val="18"/>
                <w:szCs w:val="16"/>
                <w:lang w:val="en-GB" w:eastAsia="it-IT"/>
              </w:rPr>
              <w:t>Water</w:t>
            </w:r>
          </w:p>
        </w:tc>
        <w:tc>
          <w:tcPr>
            <w:tcW w:w="1540" w:type="dxa"/>
            <w:tcBorders>
              <w:top w:val="nil"/>
              <w:left w:val="nil"/>
              <w:bottom w:val="nil"/>
              <w:right w:val="nil"/>
            </w:tcBorders>
            <w:shd w:val="clear" w:color="auto" w:fill="auto"/>
            <w:noWrap/>
            <w:vAlign w:val="bottom"/>
            <w:hideMark/>
          </w:tcPr>
          <w:p w14:paraId="1BCFA64A" w14:textId="30C930C4" w:rsidR="003322DA" w:rsidRPr="00591F6E" w:rsidRDefault="003322DA" w:rsidP="00132F29">
            <w:pPr>
              <w:jc w:val="center"/>
              <w:rPr>
                <w:sz w:val="18"/>
                <w:szCs w:val="16"/>
                <w:lang w:val="en-GB" w:eastAsia="it-IT"/>
              </w:rPr>
            </w:pPr>
            <w:r w:rsidRPr="00591F6E">
              <w:rPr>
                <w:sz w:val="18"/>
                <w:szCs w:val="16"/>
                <w:lang w:val="en-GB" w:eastAsia="it-IT"/>
              </w:rPr>
              <w:t>4.953</w:t>
            </w:r>
          </w:p>
        </w:tc>
        <w:tc>
          <w:tcPr>
            <w:tcW w:w="1645" w:type="dxa"/>
            <w:tcBorders>
              <w:top w:val="nil"/>
              <w:left w:val="nil"/>
              <w:bottom w:val="nil"/>
              <w:right w:val="nil"/>
            </w:tcBorders>
            <w:shd w:val="clear" w:color="auto" w:fill="auto"/>
            <w:noWrap/>
            <w:vAlign w:val="bottom"/>
            <w:hideMark/>
          </w:tcPr>
          <w:p w14:paraId="082B210E" w14:textId="3160A1A0" w:rsidR="003322DA" w:rsidRPr="00591F6E" w:rsidRDefault="003322DA" w:rsidP="00132F29">
            <w:pPr>
              <w:jc w:val="center"/>
              <w:rPr>
                <w:sz w:val="18"/>
                <w:szCs w:val="16"/>
                <w:lang w:val="en-GB" w:eastAsia="it-IT"/>
              </w:rPr>
            </w:pPr>
            <w:r w:rsidRPr="00591F6E">
              <w:rPr>
                <w:sz w:val="18"/>
                <w:szCs w:val="16"/>
                <w:lang w:val="en-GB" w:eastAsia="it-IT"/>
              </w:rPr>
              <w:t>6.318</w:t>
            </w:r>
          </w:p>
        </w:tc>
        <w:tc>
          <w:tcPr>
            <w:tcW w:w="1648" w:type="dxa"/>
            <w:tcBorders>
              <w:top w:val="nil"/>
              <w:left w:val="nil"/>
              <w:bottom w:val="nil"/>
              <w:right w:val="nil"/>
            </w:tcBorders>
            <w:shd w:val="clear" w:color="auto" w:fill="auto"/>
            <w:noWrap/>
            <w:vAlign w:val="bottom"/>
            <w:hideMark/>
          </w:tcPr>
          <w:p w14:paraId="799FC417" w14:textId="2A39AE7C" w:rsidR="003322DA" w:rsidRPr="00591F6E" w:rsidRDefault="003322DA" w:rsidP="00132F29">
            <w:pPr>
              <w:jc w:val="center"/>
              <w:rPr>
                <w:sz w:val="18"/>
                <w:szCs w:val="16"/>
                <w:lang w:val="en-GB" w:eastAsia="it-IT"/>
              </w:rPr>
            </w:pPr>
            <w:r w:rsidRPr="00591F6E">
              <w:rPr>
                <w:sz w:val="18"/>
                <w:szCs w:val="16"/>
                <w:lang w:val="en-GB" w:eastAsia="it-IT"/>
              </w:rPr>
              <w:t>4.05</w:t>
            </w:r>
            <w:r w:rsidR="00E94F0C" w:rsidRPr="00591F6E">
              <w:rPr>
                <w:sz w:val="18"/>
                <w:szCs w:val="16"/>
                <w:lang w:val="en-GB" w:eastAsia="it-IT"/>
              </w:rPr>
              <w:t>7</w:t>
            </w:r>
          </w:p>
        </w:tc>
      </w:tr>
      <w:tr w:rsidR="003322DA" w:rsidRPr="00591F6E" w14:paraId="64F5916C"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C74ECFF"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7CB4AC7B" w14:textId="01E79AED" w:rsidR="003322DA" w:rsidRPr="00591F6E" w:rsidRDefault="003322DA" w:rsidP="00132F29">
            <w:pPr>
              <w:jc w:val="center"/>
              <w:rPr>
                <w:sz w:val="18"/>
                <w:szCs w:val="16"/>
                <w:lang w:val="en-GB" w:eastAsia="it-IT"/>
              </w:rPr>
            </w:pPr>
            <w:r w:rsidRPr="00591F6E">
              <w:rPr>
                <w:sz w:val="18"/>
                <w:szCs w:val="16"/>
                <w:lang w:val="en-GB" w:eastAsia="it-IT"/>
              </w:rPr>
              <w:t>(4.081)</w:t>
            </w:r>
          </w:p>
        </w:tc>
        <w:tc>
          <w:tcPr>
            <w:tcW w:w="1645" w:type="dxa"/>
            <w:tcBorders>
              <w:top w:val="nil"/>
              <w:left w:val="nil"/>
              <w:bottom w:val="nil"/>
              <w:right w:val="nil"/>
            </w:tcBorders>
            <w:shd w:val="clear" w:color="auto" w:fill="auto"/>
            <w:noWrap/>
            <w:vAlign w:val="bottom"/>
            <w:hideMark/>
          </w:tcPr>
          <w:p w14:paraId="3A49D8B7" w14:textId="2D2F1B57" w:rsidR="003322DA" w:rsidRPr="00591F6E" w:rsidRDefault="003322DA" w:rsidP="00132F29">
            <w:pPr>
              <w:jc w:val="center"/>
              <w:rPr>
                <w:sz w:val="18"/>
                <w:szCs w:val="16"/>
                <w:lang w:val="en-GB" w:eastAsia="it-IT"/>
              </w:rPr>
            </w:pPr>
            <w:r w:rsidRPr="00591F6E">
              <w:rPr>
                <w:sz w:val="18"/>
                <w:szCs w:val="16"/>
                <w:lang w:val="en-GB" w:eastAsia="it-IT"/>
              </w:rPr>
              <w:t>(4.113)</w:t>
            </w:r>
          </w:p>
        </w:tc>
        <w:tc>
          <w:tcPr>
            <w:tcW w:w="1648" w:type="dxa"/>
            <w:tcBorders>
              <w:top w:val="nil"/>
              <w:left w:val="nil"/>
              <w:bottom w:val="nil"/>
              <w:right w:val="nil"/>
            </w:tcBorders>
            <w:shd w:val="clear" w:color="auto" w:fill="auto"/>
            <w:noWrap/>
            <w:vAlign w:val="bottom"/>
            <w:hideMark/>
          </w:tcPr>
          <w:p w14:paraId="3E0BC79C" w14:textId="033896A7" w:rsidR="003322DA" w:rsidRPr="00591F6E" w:rsidRDefault="003322DA" w:rsidP="00132F29">
            <w:pPr>
              <w:jc w:val="center"/>
              <w:rPr>
                <w:sz w:val="18"/>
                <w:szCs w:val="16"/>
                <w:lang w:val="en-GB" w:eastAsia="it-IT"/>
              </w:rPr>
            </w:pPr>
            <w:r w:rsidRPr="00591F6E">
              <w:rPr>
                <w:sz w:val="18"/>
                <w:szCs w:val="16"/>
                <w:lang w:val="en-GB" w:eastAsia="it-IT"/>
              </w:rPr>
              <w:t>(3.254)</w:t>
            </w:r>
          </w:p>
        </w:tc>
      </w:tr>
      <w:tr w:rsidR="003322DA" w:rsidRPr="00591F6E" w14:paraId="1C425169"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BD8CFB3" w14:textId="77777777" w:rsidR="003322DA" w:rsidRPr="00591F6E" w:rsidRDefault="003322DA" w:rsidP="00132F29">
            <w:pPr>
              <w:rPr>
                <w:sz w:val="18"/>
                <w:szCs w:val="16"/>
                <w:lang w:val="en-GB" w:eastAsia="it-IT"/>
              </w:rPr>
            </w:pPr>
            <w:r w:rsidRPr="00591F6E">
              <w:rPr>
                <w:sz w:val="18"/>
                <w:szCs w:val="16"/>
                <w:lang w:val="en-GB" w:eastAsia="it-IT"/>
              </w:rPr>
              <w:t>Land, vegetation</w:t>
            </w:r>
          </w:p>
        </w:tc>
        <w:tc>
          <w:tcPr>
            <w:tcW w:w="1540" w:type="dxa"/>
            <w:tcBorders>
              <w:top w:val="nil"/>
              <w:left w:val="nil"/>
              <w:bottom w:val="nil"/>
              <w:right w:val="nil"/>
            </w:tcBorders>
            <w:shd w:val="clear" w:color="auto" w:fill="auto"/>
            <w:noWrap/>
            <w:vAlign w:val="bottom"/>
            <w:hideMark/>
          </w:tcPr>
          <w:p w14:paraId="07A4DC59" w14:textId="2CF83812" w:rsidR="003322DA" w:rsidRPr="00591F6E" w:rsidRDefault="003322DA" w:rsidP="00132F29">
            <w:pPr>
              <w:jc w:val="center"/>
              <w:rPr>
                <w:sz w:val="18"/>
                <w:szCs w:val="16"/>
                <w:lang w:val="en-GB" w:eastAsia="it-IT"/>
              </w:rPr>
            </w:pPr>
            <w:r w:rsidRPr="00591F6E">
              <w:rPr>
                <w:sz w:val="18"/>
                <w:szCs w:val="16"/>
                <w:lang w:val="en-GB" w:eastAsia="it-IT"/>
              </w:rPr>
              <w:t>1.631***</w:t>
            </w:r>
          </w:p>
        </w:tc>
        <w:tc>
          <w:tcPr>
            <w:tcW w:w="1645" w:type="dxa"/>
            <w:tcBorders>
              <w:top w:val="nil"/>
              <w:left w:val="nil"/>
              <w:bottom w:val="nil"/>
              <w:right w:val="nil"/>
            </w:tcBorders>
            <w:shd w:val="clear" w:color="auto" w:fill="auto"/>
            <w:noWrap/>
            <w:vAlign w:val="bottom"/>
            <w:hideMark/>
          </w:tcPr>
          <w:p w14:paraId="5AA5FF66" w14:textId="498BD53F" w:rsidR="003322DA" w:rsidRPr="00591F6E" w:rsidRDefault="003322DA" w:rsidP="00132F29">
            <w:pPr>
              <w:jc w:val="center"/>
              <w:rPr>
                <w:sz w:val="18"/>
                <w:szCs w:val="16"/>
                <w:lang w:val="en-GB" w:eastAsia="it-IT"/>
              </w:rPr>
            </w:pPr>
            <w:r w:rsidRPr="00591F6E">
              <w:rPr>
                <w:sz w:val="18"/>
                <w:szCs w:val="16"/>
                <w:lang w:val="en-GB" w:eastAsia="it-IT"/>
              </w:rPr>
              <w:t>1.638***</w:t>
            </w:r>
          </w:p>
        </w:tc>
        <w:tc>
          <w:tcPr>
            <w:tcW w:w="1648" w:type="dxa"/>
            <w:tcBorders>
              <w:top w:val="nil"/>
              <w:left w:val="nil"/>
              <w:bottom w:val="nil"/>
              <w:right w:val="nil"/>
            </w:tcBorders>
            <w:shd w:val="clear" w:color="auto" w:fill="auto"/>
            <w:noWrap/>
            <w:vAlign w:val="bottom"/>
            <w:hideMark/>
          </w:tcPr>
          <w:p w14:paraId="2D43C752" w14:textId="1480A00A" w:rsidR="003322DA" w:rsidRPr="00591F6E" w:rsidRDefault="003322DA" w:rsidP="00132F29">
            <w:pPr>
              <w:jc w:val="center"/>
              <w:rPr>
                <w:sz w:val="18"/>
                <w:szCs w:val="16"/>
                <w:lang w:val="en-GB" w:eastAsia="it-IT"/>
              </w:rPr>
            </w:pPr>
            <w:r w:rsidRPr="00591F6E">
              <w:rPr>
                <w:sz w:val="18"/>
                <w:szCs w:val="16"/>
                <w:lang w:val="en-GB" w:eastAsia="it-IT"/>
              </w:rPr>
              <w:t>2.548</w:t>
            </w:r>
          </w:p>
        </w:tc>
      </w:tr>
      <w:tr w:rsidR="003322DA" w:rsidRPr="00591F6E" w14:paraId="16BEAE9F"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739DA99"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4183F4ED" w14:textId="2588646B" w:rsidR="003322DA" w:rsidRPr="00591F6E" w:rsidRDefault="003322DA" w:rsidP="00132F29">
            <w:pPr>
              <w:jc w:val="center"/>
              <w:rPr>
                <w:sz w:val="18"/>
                <w:szCs w:val="16"/>
                <w:lang w:val="en-GB" w:eastAsia="it-IT"/>
              </w:rPr>
            </w:pPr>
            <w:r w:rsidRPr="00591F6E">
              <w:rPr>
                <w:sz w:val="18"/>
                <w:szCs w:val="16"/>
                <w:lang w:val="en-GB" w:eastAsia="it-IT"/>
              </w:rPr>
              <w:t>(0.067)</w:t>
            </w:r>
          </w:p>
        </w:tc>
        <w:tc>
          <w:tcPr>
            <w:tcW w:w="1645" w:type="dxa"/>
            <w:tcBorders>
              <w:top w:val="nil"/>
              <w:left w:val="nil"/>
              <w:bottom w:val="nil"/>
              <w:right w:val="nil"/>
            </w:tcBorders>
            <w:shd w:val="clear" w:color="auto" w:fill="auto"/>
            <w:noWrap/>
            <w:vAlign w:val="bottom"/>
            <w:hideMark/>
          </w:tcPr>
          <w:p w14:paraId="7E57FDAA" w14:textId="7C812CF7" w:rsidR="003322DA" w:rsidRPr="00591F6E" w:rsidRDefault="003322DA" w:rsidP="00132F29">
            <w:pPr>
              <w:jc w:val="center"/>
              <w:rPr>
                <w:sz w:val="18"/>
                <w:szCs w:val="16"/>
                <w:lang w:val="en-GB" w:eastAsia="it-IT"/>
              </w:rPr>
            </w:pPr>
            <w:r w:rsidRPr="00591F6E">
              <w:rPr>
                <w:sz w:val="18"/>
                <w:szCs w:val="16"/>
                <w:lang w:val="en-GB" w:eastAsia="it-IT"/>
              </w:rPr>
              <w:t>(0.057)</w:t>
            </w:r>
          </w:p>
        </w:tc>
        <w:tc>
          <w:tcPr>
            <w:tcW w:w="1648" w:type="dxa"/>
            <w:tcBorders>
              <w:top w:val="nil"/>
              <w:left w:val="nil"/>
              <w:bottom w:val="nil"/>
              <w:right w:val="nil"/>
            </w:tcBorders>
            <w:shd w:val="clear" w:color="auto" w:fill="auto"/>
            <w:noWrap/>
            <w:vAlign w:val="bottom"/>
            <w:hideMark/>
          </w:tcPr>
          <w:p w14:paraId="10AB4D3C" w14:textId="5CB519FC" w:rsidR="003322DA" w:rsidRPr="00591F6E" w:rsidRDefault="003322DA" w:rsidP="00132F29">
            <w:pPr>
              <w:jc w:val="center"/>
              <w:rPr>
                <w:sz w:val="18"/>
                <w:szCs w:val="16"/>
                <w:lang w:val="en-GB" w:eastAsia="it-IT"/>
              </w:rPr>
            </w:pPr>
            <w:r w:rsidRPr="00591F6E">
              <w:rPr>
                <w:sz w:val="18"/>
                <w:szCs w:val="16"/>
                <w:lang w:val="en-GB" w:eastAsia="it-IT"/>
              </w:rPr>
              <w:t>(2.51</w:t>
            </w:r>
            <w:r w:rsidR="00E94F0C" w:rsidRPr="00591F6E">
              <w:rPr>
                <w:sz w:val="18"/>
                <w:szCs w:val="16"/>
                <w:lang w:val="en-GB" w:eastAsia="it-IT"/>
              </w:rPr>
              <w:t>1</w:t>
            </w:r>
            <w:r w:rsidRPr="00591F6E">
              <w:rPr>
                <w:sz w:val="18"/>
                <w:szCs w:val="16"/>
                <w:lang w:val="en-GB" w:eastAsia="it-IT"/>
              </w:rPr>
              <w:t>)</w:t>
            </w:r>
          </w:p>
        </w:tc>
      </w:tr>
      <w:tr w:rsidR="003322DA" w:rsidRPr="00591F6E" w14:paraId="59AA2862"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2C3DC99A" w14:textId="77777777" w:rsidR="003322DA" w:rsidRPr="00591F6E" w:rsidRDefault="003322DA" w:rsidP="00132F29">
            <w:pPr>
              <w:rPr>
                <w:sz w:val="18"/>
                <w:szCs w:val="16"/>
                <w:lang w:val="en-GB" w:eastAsia="it-IT"/>
              </w:rPr>
            </w:pPr>
            <w:r w:rsidRPr="00591F6E">
              <w:rPr>
                <w:sz w:val="18"/>
                <w:szCs w:val="16"/>
                <w:lang w:val="en-GB" w:eastAsia="it-IT"/>
              </w:rPr>
              <w:t>Climate</w:t>
            </w:r>
          </w:p>
        </w:tc>
        <w:tc>
          <w:tcPr>
            <w:tcW w:w="1540" w:type="dxa"/>
            <w:tcBorders>
              <w:top w:val="nil"/>
              <w:left w:val="nil"/>
              <w:bottom w:val="nil"/>
              <w:right w:val="nil"/>
            </w:tcBorders>
            <w:shd w:val="clear" w:color="auto" w:fill="auto"/>
            <w:noWrap/>
            <w:vAlign w:val="bottom"/>
            <w:hideMark/>
          </w:tcPr>
          <w:p w14:paraId="596BE97E"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1BE96ABB" w14:textId="2AB2C2CD" w:rsidR="003322DA" w:rsidRPr="00591F6E" w:rsidRDefault="003322DA" w:rsidP="00132F29">
            <w:pPr>
              <w:jc w:val="center"/>
              <w:rPr>
                <w:sz w:val="18"/>
                <w:szCs w:val="16"/>
                <w:lang w:val="en-GB" w:eastAsia="it-IT"/>
              </w:rPr>
            </w:pPr>
            <w:r w:rsidRPr="00591F6E">
              <w:rPr>
                <w:sz w:val="18"/>
                <w:szCs w:val="16"/>
                <w:lang w:val="en-GB" w:eastAsia="it-IT"/>
              </w:rPr>
              <w:t>-6.1</w:t>
            </w:r>
            <w:r w:rsidR="00E94F0C" w:rsidRPr="00591F6E">
              <w:rPr>
                <w:sz w:val="18"/>
                <w:szCs w:val="16"/>
                <w:lang w:val="en-GB" w:eastAsia="it-IT"/>
              </w:rPr>
              <w:t>80</w:t>
            </w:r>
            <w:r w:rsidRPr="00591F6E">
              <w:rPr>
                <w:sz w:val="18"/>
                <w:szCs w:val="16"/>
                <w:lang w:val="en-GB" w:eastAsia="it-IT"/>
              </w:rPr>
              <w:t>***</w:t>
            </w:r>
          </w:p>
        </w:tc>
        <w:tc>
          <w:tcPr>
            <w:tcW w:w="1648" w:type="dxa"/>
            <w:tcBorders>
              <w:top w:val="nil"/>
              <w:left w:val="nil"/>
              <w:bottom w:val="nil"/>
              <w:right w:val="nil"/>
            </w:tcBorders>
            <w:shd w:val="clear" w:color="auto" w:fill="auto"/>
            <w:noWrap/>
            <w:vAlign w:val="bottom"/>
            <w:hideMark/>
          </w:tcPr>
          <w:p w14:paraId="64B0473F" w14:textId="2A61C1F5" w:rsidR="003322DA" w:rsidRPr="00591F6E" w:rsidRDefault="003322DA" w:rsidP="00132F29">
            <w:pPr>
              <w:jc w:val="center"/>
              <w:rPr>
                <w:sz w:val="18"/>
                <w:szCs w:val="16"/>
                <w:lang w:val="en-GB" w:eastAsia="it-IT"/>
              </w:rPr>
            </w:pPr>
            <w:r w:rsidRPr="00591F6E">
              <w:rPr>
                <w:sz w:val="18"/>
                <w:szCs w:val="16"/>
                <w:lang w:val="en-GB" w:eastAsia="it-IT"/>
              </w:rPr>
              <w:t>3.65</w:t>
            </w:r>
            <w:r w:rsidR="00E94F0C" w:rsidRPr="00591F6E">
              <w:rPr>
                <w:sz w:val="18"/>
                <w:szCs w:val="16"/>
                <w:lang w:val="en-GB" w:eastAsia="it-IT"/>
              </w:rPr>
              <w:t>2</w:t>
            </w:r>
            <w:r w:rsidRPr="00591F6E">
              <w:rPr>
                <w:sz w:val="18"/>
                <w:szCs w:val="16"/>
                <w:lang w:val="en-GB" w:eastAsia="it-IT"/>
              </w:rPr>
              <w:t>**</w:t>
            </w:r>
          </w:p>
        </w:tc>
      </w:tr>
      <w:tr w:rsidR="003322DA" w:rsidRPr="00591F6E" w14:paraId="0E3691B0"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6FDC120A"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68ACECB0"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4D00FADF" w14:textId="47FA3295" w:rsidR="003322DA" w:rsidRPr="00591F6E" w:rsidRDefault="003322DA" w:rsidP="00132F29">
            <w:pPr>
              <w:jc w:val="center"/>
              <w:rPr>
                <w:sz w:val="18"/>
                <w:szCs w:val="16"/>
                <w:lang w:val="en-GB" w:eastAsia="it-IT"/>
              </w:rPr>
            </w:pPr>
            <w:r w:rsidRPr="00591F6E">
              <w:rPr>
                <w:sz w:val="18"/>
                <w:szCs w:val="16"/>
                <w:lang w:val="en-GB" w:eastAsia="it-IT"/>
              </w:rPr>
              <w:t>(0.06</w:t>
            </w:r>
            <w:r w:rsidR="00E94F0C" w:rsidRPr="00591F6E">
              <w:rPr>
                <w:sz w:val="18"/>
                <w:szCs w:val="16"/>
                <w:lang w:val="en-GB" w:eastAsia="it-IT"/>
              </w:rPr>
              <w:t>6</w:t>
            </w:r>
            <w:r w:rsidRPr="00591F6E">
              <w:rPr>
                <w:sz w:val="18"/>
                <w:szCs w:val="16"/>
                <w:lang w:val="en-GB" w:eastAsia="it-IT"/>
              </w:rPr>
              <w:t>)</w:t>
            </w:r>
          </w:p>
        </w:tc>
        <w:tc>
          <w:tcPr>
            <w:tcW w:w="1648" w:type="dxa"/>
            <w:tcBorders>
              <w:top w:val="nil"/>
              <w:left w:val="nil"/>
              <w:bottom w:val="nil"/>
              <w:right w:val="nil"/>
            </w:tcBorders>
            <w:shd w:val="clear" w:color="auto" w:fill="auto"/>
            <w:noWrap/>
            <w:vAlign w:val="bottom"/>
            <w:hideMark/>
          </w:tcPr>
          <w:p w14:paraId="39A51C2C" w14:textId="64735173" w:rsidR="003322DA" w:rsidRPr="00591F6E" w:rsidRDefault="003322DA" w:rsidP="00132F29">
            <w:pPr>
              <w:jc w:val="center"/>
              <w:rPr>
                <w:sz w:val="18"/>
                <w:szCs w:val="16"/>
                <w:lang w:val="en-GB" w:eastAsia="it-IT"/>
              </w:rPr>
            </w:pPr>
            <w:r w:rsidRPr="00591F6E">
              <w:rPr>
                <w:sz w:val="18"/>
                <w:szCs w:val="16"/>
                <w:lang w:val="en-GB" w:eastAsia="it-IT"/>
              </w:rPr>
              <w:t>(1.51</w:t>
            </w:r>
            <w:r w:rsidR="00E94F0C" w:rsidRPr="00591F6E">
              <w:rPr>
                <w:sz w:val="18"/>
                <w:szCs w:val="16"/>
                <w:lang w:val="en-GB" w:eastAsia="it-IT"/>
              </w:rPr>
              <w:t>9</w:t>
            </w:r>
            <w:r w:rsidRPr="00591F6E">
              <w:rPr>
                <w:sz w:val="18"/>
                <w:szCs w:val="16"/>
                <w:lang w:val="en-GB" w:eastAsia="it-IT"/>
              </w:rPr>
              <w:t>)</w:t>
            </w:r>
          </w:p>
        </w:tc>
      </w:tr>
      <w:tr w:rsidR="003322DA" w:rsidRPr="00591F6E" w14:paraId="2986AE81"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5E7FCE46" w14:textId="77777777" w:rsidR="003322DA" w:rsidRPr="00591F6E" w:rsidRDefault="003322DA" w:rsidP="00132F29">
            <w:pPr>
              <w:rPr>
                <w:sz w:val="18"/>
                <w:szCs w:val="16"/>
                <w:lang w:val="en-GB" w:eastAsia="it-IT"/>
              </w:rPr>
            </w:pPr>
            <w:r w:rsidRPr="00591F6E">
              <w:rPr>
                <w:sz w:val="18"/>
                <w:szCs w:val="16"/>
                <w:lang w:val="en-GB" w:eastAsia="it-IT"/>
              </w:rPr>
              <w:t>Economic context</w:t>
            </w:r>
          </w:p>
        </w:tc>
        <w:tc>
          <w:tcPr>
            <w:tcW w:w="1540" w:type="dxa"/>
            <w:tcBorders>
              <w:top w:val="nil"/>
              <w:left w:val="nil"/>
              <w:bottom w:val="nil"/>
              <w:right w:val="nil"/>
            </w:tcBorders>
            <w:shd w:val="clear" w:color="auto" w:fill="auto"/>
            <w:noWrap/>
            <w:vAlign w:val="bottom"/>
            <w:hideMark/>
          </w:tcPr>
          <w:p w14:paraId="68193C41"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2B2967E0"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6E82C32E" w14:textId="37088205" w:rsidR="003322DA" w:rsidRPr="00591F6E" w:rsidRDefault="003322DA" w:rsidP="00132F29">
            <w:pPr>
              <w:jc w:val="center"/>
              <w:rPr>
                <w:sz w:val="18"/>
                <w:szCs w:val="16"/>
                <w:lang w:val="en-GB" w:eastAsia="it-IT"/>
              </w:rPr>
            </w:pPr>
            <w:r w:rsidRPr="00591F6E">
              <w:rPr>
                <w:sz w:val="18"/>
                <w:szCs w:val="16"/>
                <w:lang w:val="en-GB" w:eastAsia="it-IT"/>
              </w:rPr>
              <w:t>1.658</w:t>
            </w:r>
          </w:p>
        </w:tc>
      </w:tr>
      <w:tr w:rsidR="003322DA" w:rsidRPr="00591F6E" w14:paraId="44A2FC62"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2EE148D5"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13B3CF2D"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741FA2DF"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7CB847AF" w14:textId="5C70BA1A" w:rsidR="003322DA" w:rsidRPr="00591F6E" w:rsidRDefault="003322DA" w:rsidP="00132F29">
            <w:pPr>
              <w:jc w:val="center"/>
              <w:rPr>
                <w:sz w:val="18"/>
                <w:szCs w:val="16"/>
                <w:lang w:val="en-GB" w:eastAsia="it-IT"/>
              </w:rPr>
            </w:pPr>
            <w:r w:rsidRPr="00591F6E">
              <w:rPr>
                <w:sz w:val="18"/>
                <w:szCs w:val="16"/>
                <w:lang w:val="en-GB" w:eastAsia="it-IT"/>
              </w:rPr>
              <w:t>(7.314)</w:t>
            </w:r>
          </w:p>
        </w:tc>
      </w:tr>
      <w:tr w:rsidR="003322DA" w:rsidRPr="00591F6E" w14:paraId="3FEF1715"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BB92686" w14:textId="77777777" w:rsidR="003322DA" w:rsidRPr="00591F6E" w:rsidRDefault="003322DA" w:rsidP="00132F29">
            <w:pPr>
              <w:rPr>
                <w:sz w:val="18"/>
                <w:szCs w:val="16"/>
                <w:lang w:val="en-GB" w:eastAsia="it-IT"/>
              </w:rPr>
            </w:pPr>
            <w:r w:rsidRPr="00591F6E">
              <w:rPr>
                <w:sz w:val="18"/>
                <w:szCs w:val="16"/>
                <w:lang w:val="en-GB" w:eastAsia="it-IT"/>
              </w:rPr>
              <w:t>Type of Conflict</w:t>
            </w:r>
          </w:p>
        </w:tc>
        <w:tc>
          <w:tcPr>
            <w:tcW w:w="1540" w:type="dxa"/>
            <w:tcBorders>
              <w:top w:val="nil"/>
              <w:left w:val="nil"/>
              <w:bottom w:val="nil"/>
              <w:right w:val="nil"/>
            </w:tcBorders>
            <w:shd w:val="clear" w:color="auto" w:fill="auto"/>
            <w:noWrap/>
            <w:vAlign w:val="bottom"/>
            <w:hideMark/>
          </w:tcPr>
          <w:p w14:paraId="4907C43C"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4A001EAB"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01A55D0B" w14:textId="6BA071CD" w:rsidR="003322DA" w:rsidRPr="00591F6E" w:rsidRDefault="003322DA" w:rsidP="00132F29">
            <w:pPr>
              <w:jc w:val="center"/>
              <w:rPr>
                <w:sz w:val="18"/>
                <w:szCs w:val="16"/>
                <w:lang w:val="en-GB" w:eastAsia="it-IT"/>
              </w:rPr>
            </w:pPr>
            <w:r w:rsidRPr="00591F6E">
              <w:rPr>
                <w:sz w:val="18"/>
                <w:szCs w:val="16"/>
                <w:lang w:val="en-GB" w:eastAsia="it-IT"/>
              </w:rPr>
              <w:t>-2.211</w:t>
            </w:r>
          </w:p>
        </w:tc>
      </w:tr>
      <w:tr w:rsidR="003322DA" w:rsidRPr="00591F6E" w14:paraId="4E31F045"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52556149"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30821EF6"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0AEA9D5C"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65A38BAA" w14:textId="388DC8BD" w:rsidR="003322DA" w:rsidRPr="00591F6E" w:rsidRDefault="003322DA" w:rsidP="00132F29">
            <w:pPr>
              <w:jc w:val="center"/>
              <w:rPr>
                <w:sz w:val="18"/>
                <w:szCs w:val="16"/>
                <w:lang w:val="en-GB" w:eastAsia="it-IT"/>
              </w:rPr>
            </w:pPr>
            <w:r w:rsidRPr="00591F6E">
              <w:rPr>
                <w:sz w:val="18"/>
                <w:szCs w:val="16"/>
                <w:lang w:val="en-GB" w:eastAsia="it-IT"/>
              </w:rPr>
              <w:t>(1.96</w:t>
            </w:r>
            <w:r w:rsidR="00E94F0C" w:rsidRPr="00591F6E">
              <w:rPr>
                <w:sz w:val="18"/>
                <w:szCs w:val="16"/>
                <w:lang w:val="en-GB" w:eastAsia="it-IT"/>
              </w:rPr>
              <w:t>4</w:t>
            </w:r>
            <w:r w:rsidRPr="00591F6E">
              <w:rPr>
                <w:sz w:val="18"/>
                <w:szCs w:val="16"/>
                <w:lang w:val="en-GB" w:eastAsia="it-IT"/>
              </w:rPr>
              <w:t>)</w:t>
            </w:r>
          </w:p>
        </w:tc>
      </w:tr>
      <w:tr w:rsidR="003322DA" w:rsidRPr="00591F6E" w14:paraId="4198317E"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6CDB560A" w14:textId="77777777" w:rsidR="003322DA" w:rsidRPr="00591F6E" w:rsidRDefault="003322DA" w:rsidP="00132F29">
            <w:pPr>
              <w:rPr>
                <w:sz w:val="18"/>
                <w:szCs w:val="16"/>
                <w:lang w:val="en-GB" w:eastAsia="it-IT"/>
              </w:rPr>
            </w:pPr>
            <w:r w:rsidRPr="00591F6E">
              <w:rPr>
                <w:sz w:val="18"/>
                <w:szCs w:val="16"/>
                <w:lang w:val="en-GB" w:eastAsia="it-IT"/>
              </w:rPr>
              <w:t>Fractionalization</w:t>
            </w:r>
          </w:p>
        </w:tc>
        <w:tc>
          <w:tcPr>
            <w:tcW w:w="1540" w:type="dxa"/>
            <w:tcBorders>
              <w:top w:val="nil"/>
              <w:left w:val="nil"/>
              <w:bottom w:val="nil"/>
              <w:right w:val="nil"/>
            </w:tcBorders>
            <w:shd w:val="clear" w:color="auto" w:fill="auto"/>
            <w:noWrap/>
            <w:vAlign w:val="bottom"/>
            <w:hideMark/>
          </w:tcPr>
          <w:p w14:paraId="3580A8B5"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23D4F0F6"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3B2CD29A" w14:textId="61382870" w:rsidR="003322DA" w:rsidRPr="00591F6E" w:rsidRDefault="003322DA" w:rsidP="00132F29">
            <w:pPr>
              <w:jc w:val="center"/>
              <w:rPr>
                <w:sz w:val="18"/>
                <w:szCs w:val="16"/>
                <w:lang w:val="en-GB" w:eastAsia="it-IT"/>
              </w:rPr>
            </w:pPr>
            <w:r w:rsidRPr="00591F6E">
              <w:rPr>
                <w:sz w:val="18"/>
                <w:szCs w:val="16"/>
                <w:lang w:val="en-GB" w:eastAsia="it-IT"/>
              </w:rPr>
              <w:t>3.18</w:t>
            </w:r>
            <w:r w:rsidR="00E94F0C" w:rsidRPr="00591F6E">
              <w:rPr>
                <w:sz w:val="18"/>
                <w:szCs w:val="16"/>
                <w:lang w:val="en-GB" w:eastAsia="it-IT"/>
              </w:rPr>
              <w:t>2</w:t>
            </w:r>
            <w:r w:rsidRPr="00591F6E">
              <w:rPr>
                <w:sz w:val="18"/>
                <w:szCs w:val="16"/>
                <w:lang w:val="en-GB" w:eastAsia="it-IT"/>
              </w:rPr>
              <w:t>***</w:t>
            </w:r>
          </w:p>
        </w:tc>
      </w:tr>
      <w:tr w:rsidR="003322DA" w:rsidRPr="00591F6E" w14:paraId="124F41F3"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6AF768F"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1463FFE1"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5B5C097E"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74E50DCC" w14:textId="42743EFB" w:rsidR="003322DA" w:rsidRPr="00591F6E" w:rsidRDefault="003322DA" w:rsidP="00132F29">
            <w:pPr>
              <w:jc w:val="center"/>
              <w:rPr>
                <w:sz w:val="18"/>
                <w:szCs w:val="16"/>
                <w:lang w:val="en-GB" w:eastAsia="it-IT"/>
              </w:rPr>
            </w:pPr>
            <w:r w:rsidRPr="00591F6E">
              <w:rPr>
                <w:sz w:val="18"/>
                <w:szCs w:val="16"/>
                <w:lang w:val="en-GB" w:eastAsia="it-IT"/>
              </w:rPr>
              <w:t>(0.614)</w:t>
            </w:r>
          </w:p>
        </w:tc>
      </w:tr>
      <w:tr w:rsidR="003322DA" w:rsidRPr="00591F6E" w14:paraId="3FC67180"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5A1BE0E" w14:textId="77777777" w:rsidR="003322DA" w:rsidRPr="00591F6E" w:rsidRDefault="003322DA" w:rsidP="00132F29">
            <w:pPr>
              <w:rPr>
                <w:sz w:val="18"/>
                <w:szCs w:val="16"/>
                <w:lang w:val="en-GB" w:eastAsia="it-IT"/>
              </w:rPr>
            </w:pPr>
            <w:r w:rsidRPr="00591F6E">
              <w:rPr>
                <w:sz w:val="18"/>
                <w:szCs w:val="16"/>
                <w:lang w:val="en-GB" w:eastAsia="it-IT"/>
              </w:rPr>
              <w:t>Geography</w:t>
            </w:r>
          </w:p>
        </w:tc>
        <w:tc>
          <w:tcPr>
            <w:tcW w:w="1540" w:type="dxa"/>
            <w:tcBorders>
              <w:top w:val="nil"/>
              <w:left w:val="nil"/>
              <w:bottom w:val="nil"/>
              <w:right w:val="nil"/>
            </w:tcBorders>
            <w:shd w:val="clear" w:color="auto" w:fill="auto"/>
            <w:noWrap/>
            <w:vAlign w:val="bottom"/>
            <w:hideMark/>
          </w:tcPr>
          <w:p w14:paraId="2904CA19"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37C9DE99"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566D724A" w14:textId="00A10B6A" w:rsidR="003322DA" w:rsidRPr="00591F6E" w:rsidRDefault="003322DA" w:rsidP="00132F29">
            <w:pPr>
              <w:jc w:val="center"/>
              <w:rPr>
                <w:sz w:val="18"/>
                <w:szCs w:val="16"/>
                <w:lang w:val="en-GB" w:eastAsia="it-IT"/>
              </w:rPr>
            </w:pPr>
            <w:r w:rsidRPr="00591F6E">
              <w:rPr>
                <w:sz w:val="18"/>
                <w:szCs w:val="16"/>
                <w:lang w:val="en-GB" w:eastAsia="it-IT"/>
              </w:rPr>
              <w:t>2.552</w:t>
            </w:r>
          </w:p>
        </w:tc>
      </w:tr>
      <w:tr w:rsidR="003322DA" w:rsidRPr="00591F6E" w14:paraId="2ECB41D5"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AFD1590"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1A311BE4"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6907C6DA"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6A648EE8" w14:textId="49520F98" w:rsidR="003322DA" w:rsidRPr="00591F6E" w:rsidRDefault="003322DA" w:rsidP="00132F29">
            <w:pPr>
              <w:jc w:val="center"/>
              <w:rPr>
                <w:sz w:val="18"/>
                <w:szCs w:val="16"/>
                <w:lang w:val="en-GB" w:eastAsia="it-IT"/>
              </w:rPr>
            </w:pPr>
            <w:r w:rsidRPr="00591F6E">
              <w:rPr>
                <w:sz w:val="18"/>
                <w:szCs w:val="16"/>
                <w:lang w:val="en-GB" w:eastAsia="it-IT"/>
              </w:rPr>
              <w:t>(1.77</w:t>
            </w:r>
            <w:r w:rsidR="00E94F0C" w:rsidRPr="00591F6E">
              <w:rPr>
                <w:sz w:val="18"/>
                <w:szCs w:val="16"/>
                <w:lang w:val="en-GB" w:eastAsia="it-IT"/>
              </w:rPr>
              <w:t>5</w:t>
            </w:r>
            <w:r w:rsidRPr="00591F6E">
              <w:rPr>
                <w:sz w:val="18"/>
                <w:szCs w:val="16"/>
                <w:lang w:val="en-GB" w:eastAsia="it-IT"/>
              </w:rPr>
              <w:t>)</w:t>
            </w:r>
          </w:p>
        </w:tc>
      </w:tr>
      <w:tr w:rsidR="003322DA" w:rsidRPr="00591F6E" w14:paraId="76F0AD73"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46A96344" w14:textId="77777777" w:rsidR="003322DA" w:rsidRPr="00591F6E" w:rsidRDefault="003322DA" w:rsidP="00132F29">
            <w:pPr>
              <w:rPr>
                <w:sz w:val="18"/>
                <w:szCs w:val="16"/>
                <w:lang w:val="en-GB" w:eastAsia="it-IT"/>
              </w:rPr>
            </w:pPr>
            <w:r w:rsidRPr="00591F6E">
              <w:rPr>
                <w:sz w:val="18"/>
                <w:szCs w:val="16"/>
                <w:lang w:val="en-GB" w:eastAsia="it-IT"/>
              </w:rPr>
              <w:t>History</w:t>
            </w:r>
          </w:p>
        </w:tc>
        <w:tc>
          <w:tcPr>
            <w:tcW w:w="1540" w:type="dxa"/>
            <w:tcBorders>
              <w:top w:val="nil"/>
              <w:left w:val="nil"/>
              <w:bottom w:val="nil"/>
              <w:right w:val="nil"/>
            </w:tcBorders>
            <w:shd w:val="clear" w:color="auto" w:fill="auto"/>
            <w:noWrap/>
            <w:vAlign w:val="bottom"/>
            <w:hideMark/>
          </w:tcPr>
          <w:p w14:paraId="6B520E34"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45F7CD50"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4E8C499B" w14:textId="17A99DA9" w:rsidR="003322DA" w:rsidRPr="00591F6E" w:rsidRDefault="003322DA" w:rsidP="00132F29">
            <w:pPr>
              <w:jc w:val="center"/>
              <w:rPr>
                <w:sz w:val="18"/>
                <w:szCs w:val="16"/>
                <w:lang w:val="en-GB" w:eastAsia="it-IT"/>
              </w:rPr>
            </w:pPr>
            <w:r w:rsidRPr="00591F6E">
              <w:rPr>
                <w:sz w:val="18"/>
                <w:szCs w:val="16"/>
                <w:lang w:val="en-GB" w:eastAsia="it-IT"/>
              </w:rPr>
              <w:t>1.21</w:t>
            </w:r>
            <w:r w:rsidR="00E94F0C" w:rsidRPr="00591F6E">
              <w:rPr>
                <w:sz w:val="18"/>
                <w:szCs w:val="16"/>
                <w:lang w:val="en-GB" w:eastAsia="it-IT"/>
              </w:rPr>
              <w:t>8</w:t>
            </w:r>
          </w:p>
        </w:tc>
      </w:tr>
      <w:tr w:rsidR="003322DA" w:rsidRPr="00591F6E" w14:paraId="0FF2C909"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A3B156F"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17B1F228"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20A3B02A"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42AA079C" w14:textId="611212DE" w:rsidR="003322DA" w:rsidRPr="00591F6E" w:rsidRDefault="003322DA" w:rsidP="00132F29">
            <w:pPr>
              <w:jc w:val="center"/>
              <w:rPr>
                <w:sz w:val="18"/>
                <w:szCs w:val="16"/>
                <w:lang w:val="en-GB" w:eastAsia="it-IT"/>
              </w:rPr>
            </w:pPr>
            <w:r w:rsidRPr="00591F6E">
              <w:rPr>
                <w:sz w:val="18"/>
                <w:szCs w:val="16"/>
                <w:lang w:val="en-GB" w:eastAsia="it-IT"/>
              </w:rPr>
              <w:t>(2.13</w:t>
            </w:r>
            <w:r w:rsidR="00E94F0C" w:rsidRPr="00591F6E">
              <w:rPr>
                <w:sz w:val="18"/>
                <w:szCs w:val="16"/>
                <w:lang w:val="en-GB" w:eastAsia="it-IT"/>
              </w:rPr>
              <w:t>8</w:t>
            </w:r>
            <w:r w:rsidRPr="00591F6E">
              <w:rPr>
                <w:sz w:val="18"/>
                <w:szCs w:val="16"/>
                <w:lang w:val="en-GB" w:eastAsia="it-IT"/>
              </w:rPr>
              <w:t>)</w:t>
            </w:r>
          </w:p>
        </w:tc>
      </w:tr>
      <w:tr w:rsidR="003322DA" w:rsidRPr="00591F6E" w14:paraId="36F94BE3"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70171E2E" w14:textId="77777777" w:rsidR="003322DA" w:rsidRPr="00591F6E" w:rsidRDefault="003322DA" w:rsidP="00132F29">
            <w:pPr>
              <w:rPr>
                <w:sz w:val="18"/>
                <w:szCs w:val="16"/>
                <w:lang w:val="en-GB" w:eastAsia="it-IT"/>
              </w:rPr>
            </w:pPr>
            <w:r w:rsidRPr="00591F6E">
              <w:rPr>
                <w:sz w:val="18"/>
                <w:szCs w:val="16"/>
                <w:lang w:val="en-GB" w:eastAsia="it-IT"/>
              </w:rPr>
              <w:t>Location Fixed Effects</w:t>
            </w:r>
          </w:p>
        </w:tc>
        <w:tc>
          <w:tcPr>
            <w:tcW w:w="1540" w:type="dxa"/>
            <w:tcBorders>
              <w:top w:val="nil"/>
              <w:left w:val="nil"/>
              <w:bottom w:val="nil"/>
              <w:right w:val="nil"/>
            </w:tcBorders>
            <w:shd w:val="clear" w:color="auto" w:fill="auto"/>
            <w:noWrap/>
            <w:vAlign w:val="bottom"/>
            <w:hideMark/>
          </w:tcPr>
          <w:p w14:paraId="41EDC897"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5A3528B0"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4466CDFD" w14:textId="0D6AAA84" w:rsidR="003322DA" w:rsidRPr="00591F6E" w:rsidRDefault="003322DA" w:rsidP="00132F29">
            <w:pPr>
              <w:jc w:val="center"/>
              <w:rPr>
                <w:sz w:val="18"/>
                <w:szCs w:val="16"/>
                <w:lang w:val="en-GB" w:eastAsia="it-IT"/>
              </w:rPr>
            </w:pPr>
            <w:r w:rsidRPr="00591F6E">
              <w:rPr>
                <w:sz w:val="18"/>
                <w:szCs w:val="16"/>
                <w:lang w:val="en-GB" w:eastAsia="it-IT"/>
              </w:rPr>
              <w:t>0.88</w:t>
            </w:r>
            <w:r w:rsidR="00E94F0C" w:rsidRPr="00591F6E">
              <w:rPr>
                <w:sz w:val="18"/>
                <w:szCs w:val="16"/>
                <w:lang w:val="en-GB" w:eastAsia="it-IT"/>
              </w:rPr>
              <w:t>5</w:t>
            </w:r>
            <w:r w:rsidRPr="00591F6E">
              <w:rPr>
                <w:sz w:val="18"/>
                <w:szCs w:val="16"/>
                <w:lang w:val="en-GB" w:eastAsia="it-IT"/>
              </w:rPr>
              <w:t>***</w:t>
            </w:r>
          </w:p>
        </w:tc>
      </w:tr>
      <w:tr w:rsidR="003322DA" w:rsidRPr="00591F6E" w14:paraId="75E6FDDA"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14E1094D"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182E8D8A"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4CF8B44F"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7C2A17FB" w14:textId="501C3197" w:rsidR="003322DA" w:rsidRPr="00591F6E" w:rsidRDefault="003322DA" w:rsidP="00132F29">
            <w:pPr>
              <w:jc w:val="center"/>
              <w:rPr>
                <w:sz w:val="18"/>
                <w:szCs w:val="16"/>
                <w:lang w:val="en-GB" w:eastAsia="it-IT"/>
              </w:rPr>
            </w:pPr>
            <w:r w:rsidRPr="00591F6E">
              <w:rPr>
                <w:sz w:val="18"/>
                <w:szCs w:val="16"/>
                <w:lang w:val="en-GB" w:eastAsia="it-IT"/>
              </w:rPr>
              <w:t>(0.152)</w:t>
            </w:r>
          </w:p>
        </w:tc>
      </w:tr>
      <w:tr w:rsidR="003322DA" w:rsidRPr="00591F6E" w14:paraId="41580108"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9A59632" w14:textId="77777777" w:rsidR="003322DA" w:rsidRPr="00591F6E" w:rsidRDefault="003322DA" w:rsidP="00132F29">
            <w:pPr>
              <w:rPr>
                <w:sz w:val="18"/>
                <w:szCs w:val="16"/>
                <w:lang w:val="en-GB" w:eastAsia="it-IT"/>
              </w:rPr>
            </w:pPr>
            <w:r w:rsidRPr="00591F6E">
              <w:rPr>
                <w:sz w:val="18"/>
                <w:szCs w:val="16"/>
                <w:lang w:val="en-GB" w:eastAsia="it-IT"/>
              </w:rPr>
              <w:t>Time Fixed Effects</w:t>
            </w:r>
          </w:p>
        </w:tc>
        <w:tc>
          <w:tcPr>
            <w:tcW w:w="1540" w:type="dxa"/>
            <w:tcBorders>
              <w:top w:val="nil"/>
              <w:left w:val="nil"/>
              <w:bottom w:val="nil"/>
              <w:right w:val="nil"/>
            </w:tcBorders>
            <w:shd w:val="clear" w:color="auto" w:fill="auto"/>
            <w:noWrap/>
            <w:vAlign w:val="bottom"/>
            <w:hideMark/>
          </w:tcPr>
          <w:p w14:paraId="207FDBB3"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641C2C34"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27D8C05A" w14:textId="00F7A385" w:rsidR="003322DA" w:rsidRPr="00591F6E" w:rsidRDefault="003322DA" w:rsidP="00132F29">
            <w:pPr>
              <w:jc w:val="center"/>
              <w:rPr>
                <w:sz w:val="18"/>
                <w:szCs w:val="16"/>
                <w:lang w:val="en-GB" w:eastAsia="it-IT"/>
              </w:rPr>
            </w:pPr>
            <w:r w:rsidRPr="00591F6E">
              <w:rPr>
                <w:sz w:val="18"/>
                <w:szCs w:val="16"/>
                <w:lang w:val="en-GB" w:eastAsia="it-IT"/>
              </w:rPr>
              <w:t>-11.56</w:t>
            </w:r>
            <w:r w:rsidR="00E94F0C" w:rsidRPr="00591F6E">
              <w:rPr>
                <w:sz w:val="18"/>
                <w:szCs w:val="16"/>
                <w:lang w:val="en-GB" w:eastAsia="it-IT"/>
              </w:rPr>
              <w:t>2</w:t>
            </w:r>
          </w:p>
        </w:tc>
      </w:tr>
      <w:tr w:rsidR="003322DA" w:rsidRPr="00591F6E" w14:paraId="7BEE6BAF"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682C5C8E"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08E7ACD3"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3ADDCA15"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699E60A4" w14:textId="3748DEB6" w:rsidR="003322DA" w:rsidRPr="00591F6E" w:rsidRDefault="003322DA" w:rsidP="00132F29">
            <w:pPr>
              <w:jc w:val="center"/>
              <w:rPr>
                <w:sz w:val="18"/>
                <w:szCs w:val="16"/>
                <w:lang w:val="en-GB" w:eastAsia="it-IT"/>
              </w:rPr>
            </w:pPr>
            <w:r w:rsidRPr="00591F6E">
              <w:rPr>
                <w:sz w:val="18"/>
                <w:szCs w:val="16"/>
                <w:lang w:val="en-GB" w:eastAsia="it-IT"/>
              </w:rPr>
              <w:t>(10.076)</w:t>
            </w:r>
          </w:p>
        </w:tc>
      </w:tr>
      <w:tr w:rsidR="003322DA" w:rsidRPr="00591F6E" w14:paraId="2B8E2B7D"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4A61F4D" w14:textId="77777777" w:rsidR="003322DA" w:rsidRPr="00591F6E" w:rsidRDefault="003322DA" w:rsidP="00132F29">
            <w:pPr>
              <w:rPr>
                <w:sz w:val="18"/>
                <w:szCs w:val="16"/>
                <w:lang w:val="en-GB" w:eastAsia="it-IT"/>
              </w:rPr>
            </w:pPr>
            <w:r w:rsidRPr="00591F6E">
              <w:rPr>
                <w:sz w:val="18"/>
                <w:szCs w:val="16"/>
                <w:lang w:val="en-GB" w:eastAsia="it-IT"/>
              </w:rPr>
              <w:t>Lags</w:t>
            </w:r>
          </w:p>
        </w:tc>
        <w:tc>
          <w:tcPr>
            <w:tcW w:w="1540" w:type="dxa"/>
            <w:tcBorders>
              <w:top w:val="nil"/>
              <w:left w:val="nil"/>
              <w:bottom w:val="nil"/>
              <w:right w:val="nil"/>
            </w:tcBorders>
            <w:shd w:val="clear" w:color="auto" w:fill="auto"/>
            <w:noWrap/>
            <w:vAlign w:val="bottom"/>
            <w:hideMark/>
          </w:tcPr>
          <w:p w14:paraId="740B70DC"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75F5A859"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6C48450E" w14:textId="0194CB35" w:rsidR="003322DA" w:rsidRPr="00591F6E" w:rsidRDefault="003322DA" w:rsidP="00132F29">
            <w:pPr>
              <w:jc w:val="center"/>
              <w:rPr>
                <w:sz w:val="18"/>
                <w:szCs w:val="16"/>
                <w:lang w:val="en-GB" w:eastAsia="it-IT"/>
              </w:rPr>
            </w:pPr>
            <w:r w:rsidRPr="00591F6E">
              <w:rPr>
                <w:sz w:val="18"/>
                <w:szCs w:val="16"/>
                <w:lang w:val="en-GB" w:eastAsia="it-IT"/>
              </w:rPr>
              <w:t>-0.968</w:t>
            </w:r>
          </w:p>
        </w:tc>
      </w:tr>
      <w:tr w:rsidR="003322DA" w:rsidRPr="00591F6E" w14:paraId="2C587963"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8272890"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614BE118"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37074C2E"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2E026138" w14:textId="0D8D9BCD" w:rsidR="003322DA" w:rsidRPr="00591F6E" w:rsidRDefault="003322DA" w:rsidP="00132F29">
            <w:pPr>
              <w:jc w:val="center"/>
              <w:rPr>
                <w:sz w:val="18"/>
                <w:szCs w:val="16"/>
                <w:lang w:val="en-GB" w:eastAsia="it-IT"/>
              </w:rPr>
            </w:pPr>
            <w:r w:rsidRPr="00591F6E">
              <w:rPr>
                <w:sz w:val="18"/>
                <w:szCs w:val="16"/>
                <w:lang w:val="en-GB" w:eastAsia="it-IT"/>
              </w:rPr>
              <w:t>(1.48</w:t>
            </w:r>
            <w:r w:rsidR="00E94F0C" w:rsidRPr="00591F6E">
              <w:rPr>
                <w:sz w:val="18"/>
                <w:szCs w:val="16"/>
                <w:lang w:val="en-GB" w:eastAsia="it-IT"/>
              </w:rPr>
              <w:t>7</w:t>
            </w:r>
            <w:r w:rsidRPr="00591F6E">
              <w:rPr>
                <w:sz w:val="18"/>
                <w:szCs w:val="16"/>
                <w:lang w:val="en-GB" w:eastAsia="it-IT"/>
              </w:rPr>
              <w:t>)</w:t>
            </w:r>
          </w:p>
        </w:tc>
      </w:tr>
      <w:tr w:rsidR="003322DA" w:rsidRPr="00591F6E" w14:paraId="45183DC3"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59358ED9" w14:textId="77777777" w:rsidR="003322DA" w:rsidRPr="00591F6E" w:rsidRDefault="003322DA" w:rsidP="00132F29">
            <w:pPr>
              <w:rPr>
                <w:sz w:val="18"/>
                <w:szCs w:val="16"/>
                <w:lang w:val="en-GB" w:eastAsia="it-IT"/>
              </w:rPr>
            </w:pPr>
            <w:r w:rsidRPr="00591F6E">
              <w:rPr>
                <w:sz w:val="18"/>
                <w:szCs w:val="16"/>
                <w:lang w:val="en-GB" w:eastAsia="it-IT"/>
              </w:rPr>
              <w:t>Institutions</w:t>
            </w:r>
          </w:p>
        </w:tc>
        <w:tc>
          <w:tcPr>
            <w:tcW w:w="1540" w:type="dxa"/>
            <w:tcBorders>
              <w:top w:val="nil"/>
              <w:left w:val="nil"/>
              <w:bottom w:val="nil"/>
              <w:right w:val="nil"/>
            </w:tcBorders>
            <w:shd w:val="clear" w:color="auto" w:fill="auto"/>
            <w:noWrap/>
            <w:vAlign w:val="bottom"/>
            <w:hideMark/>
          </w:tcPr>
          <w:p w14:paraId="76B60A66"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40B9D6A7"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346C9837" w14:textId="41DE1DC9" w:rsidR="003322DA" w:rsidRPr="00591F6E" w:rsidRDefault="003322DA" w:rsidP="00132F29">
            <w:pPr>
              <w:jc w:val="center"/>
              <w:rPr>
                <w:sz w:val="18"/>
                <w:szCs w:val="16"/>
                <w:lang w:val="en-GB" w:eastAsia="it-IT"/>
              </w:rPr>
            </w:pPr>
            <w:r w:rsidRPr="00591F6E">
              <w:rPr>
                <w:sz w:val="18"/>
                <w:szCs w:val="16"/>
                <w:lang w:val="en-GB" w:eastAsia="it-IT"/>
              </w:rPr>
              <w:t>-11.48</w:t>
            </w:r>
            <w:r w:rsidR="00E94F0C" w:rsidRPr="00591F6E">
              <w:rPr>
                <w:sz w:val="18"/>
                <w:szCs w:val="16"/>
                <w:lang w:val="en-GB" w:eastAsia="it-IT"/>
              </w:rPr>
              <w:t>2</w:t>
            </w:r>
            <w:r w:rsidRPr="00591F6E">
              <w:rPr>
                <w:sz w:val="18"/>
                <w:szCs w:val="16"/>
                <w:lang w:val="en-GB" w:eastAsia="it-IT"/>
              </w:rPr>
              <w:t>*</w:t>
            </w:r>
          </w:p>
        </w:tc>
      </w:tr>
      <w:tr w:rsidR="003322DA" w:rsidRPr="00591F6E" w14:paraId="19F315F8"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4E063C21"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603D931B"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354159D6"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27203738" w14:textId="01297101" w:rsidR="003322DA" w:rsidRPr="00591F6E" w:rsidRDefault="003322DA" w:rsidP="00132F29">
            <w:pPr>
              <w:jc w:val="center"/>
              <w:rPr>
                <w:sz w:val="18"/>
                <w:szCs w:val="16"/>
                <w:lang w:val="en-GB" w:eastAsia="it-IT"/>
              </w:rPr>
            </w:pPr>
            <w:r w:rsidRPr="00591F6E">
              <w:rPr>
                <w:sz w:val="18"/>
                <w:szCs w:val="16"/>
                <w:lang w:val="en-GB" w:eastAsia="it-IT"/>
              </w:rPr>
              <w:t>(5.874)</w:t>
            </w:r>
          </w:p>
        </w:tc>
      </w:tr>
      <w:tr w:rsidR="003322DA" w:rsidRPr="00591F6E" w14:paraId="62B9937D"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1D9E8E88" w14:textId="77777777" w:rsidR="003322DA" w:rsidRPr="00591F6E" w:rsidRDefault="003322DA" w:rsidP="00132F29">
            <w:pPr>
              <w:rPr>
                <w:sz w:val="18"/>
                <w:szCs w:val="16"/>
                <w:lang w:val="en-GB" w:eastAsia="it-IT"/>
              </w:rPr>
            </w:pPr>
            <w:r w:rsidRPr="00591F6E">
              <w:rPr>
                <w:sz w:val="18"/>
                <w:szCs w:val="16"/>
                <w:lang w:val="en-GB" w:eastAsia="it-IT"/>
              </w:rPr>
              <w:t>Resources: stock</w:t>
            </w:r>
          </w:p>
        </w:tc>
        <w:tc>
          <w:tcPr>
            <w:tcW w:w="1540" w:type="dxa"/>
            <w:tcBorders>
              <w:top w:val="nil"/>
              <w:left w:val="nil"/>
              <w:bottom w:val="nil"/>
              <w:right w:val="nil"/>
            </w:tcBorders>
            <w:shd w:val="clear" w:color="auto" w:fill="auto"/>
            <w:noWrap/>
            <w:vAlign w:val="bottom"/>
            <w:hideMark/>
          </w:tcPr>
          <w:p w14:paraId="66CEBD2A"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243BD238"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25FC7FA5" w14:textId="2DE0E3B2" w:rsidR="003322DA" w:rsidRPr="00591F6E" w:rsidRDefault="003322DA" w:rsidP="00132F29">
            <w:pPr>
              <w:jc w:val="center"/>
              <w:rPr>
                <w:sz w:val="18"/>
                <w:szCs w:val="16"/>
                <w:lang w:val="en-GB" w:eastAsia="it-IT"/>
              </w:rPr>
            </w:pPr>
            <w:r w:rsidRPr="00591F6E">
              <w:rPr>
                <w:sz w:val="18"/>
                <w:szCs w:val="16"/>
                <w:lang w:val="en-GB" w:eastAsia="it-IT"/>
              </w:rPr>
              <w:t>-3.021</w:t>
            </w:r>
            <w:r w:rsidR="00E94F0C" w:rsidRPr="00591F6E">
              <w:rPr>
                <w:sz w:val="18"/>
                <w:szCs w:val="16"/>
                <w:lang w:val="en-GB" w:eastAsia="it-IT"/>
              </w:rPr>
              <w:t>6</w:t>
            </w:r>
            <w:r w:rsidRPr="00591F6E">
              <w:rPr>
                <w:sz w:val="18"/>
                <w:szCs w:val="16"/>
                <w:lang w:val="en-GB" w:eastAsia="it-IT"/>
              </w:rPr>
              <w:t>**</w:t>
            </w:r>
          </w:p>
        </w:tc>
      </w:tr>
      <w:tr w:rsidR="003322DA" w:rsidRPr="00591F6E" w14:paraId="754FF339"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45C053F"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5941E567"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500A7E01"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3D90C12F" w14:textId="3BB232C7" w:rsidR="003322DA" w:rsidRPr="00591F6E" w:rsidRDefault="003322DA" w:rsidP="00132F29">
            <w:pPr>
              <w:jc w:val="center"/>
              <w:rPr>
                <w:sz w:val="18"/>
                <w:szCs w:val="16"/>
                <w:lang w:val="en-GB" w:eastAsia="it-IT"/>
              </w:rPr>
            </w:pPr>
            <w:r w:rsidRPr="00591F6E">
              <w:rPr>
                <w:sz w:val="18"/>
                <w:szCs w:val="16"/>
                <w:lang w:val="en-GB" w:eastAsia="it-IT"/>
              </w:rPr>
              <w:t>(1.43</w:t>
            </w:r>
            <w:r w:rsidR="00E94F0C" w:rsidRPr="00591F6E">
              <w:rPr>
                <w:sz w:val="18"/>
                <w:szCs w:val="16"/>
                <w:lang w:val="en-GB" w:eastAsia="it-IT"/>
              </w:rPr>
              <w:t>6</w:t>
            </w:r>
            <w:r w:rsidRPr="00591F6E">
              <w:rPr>
                <w:sz w:val="18"/>
                <w:szCs w:val="16"/>
                <w:lang w:val="en-GB" w:eastAsia="it-IT"/>
              </w:rPr>
              <w:t>)</w:t>
            </w:r>
          </w:p>
        </w:tc>
      </w:tr>
      <w:tr w:rsidR="003322DA" w:rsidRPr="00591F6E" w14:paraId="092EF962"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1732D908" w14:textId="77777777" w:rsidR="003322DA" w:rsidRPr="00591F6E" w:rsidRDefault="003322DA" w:rsidP="00132F29">
            <w:pPr>
              <w:rPr>
                <w:sz w:val="18"/>
                <w:szCs w:val="16"/>
                <w:lang w:val="en-GB" w:eastAsia="it-IT"/>
              </w:rPr>
            </w:pPr>
            <w:r w:rsidRPr="00591F6E">
              <w:rPr>
                <w:sz w:val="18"/>
                <w:szCs w:val="16"/>
                <w:lang w:val="en-GB" w:eastAsia="it-IT"/>
              </w:rPr>
              <w:t>Conflict specification: incidence</w:t>
            </w:r>
          </w:p>
        </w:tc>
        <w:tc>
          <w:tcPr>
            <w:tcW w:w="1540" w:type="dxa"/>
            <w:tcBorders>
              <w:top w:val="nil"/>
              <w:left w:val="nil"/>
              <w:bottom w:val="nil"/>
              <w:right w:val="nil"/>
            </w:tcBorders>
            <w:shd w:val="clear" w:color="auto" w:fill="auto"/>
            <w:noWrap/>
            <w:vAlign w:val="bottom"/>
            <w:hideMark/>
          </w:tcPr>
          <w:p w14:paraId="14BCBD2F"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27B26D2C"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0312F433" w14:textId="09066DE9" w:rsidR="003322DA" w:rsidRPr="00591F6E" w:rsidRDefault="003322DA" w:rsidP="00132F29">
            <w:pPr>
              <w:jc w:val="center"/>
              <w:rPr>
                <w:sz w:val="18"/>
                <w:szCs w:val="16"/>
                <w:lang w:val="en-GB" w:eastAsia="it-IT"/>
              </w:rPr>
            </w:pPr>
            <w:r w:rsidRPr="00591F6E">
              <w:rPr>
                <w:sz w:val="18"/>
                <w:szCs w:val="16"/>
                <w:lang w:val="en-GB" w:eastAsia="it-IT"/>
              </w:rPr>
              <w:t>-0.985*</w:t>
            </w:r>
          </w:p>
        </w:tc>
      </w:tr>
      <w:tr w:rsidR="003322DA" w:rsidRPr="00591F6E" w14:paraId="7D5F14B7"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6A21E890"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31E3C37B"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09CF14D0"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685E1BD8" w14:textId="34F1AAF3" w:rsidR="003322DA" w:rsidRPr="00591F6E" w:rsidRDefault="003322DA" w:rsidP="00132F29">
            <w:pPr>
              <w:jc w:val="center"/>
              <w:rPr>
                <w:sz w:val="18"/>
                <w:szCs w:val="16"/>
                <w:lang w:val="en-GB" w:eastAsia="it-IT"/>
              </w:rPr>
            </w:pPr>
            <w:r w:rsidRPr="00591F6E">
              <w:rPr>
                <w:sz w:val="18"/>
                <w:szCs w:val="16"/>
                <w:lang w:val="en-GB" w:eastAsia="it-IT"/>
              </w:rPr>
              <w:t>(0.52</w:t>
            </w:r>
            <w:r w:rsidR="00E94F0C" w:rsidRPr="00591F6E">
              <w:rPr>
                <w:sz w:val="18"/>
                <w:szCs w:val="16"/>
                <w:lang w:val="en-GB" w:eastAsia="it-IT"/>
              </w:rPr>
              <w:t>4</w:t>
            </w:r>
          </w:p>
        </w:tc>
      </w:tr>
      <w:tr w:rsidR="003322DA" w:rsidRPr="00591F6E" w14:paraId="6132D598"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43AABC39" w14:textId="77777777" w:rsidR="003322DA" w:rsidRPr="00591F6E" w:rsidRDefault="003322DA" w:rsidP="00132F29">
            <w:pPr>
              <w:rPr>
                <w:sz w:val="18"/>
                <w:szCs w:val="16"/>
                <w:lang w:val="en-GB" w:eastAsia="it-IT"/>
              </w:rPr>
            </w:pPr>
            <w:r w:rsidRPr="00591F6E">
              <w:rPr>
                <w:sz w:val="18"/>
                <w:szCs w:val="16"/>
                <w:lang w:val="en-GB" w:eastAsia="it-IT"/>
              </w:rPr>
              <w:t>Conflict specification: intensity</w:t>
            </w:r>
          </w:p>
        </w:tc>
        <w:tc>
          <w:tcPr>
            <w:tcW w:w="1540" w:type="dxa"/>
            <w:tcBorders>
              <w:top w:val="nil"/>
              <w:left w:val="nil"/>
              <w:bottom w:val="nil"/>
              <w:right w:val="nil"/>
            </w:tcBorders>
            <w:shd w:val="clear" w:color="auto" w:fill="auto"/>
            <w:noWrap/>
            <w:vAlign w:val="bottom"/>
            <w:hideMark/>
          </w:tcPr>
          <w:p w14:paraId="0803A769"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0F3A0C50"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40F71023" w14:textId="36380D4F" w:rsidR="003322DA" w:rsidRPr="00591F6E" w:rsidRDefault="003322DA" w:rsidP="00132F29">
            <w:pPr>
              <w:jc w:val="center"/>
              <w:rPr>
                <w:sz w:val="18"/>
                <w:szCs w:val="16"/>
                <w:lang w:val="en-GB" w:eastAsia="it-IT"/>
              </w:rPr>
            </w:pPr>
            <w:r w:rsidRPr="00591F6E">
              <w:rPr>
                <w:sz w:val="18"/>
                <w:szCs w:val="16"/>
                <w:lang w:val="en-GB" w:eastAsia="it-IT"/>
              </w:rPr>
              <w:t>-1.110**</w:t>
            </w:r>
          </w:p>
        </w:tc>
      </w:tr>
      <w:tr w:rsidR="003322DA" w:rsidRPr="00591F6E" w14:paraId="4DB96923"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763921F9"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08D95408"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14797314"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12407446" w14:textId="451F35EF" w:rsidR="003322DA" w:rsidRPr="00591F6E" w:rsidRDefault="003322DA" w:rsidP="00132F29">
            <w:pPr>
              <w:jc w:val="center"/>
              <w:rPr>
                <w:sz w:val="18"/>
                <w:szCs w:val="16"/>
                <w:lang w:val="en-GB" w:eastAsia="it-IT"/>
              </w:rPr>
            </w:pPr>
            <w:r w:rsidRPr="00591F6E">
              <w:rPr>
                <w:sz w:val="18"/>
                <w:szCs w:val="16"/>
                <w:lang w:val="en-GB" w:eastAsia="it-IT"/>
              </w:rPr>
              <w:t>(0.50</w:t>
            </w:r>
            <w:r w:rsidR="00E94F0C" w:rsidRPr="00591F6E">
              <w:rPr>
                <w:sz w:val="18"/>
                <w:szCs w:val="16"/>
                <w:lang w:val="en-GB" w:eastAsia="it-IT"/>
              </w:rPr>
              <w:t>3</w:t>
            </w:r>
            <w:r w:rsidRPr="00591F6E">
              <w:rPr>
                <w:sz w:val="18"/>
                <w:szCs w:val="16"/>
                <w:lang w:val="en-GB" w:eastAsia="it-IT"/>
              </w:rPr>
              <w:t>)</w:t>
            </w:r>
          </w:p>
        </w:tc>
      </w:tr>
      <w:tr w:rsidR="003322DA" w:rsidRPr="00591F6E" w14:paraId="65D48099"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5D033709" w14:textId="77777777" w:rsidR="003322DA" w:rsidRPr="00591F6E" w:rsidRDefault="003322DA" w:rsidP="00132F29">
            <w:pPr>
              <w:rPr>
                <w:sz w:val="18"/>
                <w:szCs w:val="16"/>
                <w:lang w:val="en-GB" w:eastAsia="it-IT"/>
              </w:rPr>
            </w:pPr>
            <w:r w:rsidRPr="00591F6E">
              <w:rPr>
                <w:sz w:val="18"/>
                <w:szCs w:val="16"/>
                <w:lang w:val="en-GB" w:eastAsia="it-IT"/>
              </w:rPr>
              <w:t>Conflict threshold: 25 BRDs</w:t>
            </w:r>
          </w:p>
        </w:tc>
        <w:tc>
          <w:tcPr>
            <w:tcW w:w="1540" w:type="dxa"/>
            <w:tcBorders>
              <w:top w:val="nil"/>
              <w:left w:val="nil"/>
              <w:bottom w:val="nil"/>
              <w:right w:val="nil"/>
            </w:tcBorders>
            <w:shd w:val="clear" w:color="auto" w:fill="auto"/>
            <w:noWrap/>
            <w:vAlign w:val="bottom"/>
            <w:hideMark/>
          </w:tcPr>
          <w:p w14:paraId="5F632D82"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7AD5BAE0"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746F1DBB" w14:textId="0D98229E" w:rsidR="003322DA" w:rsidRPr="00591F6E" w:rsidRDefault="003322DA" w:rsidP="00132F29">
            <w:pPr>
              <w:jc w:val="center"/>
              <w:rPr>
                <w:sz w:val="18"/>
                <w:szCs w:val="16"/>
                <w:lang w:val="en-GB" w:eastAsia="it-IT"/>
              </w:rPr>
            </w:pPr>
            <w:r w:rsidRPr="00591F6E">
              <w:rPr>
                <w:sz w:val="18"/>
                <w:szCs w:val="16"/>
                <w:lang w:val="en-GB" w:eastAsia="it-IT"/>
              </w:rPr>
              <w:t>-3.2</w:t>
            </w:r>
            <w:r w:rsidR="00E94F0C" w:rsidRPr="00591F6E">
              <w:rPr>
                <w:sz w:val="18"/>
                <w:szCs w:val="16"/>
                <w:lang w:val="en-GB" w:eastAsia="it-IT"/>
              </w:rPr>
              <w:t>70</w:t>
            </w:r>
            <w:r w:rsidRPr="00591F6E">
              <w:rPr>
                <w:sz w:val="18"/>
                <w:szCs w:val="16"/>
                <w:lang w:val="en-GB" w:eastAsia="it-IT"/>
              </w:rPr>
              <w:t>***</w:t>
            </w:r>
          </w:p>
        </w:tc>
      </w:tr>
      <w:tr w:rsidR="003322DA" w:rsidRPr="00591F6E" w14:paraId="122E5014"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24565C8E"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20296770"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6F7201D6"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03BD59E5" w14:textId="39A21001" w:rsidR="003322DA" w:rsidRPr="00591F6E" w:rsidRDefault="003322DA" w:rsidP="00132F29">
            <w:pPr>
              <w:jc w:val="center"/>
              <w:rPr>
                <w:sz w:val="18"/>
                <w:szCs w:val="16"/>
                <w:lang w:val="en-GB" w:eastAsia="it-IT"/>
              </w:rPr>
            </w:pPr>
            <w:r w:rsidRPr="00591F6E">
              <w:rPr>
                <w:sz w:val="18"/>
                <w:szCs w:val="16"/>
                <w:lang w:val="en-GB" w:eastAsia="it-IT"/>
              </w:rPr>
              <w:t>(0.00</w:t>
            </w:r>
            <w:r w:rsidR="00E94F0C" w:rsidRPr="00591F6E">
              <w:rPr>
                <w:sz w:val="18"/>
                <w:szCs w:val="16"/>
                <w:lang w:val="en-GB" w:eastAsia="it-IT"/>
              </w:rPr>
              <w:t>2</w:t>
            </w:r>
            <w:r w:rsidRPr="00591F6E">
              <w:rPr>
                <w:sz w:val="18"/>
                <w:szCs w:val="16"/>
                <w:lang w:val="en-GB" w:eastAsia="it-IT"/>
              </w:rPr>
              <w:t>)</w:t>
            </w:r>
          </w:p>
        </w:tc>
      </w:tr>
      <w:tr w:rsidR="003322DA" w:rsidRPr="00591F6E" w14:paraId="66371849"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15C2D759" w14:textId="77777777" w:rsidR="003322DA" w:rsidRPr="00591F6E" w:rsidRDefault="003322DA" w:rsidP="00132F29">
            <w:pPr>
              <w:rPr>
                <w:sz w:val="18"/>
                <w:szCs w:val="16"/>
                <w:lang w:val="en-GB" w:eastAsia="it-IT"/>
              </w:rPr>
            </w:pPr>
            <w:r w:rsidRPr="00591F6E">
              <w:rPr>
                <w:sz w:val="18"/>
                <w:szCs w:val="16"/>
                <w:lang w:val="en-GB" w:eastAsia="it-IT"/>
              </w:rPr>
              <w:t>UCDP/PRIO Data</w:t>
            </w:r>
          </w:p>
        </w:tc>
        <w:tc>
          <w:tcPr>
            <w:tcW w:w="1540" w:type="dxa"/>
            <w:tcBorders>
              <w:top w:val="nil"/>
              <w:left w:val="nil"/>
              <w:bottom w:val="nil"/>
              <w:right w:val="nil"/>
            </w:tcBorders>
            <w:shd w:val="clear" w:color="auto" w:fill="auto"/>
            <w:noWrap/>
            <w:vAlign w:val="bottom"/>
            <w:hideMark/>
          </w:tcPr>
          <w:p w14:paraId="6ECC4121"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2CEB79FD"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60B3A112" w14:textId="31B419E2" w:rsidR="003322DA" w:rsidRPr="00591F6E" w:rsidRDefault="003322DA" w:rsidP="00132F29">
            <w:pPr>
              <w:jc w:val="center"/>
              <w:rPr>
                <w:sz w:val="18"/>
                <w:szCs w:val="16"/>
                <w:lang w:val="en-GB" w:eastAsia="it-IT"/>
              </w:rPr>
            </w:pPr>
            <w:r w:rsidRPr="00591F6E">
              <w:rPr>
                <w:sz w:val="18"/>
                <w:szCs w:val="16"/>
                <w:lang w:val="en-GB" w:eastAsia="it-IT"/>
              </w:rPr>
              <w:t>-0.23</w:t>
            </w:r>
            <w:r w:rsidR="00E94F0C" w:rsidRPr="00591F6E">
              <w:rPr>
                <w:sz w:val="18"/>
                <w:szCs w:val="16"/>
                <w:lang w:val="en-GB" w:eastAsia="it-IT"/>
              </w:rPr>
              <w:t>9</w:t>
            </w:r>
            <w:r w:rsidRPr="00591F6E">
              <w:rPr>
                <w:sz w:val="18"/>
                <w:szCs w:val="16"/>
                <w:lang w:val="en-GB" w:eastAsia="it-IT"/>
              </w:rPr>
              <w:t>***</w:t>
            </w:r>
          </w:p>
        </w:tc>
      </w:tr>
      <w:tr w:rsidR="003322DA" w:rsidRPr="00591F6E" w14:paraId="319EE230"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6AABA62C"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5612D746"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2BD98AD9"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53B06852" w14:textId="0E7DA7BC" w:rsidR="003322DA" w:rsidRPr="00591F6E" w:rsidRDefault="003322DA" w:rsidP="00132F29">
            <w:pPr>
              <w:jc w:val="center"/>
              <w:rPr>
                <w:sz w:val="18"/>
                <w:szCs w:val="16"/>
                <w:lang w:val="en-GB" w:eastAsia="it-IT"/>
              </w:rPr>
            </w:pPr>
            <w:r w:rsidRPr="00591F6E">
              <w:rPr>
                <w:sz w:val="18"/>
                <w:szCs w:val="16"/>
                <w:lang w:val="en-GB" w:eastAsia="it-IT"/>
              </w:rPr>
              <w:t>(0.000)</w:t>
            </w:r>
          </w:p>
        </w:tc>
      </w:tr>
      <w:tr w:rsidR="003322DA" w:rsidRPr="00591F6E" w14:paraId="689F66D7"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7582175" w14:textId="77777777" w:rsidR="003322DA" w:rsidRPr="00591F6E" w:rsidRDefault="003322DA" w:rsidP="00132F29">
            <w:pPr>
              <w:rPr>
                <w:sz w:val="18"/>
                <w:szCs w:val="16"/>
                <w:lang w:val="en-GB" w:eastAsia="it-IT"/>
              </w:rPr>
            </w:pPr>
            <w:r w:rsidRPr="00591F6E">
              <w:rPr>
                <w:sz w:val="18"/>
                <w:szCs w:val="16"/>
                <w:lang w:val="en-GB" w:eastAsia="it-IT"/>
              </w:rPr>
              <w:t>Resources as GDP share</w:t>
            </w:r>
          </w:p>
        </w:tc>
        <w:tc>
          <w:tcPr>
            <w:tcW w:w="1540" w:type="dxa"/>
            <w:tcBorders>
              <w:top w:val="nil"/>
              <w:left w:val="nil"/>
              <w:bottom w:val="nil"/>
              <w:right w:val="nil"/>
            </w:tcBorders>
            <w:shd w:val="clear" w:color="auto" w:fill="auto"/>
            <w:noWrap/>
            <w:vAlign w:val="bottom"/>
            <w:hideMark/>
          </w:tcPr>
          <w:p w14:paraId="4B084D0F"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18812433"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2D5673A6" w14:textId="05988E26" w:rsidR="003322DA" w:rsidRPr="00591F6E" w:rsidRDefault="003322DA" w:rsidP="00132F29">
            <w:pPr>
              <w:jc w:val="center"/>
              <w:rPr>
                <w:sz w:val="18"/>
                <w:szCs w:val="16"/>
                <w:lang w:val="en-GB" w:eastAsia="it-IT"/>
              </w:rPr>
            </w:pPr>
            <w:r w:rsidRPr="00591F6E">
              <w:rPr>
                <w:sz w:val="18"/>
                <w:szCs w:val="16"/>
                <w:lang w:val="en-GB" w:eastAsia="it-IT"/>
              </w:rPr>
              <w:t>-1.60</w:t>
            </w:r>
            <w:r w:rsidR="00E94F0C" w:rsidRPr="00591F6E">
              <w:rPr>
                <w:sz w:val="18"/>
                <w:szCs w:val="16"/>
                <w:lang w:val="en-GB" w:eastAsia="it-IT"/>
              </w:rPr>
              <w:t>8</w:t>
            </w:r>
          </w:p>
        </w:tc>
      </w:tr>
      <w:tr w:rsidR="003322DA" w:rsidRPr="00591F6E" w14:paraId="43CDF419"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46394782"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1E79144E"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260CB227"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501B5663" w14:textId="4891F9C8" w:rsidR="003322DA" w:rsidRPr="00591F6E" w:rsidRDefault="003322DA" w:rsidP="00132F29">
            <w:pPr>
              <w:jc w:val="center"/>
              <w:rPr>
                <w:sz w:val="18"/>
                <w:szCs w:val="16"/>
                <w:lang w:val="en-GB" w:eastAsia="it-IT"/>
              </w:rPr>
            </w:pPr>
            <w:r w:rsidRPr="00591F6E">
              <w:rPr>
                <w:sz w:val="18"/>
                <w:szCs w:val="16"/>
                <w:lang w:val="en-GB" w:eastAsia="it-IT"/>
              </w:rPr>
              <w:t>(1.276)</w:t>
            </w:r>
          </w:p>
        </w:tc>
      </w:tr>
      <w:tr w:rsidR="003322DA" w:rsidRPr="00591F6E" w14:paraId="0F3658DC"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4F1A3EA5" w14:textId="77777777" w:rsidR="003322DA" w:rsidRPr="00591F6E" w:rsidRDefault="003322DA" w:rsidP="00132F29">
            <w:pPr>
              <w:rPr>
                <w:sz w:val="18"/>
                <w:szCs w:val="16"/>
                <w:lang w:val="en-GB" w:eastAsia="it-IT"/>
              </w:rPr>
            </w:pPr>
            <w:r w:rsidRPr="00591F6E">
              <w:rPr>
                <w:sz w:val="18"/>
                <w:szCs w:val="16"/>
                <w:lang w:val="en-GB" w:eastAsia="it-IT"/>
              </w:rPr>
              <w:t>Global analysis</w:t>
            </w:r>
          </w:p>
        </w:tc>
        <w:tc>
          <w:tcPr>
            <w:tcW w:w="1540" w:type="dxa"/>
            <w:tcBorders>
              <w:top w:val="nil"/>
              <w:left w:val="nil"/>
              <w:bottom w:val="nil"/>
              <w:right w:val="nil"/>
            </w:tcBorders>
            <w:shd w:val="clear" w:color="auto" w:fill="auto"/>
            <w:noWrap/>
            <w:vAlign w:val="bottom"/>
            <w:hideMark/>
          </w:tcPr>
          <w:p w14:paraId="3CE2186F"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48D021A8"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73A800DF" w14:textId="23284D6B" w:rsidR="003322DA" w:rsidRPr="00591F6E" w:rsidRDefault="003322DA" w:rsidP="00132F29">
            <w:pPr>
              <w:jc w:val="center"/>
              <w:rPr>
                <w:sz w:val="18"/>
                <w:szCs w:val="16"/>
                <w:lang w:val="en-GB" w:eastAsia="it-IT"/>
              </w:rPr>
            </w:pPr>
            <w:r w:rsidRPr="00591F6E">
              <w:rPr>
                <w:sz w:val="18"/>
                <w:szCs w:val="16"/>
                <w:lang w:val="en-GB" w:eastAsia="it-IT"/>
              </w:rPr>
              <w:t>-0.221</w:t>
            </w:r>
          </w:p>
        </w:tc>
      </w:tr>
      <w:tr w:rsidR="003322DA" w:rsidRPr="00591F6E" w14:paraId="03422175"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2FBAE7D"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7C61BE95"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4CD95DC7"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49EF7AAD" w14:textId="07B91FF4" w:rsidR="003322DA" w:rsidRPr="00591F6E" w:rsidRDefault="003322DA" w:rsidP="00132F29">
            <w:pPr>
              <w:jc w:val="center"/>
              <w:rPr>
                <w:sz w:val="18"/>
                <w:szCs w:val="16"/>
                <w:lang w:val="en-GB" w:eastAsia="it-IT"/>
              </w:rPr>
            </w:pPr>
            <w:r w:rsidRPr="00591F6E">
              <w:rPr>
                <w:sz w:val="18"/>
                <w:szCs w:val="16"/>
                <w:lang w:val="en-GB" w:eastAsia="it-IT"/>
              </w:rPr>
              <w:t>(0.19</w:t>
            </w:r>
            <w:r w:rsidR="00E94F0C" w:rsidRPr="00591F6E">
              <w:rPr>
                <w:sz w:val="18"/>
                <w:szCs w:val="16"/>
                <w:lang w:val="en-GB" w:eastAsia="it-IT"/>
              </w:rPr>
              <w:t>6</w:t>
            </w:r>
            <w:r w:rsidRPr="00591F6E">
              <w:rPr>
                <w:sz w:val="18"/>
                <w:szCs w:val="16"/>
                <w:lang w:val="en-GB" w:eastAsia="it-IT"/>
              </w:rPr>
              <w:t>)</w:t>
            </w:r>
          </w:p>
        </w:tc>
      </w:tr>
      <w:tr w:rsidR="003322DA" w:rsidRPr="00591F6E" w14:paraId="387BA06E"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1B0A3A7B" w14:textId="77777777" w:rsidR="003322DA" w:rsidRPr="00591F6E" w:rsidRDefault="003322DA" w:rsidP="00132F29">
            <w:pPr>
              <w:rPr>
                <w:sz w:val="18"/>
                <w:szCs w:val="16"/>
                <w:lang w:val="en-GB" w:eastAsia="it-IT"/>
              </w:rPr>
            </w:pPr>
            <w:r w:rsidRPr="00591F6E">
              <w:rPr>
                <w:sz w:val="18"/>
                <w:szCs w:val="16"/>
                <w:lang w:val="en-GB" w:eastAsia="it-IT"/>
              </w:rPr>
              <w:t>Unit: 5-year</w:t>
            </w:r>
          </w:p>
        </w:tc>
        <w:tc>
          <w:tcPr>
            <w:tcW w:w="1540" w:type="dxa"/>
            <w:tcBorders>
              <w:top w:val="nil"/>
              <w:left w:val="nil"/>
              <w:bottom w:val="nil"/>
              <w:right w:val="nil"/>
            </w:tcBorders>
            <w:shd w:val="clear" w:color="auto" w:fill="auto"/>
            <w:noWrap/>
            <w:vAlign w:val="bottom"/>
            <w:hideMark/>
          </w:tcPr>
          <w:p w14:paraId="72724445"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24B1F5C4"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5A2E2CDA" w14:textId="640B9919" w:rsidR="003322DA" w:rsidRPr="00591F6E" w:rsidRDefault="003322DA" w:rsidP="00132F29">
            <w:pPr>
              <w:jc w:val="center"/>
              <w:rPr>
                <w:sz w:val="18"/>
                <w:szCs w:val="16"/>
                <w:lang w:val="en-GB" w:eastAsia="it-IT"/>
              </w:rPr>
            </w:pPr>
            <w:r w:rsidRPr="00591F6E">
              <w:rPr>
                <w:sz w:val="18"/>
                <w:szCs w:val="16"/>
                <w:lang w:val="en-GB" w:eastAsia="it-IT"/>
              </w:rPr>
              <w:t>0.234</w:t>
            </w:r>
          </w:p>
        </w:tc>
      </w:tr>
      <w:tr w:rsidR="003322DA" w:rsidRPr="00591F6E" w14:paraId="56F28822"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79C671C0"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4D06D221"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19B80DBD"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44F3C5A8" w14:textId="2BFD3C89" w:rsidR="003322DA" w:rsidRPr="00591F6E" w:rsidRDefault="003322DA" w:rsidP="00132F29">
            <w:pPr>
              <w:jc w:val="center"/>
              <w:rPr>
                <w:sz w:val="18"/>
                <w:szCs w:val="16"/>
                <w:lang w:val="en-GB" w:eastAsia="it-IT"/>
              </w:rPr>
            </w:pPr>
            <w:r w:rsidRPr="00591F6E">
              <w:rPr>
                <w:sz w:val="18"/>
                <w:szCs w:val="16"/>
                <w:lang w:val="en-GB" w:eastAsia="it-IT"/>
              </w:rPr>
              <w:t>(0.298)</w:t>
            </w:r>
          </w:p>
        </w:tc>
      </w:tr>
      <w:tr w:rsidR="003322DA" w:rsidRPr="00591F6E" w14:paraId="7829702C"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315D72D8" w14:textId="77777777" w:rsidR="003322DA" w:rsidRPr="00591F6E" w:rsidRDefault="003322DA" w:rsidP="00132F29">
            <w:pPr>
              <w:rPr>
                <w:sz w:val="18"/>
                <w:szCs w:val="16"/>
                <w:lang w:val="en-GB" w:eastAsia="it-IT"/>
              </w:rPr>
            </w:pPr>
            <w:r w:rsidRPr="00591F6E">
              <w:rPr>
                <w:sz w:val="18"/>
                <w:szCs w:val="16"/>
                <w:lang w:val="en-GB" w:eastAsia="it-IT"/>
              </w:rPr>
              <w:lastRenderedPageBreak/>
              <w:t>Unit: grid-cell</w:t>
            </w:r>
          </w:p>
        </w:tc>
        <w:tc>
          <w:tcPr>
            <w:tcW w:w="1540" w:type="dxa"/>
            <w:tcBorders>
              <w:top w:val="nil"/>
              <w:left w:val="nil"/>
              <w:bottom w:val="nil"/>
              <w:right w:val="nil"/>
            </w:tcBorders>
            <w:shd w:val="clear" w:color="auto" w:fill="auto"/>
            <w:noWrap/>
            <w:vAlign w:val="bottom"/>
            <w:hideMark/>
          </w:tcPr>
          <w:p w14:paraId="690B90EC"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7BC3A05F"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1AEC5945" w14:textId="293B7FDA" w:rsidR="003322DA" w:rsidRPr="00591F6E" w:rsidRDefault="003322DA" w:rsidP="00132F29">
            <w:pPr>
              <w:jc w:val="center"/>
              <w:rPr>
                <w:sz w:val="18"/>
                <w:szCs w:val="16"/>
                <w:lang w:val="en-GB" w:eastAsia="it-IT"/>
              </w:rPr>
            </w:pPr>
            <w:r w:rsidRPr="00591F6E">
              <w:rPr>
                <w:sz w:val="18"/>
                <w:szCs w:val="16"/>
                <w:lang w:val="en-GB" w:eastAsia="it-IT"/>
              </w:rPr>
              <w:t>26.533</w:t>
            </w:r>
          </w:p>
        </w:tc>
      </w:tr>
      <w:tr w:rsidR="003322DA" w:rsidRPr="00591F6E" w14:paraId="01FB81EC"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68C14C75"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5A9F03BD"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215F3E55"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5DE70018" w14:textId="6AA498BF" w:rsidR="003322DA" w:rsidRPr="00591F6E" w:rsidRDefault="003322DA" w:rsidP="00132F29">
            <w:pPr>
              <w:jc w:val="center"/>
              <w:rPr>
                <w:sz w:val="18"/>
                <w:szCs w:val="16"/>
                <w:lang w:val="en-GB" w:eastAsia="it-IT"/>
              </w:rPr>
            </w:pPr>
            <w:r w:rsidRPr="00591F6E">
              <w:rPr>
                <w:sz w:val="18"/>
                <w:szCs w:val="16"/>
                <w:lang w:val="en-GB" w:eastAsia="it-IT"/>
              </w:rPr>
              <w:t>(29.674)</w:t>
            </w:r>
          </w:p>
        </w:tc>
      </w:tr>
      <w:tr w:rsidR="003322DA" w:rsidRPr="00591F6E" w14:paraId="3FCC97A5"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28B3EF1C" w14:textId="77777777" w:rsidR="003322DA" w:rsidRPr="00591F6E" w:rsidRDefault="003322DA" w:rsidP="00132F29">
            <w:pPr>
              <w:rPr>
                <w:sz w:val="18"/>
                <w:szCs w:val="16"/>
                <w:lang w:val="en-GB" w:eastAsia="it-IT"/>
              </w:rPr>
            </w:pPr>
            <w:r w:rsidRPr="00591F6E">
              <w:rPr>
                <w:sz w:val="18"/>
                <w:szCs w:val="16"/>
                <w:lang w:val="en-GB" w:eastAsia="it-IT"/>
              </w:rPr>
              <w:t>Method: logit</w:t>
            </w:r>
          </w:p>
        </w:tc>
        <w:tc>
          <w:tcPr>
            <w:tcW w:w="1540" w:type="dxa"/>
            <w:tcBorders>
              <w:top w:val="nil"/>
              <w:left w:val="nil"/>
              <w:bottom w:val="nil"/>
              <w:right w:val="nil"/>
            </w:tcBorders>
            <w:shd w:val="clear" w:color="auto" w:fill="auto"/>
            <w:noWrap/>
            <w:vAlign w:val="bottom"/>
            <w:hideMark/>
          </w:tcPr>
          <w:p w14:paraId="19E8DDBE"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158F80F7"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3D534D63" w14:textId="4784CD53" w:rsidR="003322DA" w:rsidRPr="00591F6E" w:rsidRDefault="003322DA" w:rsidP="00132F29">
            <w:pPr>
              <w:jc w:val="center"/>
              <w:rPr>
                <w:sz w:val="18"/>
                <w:szCs w:val="16"/>
                <w:lang w:val="en-GB" w:eastAsia="it-IT"/>
              </w:rPr>
            </w:pPr>
            <w:r w:rsidRPr="00591F6E">
              <w:rPr>
                <w:sz w:val="18"/>
                <w:szCs w:val="16"/>
                <w:lang w:val="en-GB" w:eastAsia="it-IT"/>
              </w:rPr>
              <w:t>-5.889***</w:t>
            </w:r>
          </w:p>
        </w:tc>
      </w:tr>
      <w:tr w:rsidR="003322DA" w:rsidRPr="00591F6E" w14:paraId="0055AA25"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26E27620"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58DA73A7"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4F93B930"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71345960" w14:textId="5946A269" w:rsidR="003322DA" w:rsidRPr="00591F6E" w:rsidRDefault="003322DA" w:rsidP="00132F29">
            <w:pPr>
              <w:jc w:val="center"/>
              <w:rPr>
                <w:sz w:val="18"/>
                <w:szCs w:val="16"/>
                <w:lang w:val="en-GB" w:eastAsia="it-IT"/>
              </w:rPr>
            </w:pPr>
            <w:r w:rsidRPr="00591F6E">
              <w:rPr>
                <w:sz w:val="18"/>
                <w:szCs w:val="16"/>
                <w:lang w:val="en-GB" w:eastAsia="it-IT"/>
              </w:rPr>
              <w:t>(0.72</w:t>
            </w:r>
            <w:r w:rsidR="00E94F0C" w:rsidRPr="00591F6E">
              <w:rPr>
                <w:sz w:val="18"/>
                <w:szCs w:val="16"/>
                <w:lang w:val="en-GB" w:eastAsia="it-IT"/>
              </w:rPr>
              <w:t>6</w:t>
            </w:r>
            <w:r w:rsidRPr="00591F6E">
              <w:rPr>
                <w:sz w:val="18"/>
                <w:szCs w:val="16"/>
                <w:lang w:val="en-GB" w:eastAsia="it-IT"/>
              </w:rPr>
              <w:t>)</w:t>
            </w:r>
          </w:p>
        </w:tc>
      </w:tr>
      <w:tr w:rsidR="003322DA" w:rsidRPr="00591F6E" w14:paraId="72A4952B"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716D0110" w14:textId="77777777" w:rsidR="003322DA" w:rsidRPr="00591F6E" w:rsidRDefault="003322DA" w:rsidP="00132F29">
            <w:pPr>
              <w:rPr>
                <w:sz w:val="18"/>
                <w:szCs w:val="16"/>
                <w:lang w:val="en-GB" w:eastAsia="it-IT"/>
              </w:rPr>
            </w:pPr>
            <w:r w:rsidRPr="00591F6E">
              <w:rPr>
                <w:sz w:val="18"/>
                <w:szCs w:val="16"/>
                <w:lang w:val="en-GB" w:eastAsia="it-IT"/>
              </w:rPr>
              <w:t>Data: World Bank</w:t>
            </w:r>
          </w:p>
        </w:tc>
        <w:tc>
          <w:tcPr>
            <w:tcW w:w="1540" w:type="dxa"/>
            <w:tcBorders>
              <w:top w:val="nil"/>
              <w:left w:val="nil"/>
              <w:bottom w:val="nil"/>
              <w:right w:val="nil"/>
            </w:tcBorders>
            <w:shd w:val="clear" w:color="auto" w:fill="auto"/>
            <w:noWrap/>
            <w:vAlign w:val="bottom"/>
            <w:hideMark/>
          </w:tcPr>
          <w:p w14:paraId="7DCEC8C8" w14:textId="77777777" w:rsidR="003322DA" w:rsidRPr="00591F6E" w:rsidRDefault="003322DA" w:rsidP="00132F29">
            <w:pPr>
              <w:rPr>
                <w:sz w:val="18"/>
                <w:szCs w:val="16"/>
                <w:lang w:val="en-GB" w:eastAsia="it-IT"/>
              </w:rPr>
            </w:pPr>
          </w:p>
        </w:tc>
        <w:tc>
          <w:tcPr>
            <w:tcW w:w="1645" w:type="dxa"/>
            <w:tcBorders>
              <w:top w:val="nil"/>
              <w:left w:val="nil"/>
              <w:bottom w:val="nil"/>
              <w:right w:val="nil"/>
            </w:tcBorders>
            <w:shd w:val="clear" w:color="auto" w:fill="auto"/>
            <w:noWrap/>
            <w:vAlign w:val="bottom"/>
            <w:hideMark/>
          </w:tcPr>
          <w:p w14:paraId="00F9A68F"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04775FD8" w14:textId="05D17DC6" w:rsidR="003322DA" w:rsidRPr="00591F6E" w:rsidRDefault="003322DA" w:rsidP="00132F29">
            <w:pPr>
              <w:jc w:val="center"/>
              <w:rPr>
                <w:sz w:val="18"/>
                <w:szCs w:val="16"/>
                <w:lang w:val="en-GB" w:eastAsia="it-IT"/>
              </w:rPr>
            </w:pPr>
            <w:r w:rsidRPr="00591F6E">
              <w:rPr>
                <w:sz w:val="18"/>
                <w:szCs w:val="16"/>
                <w:lang w:val="en-GB" w:eastAsia="it-IT"/>
              </w:rPr>
              <w:t>1.553</w:t>
            </w:r>
          </w:p>
        </w:tc>
      </w:tr>
      <w:tr w:rsidR="003322DA" w:rsidRPr="00591F6E" w14:paraId="3A25AFB7"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2EFB84B2"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021E74D0"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6574025D"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2E8B8979" w14:textId="77777777" w:rsidR="003322DA" w:rsidRPr="00591F6E" w:rsidRDefault="003322DA" w:rsidP="00132F29">
            <w:pPr>
              <w:jc w:val="center"/>
              <w:rPr>
                <w:sz w:val="18"/>
                <w:szCs w:val="16"/>
                <w:lang w:val="en-GB" w:eastAsia="it-IT"/>
              </w:rPr>
            </w:pPr>
            <w:r w:rsidRPr="00591F6E">
              <w:rPr>
                <w:sz w:val="18"/>
                <w:szCs w:val="16"/>
                <w:lang w:val="en-GB" w:eastAsia="it-IT"/>
              </w:rPr>
              <w:t>(2.05113)</w:t>
            </w:r>
          </w:p>
        </w:tc>
      </w:tr>
      <w:tr w:rsidR="003322DA" w:rsidRPr="00591F6E" w14:paraId="4779AB45"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52D2C144" w14:textId="77777777" w:rsidR="003322DA" w:rsidRPr="00591F6E" w:rsidRDefault="003322DA" w:rsidP="00132F29">
            <w:pPr>
              <w:rPr>
                <w:sz w:val="18"/>
                <w:szCs w:val="16"/>
                <w:lang w:val="en-GB" w:eastAsia="it-IT"/>
              </w:rPr>
            </w:pPr>
            <w:r w:rsidRPr="00591F6E">
              <w:rPr>
                <w:sz w:val="18"/>
                <w:szCs w:val="16"/>
                <w:lang w:val="en-GB" w:eastAsia="it-IT"/>
              </w:rPr>
              <w:t>Constant</w:t>
            </w:r>
          </w:p>
        </w:tc>
        <w:tc>
          <w:tcPr>
            <w:tcW w:w="1540" w:type="dxa"/>
            <w:tcBorders>
              <w:top w:val="nil"/>
              <w:left w:val="nil"/>
              <w:bottom w:val="nil"/>
              <w:right w:val="nil"/>
            </w:tcBorders>
            <w:shd w:val="clear" w:color="auto" w:fill="auto"/>
            <w:noWrap/>
            <w:vAlign w:val="bottom"/>
            <w:hideMark/>
          </w:tcPr>
          <w:p w14:paraId="7A4D39F9" w14:textId="50D2D06C" w:rsidR="003322DA" w:rsidRPr="00591F6E" w:rsidRDefault="003322DA" w:rsidP="00132F29">
            <w:pPr>
              <w:jc w:val="center"/>
              <w:rPr>
                <w:sz w:val="18"/>
                <w:szCs w:val="16"/>
                <w:lang w:val="en-GB" w:eastAsia="it-IT"/>
              </w:rPr>
            </w:pPr>
            <w:r w:rsidRPr="00591F6E">
              <w:rPr>
                <w:sz w:val="18"/>
                <w:szCs w:val="16"/>
                <w:lang w:val="en-GB" w:eastAsia="it-IT"/>
              </w:rPr>
              <w:t>0.28</w:t>
            </w:r>
            <w:r w:rsidR="00E94F0C" w:rsidRPr="00591F6E">
              <w:rPr>
                <w:sz w:val="18"/>
                <w:szCs w:val="16"/>
                <w:lang w:val="en-GB" w:eastAsia="it-IT"/>
              </w:rPr>
              <w:t>3</w:t>
            </w:r>
            <w:r w:rsidRPr="00591F6E">
              <w:rPr>
                <w:sz w:val="18"/>
                <w:szCs w:val="16"/>
                <w:lang w:val="en-GB" w:eastAsia="it-IT"/>
              </w:rPr>
              <w:t>***</w:t>
            </w:r>
          </w:p>
        </w:tc>
        <w:tc>
          <w:tcPr>
            <w:tcW w:w="1645" w:type="dxa"/>
            <w:tcBorders>
              <w:top w:val="nil"/>
              <w:left w:val="nil"/>
              <w:bottom w:val="nil"/>
              <w:right w:val="nil"/>
            </w:tcBorders>
            <w:shd w:val="clear" w:color="auto" w:fill="auto"/>
            <w:noWrap/>
            <w:vAlign w:val="bottom"/>
            <w:hideMark/>
          </w:tcPr>
          <w:p w14:paraId="7FB5F15A" w14:textId="4292A19E" w:rsidR="003322DA" w:rsidRPr="00591F6E" w:rsidRDefault="003322DA" w:rsidP="00132F29">
            <w:pPr>
              <w:jc w:val="center"/>
              <w:rPr>
                <w:sz w:val="18"/>
                <w:szCs w:val="16"/>
                <w:lang w:val="en-GB" w:eastAsia="it-IT"/>
              </w:rPr>
            </w:pPr>
            <w:r w:rsidRPr="00591F6E">
              <w:rPr>
                <w:sz w:val="18"/>
                <w:szCs w:val="16"/>
                <w:lang w:val="en-GB" w:eastAsia="it-IT"/>
              </w:rPr>
              <w:t>0.28</w:t>
            </w:r>
            <w:r w:rsidR="00E94F0C" w:rsidRPr="00591F6E">
              <w:rPr>
                <w:sz w:val="18"/>
                <w:szCs w:val="16"/>
                <w:lang w:val="en-GB" w:eastAsia="it-IT"/>
              </w:rPr>
              <w:t>3</w:t>
            </w:r>
            <w:r w:rsidRPr="00591F6E">
              <w:rPr>
                <w:sz w:val="18"/>
                <w:szCs w:val="16"/>
                <w:lang w:val="en-GB" w:eastAsia="it-IT"/>
              </w:rPr>
              <w:t>***</w:t>
            </w:r>
          </w:p>
        </w:tc>
        <w:tc>
          <w:tcPr>
            <w:tcW w:w="1648" w:type="dxa"/>
            <w:tcBorders>
              <w:top w:val="nil"/>
              <w:left w:val="nil"/>
              <w:bottom w:val="nil"/>
              <w:right w:val="nil"/>
            </w:tcBorders>
            <w:shd w:val="clear" w:color="auto" w:fill="auto"/>
            <w:noWrap/>
            <w:vAlign w:val="bottom"/>
            <w:hideMark/>
          </w:tcPr>
          <w:p w14:paraId="01F8F91E" w14:textId="0E4EF0D6" w:rsidR="003322DA" w:rsidRPr="00591F6E" w:rsidRDefault="003322DA" w:rsidP="00132F29">
            <w:pPr>
              <w:jc w:val="center"/>
              <w:rPr>
                <w:sz w:val="18"/>
                <w:szCs w:val="16"/>
                <w:lang w:val="en-GB" w:eastAsia="it-IT"/>
              </w:rPr>
            </w:pPr>
            <w:r w:rsidRPr="00591F6E">
              <w:rPr>
                <w:sz w:val="18"/>
                <w:szCs w:val="16"/>
                <w:lang w:val="en-GB" w:eastAsia="it-IT"/>
              </w:rPr>
              <w:t>10.520</w:t>
            </w:r>
          </w:p>
        </w:tc>
      </w:tr>
      <w:tr w:rsidR="003322DA" w:rsidRPr="00591F6E" w14:paraId="2C730E23" w14:textId="77777777" w:rsidTr="00EA1392">
        <w:trPr>
          <w:trHeight w:val="152"/>
          <w:jc w:val="center"/>
        </w:trPr>
        <w:tc>
          <w:tcPr>
            <w:tcW w:w="4115" w:type="dxa"/>
            <w:tcBorders>
              <w:top w:val="nil"/>
              <w:left w:val="nil"/>
              <w:bottom w:val="single" w:sz="4" w:space="0" w:color="auto"/>
              <w:right w:val="nil"/>
            </w:tcBorders>
            <w:shd w:val="clear" w:color="auto" w:fill="auto"/>
            <w:noWrap/>
            <w:vAlign w:val="bottom"/>
            <w:hideMark/>
          </w:tcPr>
          <w:p w14:paraId="21AC58D4" w14:textId="77777777" w:rsidR="003322DA" w:rsidRPr="00591F6E" w:rsidRDefault="003322DA" w:rsidP="00132F29">
            <w:pPr>
              <w:rPr>
                <w:sz w:val="18"/>
                <w:szCs w:val="16"/>
                <w:lang w:val="en-GB" w:eastAsia="it-IT"/>
              </w:rPr>
            </w:pPr>
            <w:r w:rsidRPr="00591F6E">
              <w:rPr>
                <w:sz w:val="18"/>
                <w:szCs w:val="16"/>
                <w:lang w:val="en-GB" w:eastAsia="it-IT"/>
              </w:rPr>
              <w:t> </w:t>
            </w:r>
          </w:p>
        </w:tc>
        <w:tc>
          <w:tcPr>
            <w:tcW w:w="1540" w:type="dxa"/>
            <w:tcBorders>
              <w:top w:val="nil"/>
              <w:left w:val="nil"/>
              <w:bottom w:val="single" w:sz="4" w:space="0" w:color="auto"/>
              <w:right w:val="nil"/>
            </w:tcBorders>
            <w:shd w:val="clear" w:color="auto" w:fill="auto"/>
            <w:noWrap/>
            <w:vAlign w:val="bottom"/>
            <w:hideMark/>
          </w:tcPr>
          <w:p w14:paraId="6BD87090" w14:textId="0579EB55" w:rsidR="003322DA" w:rsidRPr="00591F6E" w:rsidRDefault="003322DA" w:rsidP="00132F29">
            <w:pPr>
              <w:jc w:val="center"/>
              <w:rPr>
                <w:sz w:val="18"/>
                <w:szCs w:val="16"/>
                <w:lang w:val="en-GB" w:eastAsia="it-IT"/>
              </w:rPr>
            </w:pPr>
            <w:r w:rsidRPr="00591F6E">
              <w:rPr>
                <w:sz w:val="18"/>
                <w:szCs w:val="16"/>
                <w:lang w:val="en-GB" w:eastAsia="it-IT"/>
              </w:rPr>
              <w:t>(0.001)</w:t>
            </w:r>
          </w:p>
        </w:tc>
        <w:tc>
          <w:tcPr>
            <w:tcW w:w="1645" w:type="dxa"/>
            <w:tcBorders>
              <w:top w:val="nil"/>
              <w:left w:val="nil"/>
              <w:bottom w:val="single" w:sz="4" w:space="0" w:color="auto"/>
              <w:right w:val="nil"/>
            </w:tcBorders>
            <w:shd w:val="clear" w:color="auto" w:fill="auto"/>
            <w:noWrap/>
            <w:vAlign w:val="bottom"/>
            <w:hideMark/>
          </w:tcPr>
          <w:p w14:paraId="69634350" w14:textId="5D19D446" w:rsidR="003322DA" w:rsidRPr="00591F6E" w:rsidRDefault="003322DA" w:rsidP="00132F29">
            <w:pPr>
              <w:jc w:val="center"/>
              <w:rPr>
                <w:sz w:val="18"/>
                <w:szCs w:val="16"/>
                <w:lang w:val="en-GB" w:eastAsia="it-IT"/>
              </w:rPr>
            </w:pPr>
            <w:r w:rsidRPr="00591F6E">
              <w:rPr>
                <w:sz w:val="18"/>
                <w:szCs w:val="16"/>
                <w:lang w:val="en-GB" w:eastAsia="it-IT"/>
              </w:rPr>
              <w:t>(0.001)</w:t>
            </w:r>
          </w:p>
        </w:tc>
        <w:tc>
          <w:tcPr>
            <w:tcW w:w="1648" w:type="dxa"/>
            <w:tcBorders>
              <w:top w:val="nil"/>
              <w:left w:val="nil"/>
              <w:bottom w:val="single" w:sz="4" w:space="0" w:color="auto"/>
              <w:right w:val="nil"/>
            </w:tcBorders>
            <w:shd w:val="clear" w:color="auto" w:fill="auto"/>
            <w:noWrap/>
            <w:vAlign w:val="bottom"/>
            <w:hideMark/>
          </w:tcPr>
          <w:p w14:paraId="201A4FC5" w14:textId="42F16AEE" w:rsidR="003322DA" w:rsidRPr="00591F6E" w:rsidRDefault="003322DA" w:rsidP="00132F29">
            <w:pPr>
              <w:jc w:val="center"/>
              <w:rPr>
                <w:sz w:val="18"/>
                <w:szCs w:val="16"/>
                <w:lang w:val="en-GB" w:eastAsia="it-IT"/>
              </w:rPr>
            </w:pPr>
            <w:r w:rsidRPr="00591F6E">
              <w:rPr>
                <w:sz w:val="18"/>
                <w:szCs w:val="16"/>
                <w:lang w:val="en-GB" w:eastAsia="it-IT"/>
              </w:rPr>
              <w:t>(11.314)</w:t>
            </w:r>
          </w:p>
        </w:tc>
      </w:tr>
      <w:tr w:rsidR="003322DA" w:rsidRPr="00591F6E" w14:paraId="5153799E"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54F218D3" w14:textId="77777777" w:rsidR="003322DA" w:rsidRPr="00591F6E" w:rsidRDefault="003322DA" w:rsidP="00132F29">
            <w:pPr>
              <w:jc w:val="center"/>
              <w:rPr>
                <w:sz w:val="18"/>
                <w:szCs w:val="16"/>
                <w:lang w:val="en-GB" w:eastAsia="it-IT"/>
              </w:rPr>
            </w:pPr>
          </w:p>
        </w:tc>
        <w:tc>
          <w:tcPr>
            <w:tcW w:w="1540" w:type="dxa"/>
            <w:tcBorders>
              <w:top w:val="nil"/>
              <w:left w:val="nil"/>
              <w:bottom w:val="nil"/>
              <w:right w:val="nil"/>
            </w:tcBorders>
            <w:shd w:val="clear" w:color="auto" w:fill="auto"/>
            <w:noWrap/>
            <w:vAlign w:val="bottom"/>
            <w:hideMark/>
          </w:tcPr>
          <w:p w14:paraId="66AF34C3" w14:textId="77777777" w:rsidR="003322DA" w:rsidRPr="00591F6E" w:rsidRDefault="003322DA" w:rsidP="00132F29">
            <w:pPr>
              <w:rPr>
                <w:sz w:val="18"/>
                <w:szCs w:val="20"/>
                <w:lang w:val="en-GB" w:eastAsia="it-IT"/>
              </w:rPr>
            </w:pPr>
          </w:p>
        </w:tc>
        <w:tc>
          <w:tcPr>
            <w:tcW w:w="1645" w:type="dxa"/>
            <w:tcBorders>
              <w:top w:val="nil"/>
              <w:left w:val="nil"/>
              <w:bottom w:val="nil"/>
              <w:right w:val="nil"/>
            </w:tcBorders>
            <w:shd w:val="clear" w:color="auto" w:fill="auto"/>
            <w:noWrap/>
            <w:vAlign w:val="bottom"/>
            <w:hideMark/>
          </w:tcPr>
          <w:p w14:paraId="6A87FC12" w14:textId="77777777" w:rsidR="003322DA" w:rsidRPr="00591F6E" w:rsidRDefault="003322DA" w:rsidP="00132F29">
            <w:pPr>
              <w:jc w:val="center"/>
              <w:rPr>
                <w:sz w:val="18"/>
                <w:szCs w:val="20"/>
                <w:lang w:val="en-GB" w:eastAsia="it-IT"/>
              </w:rPr>
            </w:pPr>
          </w:p>
        </w:tc>
        <w:tc>
          <w:tcPr>
            <w:tcW w:w="1648" w:type="dxa"/>
            <w:tcBorders>
              <w:top w:val="nil"/>
              <w:left w:val="nil"/>
              <w:bottom w:val="nil"/>
              <w:right w:val="nil"/>
            </w:tcBorders>
            <w:shd w:val="clear" w:color="auto" w:fill="auto"/>
            <w:noWrap/>
            <w:vAlign w:val="bottom"/>
            <w:hideMark/>
          </w:tcPr>
          <w:p w14:paraId="7DDE3991" w14:textId="77777777" w:rsidR="003322DA" w:rsidRPr="00591F6E" w:rsidRDefault="003322DA" w:rsidP="00132F29">
            <w:pPr>
              <w:jc w:val="center"/>
              <w:rPr>
                <w:sz w:val="18"/>
                <w:szCs w:val="20"/>
                <w:lang w:val="en-GB" w:eastAsia="it-IT"/>
              </w:rPr>
            </w:pPr>
          </w:p>
        </w:tc>
      </w:tr>
      <w:tr w:rsidR="003322DA" w:rsidRPr="00591F6E" w14:paraId="644095A9" w14:textId="77777777" w:rsidTr="00EA1392">
        <w:trPr>
          <w:trHeight w:val="152"/>
          <w:jc w:val="center"/>
        </w:trPr>
        <w:tc>
          <w:tcPr>
            <w:tcW w:w="4115" w:type="dxa"/>
            <w:tcBorders>
              <w:top w:val="nil"/>
              <w:left w:val="nil"/>
              <w:bottom w:val="nil"/>
              <w:right w:val="nil"/>
            </w:tcBorders>
            <w:shd w:val="clear" w:color="auto" w:fill="auto"/>
            <w:noWrap/>
            <w:vAlign w:val="bottom"/>
            <w:hideMark/>
          </w:tcPr>
          <w:p w14:paraId="0A6D8BAD" w14:textId="77777777" w:rsidR="003322DA" w:rsidRPr="00591F6E" w:rsidRDefault="003322DA" w:rsidP="00132F29">
            <w:pPr>
              <w:rPr>
                <w:sz w:val="18"/>
                <w:szCs w:val="16"/>
                <w:lang w:val="en-GB" w:eastAsia="it-IT"/>
              </w:rPr>
            </w:pPr>
            <w:r w:rsidRPr="00591F6E">
              <w:rPr>
                <w:sz w:val="18"/>
                <w:szCs w:val="16"/>
                <w:lang w:val="en-GB" w:eastAsia="it-IT"/>
              </w:rPr>
              <w:t>N</w:t>
            </w:r>
          </w:p>
        </w:tc>
        <w:tc>
          <w:tcPr>
            <w:tcW w:w="1540" w:type="dxa"/>
            <w:tcBorders>
              <w:top w:val="nil"/>
              <w:left w:val="nil"/>
              <w:bottom w:val="nil"/>
              <w:right w:val="nil"/>
            </w:tcBorders>
            <w:shd w:val="clear" w:color="auto" w:fill="auto"/>
            <w:noWrap/>
            <w:vAlign w:val="bottom"/>
            <w:hideMark/>
          </w:tcPr>
          <w:p w14:paraId="27942731" w14:textId="77777777" w:rsidR="003322DA" w:rsidRPr="00591F6E" w:rsidRDefault="003322DA" w:rsidP="00132F29">
            <w:pPr>
              <w:jc w:val="center"/>
              <w:rPr>
                <w:sz w:val="18"/>
                <w:szCs w:val="16"/>
                <w:lang w:val="en-GB" w:eastAsia="it-IT"/>
              </w:rPr>
            </w:pPr>
            <w:r w:rsidRPr="00591F6E">
              <w:rPr>
                <w:sz w:val="18"/>
                <w:szCs w:val="16"/>
                <w:lang w:val="en-GB" w:eastAsia="it-IT"/>
              </w:rPr>
              <w:t>825</w:t>
            </w:r>
          </w:p>
        </w:tc>
        <w:tc>
          <w:tcPr>
            <w:tcW w:w="1645" w:type="dxa"/>
            <w:tcBorders>
              <w:top w:val="nil"/>
              <w:left w:val="nil"/>
              <w:bottom w:val="nil"/>
              <w:right w:val="nil"/>
            </w:tcBorders>
            <w:shd w:val="clear" w:color="auto" w:fill="auto"/>
            <w:noWrap/>
            <w:vAlign w:val="bottom"/>
            <w:hideMark/>
          </w:tcPr>
          <w:p w14:paraId="79B0573E" w14:textId="77777777" w:rsidR="003322DA" w:rsidRPr="00591F6E" w:rsidRDefault="003322DA" w:rsidP="00132F29">
            <w:pPr>
              <w:jc w:val="center"/>
              <w:rPr>
                <w:sz w:val="18"/>
                <w:szCs w:val="16"/>
                <w:lang w:val="en-GB" w:eastAsia="it-IT"/>
              </w:rPr>
            </w:pPr>
            <w:r w:rsidRPr="00591F6E">
              <w:rPr>
                <w:sz w:val="18"/>
                <w:szCs w:val="16"/>
                <w:lang w:val="en-GB" w:eastAsia="it-IT"/>
              </w:rPr>
              <w:t>825</w:t>
            </w:r>
          </w:p>
        </w:tc>
        <w:tc>
          <w:tcPr>
            <w:tcW w:w="1648" w:type="dxa"/>
            <w:tcBorders>
              <w:top w:val="nil"/>
              <w:left w:val="nil"/>
              <w:bottom w:val="nil"/>
              <w:right w:val="nil"/>
            </w:tcBorders>
            <w:shd w:val="clear" w:color="auto" w:fill="auto"/>
            <w:noWrap/>
            <w:vAlign w:val="bottom"/>
            <w:hideMark/>
          </w:tcPr>
          <w:p w14:paraId="7D0FDA8F" w14:textId="77777777" w:rsidR="003322DA" w:rsidRPr="00591F6E" w:rsidRDefault="003322DA" w:rsidP="00132F29">
            <w:pPr>
              <w:jc w:val="center"/>
              <w:rPr>
                <w:sz w:val="18"/>
                <w:szCs w:val="16"/>
                <w:lang w:val="en-GB" w:eastAsia="it-IT"/>
              </w:rPr>
            </w:pPr>
            <w:r w:rsidRPr="00591F6E">
              <w:rPr>
                <w:sz w:val="18"/>
                <w:szCs w:val="16"/>
                <w:lang w:val="en-GB" w:eastAsia="it-IT"/>
              </w:rPr>
              <w:t>825</w:t>
            </w:r>
          </w:p>
        </w:tc>
      </w:tr>
      <w:tr w:rsidR="003322DA" w:rsidRPr="00591F6E" w14:paraId="53031D94" w14:textId="77777777" w:rsidTr="00EA1392">
        <w:trPr>
          <w:trHeight w:val="152"/>
          <w:jc w:val="center"/>
        </w:trPr>
        <w:tc>
          <w:tcPr>
            <w:tcW w:w="4115" w:type="dxa"/>
            <w:tcBorders>
              <w:top w:val="nil"/>
              <w:left w:val="nil"/>
              <w:bottom w:val="single" w:sz="4" w:space="0" w:color="auto"/>
              <w:right w:val="nil"/>
            </w:tcBorders>
            <w:shd w:val="clear" w:color="auto" w:fill="auto"/>
            <w:noWrap/>
            <w:vAlign w:val="bottom"/>
            <w:hideMark/>
          </w:tcPr>
          <w:p w14:paraId="1CBA5C06" w14:textId="6C823537" w:rsidR="003322DA" w:rsidRPr="00591F6E" w:rsidRDefault="003322DA" w:rsidP="00132F29">
            <w:pPr>
              <w:rPr>
                <w:sz w:val="18"/>
                <w:szCs w:val="16"/>
                <w:lang w:val="en-GB" w:eastAsia="it-IT"/>
              </w:rPr>
            </w:pPr>
            <w:r w:rsidRPr="00591F6E">
              <w:rPr>
                <w:sz w:val="18"/>
                <w:szCs w:val="16"/>
                <w:lang w:val="en-GB" w:eastAsia="it-IT"/>
              </w:rPr>
              <w:t>R-square</w:t>
            </w:r>
            <w:r w:rsidR="006B505C" w:rsidRPr="00591F6E">
              <w:rPr>
                <w:sz w:val="18"/>
                <w:szCs w:val="16"/>
                <w:lang w:val="en-GB" w:eastAsia="it-IT"/>
              </w:rPr>
              <w:t>d</w:t>
            </w:r>
          </w:p>
        </w:tc>
        <w:tc>
          <w:tcPr>
            <w:tcW w:w="1540" w:type="dxa"/>
            <w:tcBorders>
              <w:top w:val="nil"/>
              <w:left w:val="nil"/>
              <w:bottom w:val="single" w:sz="4" w:space="0" w:color="auto"/>
              <w:right w:val="nil"/>
            </w:tcBorders>
            <w:shd w:val="clear" w:color="auto" w:fill="auto"/>
            <w:noWrap/>
            <w:vAlign w:val="bottom"/>
            <w:hideMark/>
          </w:tcPr>
          <w:p w14:paraId="34690DAC" w14:textId="429FFCB6" w:rsidR="003322DA" w:rsidRPr="00591F6E" w:rsidRDefault="003322DA" w:rsidP="00132F29">
            <w:pPr>
              <w:jc w:val="center"/>
              <w:rPr>
                <w:sz w:val="18"/>
                <w:szCs w:val="16"/>
                <w:lang w:val="en-GB" w:eastAsia="it-IT"/>
              </w:rPr>
            </w:pPr>
            <w:r w:rsidRPr="00591F6E">
              <w:rPr>
                <w:sz w:val="18"/>
                <w:szCs w:val="16"/>
                <w:lang w:val="en-GB" w:eastAsia="it-IT"/>
              </w:rPr>
              <w:t>0.687</w:t>
            </w:r>
          </w:p>
        </w:tc>
        <w:tc>
          <w:tcPr>
            <w:tcW w:w="1645" w:type="dxa"/>
            <w:tcBorders>
              <w:top w:val="nil"/>
              <w:left w:val="nil"/>
              <w:bottom w:val="single" w:sz="4" w:space="0" w:color="auto"/>
              <w:right w:val="nil"/>
            </w:tcBorders>
            <w:shd w:val="clear" w:color="auto" w:fill="auto"/>
            <w:noWrap/>
            <w:vAlign w:val="bottom"/>
            <w:hideMark/>
          </w:tcPr>
          <w:p w14:paraId="3D3E61DE" w14:textId="5B5E6653" w:rsidR="003322DA" w:rsidRPr="00591F6E" w:rsidRDefault="003322DA" w:rsidP="00132F29">
            <w:pPr>
              <w:jc w:val="center"/>
              <w:rPr>
                <w:sz w:val="18"/>
                <w:szCs w:val="16"/>
                <w:lang w:val="en-GB" w:eastAsia="it-IT"/>
              </w:rPr>
            </w:pPr>
            <w:r w:rsidRPr="00591F6E">
              <w:rPr>
                <w:sz w:val="18"/>
                <w:szCs w:val="16"/>
                <w:lang w:val="en-GB" w:eastAsia="it-IT"/>
              </w:rPr>
              <w:t>0.95</w:t>
            </w:r>
            <w:r w:rsidR="00E94F0C" w:rsidRPr="00591F6E">
              <w:rPr>
                <w:sz w:val="18"/>
                <w:szCs w:val="16"/>
                <w:lang w:val="en-GB" w:eastAsia="it-IT"/>
              </w:rPr>
              <w:t>8</w:t>
            </w:r>
          </w:p>
        </w:tc>
        <w:tc>
          <w:tcPr>
            <w:tcW w:w="1648" w:type="dxa"/>
            <w:tcBorders>
              <w:top w:val="nil"/>
              <w:left w:val="nil"/>
              <w:bottom w:val="single" w:sz="4" w:space="0" w:color="auto"/>
              <w:right w:val="nil"/>
            </w:tcBorders>
            <w:shd w:val="clear" w:color="auto" w:fill="auto"/>
            <w:noWrap/>
            <w:vAlign w:val="bottom"/>
            <w:hideMark/>
          </w:tcPr>
          <w:p w14:paraId="1D3D4815" w14:textId="4F886926" w:rsidR="003322DA" w:rsidRPr="00591F6E" w:rsidRDefault="003322DA" w:rsidP="00132F29">
            <w:pPr>
              <w:jc w:val="center"/>
              <w:rPr>
                <w:sz w:val="18"/>
                <w:szCs w:val="16"/>
                <w:lang w:val="en-GB" w:eastAsia="it-IT"/>
              </w:rPr>
            </w:pPr>
            <w:r w:rsidRPr="00591F6E">
              <w:rPr>
                <w:sz w:val="18"/>
                <w:szCs w:val="16"/>
                <w:lang w:val="en-GB" w:eastAsia="it-IT"/>
              </w:rPr>
              <w:t>0.995</w:t>
            </w:r>
          </w:p>
        </w:tc>
      </w:tr>
    </w:tbl>
    <w:p w14:paraId="62700A45" w14:textId="400FF69C" w:rsidR="00D83B0D" w:rsidRPr="00591F6E" w:rsidRDefault="00D83B0D" w:rsidP="0004645C">
      <w:pPr>
        <w:pStyle w:val="Stile1"/>
        <w:spacing w:line="276" w:lineRule="auto"/>
        <w:ind w:firstLine="0"/>
        <w:jc w:val="both"/>
        <w:rPr>
          <w:i/>
          <w:iCs/>
          <w:color w:val="000000"/>
          <w:szCs w:val="14"/>
          <w:lang w:val="en-GB"/>
        </w:rPr>
      </w:pPr>
      <w:r w:rsidRPr="00591F6E">
        <w:rPr>
          <w:i/>
          <w:iCs/>
          <w:color w:val="000000"/>
          <w:szCs w:val="14"/>
          <w:lang w:val="en-GB"/>
        </w:rPr>
        <w:t>Table 5. Stepwise regressions results relative to the abundance subset of the sample. Robust standard errors clustered by study are reported in parentheses. *** p&lt;0.01, ** p&lt;0.05, * p&lt;0.1.</w:t>
      </w:r>
    </w:p>
    <w:p w14:paraId="3F74A0E7" w14:textId="77777777" w:rsidR="006C51D3" w:rsidRPr="00591F6E" w:rsidRDefault="006C51D3" w:rsidP="0004645C">
      <w:pPr>
        <w:pStyle w:val="Stile1"/>
        <w:spacing w:line="276" w:lineRule="auto"/>
        <w:ind w:firstLine="0"/>
        <w:jc w:val="both"/>
        <w:rPr>
          <w:i/>
          <w:iCs/>
          <w:color w:val="000000"/>
          <w:szCs w:val="14"/>
          <w:lang w:val="en-GB"/>
        </w:rPr>
      </w:pPr>
    </w:p>
    <w:p w14:paraId="162E1B02" w14:textId="276333C1" w:rsidR="006C51D3" w:rsidRPr="00591F6E" w:rsidRDefault="006C51D3" w:rsidP="00267812">
      <w:pPr>
        <w:pStyle w:val="Stile1"/>
        <w:jc w:val="both"/>
        <w:rPr>
          <w:lang w:val="en-GB"/>
        </w:rPr>
      </w:pPr>
    </w:p>
    <w:p w14:paraId="273A999A" w14:textId="40022892" w:rsidR="006C51D3" w:rsidRPr="00591F6E" w:rsidRDefault="00EA1392" w:rsidP="00267812">
      <w:pPr>
        <w:pStyle w:val="Stile1"/>
        <w:jc w:val="both"/>
        <w:rPr>
          <w:lang w:val="en-GB"/>
        </w:rPr>
      </w:pPr>
      <w:r w:rsidRPr="00591F6E">
        <w:rPr>
          <w:lang w:val="en-GB"/>
        </w:rPr>
        <w:t>This substantiates Brunnschweiler and Bulte’s (2008) argument that the climate/resources-conflict nexus vanishes when studies operationalize the resource variable as stock rather than using the ratio of primary commodities over GDP as the main independent variable. Therefore, the choice of the indicator has a particularly strong influence on the results and studies that adopt a relative proxy risk inflating the significance of the response, since their resource variable presumably captures some economic or market-related effects rather than a pure resource influence on the risk of conflict.</w:t>
      </w:r>
    </w:p>
    <w:p w14:paraId="5BAF16CA" w14:textId="77777777" w:rsidR="006C51D3" w:rsidRPr="00591F6E" w:rsidRDefault="006C51D3" w:rsidP="006C51D3">
      <w:pPr>
        <w:pStyle w:val="Stile1"/>
        <w:jc w:val="both"/>
        <w:rPr>
          <w:lang w:val="en-GB"/>
        </w:rPr>
      </w:pPr>
      <w:r w:rsidRPr="00591F6E">
        <w:rPr>
          <w:lang w:val="en-GB"/>
        </w:rPr>
        <w:t xml:space="preserve">Furthermore, the choice of the data to be employed in the analysis has an influence on the study’s results; analyses that draw conflict data from the UCDP/PRIO dataset tend to find a weaker relationship between resources and conflict. This may be due to the more comprehensive and disaggregated nature of the UCDP/PRIO data as compared to other data sources, which allow to uncover the relationship at a greater level of detail. The regression methodology adopted also has an impact on the findings; studies that apply a logistic regression tend to find less significant results compared to studies that adopt other methodologies, such as ordinary least squares. </w:t>
      </w:r>
    </w:p>
    <w:p w14:paraId="4BA9B1C0" w14:textId="6A1448D2" w:rsidR="00267812" w:rsidRPr="00591F6E" w:rsidRDefault="00267812" w:rsidP="00267812">
      <w:pPr>
        <w:pStyle w:val="Stile1"/>
        <w:jc w:val="both"/>
        <w:rPr>
          <w:lang w:val="en-GB"/>
        </w:rPr>
      </w:pPr>
      <w:r w:rsidRPr="00591F6E">
        <w:rPr>
          <w:lang w:val="en-GB"/>
        </w:rPr>
        <w:t>Unexpectedly, we do not find support for the claim that the spatial definition of the sample influences the results, as the coefficient for global analyses is not significant. This may be, however, motivated by the poor variation of the variable across studies.</w:t>
      </w:r>
    </w:p>
    <w:p w14:paraId="46418883" w14:textId="6BD630C7" w:rsidR="006B505C" w:rsidRPr="00591F6E" w:rsidRDefault="00603AB5" w:rsidP="00603AB5">
      <w:pPr>
        <w:pStyle w:val="Stile1"/>
        <w:ind w:firstLine="720"/>
        <w:jc w:val="both"/>
        <w:rPr>
          <w:lang w:val="en-GB"/>
        </w:rPr>
      </w:pPr>
      <w:r w:rsidRPr="00591F6E">
        <w:rPr>
          <w:lang w:val="en-GB"/>
        </w:rPr>
        <w:t>In the case of the resource scarcity subset of the sample (Table S</w:t>
      </w:r>
      <w:r w:rsidR="00645399" w:rsidRPr="00591F6E">
        <w:rPr>
          <w:lang w:val="en-GB"/>
        </w:rPr>
        <w:t>6</w:t>
      </w:r>
      <w:r w:rsidRPr="00591F6E">
        <w:rPr>
          <w:lang w:val="en-GB"/>
        </w:rPr>
        <w:t xml:space="preserve">, Appendix), including specific controls reverses </w:t>
      </w:r>
      <w:r w:rsidR="0044007F" w:rsidRPr="00591F6E">
        <w:rPr>
          <w:lang w:val="en-GB"/>
        </w:rPr>
        <w:t xml:space="preserve">the </w:t>
      </w:r>
      <w:r w:rsidRPr="00591F6E">
        <w:rPr>
          <w:lang w:val="en-GB"/>
        </w:rPr>
        <w:t xml:space="preserve">direction detected in the abundance subset. For instance, we find that institutions have a positive and significant effect, which seems to indicate that studies that do control for institutional factors are more likely to find a relationship between resource scarcity and </w:t>
      </w:r>
      <w:r w:rsidR="00C116FF" w:rsidRPr="00591F6E">
        <w:rPr>
          <w:lang w:val="en-GB"/>
        </w:rPr>
        <w:t>conflict</w:t>
      </w:r>
      <w:r w:rsidRPr="00591F6E">
        <w:rPr>
          <w:lang w:val="en-GB"/>
        </w:rPr>
        <w:t>. This may be due to the tendency of the literature on resource scarcity to focus on institutionally-related conflicts, such as water issues, which are generally classified as the dyadic dispute over transboundary water resources (e.g. De Stefano et al., 2017).</w:t>
      </w:r>
    </w:p>
    <w:p w14:paraId="2B9C105F" w14:textId="47E40433" w:rsidR="00B76058" w:rsidRPr="00591F6E" w:rsidRDefault="00D356D8" w:rsidP="006B505C">
      <w:pPr>
        <w:pStyle w:val="Stile1"/>
        <w:jc w:val="both"/>
        <w:rPr>
          <w:lang w:val="en-GB"/>
        </w:rPr>
      </w:pPr>
      <w:r w:rsidRPr="00591F6E">
        <w:rPr>
          <w:lang w:val="en-GB"/>
        </w:rPr>
        <w:t>This may also indicate that studies that do not include proper controls for institutional factors suffer from omitted variable biases</w:t>
      </w:r>
      <w:r w:rsidR="006B505C" w:rsidRPr="00591F6E">
        <w:rPr>
          <w:lang w:val="en-GB"/>
        </w:rPr>
        <w:t xml:space="preserve">; </w:t>
      </w:r>
      <w:r w:rsidR="00DD2B3E" w:rsidRPr="00591F6E">
        <w:rPr>
          <w:lang w:val="en-GB"/>
        </w:rPr>
        <w:t xml:space="preserve">institutions do play a role in mediating environmentally-related conflicts and failing to </w:t>
      </w:r>
      <w:r w:rsidR="00DD2B3E" w:rsidRPr="00591F6E">
        <w:rPr>
          <w:lang w:val="en-GB"/>
        </w:rPr>
        <w:lastRenderedPageBreak/>
        <w:t xml:space="preserve">consider </w:t>
      </w:r>
      <w:r w:rsidR="006B505C" w:rsidRPr="00591F6E">
        <w:rPr>
          <w:lang w:val="en-GB"/>
        </w:rPr>
        <w:t xml:space="preserve">them </w:t>
      </w:r>
      <w:r w:rsidR="00DD2B3E" w:rsidRPr="00591F6E">
        <w:rPr>
          <w:lang w:val="en-GB"/>
        </w:rPr>
        <w:t xml:space="preserve">is likely to produce inconsistent estimates. </w:t>
      </w:r>
      <w:r w:rsidR="00B76058" w:rsidRPr="00591F6E">
        <w:rPr>
          <w:lang w:val="en-GB"/>
        </w:rPr>
        <w:t xml:space="preserve">Moreover, historical and geographic factors have a significant impact </w:t>
      </w:r>
      <w:r w:rsidR="006B505C" w:rsidRPr="00591F6E">
        <w:rPr>
          <w:lang w:val="en-GB"/>
        </w:rPr>
        <w:t xml:space="preserve">on </w:t>
      </w:r>
      <w:r w:rsidR="00B76058" w:rsidRPr="00591F6E">
        <w:rPr>
          <w:lang w:val="en-GB"/>
        </w:rPr>
        <w:t>the association between resource scarcity and conflict, unlike in the abundance subset of the sample. Specifically, the coefficient for geography is positive</w:t>
      </w:r>
      <w:r w:rsidR="00EA7E1F" w:rsidRPr="00591F6E">
        <w:rPr>
          <w:lang w:val="en-GB"/>
        </w:rPr>
        <w:t>: s</w:t>
      </w:r>
      <w:r w:rsidR="00B76058" w:rsidRPr="00591F6E">
        <w:rPr>
          <w:lang w:val="en-GB"/>
        </w:rPr>
        <w:t>ince this</w:t>
      </w:r>
      <w:r w:rsidR="00EA7E1F" w:rsidRPr="00591F6E">
        <w:rPr>
          <w:lang w:val="en-GB"/>
        </w:rPr>
        <w:t xml:space="preserve"> binary variable mostly</w:t>
      </w:r>
      <w:r w:rsidR="00B76058" w:rsidRPr="00591F6E">
        <w:rPr>
          <w:lang w:val="en-GB"/>
        </w:rPr>
        <w:t xml:space="preserve"> refers to the </w:t>
      </w:r>
      <w:r w:rsidR="00EA7E1F" w:rsidRPr="00591F6E">
        <w:rPr>
          <w:lang w:val="en-GB"/>
        </w:rPr>
        <w:t xml:space="preserve">inclusion of controls for the </w:t>
      </w:r>
      <w:r w:rsidR="00B76058" w:rsidRPr="00591F6E">
        <w:rPr>
          <w:lang w:val="en-GB"/>
        </w:rPr>
        <w:t xml:space="preserve">roughness of terrain </w:t>
      </w:r>
      <w:r w:rsidR="00EA7E1F" w:rsidRPr="00591F6E">
        <w:rPr>
          <w:lang w:val="en-GB"/>
        </w:rPr>
        <w:t>of</w:t>
      </w:r>
      <w:r w:rsidR="00B76058" w:rsidRPr="00591F6E">
        <w:rPr>
          <w:lang w:val="en-GB"/>
        </w:rPr>
        <w:t xml:space="preserve"> the region under investigation, this result </w:t>
      </w:r>
      <w:r w:rsidR="00EA7E1F" w:rsidRPr="00591F6E">
        <w:rPr>
          <w:lang w:val="en-GB"/>
        </w:rPr>
        <w:t>reflect</w:t>
      </w:r>
      <w:r w:rsidR="00B76058" w:rsidRPr="00591F6E">
        <w:rPr>
          <w:lang w:val="en-GB"/>
        </w:rPr>
        <w:t xml:space="preserve">s the argument that conflicts would be more likely to erupt in mountainous areas, where rebels can hide more easily (Fearon and Laitin, 2003). </w:t>
      </w:r>
    </w:p>
    <w:p w14:paraId="00602CB4" w14:textId="5B5F7F10" w:rsidR="005E537D" w:rsidRPr="00591F6E" w:rsidRDefault="00666AE5" w:rsidP="007E5CDA">
      <w:pPr>
        <w:pStyle w:val="Stile1"/>
        <w:jc w:val="both"/>
        <w:rPr>
          <w:b/>
          <w:i/>
          <w:lang w:val="en-GB"/>
        </w:rPr>
      </w:pPr>
      <w:r w:rsidRPr="00591F6E">
        <w:rPr>
          <w:lang w:val="en-GB"/>
        </w:rPr>
        <w:t>The Appendix repor</w:t>
      </w:r>
      <w:r w:rsidR="00EA7E1F" w:rsidRPr="00591F6E">
        <w:rPr>
          <w:lang w:val="en-GB"/>
        </w:rPr>
        <w:t>ts the regression results</w:t>
      </w:r>
      <w:r w:rsidR="006B505C" w:rsidRPr="00591F6E">
        <w:rPr>
          <w:lang w:val="en-GB"/>
        </w:rPr>
        <w:t xml:space="preserve"> discussed</w:t>
      </w:r>
      <w:r w:rsidR="00EA7E1F" w:rsidRPr="00591F6E">
        <w:rPr>
          <w:lang w:val="en-GB"/>
        </w:rPr>
        <w:t xml:space="preserve"> here as well as </w:t>
      </w:r>
      <w:r w:rsidR="00264F3A">
        <w:rPr>
          <w:lang w:val="en-GB"/>
        </w:rPr>
        <w:t xml:space="preserve">additional </w:t>
      </w:r>
      <w:r w:rsidRPr="00591F6E">
        <w:rPr>
          <w:lang w:val="en-GB"/>
        </w:rPr>
        <w:t xml:space="preserve">robustness tests. A first test meant to verify the existence of a “peer” effect is performed by excluding from the sample studies that are not published in peer-reviewed journals; a second robustness check excludes those studies that operationalize the resource variable as a share of GDP, since we have observed that such a methodological choice has a considerable influence on the results. Finally, a third test is performed by reintroducing the conditional estimates, i.e. estimates from those model specifications that include interaction terms. Results from the robustness tests confirm the importance of the above-mentioned methodological features of the studies in affecting the findings, mainly the inclusion of socio-economic or institutional variables as controls (i.e. controlling for </w:t>
      </w:r>
      <w:r w:rsidR="00970E4A" w:rsidRPr="00591F6E">
        <w:rPr>
          <w:lang w:val="en-GB"/>
        </w:rPr>
        <w:t xml:space="preserve">ethnic </w:t>
      </w:r>
      <w:r w:rsidRPr="00591F6E">
        <w:rPr>
          <w:lang w:val="en-GB"/>
        </w:rPr>
        <w:t>heterogeneity), the operationalization of the resource variable (particularly</w:t>
      </w:r>
      <w:r w:rsidR="00970E4A" w:rsidRPr="00591F6E">
        <w:rPr>
          <w:lang w:val="en-GB"/>
        </w:rPr>
        <w:t xml:space="preserve"> measuring the resources as</w:t>
      </w:r>
      <w:r w:rsidRPr="00591F6E">
        <w:rPr>
          <w:lang w:val="en-GB"/>
        </w:rPr>
        <w:t xml:space="preserve"> stock), the method adopted for the regression, the inclusion of lags in the model, and the specification of the threshold to define an event as conflict.</w:t>
      </w:r>
    </w:p>
    <w:p w14:paraId="2934890F" w14:textId="77777777" w:rsidR="00603AB5" w:rsidRPr="00591F6E" w:rsidRDefault="00603AB5" w:rsidP="00AC7669">
      <w:pPr>
        <w:pStyle w:val="Stile1"/>
        <w:ind w:firstLine="270"/>
        <w:jc w:val="both"/>
        <w:rPr>
          <w:b/>
          <w:i/>
          <w:lang w:val="en-GB"/>
        </w:rPr>
      </w:pPr>
    </w:p>
    <w:p w14:paraId="532815CB" w14:textId="57A327A3" w:rsidR="00D06E43" w:rsidRPr="00591F6E" w:rsidRDefault="00D06E43" w:rsidP="00AC7669">
      <w:pPr>
        <w:pStyle w:val="Stile1"/>
        <w:ind w:firstLine="270"/>
        <w:jc w:val="both"/>
        <w:rPr>
          <w:b/>
          <w:i/>
          <w:lang w:val="en-GB"/>
        </w:rPr>
        <w:sectPr w:rsidR="00D06E43" w:rsidRPr="00591F6E" w:rsidSect="00603AB5">
          <w:type w:val="continuous"/>
          <w:pgSz w:w="11906" w:h="16838"/>
          <w:pgMar w:top="1440" w:right="1440" w:bottom="1440" w:left="1440" w:header="708" w:footer="708" w:gutter="0"/>
          <w:lnNumType w:countBy="1" w:restart="newSection"/>
          <w:cols w:space="708"/>
          <w:docGrid w:linePitch="360"/>
        </w:sectPr>
      </w:pPr>
    </w:p>
    <w:p w14:paraId="59BC7031" w14:textId="040FEF12" w:rsidR="00666AE5" w:rsidRPr="00591F6E" w:rsidRDefault="00AC7669" w:rsidP="00A410CB">
      <w:pPr>
        <w:pStyle w:val="Stile1"/>
        <w:ind w:firstLine="360"/>
        <w:jc w:val="both"/>
        <w:rPr>
          <w:b/>
          <w:i/>
          <w:lang w:val="en-GB"/>
        </w:rPr>
      </w:pPr>
      <w:r w:rsidRPr="00591F6E">
        <w:rPr>
          <w:b/>
          <w:i/>
          <w:lang w:val="en-GB"/>
        </w:rPr>
        <w:lastRenderedPageBreak/>
        <w:t xml:space="preserve">4. </w:t>
      </w:r>
      <w:r w:rsidR="00E165F0" w:rsidRPr="00591F6E">
        <w:rPr>
          <w:b/>
          <w:i/>
          <w:lang w:val="en-GB"/>
        </w:rPr>
        <w:tab/>
      </w:r>
      <w:r w:rsidR="00666AE5" w:rsidRPr="00591F6E">
        <w:rPr>
          <w:b/>
          <w:i/>
          <w:lang w:val="en-GB"/>
        </w:rPr>
        <w:t>Discussion and conclusions</w:t>
      </w:r>
    </w:p>
    <w:p w14:paraId="345DFA53" w14:textId="77777777" w:rsidR="00AD144D" w:rsidRPr="00591F6E" w:rsidRDefault="00AD144D" w:rsidP="00EA1392">
      <w:pPr>
        <w:pStyle w:val="Stile1"/>
        <w:ind w:firstLine="720"/>
        <w:jc w:val="both"/>
        <w:rPr>
          <w:b/>
          <w:i/>
          <w:lang w:val="en-GB"/>
        </w:rPr>
      </w:pPr>
    </w:p>
    <w:p w14:paraId="7399C157" w14:textId="5A37B980" w:rsidR="00EA1392" w:rsidRPr="00591F6E" w:rsidRDefault="00EA1392" w:rsidP="00EA1392">
      <w:pPr>
        <w:pStyle w:val="Stile1"/>
        <w:ind w:firstLine="720"/>
        <w:jc w:val="both"/>
        <w:rPr>
          <w:lang w:val="en-GB"/>
        </w:rPr>
      </w:pPr>
      <w:bookmarkStart w:id="7" w:name="_Hlk521065445"/>
      <w:r w:rsidRPr="00591F6E">
        <w:rPr>
          <w:lang w:val="en-GB"/>
        </w:rPr>
        <w:t xml:space="preserve">The results of our analysis reflect some major issues that have been at the center of the academic dispute on environment and conflict. Our findings confirm that the inclusion of fixed-effects have an influence on study’s results, as discussed in the broader academic debate on the evidence of a climate-conflict nexus (Buhaug, 2010; Buhaug et al., 2014; Hsiang et al., 2013; 2014). Similarly, the definition of the dependent variable in terms of the number of deaths per year chosen as threshold to define an event as conflict, has a significant impact on the findings (Buhaug et al., 2014). Concerning the debate between neo-classical economists, who support the resource-curse hypothesis, and neo-Malthusians, who argue in favour of resource scarcity as a driver of conflict, our analysis shows that both resource wealth and shortage have an impact on conflict but vary according to the type of resources. While the abundance of minerals and drugs – </w:t>
      </w:r>
      <w:r w:rsidRPr="00591F6E">
        <w:rPr>
          <w:i/>
          <w:lang w:val="en-GB"/>
        </w:rPr>
        <w:t xml:space="preserve">lootable </w:t>
      </w:r>
      <w:r w:rsidRPr="00591F6E">
        <w:rPr>
          <w:lang w:val="en-GB"/>
        </w:rPr>
        <w:t xml:space="preserve">resources – increases the risk of conflict, </w:t>
      </w:r>
      <w:r w:rsidRPr="00591F6E">
        <w:rPr>
          <w:lang w:val="en-GB"/>
        </w:rPr>
        <w:lastRenderedPageBreak/>
        <w:t xml:space="preserve">the scarcity of renewable resources such as </w:t>
      </w:r>
      <w:r w:rsidR="000D06D3" w:rsidRPr="00591F6E">
        <w:rPr>
          <w:lang w:val="en-GB"/>
        </w:rPr>
        <w:t>forests, agricultural resources, fertile land</w:t>
      </w:r>
      <w:r w:rsidR="00866287" w:rsidRPr="00591F6E">
        <w:rPr>
          <w:lang w:val="en-GB"/>
        </w:rPr>
        <w:t xml:space="preserve"> and vegetation </w:t>
      </w:r>
      <w:r w:rsidRPr="00591F6E">
        <w:rPr>
          <w:lang w:val="en-GB"/>
        </w:rPr>
        <w:t xml:space="preserve">is associated with higher risks of violence. </w:t>
      </w:r>
    </w:p>
    <w:p w14:paraId="6C9B0AC8" w14:textId="77777777" w:rsidR="00EA1392" w:rsidRPr="00591F6E" w:rsidRDefault="00EA1392" w:rsidP="00EA1392">
      <w:pPr>
        <w:pStyle w:val="Stile1"/>
        <w:ind w:firstLine="720"/>
        <w:jc w:val="both"/>
        <w:rPr>
          <w:lang w:val="en-GB"/>
        </w:rPr>
      </w:pPr>
      <w:r w:rsidRPr="00591F6E">
        <w:rPr>
          <w:lang w:val="en-GB"/>
        </w:rPr>
        <w:t xml:space="preserve">In those settings characterized by abundance of highly-valuable resources such as minerals and fossil fuels, individuals may be more prone to fight for taking control over precious goods or achieve a fairer redistribution of resources. Moreover, rebel leaders generally provide material rewards as an incentive to join the fights (Kalyvas, 2006) and the prospect of material enrichment will likely foster mobilization, especially in destitute areas or among discriminated communities. Particularly in the lack of viable economic alternatives, the opportunity cost of joining the fight will thus be reduced (Collier and Hoeffler, 2004; Brinkman and Hendrix, 2011). </w:t>
      </w:r>
    </w:p>
    <w:p w14:paraId="12F99551" w14:textId="2F40A234" w:rsidR="00EA1392" w:rsidRPr="00591F6E" w:rsidRDefault="00EA1392" w:rsidP="00EA1392">
      <w:pPr>
        <w:pStyle w:val="Stile1"/>
        <w:ind w:firstLine="720"/>
        <w:jc w:val="both"/>
        <w:rPr>
          <w:lang w:val="en-GB"/>
        </w:rPr>
      </w:pPr>
      <w:r w:rsidRPr="00591F6E">
        <w:rPr>
          <w:lang w:val="en-GB"/>
        </w:rPr>
        <w:t>Moreover, the results of the analysis seem to confirm that the Neo-Malthusian argument holds for renewable resources (</w:t>
      </w:r>
      <w:r w:rsidR="00F25407" w:rsidRPr="00591F6E">
        <w:rPr>
          <w:lang w:val="en-GB"/>
        </w:rPr>
        <w:t>especially vegetation and</w:t>
      </w:r>
      <w:r w:rsidRPr="00591F6E">
        <w:rPr>
          <w:lang w:val="en-GB"/>
        </w:rPr>
        <w:t xml:space="preserve"> land), whereby we find a genuine correlation between </w:t>
      </w:r>
      <w:r w:rsidR="00F25407" w:rsidRPr="00591F6E">
        <w:rPr>
          <w:lang w:val="en-GB"/>
        </w:rPr>
        <w:t>the scarcity of these</w:t>
      </w:r>
      <w:r w:rsidRPr="00591F6E">
        <w:rPr>
          <w:lang w:val="en-GB"/>
        </w:rPr>
        <w:t xml:space="preserve"> resource</w:t>
      </w:r>
      <w:r w:rsidR="00F25407" w:rsidRPr="00591F6E">
        <w:rPr>
          <w:lang w:val="en-GB"/>
        </w:rPr>
        <w:t>s</w:t>
      </w:r>
      <w:r w:rsidRPr="00591F6E">
        <w:rPr>
          <w:lang w:val="en-GB"/>
        </w:rPr>
        <w:t xml:space="preserve"> and conflict. While the previous findings give support to theorists of </w:t>
      </w:r>
      <w:r w:rsidRPr="00591F6E">
        <w:rPr>
          <w:i/>
          <w:iCs/>
          <w:lang w:val="en-GB"/>
        </w:rPr>
        <w:t xml:space="preserve">greed, </w:t>
      </w:r>
      <w:r w:rsidRPr="00591F6E">
        <w:rPr>
          <w:lang w:val="en-GB"/>
        </w:rPr>
        <w:t xml:space="preserve">these results backs supporters of </w:t>
      </w:r>
      <w:r w:rsidRPr="00591F6E">
        <w:rPr>
          <w:i/>
          <w:iCs/>
          <w:lang w:val="en-GB"/>
        </w:rPr>
        <w:t>grievances</w:t>
      </w:r>
      <w:r w:rsidRPr="00591F6E">
        <w:rPr>
          <w:lang w:val="en-GB"/>
        </w:rPr>
        <w:t xml:space="preserve"> as a motive for conflict, as they point towards lack of essential resources and environmentally-induced livelihood deterioration as potential conflict-inducing factors.</w:t>
      </w:r>
    </w:p>
    <w:p w14:paraId="0BE2053E" w14:textId="799A7E2F" w:rsidR="00EA1392" w:rsidRPr="00591F6E" w:rsidRDefault="00EA1392" w:rsidP="00EA1392">
      <w:pPr>
        <w:pStyle w:val="Stile1"/>
        <w:ind w:firstLine="720"/>
        <w:jc w:val="both"/>
        <w:rPr>
          <w:lang w:val="en-GB"/>
        </w:rPr>
      </w:pPr>
      <w:r w:rsidRPr="00591F6E">
        <w:rPr>
          <w:lang w:val="en-GB"/>
        </w:rPr>
        <w:t xml:space="preserve">As </w:t>
      </w:r>
      <w:r w:rsidR="00AF6923" w:rsidRPr="00591F6E">
        <w:rPr>
          <w:lang w:val="en-GB"/>
        </w:rPr>
        <w:t xml:space="preserve">fertile </w:t>
      </w:r>
      <w:r w:rsidRPr="00591F6E">
        <w:rPr>
          <w:lang w:val="en-GB"/>
        </w:rPr>
        <w:t>land represent</w:t>
      </w:r>
      <w:r w:rsidR="00AF6923" w:rsidRPr="00591F6E">
        <w:rPr>
          <w:lang w:val="en-GB"/>
        </w:rPr>
        <w:t>s</w:t>
      </w:r>
      <w:r w:rsidRPr="00591F6E">
        <w:rPr>
          <w:lang w:val="en-GB"/>
        </w:rPr>
        <w:t xml:space="preserve"> the primary input of agricultural and food production,</w:t>
      </w:r>
      <w:r w:rsidR="000E59D9" w:rsidRPr="00591F6E">
        <w:rPr>
          <w:lang w:val="en-GB"/>
        </w:rPr>
        <w:t xml:space="preserve"> and consider</w:t>
      </w:r>
      <w:r w:rsidR="005F0241">
        <w:rPr>
          <w:lang w:val="en-GB"/>
        </w:rPr>
        <w:t>ing</w:t>
      </w:r>
      <w:r w:rsidR="000E59D9" w:rsidRPr="00591F6E">
        <w:rPr>
          <w:lang w:val="en-GB"/>
        </w:rPr>
        <w:t xml:space="preserve"> the operationalization of land in the empirical studies under scrutiny,</w:t>
      </w:r>
      <w:r w:rsidRPr="00591F6E">
        <w:rPr>
          <w:lang w:val="en-GB"/>
        </w:rPr>
        <w:t xml:space="preserve"> our findings might also be a sign of a positive association between food scarcity and violence. Acute food insecurity can in fact increase social grievances and provide a reason for engaging in rebellions. Societal grievances may have a particularly destabilizing effect when government responses to food insecurity are politicized and aid or relief programs are distributed unequally or directed to alternative uses (Hendrix and Brinkman, 2013). Also, the scarcity of water and land may induce crop shocks that translate into food price peaks, and in many other ways exacerbate grievances that individuals may be willing to act upon (Lagi et al., 2011). </w:t>
      </w:r>
    </w:p>
    <w:p w14:paraId="78EFD391" w14:textId="7690BFBF" w:rsidR="00EA1392" w:rsidRPr="00591F6E" w:rsidRDefault="00EA1392" w:rsidP="00EA1392">
      <w:pPr>
        <w:pStyle w:val="Stile1"/>
        <w:ind w:firstLine="720"/>
        <w:jc w:val="both"/>
        <w:rPr>
          <w:lang w:val="en-GB"/>
        </w:rPr>
      </w:pPr>
      <w:r w:rsidRPr="00591F6E">
        <w:rPr>
          <w:lang w:val="en-GB"/>
        </w:rPr>
        <w:t>Finally, a possibility exists that natural resource scarcity is associated with conflict through a non-linear relationship</w:t>
      </w:r>
      <w:r w:rsidR="005F0241">
        <w:rPr>
          <w:lang w:val="en-GB"/>
        </w:rPr>
        <w:t>.</w:t>
      </w:r>
      <w:r w:rsidRPr="00591F6E">
        <w:rPr>
          <w:lang w:val="en-GB"/>
        </w:rPr>
        <w:t xml:space="preserve"> </w:t>
      </w:r>
      <w:r w:rsidR="005F0241">
        <w:rPr>
          <w:lang w:val="en-GB"/>
        </w:rPr>
        <w:t>I</w:t>
      </w:r>
      <w:r w:rsidR="005F0241" w:rsidRPr="00591F6E">
        <w:rPr>
          <w:lang w:val="en-GB"/>
        </w:rPr>
        <w:t xml:space="preserve">n </w:t>
      </w:r>
      <w:r w:rsidRPr="00591F6E">
        <w:rPr>
          <w:lang w:val="en-GB"/>
        </w:rPr>
        <w:t xml:space="preserve">fact, it is not unlikely that the shrinkage in natural goods would initially encourage some degree of cooperation aimed to efficiently manage the resource use and plan its allocation, while cooperation would gradually degenerate into a more conflictual relationship when the amount of the resource has become so scarce that any solidary or cooperative sharing would be unfeasible (Dinar and Dinar, 2017). </w:t>
      </w:r>
    </w:p>
    <w:p w14:paraId="23945CC9" w14:textId="77777777" w:rsidR="00EA1392" w:rsidRPr="00591F6E" w:rsidRDefault="00EA1392" w:rsidP="00EA1392">
      <w:pPr>
        <w:pStyle w:val="Stile1"/>
        <w:ind w:firstLine="720"/>
        <w:jc w:val="both"/>
        <w:rPr>
          <w:lang w:val="en-GB"/>
        </w:rPr>
      </w:pPr>
      <w:r w:rsidRPr="00591F6E">
        <w:rPr>
          <w:lang w:val="en-GB"/>
        </w:rPr>
        <w:t xml:space="preserve">The findings also suggest that some methodological elements are likely to drive the study’s results and therefore need to be carefully vetted by future empirical analyses. Empirical research should thoroughly evaluate the choice of the sample and the data to be used, the socio-economic variables to be included as controls, and the </w:t>
      </w:r>
      <w:r w:rsidRPr="00591F6E">
        <w:rPr>
          <w:lang w:val="en-GB"/>
        </w:rPr>
        <w:lastRenderedPageBreak/>
        <w:t xml:space="preserve">proxy chosen to define both the dependent and the independent variables, as all these factors have a strong impact on the results. </w:t>
      </w:r>
    </w:p>
    <w:p w14:paraId="0DB84F48" w14:textId="1AFB5E66" w:rsidR="00EA1392" w:rsidRPr="00591F6E" w:rsidRDefault="00EA1392" w:rsidP="00EA1392">
      <w:pPr>
        <w:pStyle w:val="Stile1"/>
        <w:ind w:firstLine="720"/>
        <w:jc w:val="both"/>
        <w:rPr>
          <w:lang w:val="en-GB"/>
        </w:rPr>
      </w:pPr>
      <w:r w:rsidRPr="00591F6E">
        <w:rPr>
          <w:lang w:val="en-GB"/>
        </w:rPr>
        <w:t>Specifically, the inclusion of location fixed</w:t>
      </w:r>
      <w:r w:rsidR="005F0241">
        <w:rPr>
          <w:lang w:val="en-GB"/>
        </w:rPr>
        <w:t>-</w:t>
      </w:r>
      <w:r w:rsidRPr="00591F6E">
        <w:rPr>
          <w:lang w:val="en-GB"/>
        </w:rPr>
        <w:t xml:space="preserve">effects in the empirical model is associated with a higher probability </w:t>
      </w:r>
      <w:r w:rsidR="005F0241">
        <w:rPr>
          <w:lang w:val="en-GB"/>
        </w:rPr>
        <w:t xml:space="preserve">of </w:t>
      </w:r>
      <w:r w:rsidRPr="00591F6E">
        <w:rPr>
          <w:lang w:val="en-GB"/>
        </w:rPr>
        <w:t>positive and significant results, while studies that operationalize the independent variable as a stock or an absolute quantity tend to find weaker</w:t>
      </w:r>
      <w:r w:rsidR="005F0241">
        <w:rPr>
          <w:lang w:val="en-GB"/>
        </w:rPr>
        <w:t xml:space="preserve"> impacts</w:t>
      </w:r>
      <w:r w:rsidRPr="00591F6E">
        <w:rPr>
          <w:lang w:val="en-GB"/>
        </w:rPr>
        <w:t xml:space="preserve">. Interestingly, studies that control for state capacity, democracy or other elements describing the institutional setting of a country are less likely to find a positive relationship between natural resources and conflict. This suggests that governments play an important role in moderating the effect of exogenous shocks to resources and may thereby increase communities’ resilience to environmental hardships. In fact, governments can provide relief aids to affected populations, support a fairer redistribution of resources through taxation and fiscal incentives, promote a more equitable allocation of property rights, implement international agreements that foster cooperation on resources management and all in all reduce the opportunity cost of violence and disincentivize rebellions.  </w:t>
      </w:r>
    </w:p>
    <w:p w14:paraId="72C642D6" w14:textId="77777777" w:rsidR="00EA1392" w:rsidRPr="00591F6E" w:rsidRDefault="00EA1392" w:rsidP="00EA1392">
      <w:pPr>
        <w:pStyle w:val="Stile1"/>
        <w:ind w:firstLine="720"/>
        <w:jc w:val="both"/>
        <w:rPr>
          <w:lang w:val="en-GB"/>
        </w:rPr>
      </w:pPr>
      <w:r w:rsidRPr="00591F6E">
        <w:rPr>
          <w:lang w:val="en-GB"/>
        </w:rPr>
        <w:t xml:space="preserve">Evidence from the literature also supports the hypothesis that climate has an influence on the probability of conflicts related to resource scarcity. Climate change is likely to decrease the availability of natural resources, leading to increased scarcity of some primary goods such as fresh water in many regions of the world (Jiménez Cisneros et al., 2014). As our results suggest, if climatic conditions impact the risk of conflict via resource scarcity, the reduced availability of resources triggered by climate change is likely to amplify the risk of conflict. Further research should therefore explore the availability of natural resource as a possible contributory pathway through which climate patterns and change may contribute to increasing the risk of conflict or magnifying pre-existing tensions. </w:t>
      </w:r>
    </w:p>
    <w:p w14:paraId="3AFF0919" w14:textId="77777777" w:rsidR="00EA1392" w:rsidRPr="00591F6E" w:rsidRDefault="00EA1392" w:rsidP="00EA1392">
      <w:pPr>
        <w:pStyle w:val="Stile1"/>
        <w:ind w:firstLine="720"/>
        <w:jc w:val="both"/>
        <w:rPr>
          <w:lang w:val="en-GB"/>
        </w:rPr>
      </w:pPr>
      <w:r w:rsidRPr="00591F6E">
        <w:rPr>
          <w:lang w:val="en-GB"/>
        </w:rPr>
        <w:t>Finally, our systematic investigation of the literature allows us to identify some further research priorities that should be addressed by future research. The research community agrees on the need to have more disaggregated and high-resolution datasets on social and climatic variables (Buhaug and Lujala, 2005; Buhaug et al., 2008; Levy and Sidel, 2014; Ide, 2017; Bayramov, 2018). Researchers also call for investigating the dynamics that decrease societal vulnerability (Warnecke et al., 2010; Hsiang et al., 2014), and the socio-economic and political factors that could promote adaptation to the likely magnification of conflict risk, other than just to climate change (Scheffran et al., 2012; Hsiang et al., 2014; Adger et al., 2015). Research should also specifically target the complex mechanisms linking climate to conflict, including for instance natural resources, migration, and psychological dynamics (Burke et al., 2009; Kahl, 2006; Dell et al., 2014; Hsiang et al., 2014).</w:t>
      </w:r>
    </w:p>
    <w:p w14:paraId="082692DB" w14:textId="01DB288E" w:rsidR="00666AE5" w:rsidRPr="00591F6E" w:rsidRDefault="00EA1392" w:rsidP="00EA1392">
      <w:pPr>
        <w:pStyle w:val="Stile1"/>
        <w:ind w:firstLine="720"/>
        <w:jc w:val="both"/>
        <w:rPr>
          <w:i/>
          <w:szCs w:val="20"/>
          <w:lang w:val="en-GB"/>
        </w:rPr>
        <w:sectPr w:rsidR="00666AE5" w:rsidRPr="00591F6E" w:rsidSect="00603AB5">
          <w:type w:val="continuous"/>
          <w:pgSz w:w="11906" w:h="16838"/>
          <w:pgMar w:top="1440" w:right="1440" w:bottom="1440" w:left="1440" w:header="708" w:footer="708" w:gutter="0"/>
          <w:lnNumType w:countBy="1" w:restart="newSection"/>
          <w:cols w:space="708"/>
          <w:docGrid w:linePitch="360"/>
        </w:sectPr>
      </w:pPr>
      <w:r w:rsidRPr="00591F6E">
        <w:rPr>
          <w:lang w:val="en-GB"/>
        </w:rPr>
        <w:lastRenderedPageBreak/>
        <w:t>One task for future research is to consider socioeconomic variables that have been investigated only to a limited extent, such as factors reallocation</w:t>
      </w:r>
      <w:r w:rsidR="00117E24" w:rsidRPr="00591F6E">
        <w:rPr>
          <w:lang w:val="en-GB"/>
        </w:rPr>
        <w:t>, foreign investments</w:t>
      </w:r>
      <w:r w:rsidRPr="00591F6E">
        <w:rPr>
          <w:lang w:val="en-GB"/>
        </w:rPr>
        <w:t xml:space="preserve"> and international trade (Gleditsch, 1998; Dell et al., 2014), while at the same time carefully accounting for both endogeneity and reverse causality issues (Buhaug et al., 2008; Kousky, 2014). </w:t>
      </w:r>
      <w:r w:rsidR="00117E24" w:rsidRPr="00591F6E">
        <w:rPr>
          <w:lang w:val="en-GB"/>
        </w:rPr>
        <w:t>Further</w:t>
      </w:r>
      <w:r w:rsidR="005F0241">
        <w:rPr>
          <w:lang w:val="en-GB"/>
        </w:rPr>
        <w:t xml:space="preserve"> research</w:t>
      </w:r>
      <w:r w:rsidR="00117E24" w:rsidRPr="00591F6E">
        <w:rPr>
          <w:lang w:val="en-GB"/>
        </w:rPr>
        <w:t xml:space="preserve"> needs to address the mechanisms and pathways connecting natural resource abundance/scarcity to conflict in order to shed light on the mutual influences between social and environmental systems, examine the mediating effect of institutions and governance, better understand the impact of governance and property rights on ecological conflicts, as well as clarify the role of climatic changes in influencing the resource-conflict nexus. </w:t>
      </w:r>
      <w:r w:rsidRPr="00591F6E">
        <w:rPr>
          <w:lang w:val="en-GB"/>
        </w:rPr>
        <w:t xml:space="preserve">In addition, studies need to be broad enough to gather sufficient data but focused enough to capture the effects of subnational or local climatic conditions on the occurrence of violence (Buhaug et al., 2014; Levy and Sidel, 2014). Similarly, they need to better bridge the results of panel data analyses from short to medium and long term (Dell et al., 2014). Future research should therefore refine existing methods and explore new methods for investigating environment–conflict links (Schilling et al., 2010). A possibility is offered by adopting more than one methodology and taking advantage of a pluralistic integration of quantitative and qualitative studies (Van Vuuren, 2015; Ide, 2017). Finally, to increase the robustness of results, studies could target cases that exhibit all the preconditions hypothesized to potentially lead to conflict but that did not result in violent outcomes (Gleditsch, 1998; Kahl, 2006).  </w:t>
      </w:r>
    </w:p>
    <w:p w14:paraId="50D943DE" w14:textId="77777777" w:rsidR="006E6A15" w:rsidRPr="00591F6E" w:rsidRDefault="006E6A15" w:rsidP="006E6A15">
      <w:pPr>
        <w:suppressLineNumbers/>
        <w:autoSpaceDE w:val="0"/>
        <w:autoSpaceDN w:val="0"/>
        <w:adjustRightInd w:val="0"/>
        <w:jc w:val="both"/>
        <w:rPr>
          <w:b/>
          <w:i/>
          <w:lang w:val="en-GB"/>
        </w:rPr>
        <w:sectPr w:rsidR="006E6A15" w:rsidRPr="00591F6E" w:rsidSect="00934C15">
          <w:pgSz w:w="11906" w:h="16838"/>
          <w:pgMar w:top="1440" w:right="1440" w:bottom="1440" w:left="1440" w:header="708" w:footer="708" w:gutter="0"/>
          <w:lnNumType w:countBy="1" w:restart="newSection"/>
          <w:cols w:space="708"/>
          <w:docGrid w:linePitch="360"/>
        </w:sectPr>
      </w:pPr>
    </w:p>
    <w:p w14:paraId="6876DFED" w14:textId="77777777" w:rsidR="00276AB3" w:rsidRPr="00591F6E" w:rsidRDefault="00276AB3" w:rsidP="00276AB3">
      <w:pPr>
        <w:pStyle w:val="Stile1"/>
        <w:ind w:firstLine="0"/>
        <w:jc w:val="both"/>
        <w:rPr>
          <w:b/>
          <w:i/>
          <w:szCs w:val="20"/>
          <w:lang w:val="en-GB"/>
        </w:rPr>
      </w:pPr>
      <w:r w:rsidRPr="00591F6E">
        <w:rPr>
          <w:b/>
          <w:i/>
          <w:szCs w:val="20"/>
          <w:lang w:val="en-GB"/>
        </w:rPr>
        <w:lastRenderedPageBreak/>
        <w:t>Acknowledgements</w:t>
      </w:r>
    </w:p>
    <w:p w14:paraId="33797073" w14:textId="77777777" w:rsidR="00276AB3" w:rsidRPr="00591F6E" w:rsidRDefault="00276AB3" w:rsidP="00276AB3">
      <w:pPr>
        <w:pStyle w:val="Stile1"/>
        <w:jc w:val="both"/>
        <w:rPr>
          <w:b/>
          <w:i/>
          <w:szCs w:val="20"/>
          <w:lang w:val="en-GB"/>
        </w:rPr>
      </w:pPr>
    </w:p>
    <w:p w14:paraId="0C5A1198" w14:textId="3354E0A7" w:rsidR="00276AB3" w:rsidRPr="00591F6E" w:rsidRDefault="00276AB3" w:rsidP="00276AB3">
      <w:pPr>
        <w:pStyle w:val="Stile1"/>
        <w:ind w:firstLine="0"/>
        <w:jc w:val="both"/>
        <w:rPr>
          <w:bCs/>
          <w:iCs/>
          <w:szCs w:val="20"/>
          <w:lang w:val="en-GB"/>
        </w:rPr>
      </w:pPr>
      <w:r w:rsidRPr="00591F6E">
        <w:rPr>
          <w:bCs/>
          <w:iCs/>
          <w:szCs w:val="20"/>
          <w:lang w:val="en-GB"/>
        </w:rPr>
        <w:t>The authors would like to thank Halvard Buhaug (Peace Research Institute Oslo), Charles Kolstad (Stanford University), Fabio Farinosi (Joint Research Center), Margherita Gerolimetto (Ca’ Foscari University of Venice), John Ioannidis (Stanford University), Malcolm Mistry (Ca’ Foscari University of Venice)</w:t>
      </w:r>
      <w:r w:rsidR="009850A9">
        <w:rPr>
          <w:bCs/>
          <w:iCs/>
          <w:szCs w:val="20"/>
          <w:lang w:val="en-GB"/>
        </w:rPr>
        <w:t>,</w:t>
      </w:r>
      <w:r w:rsidRPr="00591F6E">
        <w:rPr>
          <w:bCs/>
          <w:iCs/>
          <w:szCs w:val="20"/>
          <w:lang w:val="en-GB"/>
        </w:rPr>
        <w:t xml:space="preserve"> and Cristiano Varin (Ca’ Foscari University of Venice) and all the participants to Stanford SIEPR Seminar Lunch on Climate and Conflict for the valuable comments they provided during the preparation of this manuscript.</w:t>
      </w:r>
    </w:p>
    <w:p w14:paraId="62E013F5" w14:textId="77777777" w:rsidR="00276AB3" w:rsidRPr="00591F6E" w:rsidRDefault="00276AB3" w:rsidP="00C3663B">
      <w:pPr>
        <w:pStyle w:val="Stile1"/>
        <w:ind w:firstLine="0"/>
        <w:jc w:val="both"/>
        <w:rPr>
          <w:b/>
          <w:i/>
          <w:szCs w:val="20"/>
          <w:lang w:val="en-GB"/>
        </w:rPr>
      </w:pPr>
    </w:p>
    <w:p w14:paraId="4431C1C6" w14:textId="77777777" w:rsidR="00276AB3" w:rsidRPr="00591F6E" w:rsidRDefault="00276AB3" w:rsidP="00C3663B">
      <w:pPr>
        <w:pStyle w:val="Stile1"/>
        <w:ind w:firstLine="0"/>
        <w:jc w:val="both"/>
        <w:rPr>
          <w:b/>
          <w:i/>
          <w:szCs w:val="20"/>
          <w:lang w:val="en-GB"/>
        </w:rPr>
      </w:pPr>
    </w:p>
    <w:p w14:paraId="72128B49" w14:textId="77777777" w:rsidR="00276AB3" w:rsidRPr="00591F6E" w:rsidRDefault="00276AB3" w:rsidP="00C3663B">
      <w:pPr>
        <w:pStyle w:val="Stile1"/>
        <w:ind w:firstLine="0"/>
        <w:jc w:val="both"/>
        <w:rPr>
          <w:b/>
          <w:i/>
          <w:szCs w:val="20"/>
          <w:lang w:val="en-GB"/>
        </w:rPr>
        <w:sectPr w:rsidR="00276AB3" w:rsidRPr="00591F6E" w:rsidSect="006E6A15">
          <w:type w:val="continuous"/>
          <w:pgSz w:w="11906" w:h="16838"/>
          <w:pgMar w:top="1440" w:right="1440" w:bottom="1440" w:left="1440" w:header="708" w:footer="708" w:gutter="0"/>
          <w:lnNumType w:countBy="1" w:restart="newSection"/>
          <w:cols w:space="708"/>
          <w:docGrid w:linePitch="360"/>
        </w:sectPr>
      </w:pPr>
    </w:p>
    <w:p w14:paraId="4ADCA058" w14:textId="11FB55AD" w:rsidR="00666AE5" w:rsidRPr="00591F6E" w:rsidRDefault="00666AE5" w:rsidP="00C3663B">
      <w:pPr>
        <w:pStyle w:val="Stile1"/>
        <w:ind w:firstLine="0"/>
        <w:jc w:val="both"/>
        <w:rPr>
          <w:b/>
          <w:i/>
          <w:szCs w:val="20"/>
          <w:lang w:val="en-GB"/>
        </w:rPr>
      </w:pPr>
      <w:r w:rsidRPr="00591F6E">
        <w:rPr>
          <w:b/>
          <w:i/>
          <w:szCs w:val="20"/>
          <w:lang w:val="en-GB"/>
        </w:rPr>
        <w:lastRenderedPageBreak/>
        <w:t>List of articles included in the meta-analysis</w:t>
      </w:r>
    </w:p>
    <w:bookmarkEnd w:id="7"/>
    <w:p w14:paraId="73E38107" w14:textId="77777777" w:rsidR="00572CBC" w:rsidRPr="00591F6E" w:rsidRDefault="00572CBC" w:rsidP="007E5CDA">
      <w:pPr>
        <w:pStyle w:val="Stile1"/>
        <w:jc w:val="both"/>
        <w:rPr>
          <w:szCs w:val="20"/>
          <w:lang w:val="en-GB"/>
        </w:rPr>
      </w:pPr>
    </w:p>
    <w:p w14:paraId="2C2CA5E8" w14:textId="77777777" w:rsidR="00572CBC" w:rsidRPr="009C489D" w:rsidRDefault="00572CBC" w:rsidP="00572CBC">
      <w:pPr>
        <w:pStyle w:val="Stile1"/>
        <w:jc w:val="both"/>
        <w:rPr>
          <w:szCs w:val="20"/>
          <w:lang w:val="it-IT"/>
        </w:rPr>
      </w:pPr>
      <w:r w:rsidRPr="00591F6E">
        <w:rPr>
          <w:szCs w:val="20"/>
          <w:lang w:val="en-GB"/>
        </w:rPr>
        <w:t xml:space="preserve">Alario, M.V., Nath, L., Carlton-Ford, S., 2016. Climatic disruptions, natural resources, and conflict: the challenges to governance. </w:t>
      </w:r>
      <w:r w:rsidRPr="009C489D">
        <w:rPr>
          <w:szCs w:val="20"/>
          <w:lang w:val="it-IT"/>
        </w:rPr>
        <w:t xml:space="preserve">J Environ Stud Sci 6, 251–259. </w:t>
      </w:r>
      <w:hyperlink r:id="rId14" w:history="1">
        <w:r w:rsidRPr="009C489D">
          <w:rPr>
            <w:rStyle w:val="Collegamentoipertestuale"/>
            <w:color w:val="auto"/>
            <w:szCs w:val="20"/>
            <w:u w:val="none"/>
            <w:lang w:val="it-IT"/>
          </w:rPr>
          <w:t>https://doi.org/10.1007/s13412-015-0252-x</w:t>
        </w:r>
      </w:hyperlink>
    </w:p>
    <w:p w14:paraId="47E58FA5" w14:textId="77777777" w:rsidR="00572CBC" w:rsidRPr="00591F6E" w:rsidRDefault="00572CBC" w:rsidP="00572CBC">
      <w:pPr>
        <w:pStyle w:val="Stile1"/>
        <w:jc w:val="both"/>
        <w:rPr>
          <w:szCs w:val="20"/>
          <w:lang w:val="en-GB"/>
        </w:rPr>
      </w:pPr>
      <w:r w:rsidRPr="009C489D">
        <w:rPr>
          <w:szCs w:val="20"/>
          <w:lang w:val="it-IT"/>
        </w:rPr>
        <w:t xml:space="preserve">Almer, C., Laurent-Lucchetti, J., Oechslin, M., 2017. </w:t>
      </w:r>
      <w:r w:rsidRPr="00591F6E">
        <w:rPr>
          <w:szCs w:val="20"/>
          <w:lang w:val="en-GB"/>
        </w:rPr>
        <w:t xml:space="preserve">Water scarcity and rioting: Disaggregated evidence from Sub-Saharan Africa. Journal of Environmental Economics and Management 86, 193–209. </w:t>
      </w:r>
      <w:hyperlink r:id="rId15" w:history="1">
        <w:r w:rsidRPr="00591F6E">
          <w:rPr>
            <w:rStyle w:val="Collegamentoipertestuale"/>
            <w:color w:val="auto"/>
            <w:szCs w:val="20"/>
            <w:u w:val="none"/>
            <w:lang w:val="en-GB"/>
          </w:rPr>
          <w:t>https://doi.org/10.1016/j.jeem.2017.06.002</w:t>
        </w:r>
      </w:hyperlink>
    </w:p>
    <w:p w14:paraId="4CC48907" w14:textId="77777777" w:rsidR="00572CBC" w:rsidRPr="00591F6E" w:rsidRDefault="00572CBC" w:rsidP="00572CBC">
      <w:pPr>
        <w:pStyle w:val="Stile1"/>
        <w:jc w:val="both"/>
        <w:rPr>
          <w:szCs w:val="20"/>
          <w:lang w:val="en-GB"/>
        </w:rPr>
      </w:pPr>
      <w:r w:rsidRPr="00591F6E">
        <w:rPr>
          <w:szCs w:val="20"/>
          <w:lang w:val="en-GB"/>
        </w:rPr>
        <w:t>Anyanwu, J., 2002. Working Paper 73 - Economic and Political Causes of Civil Wars in Africa: Some Econometric Results (Working Paper Series No. 207). African Development Bank.</w:t>
      </w:r>
    </w:p>
    <w:p w14:paraId="2AC9B473" w14:textId="77777777" w:rsidR="00572CBC" w:rsidRPr="00591F6E" w:rsidRDefault="00572CBC" w:rsidP="00572CBC">
      <w:pPr>
        <w:pStyle w:val="Stile1"/>
        <w:jc w:val="both"/>
        <w:rPr>
          <w:szCs w:val="20"/>
          <w:lang w:val="en-GB"/>
        </w:rPr>
      </w:pPr>
      <w:r w:rsidRPr="00591F6E">
        <w:rPr>
          <w:szCs w:val="20"/>
          <w:lang w:val="en-GB"/>
        </w:rPr>
        <w:t xml:space="preserve">Basedau, M., Lay, J., 2009. Resource Curse or Rentier Peace? The Ambiguous Effects of Oil Wealth and Oil Dependence on Violent Conflict. Journal of Peace Research 46, 757–776. </w:t>
      </w:r>
      <w:hyperlink r:id="rId16" w:history="1">
        <w:r w:rsidRPr="00591F6E">
          <w:rPr>
            <w:rStyle w:val="Collegamentoipertestuale"/>
            <w:color w:val="auto"/>
            <w:szCs w:val="20"/>
            <w:u w:val="none"/>
            <w:lang w:val="en-GB"/>
          </w:rPr>
          <w:t>https://doi.org/10.1177/0022343309340500</w:t>
        </w:r>
      </w:hyperlink>
    </w:p>
    <w:p w14:paraId="171C70A1" w14:textId="77777777" w:rsidR="00572CBC" w:rsidRPr="00591F6E" w:rsidRDefault="00572CBC" w:rsidP="00572CBC">
      <w:pPr>
        <w:pStyle w:val="Stile1"/>
        <w:jc w:val="both"/>
        <w:rPr>
          <w:szCs w:val="20"/>
          <w:lang w:val="en-GB"/>
        </w:rPr>
      </w:pPr>
      <w:r w:rsidRPr="00591F6E">
        <w:rPr>
          <w:szCs w:val="20"/>
          <w:lang w:val="en-GB"/>
        </w:rPr>
        <w:t xml:space="preserve">Berman, N., Couttenier, M., Rohner, D., Thoenig, M., 2017. This Mine is Mine! How Minerals Fuel Conflicts in Africa. American Economic Review 107, 1564–1610. </w:t>
      </w:r>
      <w:hyperlink r:id="rId17" w:history="1">
        <w:r w:rsidRPr="00591F6E">
          <w:rPr>
            <w:rStyle w:val="Collegamentoipertestuale"/>
            <w:color w:val="auto"/>
            <w:szCs w:val="20"/>
            <w:u w:val="none"/>
            <w:lang w:val="en-GB"/>
          </w:rPr>
          <w:t>https://doi.org/10.1257/aer.20150774</w:t>
        </w:r>
      </w:hyperlink>
    </w:p>
    <w:p w14:paraId="39198397" w14:textId="77777777" w:rsidR="00572CBC" w:rsidRPr="00591F6E" w:rsidRDefault="00572CBC" w:rsidP="00572CBC">
      <w:pPr>
        <w:pStyle w:val="Stile1"/>
        <w:jc w:val="both"/>
        <w:rPr>
          <w:szCs w:val="20"/>
          <w:lang w:val="en-GB"/>
        </w:rPr>
      </w:pPr>
      <w:r w:rsidRPr="00591F6E">
        <w:rPr>
          <w:szCs w:val="20"/>
          <w:lang w:val="en-GB"/>
        </w:rPr>
        <w:t xml:space="preserve">Binningsbø, H.M., de Soysa, I., Gleditsch, N.P., 2007. Green giant or straw man? Environmental pressure and civil conflict, 1961–99. Popul Environ 28, 337–353. </w:t>
      </w:r>
      <w:hyperlink r:id="rId18" w:history="1">
        <w:r w:rsidRPr="00591F6E">
          <w:rPr>
            <w:rStyle w:val="Collegamentoipertestuale"/>
            <w:color w:val="auto"/>
            <w:szCs w:val="20"/>
            <w:u w:val="none"/>
            <w:lang w:val="en-GB"/>
          </w:rPr>
          <w:t>https://doi.org/10.1007/s11111-007-0053-6</w:t>
        </w:r>
      </w:hyperlink>
    </w:p>
    <w:p w14:paraId="22DA0D0D" w14:textId="77777777" w:rsidR="00572CBC" w:rsidRPr="00591F6E" w:rsidRDefault="00572CBC" w:rsidP="00572CBC">
      <w:pPr>
        <w:pStyle w:val="Stile1"/>
        <w:jc w:val="both"/>
        <w:rPr>
          <w:szCs w:val="20"/>
          <w:lang w:val="en-GB"/>
        </w:rPr>
      </w:pPr>
      <w:r w:rsidRPr="00591F6E">
        <w:rPr>
          <w:szCs w:val="20"/>
          <w:lang w:val="en-GB"/>
        </w:rPr>
        <w:t xml:space="preserve">Böhmelt, T., Bernauer, T., Buhaug, H., Gleditsch, N.P., Tribaldos, T., Wischnath, G., 2014. Demand, supply, and restraint: Determinants of domestic water conflict and cooperation. Global Environmental Change 29, 337–348. </w:t>
      </w:r>
      <w:hyperlink r:id="rId19" w:history="1">
        <w:r w:rsidRPr="00591F6E">
          <w:rPr>
            <w:rStyle w:val="Collegamentoipertestuale"/>
            <w:color w:val="auto"/>
            <w:szCs w:val="20"/>
            <w:u w:val="none"/>
            <w:lang w:val="en-GB"/>
          </w:rPr>
          <w:t>https://doi.org/10.1016/j.gloenvcha.2013.11.018</w:t>
        </w:r>
      </w:hyperlink>
    </w:p>
    <w:p w14:paraId="2233735B" w14:textId="77777777" w:rsidR="00572CBC" w:rsidRPr="00591F6E" w:rsidRDefault="00572CBC" w:rsidP="00572CBC">
      <w:pPr>
        <w:pStyle w:val="Stile1"/>
        <w:jc w:val="both"/>
        <w:rPr>
          <w:szCs w:val="20"/>
          <w:lang w:val="en-GB"/>
        </w:rPr>
      </w:pPr>
      <w:r w:rsidRPr="00591F6E">
        <w:rPr>
          <w:szCs w:val="20"/>
          <w:lang w:val="en-GB"/>
        </w:rPr>
        <w:t>Bring, A., Sjoberg, E., 2017. Complex climate effects on cooperation and disputes in transboundary river basins. University of Utah, Department of Economics.</w:t>
      </w:r>
    </w:p>
    <w:p w14:paraId="2ADD366A" w14:textId="77777777" w:rsidR="00572CBC" w:rsidRPr="00591F6E" w:rsidRDefault="00572CBC" w:rsidP="00572CBC">
      <w:pPr>
        <w:pStyle w:val="Stile1"/>
        <w:jc w:val="both"/>
        <w:rPr>
          <w:szCs w:val="20"/>
          <w:lang w:val="en-GB"/>
        </w:rPr>
      </w:pPr>
      <w:r w:rsidRPr="00591F6E">
        <w:rPr>
          <w:szCs w:val="20"/>
          <w:lang w:val="en-GB"/>
        </w:rPr>
        <w:lastRenderedPageBreak/>
        <w:t xml:space="preserve">Brochmann, M., Gleditsch, N.P., 2012. Shared rivers and conflict – A reconsideration. Political Geography 31, 519–527. </w:t>
      </w:r>
      <w:hyperlink r:id="rId20" w:history="1">
        <w:r w:rsidRPr="00591F6E">
          <w:rPr>
            <w:rStyle w:val="Collegamentoipertestuale"/>
            <w:color w:val="auto"/>
            <w:szCs w:val="20"/>
            <w:u w:val="none"/>
            <w:lang w:val="en-GB"/>
          </w:rPr>
          <w:t>https://doi.org/10.1016/j.polgeo.2012.11.001</w:t>
        </w:r>
      </w:hyperlink>
    </w:p>
    <w:p w14:paraId="037D3782" w14:textId="77777777" w:rsidR="00572CBC" w:rsidRPr="00591F6E" w:rsidRDefault="00572CBC" w:rsidP="00572CBC">
      <w:pPr>
        <w:pStyle w:val="Stile1"/>
        <w:jc w:val="both"/>
        <w:rPr>
          <w:szCs w:val="20"/>
          <w:lang w:val="en-GB"/>
        </w:rPr>
      </w:pPr>
      <w:r w:rsidRPr="00591F6E">
        <w:rPr>
          <w:szCs w:val="20"/>
          <w:lang w:val="en-GB"/>
        </w:rPr>
        <w:t xml:space="preserve">Collier, P., 2004. Greed and grievance in civil war. Oxford Economic Papers 56, 563–595. </w:t>
      </w:r>
      <w:hyperlink r:id="rId21" w:history="1">
        <w:r w:rsidRPr="00591F6E">
          <w:rPr>
            <w:rStyle w:val="Collegamentoipertestuale"/>
            <w:color w:val="auto"/>
            <w:szCs w:val="20"/>
            <w:u w:val="none"/>
            <w:lang w:val="en-GB"/>
          </w:rPr>
          <w:t>https://doi.org/10.1093/oep/gpf064</w:t>
        </w:r>
      </w:hyperlink>
    </w:p>
    <w:p w14:paraId="75C73623" w14:textId="77777777" w:rsidR="00572CBC" w:rsidRPr="00591F6E" w:rsidRDefault="00572CBC" w:rsidP="00572CBC">
      <w:pPr>
        <w:pStyle w:val="Stile1"/>
        <w:jc w:val="both"/>
        <w:rPr>
          <w:szCs w:val="20"/>
          <w:lang w:val="en-GB"/>
        </w:rPr>
      </w:pPr>
      <w:r w:rsidRPr="00591F6E">
        <w:rPr>
          <w:szCs w:val="20"/>
          <w:lang w:val="en-GB"/>
        </w:rPr>
        <w:t xml:space="preserve">Collier, P., Hoeffler, A., 2002. On the Incidence of Civil War in Africa. Journal of Conflict Resolution 46, 13–28. </w:t>
      </w:r>
      <w:hyperlink r:id="rId22" w:history="1">
        <w:r w:rsidRPr="00591F6E">
          <w:rPr>
            <w:rStyle w:val="Collegamentoipertestuale"/>
            <w:color w:val="auto"/>
            <w:szCs w:val="20"/>
            <w:u w:val="none"/>
            <w:lang w:val="en-GB"/>
          </w:rPr>
          <w:t>https://doi.org/10.1177/0022002702046001002</w:t>
        </w:r>
      </w:hyperlink>
    </w:p>
    <w:p w14:paraId="025AA68A" w14:textId="77777777" w:rsidR="00572CBC" w:rsidRPr="00591F6E" w:rsidRDefault="00572CBC" w:rsidP="00572CBC">
      <w:pPr>
        <w:pStyle w:val="Stile1"/>
        <w:jc w:val="both"/>
        <w:rPr>
          <w:szCs w:val="20"/>
          <w:lang w:val="en-GB"/>
        </w:rPr>
      </w:pPr>
      <w:r w:rsidRPr="00591F6E">
        <w:rPr>
          <w:szCs w:val="20"/>
          <w:lang w:val="en-GB"/>
        </w:rPr>
        <w:t>Collier, P., Hoeffler, A., 1998. On Economic Causes of Civil War. Oxford Economic Papers 50, 563–573.</w:t>
      </w:r>
    </w:p>
    <w:p w14:paraId="7BF2D90C" w14:textId="75CADBAE" w:rsidR="00572CBC" w:rsidRPr="00591F6E" w:rsidRDefault="00572CBC" w:rsidP="00572CBC">
      <w:pPr>
        <w:pStyle w:val="Stile1"/>
        <w:jc w:val="both"/>
        <w:rPr>
          <w:szCs w:val="20"/>
          <w:lang w:val="en-GB"/>
        </w:rPr>
      </w:pPr>
      <w:r w:rsidRPr="00591F6E">
        <w:rPr>
          <w:szCs w:val="20"/>
          <w:lang w:val="en-GB"/>
        </w:rPr>
        <w:t xml:space="preserve">De Soysa, I., 2002. Paradise is a Bazaar? Greed, Creed, and Governance in Civil War, 1989-99. Journal of Peace Research 39, 395–416. </w:t>
      </w:r>
      <w:hyperlink r:id="rId23" w:history="1">
        <w:r w:rsidRPr="00591F6E">
          <w:rPr>
            <w:rStyle w:val="Collegamentoipertestuale"/>
            <w:color w:val="auto"/>
            <w:szCs w:val="20"/>
            <w:u w:val="none"/>
            <w:lang w:val="en-GB"/>
          </w:rPr>
          <w:t>https://doi.org/10.1177/0022343302039004002</w:t>
        </w:r>
      </w:hyperlink>
    </w:p>
    <w:p w14:paraId="2E7DADDA" w14:textId="77777777" w:rsidR="00572CBC" w:rsidRPr="00591F6E" w:rsidRDefault="00572CBC" w:rsidP="00572CBC">
      <w:pPr>
        <w:pStyle w:val="Stile1"/>
        <w:jc w:val="both"/>
        <w:rPr>
          <w:szCs w:val="20"/>
          <w:lang w:val="en-GB"/>
        </w:rPr>
      </w:pPr>
      <w:r w:rsidRPr="00591F6E">
        <w:rPr>
          <w:szCs w:val="20"/>
          <w:lang w:val="en-GB"/>
        </w:rPr>
        <w:t xml:space="preserve">De Soysa, I., Neumayer, E., 2007. Resource Wealth and the Risk of Civil War Onset: Results from a New Dataset of Natural Resource Rents, 1970—1999. Conflict Management and Peace Science 24, 201–218. </w:t>
      </w:r>
      <w:hyperlink r:id="rId24" w:history="1">
        <w:r w:rsidRPr="00591F6E">
          <w:rPr>
            <w:rStyle w:val="Collegamentoipertestuale"/>
            <w:color w:val="auto"/>
            <w:szCs w:val="20"/>
            <w:u w:val="none"/>
            <w:lang w:val="en-GB"/>
          </w:rPr>
          <w:t>https://doi.org/10.1080/07388940701468468</w:t>
        </w:r>
      </w:hyperlink>
    </w:p>
    <w:p w14:paraId="26834DDA" w14:textId="77777777" w:rsidR="00572CBC" w:rsidRPr="00591F6E" w:rsidRDefault="00572CBC" w:rsidP="00572CBC">
      <w:pPr>
        <w:pStyle w:val="Stile1"/>
        <w:jc w:val="both"/>
        <w:rPr>
          <w:szCs w:val="20"/>
          <w:lang w:val="en-GB"/>
        </w:rPr>
      </w:pPr>
      <w:r w:rsidRPr="00591F6E">
        <w:rPr>
          <w:szCs w:val="20"/>
          <w:lang w:val="en-GB"/>
        </w:rPr>
        <w:t xml:space="preserve">Fearon, J.D., 2005. Primary Commodity Exports and Civil War. Journal of Conflict Resolution 49, 483–507. </w:t>
      </w:r>
      <w:hyperlink r:id="rId25" w:history="1">
        <w:r w:rsidRPr="00591F6E">
          <w:rPr>
            <w:rStyle w:val="Collegamentoipertestuale"/>
            <w:color w:val="auto"/>
            <w:szCs w:val="20"/>
            <w:u w:val="none"/>
            <w:lang w:val="en-GB"/>
          </w:rPr>
          <w:t>https://doi.org/10.1177/0022002705277544</w:t>
        </w:r>
      </w:hyperlink>
    </w:p>
    <w:p w14:paraId="164E6CE1" w14:textId="77777777" w:rsidR="00572CBC" w:rsidRPr="00591F6E" w:rsidRDefault="00572CBC" w:rsidP="00572CBC">
      <w:pPr>
        <w:pStyle w:val="Stile1"/>
        <w:jc w:val="both"/>
        <w:rPr>
          <w:szCs w:val="20"/>
          <w:lang w:val="en-GB"/>
        </w:rPr>
      </w:pPr>
      <w:r w:rsidRPr="00591F6E">
        <w:rPr>
          <w:szCs w:val="20"/>
          <w:lang w:val="en-GB"/>
        </w:rPr>
        <w:t xml:space="preserve">Fjelde, H., 2009. Buying Peace? Oil Wealth, Corruption and Civil War, 1985—99. Journal of Peace Research 46, 199–218. </w:t>
      </w:r>
      <w:hyperlink r:id="rId26" w:history="1">
        <w:r w:rsidRPr="00591F6E">
          <w:rPr>
            <w:rStyle w:val="Collegamentoipertestuale"/>
            <w:color w:val="auto"/>
            <w:szCs w:val="20"/>
            <w:u w:val="none"/>
            <w:lang w:val="en-GB"/>
          </w:rPr>
          <w:t>https://doi.org/10.1177/0022343308100715</w:t>
        </w:r>
      </w:hyperlink>
    </w:p>
    <w:p w14:paraId="59B3AE8E" w14:textId="77777777" w:rsidR="00572CBC" w:rsidRPr="00591F6E" w:rsidRDefault="00572CBC" w:rsidP="00572CBC">
      <w:pPr>
        <w:pStyle w:val="Stile1"/>
        <w:jc w:val="both"/>
        <w:rPr>
          <w:szCs w:val="20"/>
          <w:lang w:val="en-GB"/>
        </w:rPr>
      </w:pPr>
      <w:r w:rsidRPr="00591F6E">
        <w:rPr>
          <w:szCs w:val="20"/>
          <w:lang w:val="en-GB"/>
        </w:rPr>
        <w:t xml:space="preserve">Fjelde, H., Nilsson, D., 2012. Rebels against Rebels: Explaining Violence between Rebel Groups. Journal of Conflict Resolution 56, 604–628. </w:t>
      </w:r>
      <w:hyperlink r:id="rId27" w:history="1">
        <w:r w:rsidRPr="00591F6E">
          <w:rPr>
            <w:rStyle w:val="Collegamentoipertestuale"/>
            <w:color w:val="auto"/>
            <w:szCs w:val="20"/>
            <w:u w:val="none"/>
            <w:lang w:val="en-GB"/>
          </w:rPr>
          <w:t>https://doi.org/10.1177/0022002712439496</w:t>
        </w:r>
      </w:hyperlink>
    </w:p>
    <w:p w14:paraId="5D3C6DFA" w14:textId="77777777" w:rsidR="00572CBC" w:rsidRPr="00591F6E" w:rsidRDefault="00572CBC" w:rsidP="00572CBC">
      <w:pPr>
        <w:pStyle w:val="Stile1"/>
        <w:jc w:val="both"/>
        <w:rPr>
          <w:szCs w:val="20"/>
          <w:lang w:val="en-GB"/>
        </w:rPr>
      </w:pPr>
      <w:r w:rsidRPr="00591F6E">
        <w:rPr>
          <w:szCs w:val="20"/>
          <w:lang w:val="en-GB"/>
        </w:rPr>
        <w:t xml:space="preserve">Furlong, K., Petter Gleditsch, N., Hegre, H., 2006. Geographic Opportunity and Neomalthusian Willingness: Boundaries, Shared Rivers, and Conflict. International Interactions 32, 79–108. </w:t>
      </w:r>
      <w:hyperlink r:id="rId28" w:history="1">
        <w:r w:rsidRPr="00591F6E">
          <w:rPr>
            <w:rStyle w:val="Collegamentoipertestuale"/>
            <w:color w:val="auto"/>
            <w:szCs w:val="20"/>
            <w:u w:val="none"/>
            <w:lang w:val="en-GB"/>
          </w:rPr>
          <w:t>https://doi.org/10.1080/03050620600596421</w:t>
        </w:r>
      </w:hyperlink>
    </w:p>
    <w:p w14:paraId="7253FB57" w14:textId="77777777" w:rsidR="00572CBC" w:rsidRPr="006241DC" w:rsidRDefault="00572CBC" w:rsidP="00572CBC">
      <w:pPr>
        <w:pStyle w:val="Stile1"/>
        <w:jc w:val="both"/>
        <w:rPr>
          <w:szCs w:val="20"/>
          <w:lang w:val="it-IT"/>
        </w:rPr>
      </w:pPr>
      <w:r w:rsidRPr="00591F6E">
        <w:rPr>
          <w:szCs w:val="20"/>
          <w:lang w:val="en-GB"/>
        </w:rPr>
        <w:t xml:space="preserve">Gizelis, T.-I., Wooden, A.E., 2010. Water resources, institutions, &amp; intrastate conflict. </w:t>
      </w:r>
      <w:r w:rsidRPr="006241DC">
        <w:rPr>
          <w:szCs w:val="20"/>
          <w:lang w:val="it-IT"/>
        </w:rPr>
        <w:t xml:space="preserve">Political Geography 29, 444–453. </w:t>
      </w:r>
      <w:hyperlink r:id="rId29" w:history="1">
        <w:r w:rsidRPr="006241DC">
          <w:rPr>
            <w:rStyle w:val="Collegamentoipertestuale"/>
            <w:color w:val="auto"/>
            <w:szCs w:val="20"/>
            <w:u w:val="none"/>
            <w:lang w:val="it-IT"/>
          </w:rPr>
          <w:t>https://doi.org/10.1016/j.polgeo.2010.10.005</w:t>
        </w:r>
      </w:hyperlink>
    </w:p>
    <w:p w14:paraId="1ADE2B8C" w14:textId="77777777" w:rsidR="00572CBC" w:rsidRPr="00591F6E" w:rsidRDefault="00572CBC" w:rsidP="00572CBC">
      <w:pPr>
        <w:pStyle w:val="Stile1"/>
        <w:jc w:val="both"/>
        <w:rPr>
          <w:szCs w:val="20"/>
          <w:lang w:val="en-GB"/>
        </w:rPr>
      </w:pPr>
      <w:r w:rsidRPr="006241DC">
        <w:rPr>
          <w:szCs w:val="20"/>
          <w:lang w:val="it-IT"/>
        </w:rPr>
        <w:t xml:space="preserve">Harari, M., La Ferrara, E., 2012. </w:t>
      </w:r>
      <w:r w:rsidRPr="00591F6E">
        <w:rPr>
          <w:szCs w:val="20"/>
          <w:lang w:val="en-GB"/>
        </w:rPr>
        <w:t>Conflict, Climate, and Cells: A Disaggregated Analysis. IGIER (Innocenzo Gasparini Institute for Economic Research), Bocconi University.</w:t>
      </w:r>
    </w:p>
    <w:p w14:paraId="583965E9" w14:textId="77777777" w:rsidR="00572CBC" w:rsidRPr="00591F6E" w:rsidRDefault="00572CBC" w:rsidP="00572CBC">
      <w:pPr>
        <w:pStyle w:val="Stile1"/>
        <w:jc w:val="both"/>
        <w:rPr>
          <w:szCs w:val="20"/>
          <w:lang w:val="en-GB"/>
        </w:rPr>
      </w:pPr>
      <w:r w:rsidRPr="00591F6E">
        <w:rPr>
          <w:szCs w:val="20"/>
          <w:lang w:val="en-GB"/>
        </w:rPr>
        <w:t xml:space="preserve">Hauge, W., Ellingsen, T., 1998. Beyond Environmental Scarcity: Causal Pathways to Conflict. Journal of Peace Research 35, 299–317. </w:t>
      </w:r>
      <w:hyperlink r:id="rId30" w:history="1">
        <w:r w:rsidRPr="00591F6E">
          <w:rPr>
            <w:rStyle w:val="Collegamentoipertestuale"/>
            <w:color w:val="auto"/>
            <w:szCs w:val="20"/>
            <w:u w:val="none"/>
            <w:lang w:val="en-GB"/>
          </w:rPr>
          <w:t>https://doi.org/10.1177/0022343398035003003</w:t>
        </w:r>
      </w:hyperlink>
    </w:p>
    <w:p w14:paraId="2D07837F" w14:textId="77777777" w:rsidR="00572CBC" w:rsidRPr="00591F6E" w:rsidRDefault="00572CBC" w:rsidP="00572CBC">
      <w:pPr>
        <w:pStyle w:val="Stile1"/>
        <w:jc w:val="both"/>
        <w:rPr>
          <w:szCs w:val="20"/>
          <w:lang w:val="en-GB"/>
        </w:rPr>
      </w:pPr>
      <w:r w:rsidRPr="00591F6E">
        <w:rPr>
          <w:szCs w:val="20"/>
          <w:lang w:val="en-GB"/>
        </w:rPr>
        <w:t xml:space="preserve">Humphreys, M., 2005. Natural Resources, Conflict, and Conflict Resolution: Uncovering the Mechanisms. Journal of Conflict Resolution 49, 508–537. </w:t>
      </w:r>
      <w:hyperlink r:id="rId31" w:history="1">
        <w:r w:rsidRPr="00591F6E">
          <w:rPr>
            <w:rStyle w:val="Collegamentoipertestuale"/>
            <w:color w:val="auto"/>
            <w:szCs w:val="20"/>
            <w:u w:val="none"/>
            <w:lang w:val="en-GB"/>
          </w:rPr>
          <w:t>https://doi.org/10.1177/0022002705277545</w:t>
        </w:r>
      </w:hyperlink>
    </w:p>
    <w:p w14:paraId="144C6F8A" w14:textId="77777777" w:rsidR="00572CBC" w:rsidRPr="00591F6E" w:rsidRDefault="00572CBC" w:rsidP="00572CBC">
      <w:pPr>
        <w:pStyle w:val="Stile1"/>
        <w:jc w:val="both"/>
        <w:rPr>
          <w:szCs w:val="20"/>
          <w:lang w:val="en-GB"/>
        </w:rPr>
      </w:pPr>
      <w:r w:rsidRPr="00591F6E">
        <w:rPr>
          <w:szCs w:val="20"/>
          <w:lang w:val="en-GB"/>
        </w:rPr>
        <w:lastRenderedPageBreak/>
        <w:t>Lessmann, C., Steinkraus, A., 2017. The Geography of Natural Resources, Ethnic Inequality and Development (CESifo Working Paper Series No. 6299). CESifo Group Munich.</w:t>
      </w:r>
    </w:p>
    <w:p w14:paraId="535FB0C9" w14:textId="77777777" w:rsidR="00572CBC" w:rsidRPr="00591F6E" w:rsidRDefault="00572CBC" w:rsidP="00572CBC">
      <w:pPr>
        <w:pStyle w:val="Stile1"/>
        <w:jc w:val="both"/>
        <w:rPr>
          <w:szCs w:val="20"/>
          <w:lang w:val="en-GB"/>
        </w:rPr>
      </w:pPr>
      <w:r w:rsidRPr="00591F6E">
        <w:rPr>
          <w:szCs w:val="20"/>
          <w:lang w:val="en-GB"/>
        </w:rPr>
        <w:t xml:space="preserve">Lujala, P., 2010. The spoils of nature: Armed civil conflict and rebel access to natural resources. Journal of Peace Research 47, 15–28. </w:t>
      </w:r>
      <w:hyperlink r:id="rId32" w:history="1">
        <w:r w:rsidRPr="00591F6E">
          <w:rPr>
            <w:rStyle w:val="Collegamentoipertestuale"/>
            <w:color w:val="auto"/>
            <w:szCs w:val="20"/>
            <w:u w:val="none"/>
            <w:lang w:val="en-GB"/>
          </w:rPr>
          <w:t>https://doi.org/10.1177/0022343309350015</w:t>
        </w:r>
      </w:hyperlink>
    </w:p>
    <w:p w14:paraId="190DFCF1" w14:textId="77777777" w:rsidR="00572CBC" w:rsidRPr="00591F6E" w:rsidRDefault="00572CBC" w:rsidP="00572CBC">
      <w:pPr>
        <w:pStyle w:val="Stile1"/>
        <w:jc w:val="both"/>
        <w:rPr>
          <w:szCs w:val="20"/>
          <w:lang w:val="en-GB"/>
        </w:rPr>
      </w:pPr>
      <w:r w:rsidRPr="00591F6E">
        <w:rPr>
          <w:szCs w:val="20"/>
          <w:lang w:val="en-GB"/>
        </w:rPr>
        <w:t xml:space="preserve">Lujala, P., 2009. Deadly Combat over Natural Resources: Gems, Petroleum, Drugs, and the Severity of Armed Civil Conflict. Journal of Conflict Resolution 53, 50–71. </w:t>
      </w:r>
      <w:hyperlink r:id="rId33" w:history="1">
        <w:r w:rsidRPr="00591F6E">
          <w:rPr>
            <w:rStyle w:val="Collegamentoipertestuale"/>
            <w:color w:val="auto"/>
            <w:szCs w:val="20"/>
            <w:u w:val="none"/>
            <w:lang w:val="en-GB"/>
          </w:rPr>
          <w:t>https://doi.org/10.1177/0022002708327644</w:t>
        </w:r>
      </w:hyperlink>
    </w:p>
    <w:p w14:paraId="48AD6EEF" w14:textId="77777777" w:rsidR="00572CBC" w:rsidRPr="00591F6E" w:rsidRDefault="00572CBC" w:rsidP="00572CBC">
      <w:pPr>
        <w:pStyle w:val="Stile1"/>
        <w:jc w:val="both"/>
        <w:rPr>
          <w:szCs w:val="20"/>
          <w:lang w:val="en-GB"/>
        </w:rPr>
      </w:pPr>
      <w:r w:rsidRPr="00591F6E">
        <w:rPr>
          <w:szCs w:val="20"/>
          <w:lang w:val="en-GB"/>
        </w:rPr>
        <w:t xml:space="preserve">Lujala, P., Gleditsch, N.P., Gilmore, E., 2005. A Diamond Curse?: Civil War and a Lootable Resource. Journal of Conflict Resolution 49, 538–562. </w:t>
      </w:r>
      <w:hyperlink r:id="rId34" w:history="1">
        <w:r w:rsidRPr="00591F6E">
          <w:rPr>
            <w:rStyle w:val="Collegamentoipertestuale"/>
            <w:color w:val="auto"/>
            <w:szCs w:val="20"/>
            <w:u w:val="none"/>
            <w:lang w:val="en-GB"/>
          </w:rPr>
          <w:t>https://doi.org/10.1177/0022002705277548</w:t>
        </w:r>
      </w:hyperlink>
    </w:p>
    <w:p w14:paraId="4085A84E" w14:textId="77777777" w:rsidR="00572CBC" w:rsidRPr="00591F6E" w:rsidRDefault="00572CBC" w:rsidP="00572CBC">
      <w:pPr>
        <w:pStyle w:val="Stile1"/>
        <w:jc w:val="both"/>
        <w:rPr>
          <w:szCs w:val="20"/>
          <w:lang w:val="en-GB"/>
        </w:rPr>
      </w:pPr>
      <w:r w:rsidRPr="00591F6E">
        <w:rPr>
          <w:szCs w:val="20"/>
          <w:lang w:val="en-GB"/>
        </w:rPr>
        <w:t xml:space="preserve">Maystadt, J.-F., De Luca, G., Sekeris, P.G., Ulimwengu, J., 2014. Mineral resources and conflicts in DRC: a case of ecological fallacy? Oxford Economic Papers 66, 721–749. </w:t>
      </w:r>
      <w:hyperlink r:id="rId35" w:history="1">
        <w:r w:rsidRPr="00591F6E">
          <w:rPr>
            <w:rStyle w:val="Collegamentoipertestuale"/>
            <w:color w:val="auto"/>
            <w:szCs w:val="20"/>
            <w:u w:val="none"/>
            <w:lang w:val="en-GB"/>
          </w:rPr>
          <w:t>https://doi.org/10.1093/oep/gpt037</w:t>
        </w:r>
      </w:hyperlink>
    </w:p>
    <w:p w14:paraId="62969E3D" w14:textId="77777777" w:rsidR="00572CBC" w:rsidRPr="00591F6E" w:rsidRDefault="00572CBC" w:rsidP="00572CBC">
      <w:pPr>
        <w:pStyle w:val="Stile1"/>
        <w:jc w:val="both"/>
        <w:rPr>
          <w:szCs w:val="20"/>
          <w:lang w:val="en-GB"/>
        </w:rPr>
      </w:pPr>
      <w:r w:rsidRPr="00591F6E">
        <w:rPr>
          <w:szCs w:val="20"/>
          <w:lang w:val="en-GB"/>
        </w:rPr>
        <w:t xml:space="preserve">Meier, P., Bond, D., Bond, J., 2007. Environmental influences on pastoral conflict in the Horn of Africa. Political Geography 26, 716–735. </w:t>
      </w:r>
      <w:hyperlink r:id="rId36" w:history="1">
        <w:r w:rsidRPr="00591F6E">
          <w:rPr>
            <w:rStyle w:val="Collegamentoipertestuale"/>
            <w:color w:val="auto"/>
            <w:szCs w:val="20"/>
            <w:u w:val="none"/>
            <w:lang w:val="en-GB"/>
          </w:rPr>
          <w:t>https://doi.org/10.1016/j.polgeo.2007.06.001</w:t>
        </w:r>
      </w:hyperlink>
    </w:p>
    <w:p w14:paraId="47416533" w14:textId="77777777" w:rsidR="00572CBC" w:rsidRPr="00591F6E" w:rsidRDefault="00572CBC" w:rsidP="00572CBC">
      <w:pPr>
        <w:pStyle w:val="Stile1"/>
        <w:jc w:val="both"/>
        <w:rPr>
          <w:szCs w:val="20"/>
          <w:lang w:val="en-GB"/>
        </w:rPr>
      </w:pPr>
      <w:r w:rsidRPr="00591F6E">
        <w:rPr>
          <w:szCs w:val="20"/>
          <w:lang w:val="en-GB"/>
        </w:rPr>
        <w:t xml:space="preserve">Østby, G., Urdal, H., Tadjoeddin, M.Z., Murshed, S.M., Strand, H., 2011. Population Pressure, Horizontal Inequality and Political Violence: A Disaggregated Study of Indonesian Provinces, 1990–2003. Journal of Development Studies 47, 377–398. </w:t>
      </w:r>
      <w:hyperlink r:id="rId37" w:history="1">
        <w:r w:rsidRPr="00591F6E">
          <w:rPr>
            <w:rStyle w:val="Collegamentoipertestuale"/>
            <w:color w:val="auto"/>
            <w:szCs w:val="20"/>
            <w:u w:val="none"/>
            <w:lang w:val="en-GB"/>
          </w:rPr>
          <w:t>https://doi.org/10.1080/00220388.2010.506911</w:t>
        </w:r>
      </w:hyperlink>
    </w:p>
    <w:p w14:paraId="32D4239B" w14:textId="77777777" w:rsidR="00572CBC" w:rsidRPr="00591F6E" w:rsidRDefault="00572CBC" w:rsidP="00572CBC">
      <w:pPr>
        <w:pStyle w:val="Stile1"/>
        <w:jc w:val="both"/>
        <w:rPr>
          <w:szCs w:val="20"/>
          <w:lang w:val="en-GB"/>
        </w:rPr>
      </w:pPr>
      <w:r w:rsidRPr="00591F6E">
        <w:rPr>
          <w:szCs w:val="20"/>
          <w:lang w:val="en-GB"/>
        </w:rPr>
        <w:t xml:space="preserve">Raleigh, C., Kniveton, D., 2012. Come rain or shine: An analysis of conflict and climate variability in East Africa. Journal of Peace Research 49, 51–64. </w:t>
      </w:r>
      <w:hyperlink r:id="rId38" w:history="1">
        <w:r w:rsidRPr="00591F6E">
          <w:rPr>
            <w:rStyle w:val="Collegamentoipertestuale"/>
            <w:color w:val="auto"/>
            <w:szCs w:val="20"/>
            <w:u w:val="none"/>
            <w:lang w:val="en-GB"/>
          </w:rPr>
          <w:t>https://doi.org/10.1177/0022343311427754</w:t>
        </w:r>
      </w:hyperlink>
    </w:p>
    <w:p w14:paraId="0F66AF21" w14:textId="77777777" w:rsidR="00572CBC" w:rsidRPr="00591F6E" w:rsidRDefault="00572CBC" w:rsidP="00572CBC">
      <w:pPr>
        <w:pStyle w:val="Stile1"/>
        <w:jc w:val="both"/>
        <w:rPr>
          <w:szCs w:val="20"/>
          <w:lang w:val="en-GB"/>
        </w:rPr>
      </w:pPr>
      <w:r w:rsidRPr="00591F6E">
        <w:rPr>
          <w:szCs w:val="20"/>
          <w:lang w:val="en-GB"/>
        </w:rPr>
        <w:t xml:space="preserve">Raleigh, C., Urdal, H., 2007. Climate change, environmental degradation and armed conflict. Political Geography 26, 674–694. </w:t>
      </w:r>
      <w:hyperlink r:id="rId39" w:history="1">
        <w:r w:rsidRPr="00591F6E">
          <w:rPr>
            <w:rStyle w:val="Collegamentoipertestuale"/>
            <w:color w:val="auto"/>
            <w:szCs w:val="20"/>
            <w:u w:val="none"/>
            <w:lang w:val="en-GB"/>
          </w:rPr>
          <w:t>https://doi.org/10.1016/j.polgeo.2007.06.005</w:t>
        </w:r>
      </w:hyperlink>
    </w:p>
    <w:p w14:paraId="715932D7" w14:textId="77777777" w:rsidR="00572CBC" w:rsidRPr="00591F6E" w:rsidRDefault="00572CBC" w:rsidP="00572CBC">
      <w:pPr>
        <w:pStyle w:val="Stile1"/>
        <w:jc w:val="both"/>
        <w:rPr>
          <w:szCs w:val="20"/>
          <w:lang w:val="en-GB"/>
        </w:rPr>
      </w:pPr>
      <w:r w:rsidRPr="00591F6E">
        <w:rPr>
          <w:szCs w:val="20"/>
          <w:lang w:val="en-GB"/>
        </w:rPr>
        <w:t xml:space="preserve">Rowhani, P., Degomme, O., Guha-Sapir, D., Lambin, E.F., 2011. Malnutrition and conflict in East Africa: the impacts of resource variability on human security. Climatic Change 105, 207–222. </w:t>
      </w:r>
      <w:hyperlink r:id="rId40" w:history="1">
        <w:r w:rsidRPr="00591F6E">
          <w:rPr>
            <w:rStyle w:val="Collegamentoipertestuale"/>
            <w:color w:val="auto"/>
            <w:szCs w:val="20"/>
            <w:u w:val="none"/>
            <w:lang w:val="en-GB"/>
          </w:rPr>
          <w:t>https://doi.org/10.1007/s10584-010-9884-8</w:t>
        </w:r>
      </w:hyperlink>
    </w:p>
    <w:p w14:paraId="0600689B" w14:textId="77777777" w:rsidR="00572CBC" w:rsidRPr="00591F6E" w:rsidRDefault="00572CBC" w:rsidP="00572CBC">
      <w:pPr>
        <w:pStyle w:val="Stile1"/>
        <w:jc w:val="both"/>
        <w:rPr>
          <w:szCs w:val="20"/>
          <w:lang w:val="en-GB"/>
        </w:rPr>
      </w:pPr>
      <w:r w:rsidRPr="00591F6E">
        <w:rPr>
          <w:szCs w:val="20"/>
          <w:lang w:val="en-GB"/>
        </w:rPr>
        <w:t>Smits, J., Tessema, Y., Sakamoto, T., Schodde, R., April Submitted. The inequality-resource curse of conflict 2016.</w:t>
      </w:r>
    </w:p>
    <w:p w14:paraId="58B9B795" w14:textId="77777777" w:rsidR="00572CBC" w:rsidRPr="00591F6E" w:rsidRDefault="00572CBC" w:rsidP="00572CBC">
      <w:pPr>
        <w:pStyle w:val="Stile1"/>
        <w:jc w:val="both"/>
        <w:rPr>
          <w:szCs w:val="20"/>
          <w:lang w:val="en-GB"/>
        </w:rPr>
      </w:pPr>
      <w:r w:rsidRPr="00591F6E">
        <w:rPr>
          <w:szCs w:val="20"/>
          <w:lang w:val="en-GB"/>
        </w:rPr>
        <w:t xml:space="preserve">Sorens, J., 2011. Mineral production, territory, and ethnic rebellion: The role of rebel constituencies. Journal of Peace Research 48, 571–585. </w:t>
      </w:r>
      <w:hyperlink r:id="rId41" w:history="1">
        <w:r w:rsidRPr="00591F6E">
          <w:rPr>
            <w:rStyle w:val="Collegamentoipertestuale"/>
            <w:color w:val="auto"/>
            <w:szCs w:val="20"/>
            <w:u w:val="none"/>
            <w:lang w:val="en-GB"/>
          </w:rPr>
          <w:t>https://doi.org/10.1177/0022343311411743</w:t>
        </w:r>
      </w:hyperlink>
    </w:p>
    <w:p w14:paraId="67C4AE96" w14:textId="4F09F60F" w:rsidR="00572CBC" w:rsidRPr="00591F6E" w:rsidRDefault="00572CBC" w:rsidP="00572CBC">
      <w:pPr>
        <w:pStyle w:val="Stile1"/>
        <w:jc w:val="both"/>
        <w:rPr>
          <w:lang w:val="en-GB"/>
        </w:rPr>
      </w:pPr>
      <w:r w:rsidRPr="00591F6E">
        <w:rPr>
          <w:szCs w:val="20"/>
          <w:lang w:val="en-GB"/>
        </w:rPr>
        <w:t xml:space="preserve">Stalley, P., 2003. Environmental Scarcity and International Conflict. Conflict Management and Peace Science 20, 33–58. </w:t>
      </w:r>
      <w:hyperlink r:id="rId42" w:history="1">
        <w:r w:rsidRPr="00591F6E">
          <w:rPr>
            <w:lang w:val="en-GB"/>
          </w:rPr>
          <w:t>https://doi.org/10.1177/073889420302000202</w:t>
        </w:r>
      </w:hyperlink>
    </w:p>
    <w:p w14:paraId="258F5AA1" w14:textId="77777777" w:rsidR="009F5C55" w:rsidRPr="00591F6E" w:rsidRDefault="009F5C55" w:rsidP="009F5C55">
      <w:pPr>
        <w:pStyle w:val="Stile1"/>
        <w:jc w:val="both"/>
        <w:rPr>
          <w:szCs w:val="20"/>
          <w:lang w:val="en-GB"/>
        </w:rPr>
      </w:pPr>
      <w:r w:rsidRPr="00591F6E">
        <w:rPr>
          <w:szCs w:val="20"/>
          <w:lang w:val="en-GB"/>
        </w:rPr>
        <w:t xml:space="preserve">Theisen, O.M., 2017. Climate Change and Violence: Insights from Political Science. Curr Clim Change Rep 3, 210–221. </w:t>
      </w:r>
      <w:hyperlink r:id="rId43" w:history="1">
        <w:r w:rsidRPr="00591F6E">
          <w:rPr>
            <w:rFonts w:eastAsiaTheme="majorEastAsia"/>
            <w:lang w:val="en-GB"/>
          </w:rPr>
          <w:t>https://doi.org/10.1007/s40641-017-0079-5</w:t>
        </w:r>
      </w:hyperlink>
    </w:p>
    <w:p w14:paraId="4C318094" w14:textId="77777777" w:rsidR="009F5C55" w:rsidRPr="00591F6E" w:rsidRDefault="009F5C55" w:rsidP="00572CBC">
      <w:pPr>
        <w:pStyle w:val="Stile1"/>
        <w:jc w:val="both"/>
        <w:rPr>
          <w:b/>
          <w:bCs/>
          <w:szCs w:val="20"/>
          <w:lang w:val="en-GB"/>
        </w:rPr>
      </w:pPr>
    </w:p>
    <w:p w14:paraId="7F6A9A10" w14:textId="77777777" w:rsidR="00572CBC" w:rsidRPr="00591F6E" w:rsidRDefault="00572CBC" w:rsidP="00572CBC">
      <w:pPr>
        <w:pStyle w:val="Stile1"/>
        <w:jc w:val="both"/>
        <w:rPr>
          <w:szCs w:val="20"/>
          <w:lang w:val="en-GB"/>
        </w:rPr>
      </w:pPr>
      <w:r w:rsidRPr="00591F6E">
        <w:rPr>
          <w:szCs w:val="20"/>
          <w:lang w:val="en-GB"/>
        </w:rPr>
        <w:t xml:space="preserve">Theisen, O.M., 2012. Climate clashes? Weather variability, land pressure, and organized violence in Kenya, 1989–2004. Journal of Peace Research 49, 81–96. </w:t>
      </w:r>
      <w:hyperlink r:id="rId44" w:history="1">
        <w:r w:rsidRPr="00591F6E">
          <w:rPr>
            <w:rStyle w:val="Collegamentoipertestuale"/>
            <w:color w:val="auto"/>
            <w:szCs w:val="20"/>
            <w:u w:val="none"/>
            <w:lang w:val="en-GB"/>
          </w:rPr>
          <w:t>https://doi.org/10.1177/0022343311425842</w:t>
        </w:r>
      </w:hyperlink>
    </w:p>
    <w:p w14:paraId="37A55565" w14:textId="77777777" w:rsidR="00572CBC" w:rsidRPr="00591F6E" w:rsidRDefault="00572CBC" w:rsidP="00572CBC">
      <w:pPr>
        <w:pStyle w:val="Stile1"/>
        <w:jc w:val="both"/>
        <w:rPr>
          <w:szCs w:val="20"/>
          <w:lang w:val="en-GB"/>
        </w:rPr>
      </w:pPr>
      <w:r w:rsidRPr="00591F6E">
        <w:rPr>
          <w:szCs w:val="20"/>
          <w:lang w:val="en-GB"/>
        </w:rPr>
        <w:t xml:space="preserve">Theisen, O.M., Holtermann, H., Buhaug, H., 2012. Climate Wars? Assessing the Claim That Drought Breeds Conflict. International Security 36, 79–106. </w:t>
      </w:r>
      <w:hyperlink r:id="rId45" w:history="1">
        <w:r w:rsidRPr="00591F6E">
          <w:rPr>
            <w:rStyle w:val="Collegamentoipertestuale"/>
            <w:color w:val="auto"/>
            <w:szCs w:val="20"/>
            <w:u w:val="none"/>
            <w:lang w:val="en-GB"/>
          </w:rPr>
          <w:t>https://doi.org/10.1162/ISEC_a_00065</w:t>
        </w:r>
      </w:hyperlink>
    </w:p>
    <w:p w14:paraId="5CC9C7A6" w14:textId="77777777" w:rsidR="00572CBC" w:rsidRPr="00591F6E" w:rsidRDefault="00572CBC" w:rsidP="00572CBC">
      <w:pPr>
        <w:pStyle w:val="Stile1"/>
        <w:jc w:val="both"/>
        <w:rPr>
          <w:szCs w:val="20"/>
          <w:lang w:val="en-GB"/>
        </w:rPr>
      </w:pPr>
      <w:r w:rsidRPr="00591F6E">
        <w:rPr>
          <w:szCs w:val="20"/>
          <w:lang w:val="en-GB"/>
        </w:rPr>
        <w:t xml:space="preserve">Toset, H.P.W., Gleditsch, N.P., Hegre, H., 2000. Shared rivers and interstate conflict. Political Geography 19, 971–996. </w:t>
      </w:r>
      <w:hyperlink r:id="rId46" w:history="1">
        <w:r w:rsidRPr="00591F6E">
          <w:rPr>
            <w:rStyle w:val="Collegamentoipertestuale"/>
            <w:color w:val="auto"/>
            <w:szCs w:val="20"/>
            <w:u w:val="none"/>
            <w:lang w:val="en-GB"/>
          </w:rPr>
          <w:t>https://doi.org/10.1016/S0962-6298(00)00038-X</w:t>
        </w:r>
      </w:hyperlink>
    </w:p>
    <w:p w14:paraId="43FD21D7" w14:textId="77777777" w:rsidR="00572CBC" w:rsidRPr="00591F6E" w:rsidRDefault="00572CBC" w:rsidP="00572CBC">
      <w:pPr>
        <w:pStyle w:val="Stile1"/>
        <w:jc w:val="both"/>
        <w:rPr>
          <w:szCs w:val="20"/>
          <w:lang w:val="en-GB"/>
        </w:rPr>
      </w:pPr>
      <w:r w:rsidRPr="00591F6E">
        <w:rPr>
          <w:szCs w:val="20"/>
          <w:lang w:val="en-GB"/>
        </w:rPr>
        <w:t xml:space="preserve">Urdal, H., 2005. People vs. Malthus: Population Pressure, Environmental Degradation, and Armed Conflict Revisited. Journal of Peace Research 42, 417–434. </w:t>
      </w:r>
      <w:hyperlink r:id="rId47" w:history="1">
        <w:r w:rsidRPr="00591F6E">
          <w:rPr>
            <w:rStyle w:val="Collegamentoipertestuale"/>
            <w:color w:val="auto"/>
            <w:szCs w:val="20"/>
            <w:u w:val="none"/>
            <w:lang w:val="en-GB"/>
          </w:rPr>
          <w:t>https://doi.org/10.1177/0022343305054089</w:t>
        </w:r>
      </w:hyperlink>
    </w:p>
    <w:p w14:paraId="61081C94" w14:textId="77777777" w:rsidR="00572CBC" w:rsidRPr="00591F6E" w:rsidRDefault="00572CBC" w:rsidP="00572CBC">
      <w:pPr>
        <w:pStyle w:val="Stile1"/>
        <w:jc w:val="both"/>
        <w:rPr>
          <w:szCs w:val="20"/>
          <w:lang w:val="en-GB"/>
        </w:rPr>
      </w:pPr>
      <w:r w:rsidRPr="00591F6E">
        <w:rPr>
          <w:szCs w:val="20"/>
          <w:lang w:val="en-GB"/>
        </w:rPr>
        <w:t xml:space="preserve">Verpoorten, M., 2012. Leave none to claim the land: A Malthusian catastrophe in Rwanda? Journal of Peace Research 49, 547–563. </w:t>
      </w:r>
      <w:hyperlink r:id="rId48" w:history="1">
        <w:r w:rsidRPr="00591F6E">
          <w:rPr>
            <w:rStyle w:val="Collegamentoipertestuale"/>
            <w:color w:val="auto"/>
            <w:szCs w:val="20"/>
            <w:u w:val="none"/>
            <w:lang w:val="en-GB"/>
          </w:rPr>
          <w:t>https://doi.org/10.1177/0022343312437773</w:t>
        </w:r>
      </w:hyperlink>
    </w:p>
    <w:p w14:paraId="0F3D540D" w14:textId="77777777" w:rsidR="00572CBC" w:rsidRPr="00591F6E" w:rsidRDefault="00572CBC" w:rsidP="00572CBC">
      <w:pPr>
        <w:pStyle w:val="Stile1"/>
        <w:jc w:val="both"/>
        <w:rPr>
          <w:szCs w:val="20"/>
          <w:lang w:val="en-GB"/>
        </w:rPr>
      </w:pPr>
      <w:r w:rsidRPr="00591F6E">
        <w:rPr>
          <w:szCs w:val="20"/>
          <w:lang w:val="en-GB"/>
        </w:rPr>
        <w:t>Welsch, H., 2008. Resource abundance and internal armed conflict: Types of natural resources and the incidence of “new wars.” Ecological Economics 67, 503–513.</w:t>
      </w:r>
    </w:p>
    <w:p w14:paraId="17BCC03C" w14:textId="77777777" w:rsidR="007A3AD5" w:rsidRPr="00591F6E" w:rsidRDefault="007A3AD5" w:rsidP="00561CE6">
      <w:pPr>
        <w:pStyle w:val="Stile1"/>
        <w:jc w:val="both"/>
        <w:rPr>
          <w:b/>
          <w:szCs w:val="20"/>
          <w:lang w:val="en-GB"/>
        </w:rPr>
        <w:sectPr w:rsidR="007A3AD5" w:rsidRPr="00591F6E" w:rsidSect="006E6A15">
          <w:type w:val="continuous"/>
          <w:pgSz w:w="11906" w:h="16838"/>
          <w:pgMar w:top="1440" w:right="1440" w:bottom="1440" w:left="1440" w:header="708" w:footer="708" w:gutter="0"/>
          <w:lnNumType w:countBy="1" w:restart="newSection"/>
          <w:cols w:space="708"/>
          <w:docGrid w:linePitch="360"/>
        </w:sectPr>
      </w:pPr>
    </w:p>
    <w:p w14:paraId="185D9219" w14:textId="163F7E78" w:rsidR="00561CE6" w:rsidRPr="00591F6E" w:rsidRDefault="00697374" w:rsidP="00561CE6">
      <w:pPr>
        <w:pStyle w:val="Stile1"/>
        <w:jc w:val="both"/>
        <w:rPr>
          <w:b/>
          <w:szCs w:val="20"/>
          <w:lang w:val="en-GB"/>
        </w:rPr>
      </w:pPr>
      <w:r w:rsidRPr="00591F6E">
        <w:rPr>
          <w:b/>
          <w:szCs w:val="20"/>
          <w:lang w:val="en-GB"/>
        </w:rPr>
        <w:lastRenderedPageBreak/>
        <w:t>References</w:t>
      </w:r>
      <w:r w:rsidR="00561CE6" w:rsidRPr="00591F6E">
        <w:rPr>
          <w:b/>
          <w:szCs w:val="20"/>
          <w:lang w:val="en-GB"/>
        </w:rPr>
        <w:t xml:space="preserve"> </w:t>
      </w:r>
    </w:p>
    <w:p w14:paraId="0953D2E0" w14:textId="59FBFFFE" w:rsidR="008E703F" w:rsidRPr="00591F6E" w:rsidRDefault="008E703F" w:rsidP="00561CE6">
      <w:pPr>
        <w:pStyle w:val="Stile1"/>
        <w:jc w:val="both"/>
        <w:rPr>
          <w:szCs w:val="20"/>
          <w:lang w:val="en-GB"/>
        </w:rPr>
      </w:pPr>
    </w:p>
    <w:p w14:paraId="015FFBB5" w14:textId="77777777" w:rsidR="00FD2FE4" w:rsidRPr="00591F6E" w:rsidRDefault="00FD2FE4" w:rsidP="00FD2FE4">
      <w:pPr>
        <w:pStyle w:val="Stile1"/>
        <w:jc w:val="both"/>
        <w:rPr>
          <w:lang w:val="en-GB"/>
        </w:rPr>
      </w:pPr>
      <w:r w:rsidRPr="00591F6E">
        <w:rPr>
          <w:lang w:val="en-GB"/>
        </w:rPr>
        <w:t xml:space="preserve">Agarwal, B., 2001. Participatory Exclusions, Community Forestry, and Gender: An Analysis for South Asia and a Conceptual Framework. World Development 29, 1623–1648. </w:t>
      </w:r>
      <w:hyperlink r:id="rId49" w:history="1">
        <w:r w:rsidRPr="00591F6E">
          <w:rPr>
            <w:rFonts w:eastAsiaTheme="majorEastAsia"/>
            <w:lang w:val="en-GB"/>
          </w:rPr>
          <w:t>https://doi.org/10.1016/S0305-750X(01)00066-3</w:t>
        </w:r>
      </w:hyperlink>
    </w:p>
    <w:p w14:paraId="46E9BDBC" w14:textId="77777777" w:rsidR="00572CBC" w:rsidRPr="00591F6E" w:rsidRDefault="00572CBC" w:rsidP="00572CBC">
      <w:pPr>
        <w:pStyle w:val="Stile1"/>
        <w:jc w:val="both"/>
        <w:rPr>
          <w:szCs w:val="20"/>
          <w:lang w:val="en-GB"/>
        </w:rPr>
      </w:pPr>
      <w:r w:rsidRPr="00591F6E">
        <w:rPr>
          <w:lang w:val="en-GB"/>
        </w:rPr>
        <w:t>Adams, C., Ide, T., Barnett, J., Detges, A., 2018. Sampling bias in climate–conflict</w:t>
      </w:r>
      <w:r w:rsidRPr="00591F6E">
        <w:rPr>
          <w:szCs w:val="20"/>
          <w:lang w:val="en-GB"/>
        </w:rPr>
        <w:t xml:space="preserve"> research. Nature Climate Change 8, 200–203. </w:t>
      </w:r>
      <w:hyperlink r:id="rId50" w:history="1">
        <w:r w:rsidRPr="00591F6E">
          <w:rPr>
            <w:rStyle w:val="Collegamentoipertestuale"/>
            <w:color w:val="auto"/>
            <w:szCs w:val="20"/>
            <w:u w:val="none"/>
            <w:lang w:val="en-GB"/>
          </w:rPr>
          <w:t>https://doi.org/10.1038/s41558-018-0068-2</w:t>
        </w:r>
      </w:hyperlink>
    </w:p>
    <w:p w14:paraId="1020A8EC" w14:textId="77777777" w:rsidR="00572CBC" w:rsidRPr="006241DC" w:rsidRDefault="00572CBC" w:rsidP="00572CBC">
      <w:pPr>
        <w:pStyle w:val="Stile1"/>
        <w:jc w:val="both"/>
        <w:rPr>
          <w:szCs w:val="20"/>
          <w:lang w:val="it-IT"/>
        </w:rPr>
      </w:pPr>
      <w:r w:rsidRPr="00591F6E">
        <w:rPr>
          <w:szCs w:val="20"/>
          <w:lang w:val="en-GB"/>
        </w:rPr>
        <w:t xml:space="preserve">Adger, W.N., Arnell, N.W., Black, R., Dercon, S., Geddes, A., Thomas, D.S.G., 2015. Focus on environmental risks and migration: causes and consequences. Environmental Research Letters 10, 060201. </w:t>
      </w:r>
      <w:hyperlink r:id="rId51" w:history="1">
        <w:r w:rsidRPr="006241DC">
          <w:rPr>
            <w:rStyle w:val="Collegamentoipertestuale"/>
            <w:color w:val="auto"/>
            <w:szCs w:val="20"/>
            <w:u w:val="none"/>
            <w:lang w:val="it-IT"/>
          </w:rPr>
          <w:t>https://doi.org/10.1088/1748-9326/10/6/060201</w:t>
        </w:r>
      </w:hyperlink>
    </w:p>
    <w:p w14:paraId="4FFD0E1F" w14:textId="77777777" w:rsidR="00572CBC" w:rsidRPr="00591F6E" w:rsidRDefault="00572CBC" w:rsidP="00572CBC">
      <w:pPr>
        <w:pStyle w:val="Stile1"/>
        <w:jc w:val="both"/>
        <w:rPr>
          <w:szCs w:val="20"/>
          <w:lang w:val="en-GB"/>
        </w:rPr>
      </w:pPr>
      <w:r w:rsidRPr="006241DC">
        <w:rPr>
          <w:szCs w:val="20"/>
          <w:lang w:val="it-IT"/>
        </w:rPr>
        <w:t xml:space="preserve">Almer, C., Laurent-Lucchetti, J., Oechslin, M., 2017. </w:t>
      </w:r>
      <w:r w:rsidRPr="00591F6E">
        <w:rPr>
          <w:szCs w:val="20"/>
          <w:lang w:val="en-GB"/>
        </w:rPr>
        <w:t xml:space="preserve">Water scarcity and rioting: Disaggregated evidence from Sub-Saharan Africa. Journal of Environmental Economics and Management 86, 193–209. </w:t>
      </w:r>
      <w:hyperlink r:id="rId52" w:history="1">
        <w:r w:rsidRPr="00591F6E">
          <w:rPr>
            <w:rStyle w:val="Collegamentoipertestuale"/>
            <w:color w:val="auto"/>
            <w:szCs w:val="20"/>
            <w:u w:val="none"/>
            <w:lang w:val="en-GB"/>
          </w:rPr>
          <w:t>https://doi.org/10.1016/j.jeem.2017.06.002</w:t>
        </w:r>
      </w:hyperlink>
    </w:p>
    <w:p w14:paraId="3A13916E" w14:textId="77777777" w:rsidR="00572CBC" w:rsidRPr="00591F6E" w:rsidRDefault="00572CBC" w:rsidP="00572CBC">
      <w:pPr>
        <w:pStyle w:val="Stile1"/>
        <w:jc w:val="both"/>
        <w:rPr>
          <w:szCs w:val="20"/>
          <w:lang w:val="en-GB"/>
        </w:rPr>
      </w:pPr>
      <w:r w:rsidRPr="00591F6E">
        <w:rPr>
          <w:szCs w:val="20"/>
          <w:lang w:val="en-GB"/>
        </w:rPr>
        <w:t xml:space="preserve">Basedau, M., Lay, J., 2009. Resource Curse or Rentier Peace? The Ambiguous Effects of Oil Wealth and Oil Dependence on Violent Conflict. Journal of Peace Research 46, 757–776. </w:t>
      </w:r>
      <w:hyperlink r:id="rId53" w:history="1">
        <w:r w:rsidRPr="00591F6E">
          <w:rPr>
            <w:rStyle w:val="Collegamentoipertestuale"/>
            <w:color w:val="auto"/>
            <w:szCs w:val="20"/>
            <w:u w:val="none"/>
            <w:lang w:val="en-GB"/>
          </w:rPr>
          <w:t>https://doi.org/10.1177/0022343309340500</w:t>
        </w:r>
      </w:hyperlink>
    </w:p>
    <w:p w14:paraId="1BBEFE75" w14:textId="4A13EBD6" w:rsidR="00572CBC" w:rsidRPr="00591F6E" w:rsidRDefault="00572CBC" w:rsidP="00572CBC">
      <w:pPr>
        <w:pStyle w:val="Stile1"/>
        <w:jc w:val="both"/>
        <w:rPr>
          <w:rStyle w:val="Collegamentoipertestuale"/>
          <w:color w:val="auto"/>
          <w:szCs w:val="20"/>
          <w:u w:val="none"/>
          <w:lang w:val="en-GB"/>
        </w:rPr>
      </w:pPr>
      <w:r w:rsidRPr="00591F6E">
        <w:rPr>
          <w:szCs w:val="20"/>
          <w:lang w:val="en-GB"/>
        </w:rPr>
        <w:t xml:space="preserve">Bayramov, A., 2018. Review: Dubious nexus between natural resources and conflict. Journal of Eurasian Studies 9, 72–81. </w:t>
      </w:r>
      <w:hyperlink r:id="rId54" w:history="1">
        <w:r w:rsidRPr="00591F6E">
          <w:rPr>
            <w:rStyle w:val="Collegamentoipertestuale"/>
            <w:color w:val="auto"/>
            <w:szCs w:val="20"/>
            <w:u w:val="none"/>
            <w:lang w:val="en-GB"/>
          </w:rPr>
          <w:t>https://doi.org/10.1016/j.euras.2017.12.006</w:t>
        </w:r>
      </w:hyperlink>
    </w:p>
    <w:p w14:paraId="794B5584" w14:textId="01F4CBE2" w:rsidR="00C66149" w:rsidRPr="00591F6E" w:rsidRDefault="00C66149" w:rsidP="00C66149">
      <w:pPr>
        <w:pStyle w:val="Stile1"/>
        <w:jc w:val="both"/>
        <w:rPr>
          <w:szCs w:val="20"/>
          <w:lang w:val="en-GB"/>
        </w:rPr>
      </w:pPr>
      <w:r w:rsidRPr="00591F6E">
        <w:rPr>
          <w:szCs w:val="20"/>
          <w:lang w:val="en-GB"/>
        </w:rPr>
        <w:t xml:space="preserve">Bell, C., Keys, P.W., 2016. Conditional Relationships Between Drought and Civil Conflict in Sub-Saharan Africa. foreign policy anal 1–23. </w:t>
      </w:r>
      <w:hyperlink r:id="rId55" w:history="1">
        <w:r w:rsidRPr="00591F6E">
          <w:rPr>
            <w:rFonts w:eastAsiaTheme="majorEastAsia"/>
            <w:lang w:val="en-GB"/>
          </w:rPr>
          <w:t>https://doi.org/10.1093/fpa/orw002</w:t>
        </w:r>
      </w:hyperlink>
    </w:p>
    <w:p w14:paraId="09348BA6" w14:textId="77777777" w:rsidR="00572CBC" w:rsidRPr="00591F6E" w:rsidRDefault="00572CBC" w:rsidP="00572CBC">
      <w:pPr>
        <w:pStyle w:val="Stile1"/>
        <w:jc w:val="both"/>
        <w:rPr>
          <w:szCs w:val="20"/>
          <w:lang w:val="en-GB"/>
        </w:rPr>
      </w:pPr>
      <w:r w:rsidRPr="00591F6E">
        <w:rPr>
          <w:szCs w:val="20"/>
          <w:lang w:val="en-GB"/>
        </w:rPr>
        <w:t xml:space="preserve">Benjaminsen, T.A., 2008. Does Supply-Induced Scarcity Drive Violent Conflicts in the African Sahel? The Case of the Tuareg Rebellion in Northern Mali. Journal of Peace Research 45, 819–836. </w:t>
      </w:r>
      <w:hyperlink r:id="rId56" w:history="1">
        <w:r w:rsidRPr="00591F6E">
          <w:rPr>
            <w:rStyle w:val="Collegamentoipertestuale"/>
            <w:color w:val="auto"/>
            <w:szCs w:val="20"/>
            <w:u w:val="none"/>
            <w:lang w:val="en-GB"/>
          </w:rPr>
          <w:t>https://doi.org/10.1177/0022343308096158</w:t>
        </w:r>
      </w:hyperlink>
    </w:p>
    <w:p w14:paraId="3FDE1B2C" w14:textId="77777777" w:rsidR="00572CBC" w:rsidRPr="00591F6E" w:rsidRDefault="00572CBC" w:rsidP="00572CBC">
      <w:pPr>
        <w:pStyle w:val="Stile1"/>
        <w:jc w:val="both"/>
        <w:rPr>
          <w:szCs w:val="20"/>
          <w:lang w:val="en-GB"/>
        </w:rPr>
      </w:pPr>
      <w:r w:rsidRPr="00591F6E">
        <w:rPr>
          <w:szCs w:val="20"/>
          <w:lang w:val="en-GB"/>
        </w:rPr>
        <w:t xml:space="preserve">Bowman, N.A., 2012. Effect Sizes and Statistical Methods for Meta-Analysis in Higher Education. Research in Higher Education 53, 375–382. </w:t>
      </w:r>
      <w:hyperlink r:id="rId57" w:history="1">
        <w:r w:rsidRPr="00591F6E">
          <w:rPr>
            <w:rStyle w:val="Collegamentoipertestuale"/>
            <w:color w:val="auto"/>
            <w:szCs w:val="20"/>
            <w:u w:val="none"/>
            <w:lang w:val="en-GB"/>
          </w:rPr>
          <w:t>https://doi.org/10.1007/s11162-011-9232-5</w:t>
        </w:r>
      </w:hyperlink>
    </w:p>
    <w:p w14:paraId="46C545D8" w14:textId="77777777" w:rsidR="00572CBC" w:rsidRPr="00591F6E" w:rsidRDefault="00572CBC" w:rsidP="00572CBC">
      <w:pPr>
        <w:pStyle w:val="Stile1"/>
        <w:jc w:val="both"/>
        <w:rPr>
          <w:szCs w:val="20"/>
          <w:lang w:val="en-GB"/>
        </w:rPr>
      </w:pPr>
      <w:r w:rsidRPr="00591F6E">
        <w:rPr>
          <w:szCs w:val="20"/>
          <w:lang w:val="en-GB"/>
        </w:rPr>
        <w:t>Bring, A., Sjoberg, E., 2017. Complex climate effects on cooperation and disputes in transboundary river basins. University of Utah, Department of Economics.</w:t>
      </w:r>
    </w:p>
    <w:p w14:paraId="191547A9" w14:textId="77777777" w:rsidR="00572CBC" w:rsidRPr="00591F6E" w:rsidRDefault="00572CBC" w:rsidP="00572CBC">
      <w:pPr>
        <w:pStyle w:val="Stile1"/>
        <w:jc w:val="both"/>
        <w:rPr>
          <w:szCs w:val="20"/>
          <w:lang w:val="en-GB"/>
        </w:rPr>
      </w:pPr>
      <w:r w:rsidRPr="00591F6E">
        <w:rPr>
          <w:szCs w:val="20"/>
          <w:lang w:val="en-GB"/>
        </w:rPr>
        <w:t xml:space="preserve">Brown, I.A., 2010. Assessing eco-scarcity as a cause of the outbreak of conflict in Darfur: a remote sensing approach. International Journal of Remote Sensing 31, 2513–2520. </w:t>
      </w:r>
      <w:hyperlink r:id="rId58" w:history="1">
        <w:r w:rsidRPr="00591F6E">
          <w:rPr>
            <w:rStyle w:val="Collegamentoipertestuale"/>
            <w:color w:val="auto"/>
            <w:szCs w:val="20"/>
            <w:u w:val="none"/>
            <w:lang w:val="en-GB"/>
          </w:rPr>
          <w:t>https://doi.org/10.1080/01431161003674592</w:t>
        </w:r>
      </w:hyperlink>
    </w:p>
    <w:p w14:paraId="606AF037" w14:textId="77777777" w:rsidR="00572CBC" w:rsidRPr="00591F6E" w:rsidRDefault="00572CBC" w:rsidP="00572CBC">
      <w:pPr>
        <w:pStyle w:val="Stile1"/>
        <w:jc w:val="both"/>
        <w:rPr>
          <w:szCs w:val="20"/>
          <w:lang w:val="en-GB"/>
        </w:rPr>
      </w:pPr>
      <w:r w:rsidRPr="00591F6E">
        <w:rPr>
          <w:szCs w:val="20"/>
          <w:lang w:val="en-GB"/>
        </w:rPr>
        <w:lastRenderedPageBreak/>
        <w:t xml:space="preserve">Brunnschweiler, C.N., Bulte, E.H., 2008. Linking Natural Resources to Slow Growth and More Conflict. Science 320, 616–617. </w:t>
      </w:r>
      <w:hyperlink r:id="rId59" w:history="1">
        <w:r w:rsidRPr="00591F6E">
          <w:rPr>
            <w:rStyle w:val="Collegamentoipertestuale"/>
            <w:color w:val="auto"/>
            <w:szCs w:val="20"/>
            <w:u w:val="none"/>
            <w:lang w:val="en-GB"/>
          </w:rPr>
          <w:t>https://doi.org/10.1126/science.1154539</w:t>
        </w:r>
      </w:hyperlink>
    </w:p>
    <w:p w14:paraId="018E5550" w14:textId="77777777" w:rsidR="00572CBC" w:rsidRPr="00591F6E" w:rsidRDefault="00572CBC" w:rsidP="00572CBC">
      <w:pPr>
        <w:pStyle w:val="Stile1"/>
        <w:jc w:val="both"/>
        <w:rPr>
          <w:szCs w:val="20"/>
          <w:lang w:val="en-GB"/>
        </w:rPr>
      </w:pPr>
      <w:r w:rsidRPr="00591F6E">
        <w:rPr>
          <w:szCs w:val="20"/>
          <w:lang w:val="en-GB"/>
        </w:rPr>
        <w:t xml:space="preserve">Buhaug, H., 2016. Climate Change and Conflict: Taking Stock. Peace Economics, Peace Science and Public Policy 22, 331–338. </w:t>
      </w:r>
      <w:hyperlink r:id="rId60" w:history="1">
        <w:r w:rsidRPr="00591F6E">
          <w:rPr>
            <w:rStyle w:val="Collegamentoipertestuale"/>
            <w:color w:val="auto"/>
            <w:szCs w:val="20"/>
            <w:u w:val="none"/>
            <w:lang w:val="en-GB"/>
          </w:rPr>
          <w:t>https://doi.org/10.1515/peps-2016-0034</w:t>
        </w:r>
      </w:hyperlink>
    </w:p>
    <w:p w14:paraId="4C6B7DAF" w14:textId="77777777" w:rsidR="00572CBC" w:rsidRPr="00591F6E" w:rsidRDefault="00572CBC" w:rsidP="00572CBC">
      <w:pPr>
        <w:pStyle w:val="Stile1"/>
        <w:jc w:val="both"/>
        <w:rPr>
          <w:szCs w:val="20"/>
          <w:lang w:val="en-GB"/>
        </w:rPr>
      </w:pPr>
      <w:r w:rsidRPr="00591F6E">
        <w:rPr>
          <w:szCs w:val="20"/>
          <w:lang w:val="en-GB"/>
        </w:rPr>
        <w:t xml:space="preserve">Buhaug, H., Benjaminsen, T.A., Sjaastad, E., Magnus Theisen, O., 2015. Climate variability, food production shocks, and violent conflict in Sub-Saharan Africa. Environmental Research Letters 10, 125015. </w:t>
      </w:r>
      <w:hyperlink r:id="rId61" w:history="1">
        <w:r w:rsidRPr="00591F6E">
          <w:rPr>
            <w:rStyle w:val="Collegamentoipertestuale"/>
            <w:color w:val="auto"/>
            <w:szCs w:val="20"/>
            <w:u w:val="none"/>
            <w:lang w:val="en-GB"/>
          </w:rPr>
          <w:t>https://doi.org/10.1088/1748-9326/10/12/125015</w:t>
        </w:r>
      </w:hyperlink>
    </w:p>
    <w:p w14:paraId="52C16F14" w14:textId="77777777" w:rsidR="00572CBC" w:rsidRPr="00591F6E" w:rsidRDefault="00572CBC" w:rsidP="00572CBC">
      <w:pPr>
        <w:pStyle w:val="Stile1"/>
        <w:jc w:val="both"/>
        <w:rPr>
          <w:szCs w:val="20"/>
          <w:lang w:val="en-GB"/>
        </w:rPr>
      </w:pPr>
      <w:r w:rsidRPr="00591F6E">
        <w:rPr>
          <w:szCs w:val="20"/>
          <w:lang w:val="en-GB"/>
        </w:rPr>
        <w:t>Buhaug, H., Gleditsch, N.P., Theisen, O.M., 2008. Implications of Climate Change for Armed Conflict. Social Dimensions of Climate Change Workshop. Washington, DC.</w:t>
      </w:r>
    </w:p>
    <w:p w14:paraId="61CF22A9" w14:textId="77777777" w:rsidR="00572CBC" w:rsidRPr="00591F6E" w:rsidRDefault="00572CBC" w:rsidP="00572CBC">
      <w:pPr>
        <w:pStyle w:val="Stile1"/>
        <w:jc w:val="both"/>
        <w:rPr>
          <w:szCs w:val="20"/>
          <w:lang w:val="en-GB"/>
        </w:rPr>
      </w:pPr>
      <w:r w:rsidRPr="00591F6E">
        <w:rPr>
          <w:szCs w:val="20"/>
          <w:lang w:val="en-GB"/>
        </w:rPr>
        <w:t>Buhaug, H., Hegre, H., Strand, H., 2010. Sensitivity Analysis of Climate Variability and Civil War. PRIO Working Paper.</w:t>
      </w:r>
    </w:p>
    <w:p w14:paraId="6271A9C6" w14:textId="77777777" w:rsidR="00572CBC" w:rsidRPr="00591F6E" w:rsidRDefault="00572CBC" w:rsidP="00572CBC">
      <w:pPr>
        <w:pStyle w:val="Stile1"/>
        <w:jc w:val="both"/>
        <w:rPr>
          <w:szCs w:val="20"/>
          <w:lang w:val="en-GB"/>
        </w:rPr>
      </w:pPr>
      <w:r w:rsidRPr="00591F6E">
        <w:rPr>
          <w:szCs w:val="20"/>
          <w:lang w:val="en-GB"/>
        </w:rPr>
        <w:t xml:space="preserve">Buhaug, H., Lujala, P., 2005. Accounting for scale: Measuring geography in quantitative studies of civil war. Political Geography 24, 399–418. </w:t>
      </w:r>
      <w:hyperlink r:id="rId62" w:history="1">
        <w:r w:rsidRPr="00591F6E">
          <w:rPr>
            <w:rStyle w:val="Collegamentoipertestuale"/>
            <w:color w:val="auto"/>
            <w:szCs w:val="20"/>
            <w:u w:val="none"/>
            <w:lang w:val="en-GB"/>
          </w:rPr>
          <w:t>https://doi.org/10.1016/j.polgeo.2005.01.006</w:t>
        </w:r>
      </w:hyperlink>
    </w:p>
    <w:p w14:paraId="3D8AFEDA" w14:textId="09F8F786" w:rsidR="00572CBC" w:rsidRPr="00591F6E" w:rsidRDefault="00572CBC" w:rsidP="00572CBC">
      <w:pPr>
        <w:pStyle w:val="Stile1"/>
        <w:jc w:val="both"/>
        <w:rPr>
          <w:rStyle w:val="Collegamentoipertestuale"/>
          <w:color w:val="auto"/>
          <w:szCs w:val="20"/>
          <w:u w:val="none"/>
          <w:lang w:val="en-GB"/>
        </w:rPr>
      </w:pPr>
      <w:r w:rsidRPr="00591F6E">
        <w:rPr>
          <w:szCs w:val="20"/>
          <w:lang w:val="en-GB"/>
        </w:rPr>
        <w:t xml:space="preserve">Buhaug, H., Nordkvelle, J., Bernauer, T., Böhmelt, T., Brzoska, M., Busby, J.W., Ciccone, A., Fjelde, H., Gartzke, E., Gleditsch, N.P., Goldstone, J.A., Hegre, H., Holtermann, H., Koubi, V., Link, J.S.A., Link, P.M., Lujala, P., O′Loughlin, J., Raleigh, C., Scheffran, J., Schilling, J., Smith, T.G., Theisen, O.M., Tol, R.S.J., Urdal, H., von Uexkull, N., 2014. One effect to rule them all? A comment on climate and conflict. Climatic Change 127, 391–397. </w:t>
      </w:r>
      <w:hyperlink r:id="rId63" w:history="1">
        <w:r w:rsidRPr="00591F6E">
          <w:rPr>
            <w:rStyle w:val="Collegamentoipertestuale"/>
            <w:color w:val="auto"/>
            <w:szCs w:val="20"/>
            <w:u w:val="none"/>
            <w:lang w:val="en-GB"/>
          </w:rPr>
          <w:t>https://doi.org/10.1007/s10584-014-1266-1</w:t>
        </w:r>
      </w:hyperlink>
    </w:p>
    <w:p w14:paraId="3C40F2BD" w14:textId="0F34CB6D" w:rsidR="0000659F" w:rsidRPr="00591F6E" w:rsidRDefault="0000659F" w:rsidP="0000659F">
      <w:pPr>
        <w:pStyle w:val="Stile1"/>
        <w:jc w:val="both"/>
        <w:rPr>
          <w:szCs w:val="20"/>
          <w:lang w:val="en-GB"/>
        </w:rPr>
      </w:pPr>
      <w:r w:rsidRPr="00591F6E">
        <w:rPr>
          <w:szCs w:val="20"/>
          <w:lang w:val="en-GB"/>
        </w:rPr>
        <w:t>Bullard, R.D. (Ed.), 1993. Confronting environmental racism: voices from the grassroots, South End Press, Boston, Mass.</w:t>
      </w:r>
    </w:p>
    <w:p w14:paraId="185FB695" w14:textId="77777777" w:rsidR="00572CBC" w:rsidRPr="00591F6E" w:rsidRDefault="00572CBC" w:rsidP="00572CBC">
      <w:pPr>
        <w:pStyle w:val="Stile1"/>
        <w:jc w:val="both"/>
        <w:rPr>
          <w:szCs w:val="20"/>
          <w:lang w:val="en-GB"/>
        </w:rPr>
      </w:pPr>
      <w:r w:rsidRPr="00591F6E">
        <w:rPr>
          <w:szCs w:val="20"/>
          <w:lang w:val="en-GB"/>
        </w:rPr>
        <w:t xml:space="preserve">Burke, M.B., Miguel, E., Satyanath, S., Dykema, J.A., Lobell, D.B., 2009. Warming increases the risk of civil war in Africa. Proceedings of the National Academy of Sciences 106, 20670–20674. </w:t>
      </w:r>
      <w:hyperlink r:id="rId64" w:history="1">
        <w:r w:rsidRPr="00591F6E">
          <w:rPr>
            <w:rStyle w:val="Collegamentoipertestuale"/>
            <w:color w:val="auto"/>
            <w:szCs w:val="20"/>
            <w:u w:val="none"/>
            <w:lang w:val="en-GB"/>
          </w:rPr>
          <w:t>https://doi.org/10.1073/pnas.0907998106</w:t>
        </w:r>
      </w:hyperlink>
    </w:p>
    <w:p w14:paraId="5C0BDBFD" w14:textId="77777777" w:rsidR="00C96F3B" w:rsidRPr="00591F6E" w:rsidRDefault="00572CBC" w:rsidP="00572CBC">
      <w:pPr>
        <w:pStyle w:val="Stile1"/>
        <w:jc w:val="both"/>
        <w:rPr>
          <w:szCs w:val="20"/>
          <w:lang w:val="en-GB"/>
        </w:rPr>
      </w:pPr>
      <w:r w:rsidRPr="00591F6E">
        <w:rPr>
          <w:szCs w:val="20"/>
          <w:lang w:val="en-GB"/>
        </w:rPr>
        <w:t>Collier, P., Hoeffler, A., 1998. On Economic Causes of Civil War. Oxford Economic Papers 50, 563–573.</w:t>
      </w:r>
    </w:p>
    <w:p w14:paraId="4190AFCA" w14:textId="2443E744" w:rsidR="00572CBC" w:rsidRPr="00591F6E" w:rsidRDefault="00572CBC" w:rsidP="00572CBC">
      <w:pPr>
        <w:pStyle w:val="Stile1"/>
        <w:jc w:val="both"/>
        <w:rPr>
          <w:szCs w:val="20"/>
          <w:lang w:val="en-GB"/>
        </w:rPr>
      </w:pPr>
      <w:r w:rsidRPr="00591F6E">
        <w:rPr>
          <w:szCs w:val="20"/>
          <w:lang w:val="en-GB"/>
        </w:rPr>
        <w:t xml:space="preserve">Collier, P., Hoeffler, A., Rohner, D., 2008. Beyond greed and grievance: feasibility and civil war. Oxford Economic Papers 61, 1–27. </w:t>
      </w:r>
      <w:hyperlink r:id="rId65" w:history="1">
        <w:r w:rsidRPr="00591F6E">
          <w:rPr>
            <w:rStyle w:val="Collegamentoipertestuale"/>
            <w:color w:val="auto"/>
            <w:szCs w:val="20"/>
            <w:u w:val="none"/>
            <w:lang w:val="en-GB"/>
          </w:rPr>
          <w:t>https://doi.org/10.1093/oep/gpn029</w:t>
        </w:r>
      </w:hyperlink>
    </w:p>
    <w:p w14:paraId="66B4B36B" w14:textId="77777777" w:rsidR="00572CBC" w:rsidRPr="00591F6E" w:rsidRDefault="00572CBC" w:rsidP="00572CBC">
      <w:pPr>
        <w:pStyle w:val="Stile1"/>
        <w:jc w:val="both"/>
        <w:rPr>
          <w:szCs w:val="20"/>
          <w:lang w:val="en-GB"/>
        </w:rPr>
      </w:pPr>
      <w:r w:rsidRPr="00591F6E">
        <w:rPr>
          <w:szCs w:val="20"/>
          <w:lang w:val="en-GB"/>
        </w:rPr>
        <w:t xml:space="preserve">Cuvelier, J., Vlassenroot, K., Olin, N., 2014. Resources, conflict and governance: A critical review. The Extractive Industries and Society 1, 340–350. </w:t>
      </w:r>
      <w:hyperlink r:id="rId66" w:history="1">
        <w:r w:rsidRPr="00591F6E">
          <w:rPr>
            <w:rStyle w:val="Collegamentoipertestuale"/>
            <w:color w:val="auto"/>
            <w:szCs w:val="20"/>
            <w:u w:val="none"/>
            <w:lang w:val="en-GB"/>
          </w:rPr>
          <w:t>https://doi.org/10.1016/j.exis.2014.07.006</w:t>
        </w:r>
      </w:hyperlink>
    </w:p>
    <w:p w14:paraId="3D54044F" w14:textId="77777777" w:rsidR="00572CBC" w:rsidRPr="00591F6E" w:rsidRDefault="00572CBC" w:rsidP="00572CBC">
      <w:pPr>
        <w:pStyle w:val="Stile1"/>
        <w:jc w:val="both"/>
        <w:rPr>
          <w:szCs w:val="20"/>
          <w:lang w:val="en-GB"/>
        </w:rPr>
      </w:pPr>
      <w:r w:rsidRPr="00591F6E">
        <w:rPr>
          <w:szCs w:val="20"/>
          <w:lang w:val="en-GB"/>
        </w:rPr>
        <w:lastRenderedPageBreak/>
        <w:t>Davidson, R., MacKinnon, J.G., 2004. Econometric theory and methods. Oxford University Press, New York.</w:t>
      </w:r>
    </w:p>
    <w:p w14:paraId="5B362EE1" w14:textId="77777777" w:rsidR="00572CBC" w:rsidRPr="00591F6E" w:rsidRDefault="00572CBC" w:rsidP="00572CBC">
      <w:pPr>
        <w:pStyle w:val="Stile1"/>
        <w:jc w:val="both"/>
        <w:rPr>
          <w:szCs w:val="20"/>
          <w:lang w:val="en-GB"/>
        </w:rPr>
      </w:pPr>
      <w:r w:rsidRPr="00591F6E">
        <w:rPr>
          <w:szCs w:val="20"/>
          <w:lang w:val="en-GB"/>
        </w:rPr>
        <w:t xml:space="preserve">De Soysa, I., Neumayer, E., 2007. Resource Wealth and the Risk of Civil War Onset: Results from a New Dataset of Natural Resource Rents, 1970—1999. Conflict Management and Peace Science 24, 201–218. </w:t>
      </w:r>
      <w:hyperlink r:id="rId67" w:history="1">
        <w:r w:rsidRPr="00591F6E">
          <w:rPr>
            <w:rStyle w:val="Collegamentoipertestuale"/>
            <w:color w:val="auto"/>
            <w:szCs w:val="20"/>
            <w:u w:val="none"/>
            <w:lang w:val="en-GB"/>
          </w:rPr>
          <w:t>https://doi.org/10.1080/07388940701468468</w:t>
        </w:r>
      </w:hyperlink>
    </w:p>
    <w:p w14:paraId="48B141F5" w14:textId="77777777" w:rsidR="00572CBC" w:rsidRPr="00591F6E" w:rsidRDefault="00572CBC" w:rsidP="00572CBC">
      <w:pPr>
        <w:pStyle w:val="Stile1"/>
        <w:jc w:val="both"/>
        <w:rPr>
          <w:szCs w:val="20"/>
          <w:lang w:val="en-GB"/>
        </w:rPr>
      </w:pPr>
      <w:r w:rsidRPr="00591F6E">
        <w:rPr>
          <w:szCs w:val="20"/>
          <w:lang w:val="en-GB"/>
        </w:rPr>
        <w:t xml:space="preserve">De Stefano, L., Petersen-Perlman, J.D., Sproles, E.A., Eynard, J., Wolf, A.T., 2017. Assessment of transboundary river basins for potential hydro-political tensions. Global Environmental Change 45, 35–46. </w:t>
      </w:r>
      <w:hyperlink r:id="rId68" w:history="1">
        <w:r w:rsidRPr="00591F6E">
          <w:rPr>
            <w:rStyle w:val="Collegamentoipertestuale"/>
            <w:color w:val="auto"/>
            <w:szCs w:val="20"/>
            <w:u w:val="none"/>
            <w:lang w:val="en-GB"/>
          </w:rPr>
          <w:t>https://doi.org/10.1016/j.gloenvcha.2017.04.008</w:t>
        </w:r>
      </w:hyperlink>
    </w:p>
    <w:p w14:paraId="533C3423" w14:textId="77777777" w:rsidR="00572CBC" w:rsidRPr="00591F6E" w:rsidRDefault="00572CBC" w:rsidP="00572CBC">
      <w:pPr>
        <w:pStyle w:val="Stile1"/>
        <w:jc w:val="both"/>
        <w:rPr>
          <w:szCs w:val="20"/>
          <w:lang w:val="en-GB"/>
        </w:rPr>
      </w:pPr>
      <w:r w:rsidRPr="00591F6E">
        <w:rPr>
          <w:szCs w:val="20"/>
          <w:lang w:val="en-GB"/>
        </w:rPr>
        <w:t xml:space="preserve">Dell, M., Jones, B.F., Olken, B.A., 2014. What Do We Learn from the Weather? The New Climate-Economy Literature </w:t>
      </w:r>
      <w:r w:rsidRPr="00591F6E">
        <w:rPr>
          <w:szCs w:val="20"/>
          <w:vertAlign w:val="superscript"/>
          <w:lang w:val="en-GB"/>
        </w:rPr>
        <w:t>†</w:t>
      </w:r>
      <w:r w:rsidRPr="00591F6E">
        <w:rPr>
          <w:szCs w:val="20"/>
          <w:lang w:val="en-GB"/>
        </w:rPr>
        <w:t xml:space="preserve">. Journal of Economic Literature 52, 740–798. </w:t>
      </w:r>
      <w:hyperlink r:id="rId69" w:history="1">
        <w:r w:rsidRPr="00591F6E">
          <w:rPr>
            <w:rStyle w:val="Collegamentoipertestuale"/>
            <w:color w:val="auto"/>
            <w:szCs w:val="20"/>
            <w:u w:val="none"/>
            <w:lang w:val="en-GB"/>
          </w:rPr>
          <w:t>https://doi.org/10.1257/jel.52.3.740</w:t>
        </w:r>
      </w:hyperlink>
    </w:p>
    <w:p w14:paraId="47A8FE47" w14:textId="77777777" w:rsidR="00572CBC" w:rsidRPr="00591F6E" w:rsidRDefault="00572CBC" w:rsidP="00572CBC">
      <w:pPr>
        <w:pStyle w:val="Stile1"/>
        <w:jc w:val="both"/>
        <w:rPr>
          <w:szCs w:val="20"/>
          <w:lang w:val="en-GB"/>
        </w:rPr>
      </w:pPr>
      <w:r w:rsidRPr="00591F6E">
        <w:rPr>
          <w:szCs w:val="20"/>
          <w:lang w:val="en-GB"/>
        </w:rPr>
        <w:t xml:space="preserve">Doucouliagos, C., Ulubasoglu, M.A., 2006. Economic freedom and economic growth: Does specification make a difference? European Journal of Political Economy 22, 60–81. </w:t>
      </w:r>
      <w:hyperlink r:id="rId70" w:history="1">
        <w:r w:rsidRPr="00591F6E">
          <w:rPr>
            <w:rStyle w:val="Collegamentoipertestuale"/>
            <w:color w:val="auto"/>
            <w:szCs w:val="20"/>
            <w:u w:val="none"/>
            <w:lang w:val="en-GB"/>
          </w:rPr>
          <w:t>https://doi.org/10.1016/j.ejpoleco.2005.06.003</w:t>
        </w:r>
      </w:hyperlink>
    </w:p>
    <w:p w14:paraId="392FC249" w14:textId="77777777" w:rsidR="00572CBC" w:rsidRPr="00591F6E" w:rsidRDefault="00572CBC" w:rsidP="00572CBC">
      <w:pPr>
        <w:pStyle w:val="Stile1"/>
        <w:jc w:val="both"/>
        <w:rPr>
          <w:szCs w:val="20"/>
          <w:lang w:val="en-GB"/>
        </w:rPr>
      </w:pPr>
      <w:r w:rsidRPr="00591F6E">
        <w:rPr>
          <w:szCs w:val="20"/>
          <w:lang w:val="en-GB"/>
        </w:rPr>
        <w:t>Egger, M., Davey Smith, G., Schneider, M., Minder, C.E., 1997. Bias in meta-analysis detected by a simple, graphical test. BMJ 315, 629–634.</w:t>
      </w:r>
    </w:p>
    <w:p w14:paraId="5EAE4F09" w14:textId="77777777" w:rsidR="00572CBC" w:rsidRPr="00591F6E" w:rsidRDefault="00572CBC" w:rsidP="00572CBC">
      <w:pPr>
        <w:pStyle w:val="Stile1"/>
        <w:jc w:val="both"/>
        <w:rPr>
          <w:szCs w:val="20"/>
          <w:lang w:val="en-GB"/>
        </w:rPr>
      </w:pPr>
      <w:r w:rsidRPr="00591F6E">
        <w:rPr>
          <w:szCs w:val="20"/>
          <w:lang w:val="en-GB"/>
        </w:rPr>
        <w:t xml:space="preserve">Fearon, J.D., Laitin, D.D., 2003. Ethnicity, Insurgency, and Civil War. American Political Science Review 97, 75–90. </w:t>
      </w:r>
      <w:hyperlink r:id="rId71" w:history="1">
        <w:r w:rsidRPr="00591F6E">
          <w:rPr>
            <w:rStyle w:val="Collegamentoipertestuale"/>
            <w:color w:val="auto"/>
            <w:szCs w:val="20"/>
            <w:u w:val="none"/>
            <w:lang w:val="en-GB"/>
          </w:rPr>
          <w:t>https://doi.org/10.1017/S0003055403000534</w:t>
        </w:r>
      </w:hyperlink>
    </w:p>
    <w:p w14:paraId="601AFA30" w14:textId="77777777" w:rsidR="00572CBC" w:rsidRPr="00591F6E" w:rsidRDefault="00572CBC" w:rsidP="00572CBC">
      <w:pPr>
        <w:pStyle w:val="Stile1"/>
        <w:jc w:val="both"/>
        <w:rPr>
          <w:szCs w:val="20"/>
          <w:lang w:val="en-GB"/>
        </w:rPr>
      </w:pPr>
      <w:r w:rsidRPr="00591F6E">
        <w:rPr>
          <w:szCs w:val="20"/>
          <w:lang w:val="en-GB"/>
        </w:rPr>
        <w:t xml:space="preserve">Feng, S., Krueger, A.B., Oppenheimer, M., 2010. Linkages among climate change, crop yields and Mexico-US cross-border migration. Proceedings of the National Academy of Sciences 107, 14257–14262. </w:t>
      </w:r>
      <w:hyperlink r:id="rId72" w:history="1">
        <w:r w:rsidRPr="00591F6E">
          <w:rPr>
            <w:rStyle w:val="Collegamentoipertestuale"/>
            <w:color w:val="auto"/>
            <w:szCs w:val="20"/>
            <w:u w:val="none"/>
            <w:lang w:val="en-GB"/>
          </w:rPr>
          <w:t>https://doi.org/10.1073/pnas.1002632107</w:t>
        </w:r>
      </w:hyperlink>
    </w:p>
    <w:p w14:paraId="05FCEF30" w14:textId="6485097D" w:rsidR="00572CBC" w:rsidRPr="00591F6E" w:rsidRDefault="00572CBC" w:rsidP="00572CBC">
      <w:pPr>
        <w:pStyle w:val="Stile1"/>
        <w:jc w:val="both"/>
        <w:rPr>
          <w:szCs w:val="20"/>
          <w:lang w:val="en-GB"/>
        </w:rPr>
      </w:pPr>
      <w:r w:rsidRPr="00591F6E">
        <w:rPr>
          <w:szCs w:val="20"/>
          <w:lang w:val="en-GB"/>
        </w:rPr>
        <w:t xml:space="preserve">Fjelde, H., </w:t>
      </w:r>
      <w:r w:rsidR="00DE2F1A" w:rsidRPr="00591F6E">
        <w:rPr>
          <w:szCs w:val="20"/>
          <w:lang w:val="en-GB"/>
        </w:rPr>
        <w:t>V</w:t>
      </w:r>
      <w:r w:rsidRPr="00591F6E">
        <w:rPr>
          <w:szCs w:val="20"/>
          <w:lang w:val="en-GB"/>
        </w:rPr>
        <w:t xml:space="preserve">on Uexkull, N., 2012. Climate triggers: Rainfall anomalies, vulnerability and communal conflict in Sub-Saharan Africa. Political Geography 31, 444–453. </w:t>
      </w:r>
      <w:hyperlink r:id="rId73" w:history="1">
        <w:r w:rsidRPr="00591F6E">
          <w:rPr>
            <w:rStyle w:val="Collegamentoipertestuale"/>
            <w:color w:val="auto"/>
            <w:szCs w:val="20"/>
            <w:u w:val="none"/>
            <w:lang w:val="en-GB"/>
          </w:rPr>
          <w:t>https://doi.org/10.1016/j.polgeo.2012.08.004</w:t>
        </w:r>
      </w:hyperlink>
    </w:p>
    <w:p w14:paraId="5370BF8E" w14:textId="77777777" w:rsidR="00572CBC" w:rsidRPr="00591F6E" w:rsidRDefault="00572CBC" w:rsidP="00572CBC">
      <w:pPr>
        <w:pStyle w:val="Stile1"/>
        <w:jc w:val="both"/>
        <w:rPr>
          <w:szCs w:val="20"/>
          <w:lang w:val="en-GB"/>
        </w:rPr>
      </w:pPr>
      <w:r w:rsidRPr="00591F6E">
        <w:rPr>
          <w:szCs w:val="20"/>
          <w:lang w:val="en-GB"/>
        </w:rPr>
        <w:t xml:space="preserve">Ford, J.D., Berrang-Ford, L., Paterson, J., 2011. A systematic review of observed climate change adaptation in developed nations: A letter. Climatic Change 106, 327–336. </w:t>
      </w:r>
      <w:hyperlink r:id="rId74" w:history="1">
        <w:r w:rsidRPr="00591F6E">
          <w:rPr>
            <w:rStyle w:val="Collegamentoipertestuale"/>
            <w:color w:val="auto"/>
            <w:szCs w:val="20"/>
            <w:u w:val="none"/>
            <w:lang w:val="en-GB"/>
          </w:rPr>
          <w:t>https://doi.org/10.1007/s10584-011-0045-5</w:t>
        </w:r>
      </w:hyperlink>
    </w:p>
    <w:p w14:paraId="2771907E" w14:textId="02E237EC" w:rsidR="00572CBC" w:rsidRPr="00591F6E" w:rsidRDefault="00572CBC" w:rsidP="00572CBC">
      <w:pPr>
        <w:pStyle w:val="Stile1"/>
        <w:jc w:val="both"/>
        <w:rPr>
          <w:rStyle w:val="Collegamentoipertestuale"/>
          <w:color w:val="auto"/>
          <w:szCs w:val="20"/>
          <w:u w:val="none"/>
          <w:lang w:val="en-GB"/>
        </w:rPr>
      </w:pPr>
      <w:r w:rsidRPr="00591F6E">
        <w:rPr>
          <w:szCs w:val="20"/>
          <w:lang w:val="en-GB"/>
        </w:rPr>
        <w:t xml:space="preserve">Gartzke, E., Böhmelt, T., 2015. Climate and Conflict: Whence the Weather? Peace Economics, Peace Science and Public Policy 21. </w:t>
      </w:r>
      <w:hyperlink r:id="rId75" w:history="1">
        <w:r w:rsidRPr="00591F6E">
          <w:rPr>
            <w:rStyle w:val="Collegamentoipertestuale"/>
            <w:color w:val="auto"/>
            <w:szCs w:val="20"/>
            <w:u w:val="none"/>
            <w:lang w:val="en-GB"/>
          </w:rPr>
          <w:t>https://doi.org/10.1515/peps-2015-0022</w:t>
        </w:r>
      </w:hyperlink>
    </w:p>
    <w:p w14:paraId="3B87F954" w14:textId="1838522B" w:rsidR="00F74FDE" w:rsidRPr="00591F6E" w:rsidRDefault="00F74FDE" w:rsidP="00F74FDE">
      <w:pPr>
        <w:pStyle w:val="Stile1"/>
        <w:jc w:val="both"/>
        <w:rPr>
          <w:szCs w:val="20"/>
          <w:lang w:val="en-GB"/>
        </w:rPr>
      </w:pPr>
      <w:r w:rsidRPr="00591F6E">
        <w:rPr>
          <w:szCs w:val="20"/>
          <w:lang w:val="en-GB"/>
        </w:rPr>
        <w:t xml:space="preserve">Gleditsch, N.P., Wallensteen, P., Eriksson, M., Sollenberg, M., Strand, H., 2002. Armed Conflict 1946-2001: A New Dataset. Journal of Peace Research 39, 615–637. </w:t>
      </w:r>
      <w:hyperlink r:id="rId76" w:history="1">
        <w:r w:rsidRPr="00591F6E">
          <w:rPr>
            <w:lang w:val="en-GB"/>
          </w:rPr>
          <w:t>https://doi.org/10.1177/0022343302039005007</w:t>
        </w:r>
      </w:hyperlink>
    </w:p>
    <w:p w14:paraId="4AC0E673" w14:textId="77777777" w:rsidR="00572CBC" w:rsidRPr="00591F6E" w:rsidRDefault="00572CBC" w:rsidP="00572CBC">
      <w:pPr>
        <w:pStyle w:val="Stile1"/>
        <w:jc w:val="both"/>
        <w:rPr>
          <w:szCs w:val="20"/>
          <w:lang w:val="en-GB"/>
        </w:rPr>
      </w:pPr>
      <w:r w:rsidRPr="006241DC">
        <w:rPr>
          <w:szCs w:val="20"/>
          <w:lang w:val="it-IT"/>
        </w:rPr>
        <w:lastRenderedPageBreak/>
        <w:t xml:space="preserve">Giordano, M.F., Giordano, M.A., Wolf, A.T., 2005. </w:t>
      </w:r>
      <w:r w:rsidRPr="00591F6E">
        <w:rPr>
          <w:szCs w:val="20"/>
          <w:lang w:val="en-GB"/>
        </w:rPr>
        <w:t xml:space="preserve">International Resource Conflict and Mitigation. Journal of Peace Research 42, 47–65. </w:t>
      </w:r>
      <w:hyperlink r:id="rId77" w:history="1">
        <w:r w:rsidRPr="00591F6E">
          <w:rPr>
            <w:rStyle w:val="Collegamentoipertestuale"/>
            <w:color w:val="auto"/>
            <w:szCs w:val="20"/>
            <w:u w:val="none"/>
            <w:lang w:val="en-GB"/>
          </w:rPr>
          <w:t>https://doi.org/10.1177/0022343305049666</w:t>
        </w:r>
      </w:hyperlink>
    </w:p>
    <w:p w14:paraId="655597DA" w14:textId="77777777" w:rsidR="00572CBC" w:rsidRPr="00591F6E" w:rsidRDefault="00572CBC" w:rsidP="00572CBC">
      <w:pPr>
        <w:pStyle w:val="Stile1"/>
        <w:jc w:val="both"/>
        <w:rPr>
          <w:szCs w:val="20"/>
          <w:lang w:val="en-GB"/>
        </w:rPr>
      </w:pPr>
      <w:r w:rsidRPr="00591F6E">
        <w:rPr>
          <w:szCs w:val="20"/>
          <w:lang w:val="en-GB"/>
        </w:rPr>
        <w:t xml:space="preserve">Gizelis, T.-I., Wooden, A.E., 2010. Water resources, institutions, &amp; intrastate conflict. Political Geography 29, 444–453. </w:t>
      </w:r>
      <w:hyperlink r:id="rId78" w:history="1">
        <w:r w:rsidRPr="00591F6E">
          <w:rPr>
            <w:rStyle w:val="Collegamentoipertestuale"/>
            <w:color w:val="auto"/>
            <w:szCs w:val="20"/>
            <w:u w:val="none"/>
            <w:lang w:val="en-GB"/>
          </w:rPr>
          <w:t>https://doi.org/10.1016/j.polgeo.2010.10.005</w:t>
        </w:r>
      </w:hyperlink>
    </w:p>
    <w:p w14:paraId="1FAF6A60" w14:textId="77777777" w:rsidR="00572CBC" w:rsidRPr="00591F6E" w:rsidRDefault="00572CBC" w:rsidP="00572CBC">
      <w:pPr>
        <w:pStyle w:val="Stile1"/>
        <w:jc w:val="both"/>
        <w:rPr>
          <w:szCs w:val="20"/>
          <w:lang w:val="en-GB"/>
        </w:rPr>
      </w:pPr>
      <w:r w:rsidRPr="00591F6E">
        <w:rPr>
          <w:szCs w:val="20"/>
          <w:lang w:val="en-GB"/>
        </w:rPr>
        <w:t xml:space="preserve">Gleditsch, N.P., 2012. Whither the weather? Climate change and conflict. Journal of Peace Research 49, 3–9. </w:t>
      </w:r>
      <w:hyperlink r:id="rId79" w:history="1">
        <w:r w:rsidRPr="00591F6E">
          <w:rPr>
            <w:rStyle w:val="Collegamentoipertestuale"/>
            <w:color w:val="auto"/>
            <w:szCs w:val="20"/>
            <w:u w:val="none"/>
            <w:lang w:val="en-GB"/>
          </w:rPr>
          <w:t>https://doi.org/10.1177/0022343311431288</w:t>
        </w:r>
      </w:hyperlink>
    </w:p>
    <w:p w14:paraId="2790B919" w14:textId="77777777" w:rsidR="00572CBC" w:rsidRPr="00591F6E" w:rsidRDefault="00572CBC" w:rsidP="00572CBC">
      <w:pPr>
        <w:pStyle w:val="Stile1"/>
        <w:jc w:val="both"/>
        <w:rPr>
          <w:szCs w:val="20"/>
          <w:lang w:val="en-GB"/>
        </w:rPr>
      </w:pPr>
      <w:r w:rsidRPr="00591F6E">
        <w:rPr>
          <w:szCs w:val="20"/>
          <w:lang w:val="en-GB"/>
        </w:rPr>
        <w:t xml:space="preserve">Gleditsch, N.P., 1998. Armed Conflict and The Environment: A Critique of the Literature. Journal of Peace Research 35, 381–400. </w:t>
      </w:r>
      <w:hyperlink r:id="rId80" w:history="1">
        <w:r w:rsidRPr="00591F6E">
          <w:rPr>
            <w:rStyle w:val="Collegamentoipertestuale"/>
            <w:color w:val="auto"/>
            <w:szCs w:val="20"/>
            <w:u w:val="none"/>
            <w:lang w:val="en-GB"/>
          </w:rPr>
          <w:t>https://doi.org/10.1177/0022343398035003007</w:t>
        </w:r>
      </w:hyperlink>
    </w:p>
    <w:p w14:paraId="7619ADD9" w14:textId="77777777" w:rsidR="00572CBC" w:rsidRPr="00591F6E" w:rsidRDefault="00572CBC" w:rsidP="00572CBC">
      <w:pPr>
        <w:pStyle w:val="Stile1"/>
        <w:jc w:val="both"/>
        <w:rPr>
          <w:szCs w:val="20"/>
          <w:lang w:val="en-GB"/>
        </w:rPr>
      </w:pPr>
      <w:r w:rsidRPr="00591F6E">
        <w:rPr>
          <w:szCs w:val="20"/>
          <w:lang w:val="en-GB"/>
        </w:rPr>
        <w:t xml:space="preserve">Gleick, P.H., 2014. Water, Drought, Climate Change, and Conflict in Syria. Weather, Climate, and Society 6, 331–340. </w:t>
      </w:r>
      <w:hyperlink r:id="rId81" w:history="1">
        <w:r w:rsidRPr="00591F6E">
          <w:rPr>
            <w:lang w:val="en-GB"/>
          </w:rPr>
          <w:t>https://doi.org/10.1175/WCAS-D-13-00059.1</w:t>
        </w:r>
      </w:hyperlink>
    </w:p>
    <w:p w14:paraId="6C0E77E0" w14:textId="7103DBBE" w:rsidR="0000659F" w:rsidRPr="00591F6E" w:rsidRDefault="0000659F" w:rsidP="0000659F">
      <w:pPr>
        <w:pStyle w:val="Stile1"/>
        <w:rPr>
          <w:szCs w:val="20"/>
          <w:lang w:val="en-GB"/>
        </w:rPr>
      </w:pPr>
      <w:r w:rsidRPr="00591F6E">
        <w:rPr>
          <w:szCs w:val="20"/>
          <w:lang w:val="en-GB"/>
        </w:rPr>
        <w:t xml:space="preserve">Guha, R., Martinez-Alier, J., </w:t>
      </w:r>
      <w:r w:rsidR="00445005" w:rsidRPr="00591F6E">
        <w:rPr>
          <w:szCs w:val="20"/>
          <w:lang w:val="en-GB"/>
        </w:rPr>
        <w:t>1997</w:t>
      </w:r>
      <w:r w:rsidRPr="00591F6E">
        <w:rPr>
          <w:szCs w:val="20"/>
          <w:lang w:val="en-GB"/>
        </w:rPr>
        <w:t xml:space="preserve">. Varieties of Environmentalism: Essays North and South, 1st ed. Routledge. </w:t>
      </w:r>
      <w:hyperlink r:id="rId82" w:history="1">
        <w:r w:rsidRPr="00591F6E">
          <w:rPr>
            <w:rFonts w:eastAsiaTheme="majorEastAsia"/>
            <w:lang w:val="en-GB"/>
          </w:rPr>
          <w:t>https://doi.org/10.4324/9781315070766</w:t>
        </w:r>
      </w:hyperlink>
    </w:p>
    <w:p w14:paraId="522F5FC2" w14:textId="77777777" w:rsidR="00572CBC" w:rsidRPr="00591F6E" w:rsidRDefault="00572CBC" w:rsidP="00572CBC">
      <w:pPr>
        <w:pStyle w:val="Stile1"/>
        <w:jc w:val="both"/>
        <w:rPr>
          <w:szCs w:val="20"/>
          <w:lang w:val="en-GB"/>
        </w:rPr>
      </w:pPr>
      <w:r w:rsidRPr="00591F6E">
        <w:rPr>
          <w:szCs w:val="20"/>
          <w:lang w:val="en-GB"/>
        </w:rPr>
        <w:t>Harari, M., La Ferrara, E., 2012. Conflict, Climate, and Cells: A Disaggregated Analysis. IGIER (Innocenzo Gasparini Institute for Economic Research), Bocconi University.</w:t>
      </w:r>
    </w:p>
    <w:p w14:paraId="7E796E1D" w14:textId="77777777" w:rsidR="00572CBC" w:rsidRPr="00591F6E" w:rsidRDefault="00572CBC" w:rsidP="00572CBC">
      <w:pPr>
        <w:pStyle w:val="Stile1"/>
        <w:jc w:val="both"/>
        <w:rPr>
          <w:szCs w:val="20"/>
          <w:lang w:val="en-GB"/>
        </w:rPr>
      </w:pPr>
      <w:r w:rsidRPr="00591F6E">
        <w:rPr>
          <w:szCs w:val="20"/>
          <w:lang w:val="en-GB"/>
        </w:rPr>
        <w:t xml:space="preserve">Hauge, W., Ellingsen, T., 1998. Beyond Environmental Scarcity: Causal Pathways to Conflict. Journal of Peace Research 35, 299–317. </w:t>
      </w:r>
      <w:hyperlink r:id="rId83" w:history="1">
        <w:r w:rsidRPr="00591F6E">
          <w:rPr>
            <w:rStyle w:val="Collegamentoipertestuale"/>
            <w:color w:val="auto"/>
            <w:szCs w:val="20"/>
            <w:u w:val="none"/>
            <w:lang w:val="en-GB"/>
          </w:rPr>
          <w:t>https://doi.org/10.1177/0022343398035003003</w:t>
        </w:r>
      </w:hyperlink>
    </w:p>
    <w:p w14:paraId="13824A2B" w14:textId="09BF51FD" w:rsidR="00572CBC" w:rsidRPr="00591F6E" w:rsidRDefault="00572CBC" w:rsidP="00572CBC">
      <w:pPr>
        <w:pStyle w:val="Stile1"/>
        <w:jc w:val="both"/>
        <w:rPr>
          <w:rStyle w:val="Collegamentoipertestuale"/>
          <w:color w:val="auto"/>
          <w:szCs w:val="20"/>
          <w:u w:val="none"/>
          <w:lang w:val="en-GB"/>
        </w:rPr>
      </w:pPr>
      <w:r w:rsidRPr="00591F6E">
        <w:rPr>
          <w:szCs w:val="20"/>
          <w:lang w:val="en-GB"/>
        </w:rPr>
        <w:t xml:space="preserve">Hendrix, C.S., Salehyan, I., 2012. Climate change, rainfall, and social conflict in Africa. Journal of Peace Research 49, 35–50. </w:t>
      </w:r>
      <w:hyperlink r:id="rId84" w:history="1">
        <w:r w:rsidRPr="00591F6E">
          <w:rPr>
            <w:rStyle w:val="Collegamentoipertestuale"/>
            <w:color w:val="auto"/>
            <w:szCs w:val="20"/>
            <w:u w:val="none"/>
            <w:lang w:val="en-GB"/>
          </w:rPr>
          <w:t>https://doi.org/10.1177/0022343311426165</w:t>
        </w:r>
      </w:hyperlink>
    </w:p>
    <w:p w14:paraId="54849ACE" w14:textId="77777777" w:rsidR="00023F0D" w:rsidRPr="00591F6E" w:rsidRDefault="00023F0D" w:rsidP="00023F0D">
      <w:pPr>
        <w:pStyle w:val="Stile1"/>
        <w:jc w:val="both"/>
        <w:rPr>
          <w:szCs w:val="20"/>
          <w:lang w:val="en-GB"/>
        </w:rPr>
      </w:pPr>
      <w:r w:rsidRPr="00591F6E">
        <w:rPr>
          <w:szCs w:val="20"/>
          <w:lang w:val="en-GB"/>
        </w:rPr>
        <w:t>Hidalgo, F.D., Naidu, S., Nichter, S., Richardson, N., 2010. Economic Determinants of Land Invasions. The Review of Economics and Statistics 92, 505–523.</w:t>
      </w:r>
    </w:p>
    <w:p w14:paraId="08642260" w14:textId="77777777" w:rsidR="00572CBC" w:rsidRPr="00591F6E" w:rsidRDefault="00572CBC" w:rsidP="00572CBC">
      <w:pPr>
        <w:pStyle w:val="Stile1"/>
        <w:jc w:val="both"/>
        <w:rPr>
          <w:szCs w:val="20"/>
          <w:lang w:val="en-GB"/>
        </w:rPr>
      </w:pPr>
      <w:r w:rsidRPr="00591F6E">
        <w:rPr>
          <w:szCs w:val="20"/>
          <w:lang w:val="en-GB"/>
        </w:rPr>
        <w:t>Homer-Dixon, T., 1999. Environment, scarcity, and violence, Nachdr. ed. Princeton Univ. Press, Princeton, NJ.</w:t>
      </w:r>
    </w:p>
    <w:p w14:paraId="04876CAF" w14:textId="77777777" w:rsidR="00572CBC" w:rsidRPr="00591F6E" w:rsidRDefault="00572CBC" w:rsidP="00572CBC">
      <w:pPr>
        <w:pStyle w:val="Stile1"/>
        <w:jc w:val="both"/>
        <w:rPr>
          <w:szCs w:val="20"/>
          <w:lang w:val="en-GB"/>
        </w:rPr>
      </w:pPr>
      <w:r w:rsidRPr="00591F6E">
        <w:rPr>
          <w:szCs w:val="20"/>
          <w:lang w:val="en-GB"/>
        </w:rPr>
        <w:t>Hox, J.J., Leeuw, E.D. de, 2003. Multilevel models for meta-analysis. Multilevel modeling:  Methodological advances, issues, and applications., Multivariate applications. 90–111.</w:t>
      </w:r>
    </w:p>
    <w:p w14:paraId="5A6124B4" w14:textId="77777777" w:rsidR="00572CBC" w:rsidRPr="00591F6E" w:rsidRDefault="00572CBC" w:rsidP="00572CBC">
      <w:pPr>
        <w:pStyle w:val="Stile1"/>
        <w:jc w:val="both"/>
        <w:rPr>
          <w:szCs w:val="20"/>
          <w:lang w:val="en-GB"/>
        </w:rPr>
      </w:pPr>
      <w:r w:rsidRPr="00591F6E">
        <w:rPr>
          <w:szCs w:val="20"/>
          <w:lang w:val="en-GB"/>
        </w:rPr>
        <w:t xml:space="preserve">Hsiang, S.M., Burke, M., 2014. Climate, conflict, and social stability: what does the evidence say? Climatic Change 123, 39–55. </w:t>
      </w:r>
      <w:hyperlink r:id="rId85" w:history="1">
        <w:r w:rsidRPr="00591F6E">
          <w:rPr>
            <w:rStyle w:val="Collegamentoipertestuale"/>
            <w:color w:val="auto"/>
            <w:szCs w:val="20"/>
            <w:u w:val="none"/>
            <w:lang w:val="en-GB"/>
          </w:rPr>
          <w:t>https://doi.org/10.1007/s10584-013-0868-3</w:t>
        </w:r>
      </w:hyperlink>
    </w:p>
    <w:p w14:paraId="5BC9F0E5" w14:textId="77777777" w:rsidR="00572CBC" w:rsidRPr="00591F6E" w:rsidRDefault="00572CBC" w:rsidP="00572CBC">
      <w:pPr>
        <w:pStyle w:val="Stile1"/>
        <w:jc w:val="both"/>
        <w:rPr>
          <w:szCs w:val="20"/>
          <w:lang w:val="en-GB"/>
        </w:rPr>
      </w:pPr>
      <w:r w:rsidRPr="00591F6E">
        <w:rPr>
          <w:szCs w:val="20"/>
          <w:lang w:val="en-GB"/>
        </w:rPr>
        <w:t>Hsiang, S.M., Burke, M., Miguel, E., 2014. Climate and Conflict. NBER Working Paper Series 20598.</w:t>
      </w:r>
    </w:p>
    <w:p w14:paraId="317D7996" w14:textId="77777777" w:rsidR="00D9769E" w:rsidRPr="00591F6E" w:rsidRDefault="00572CBC" w:rsidP="00D9769E">
      <w:pPr>
        <w:pStyle w:val="Stile1"/>
        <w:jc w:val="both"/>
        <w:rPr>
          <w:lang w:val="en-GB"/>
        </w:rPr>
      </w:pPr>
      <w:r w:rsidRPr="00591F6E">
        <w:rPr>
          <w:szCs w:val="20"/>
          <w:lang w:val="en-GB"/>
        </w:rPr>
        <w:t xml:space="preserve">Hsiang, S.M., Burke, M., Miguel, E., 2013. Quantifying the Influence of Climate on Human Conflict. Science 341, 1235367–1235367. </w:t>
      </w:r>
      <w:hyperlink r:id="rId86" w:history="1">
        <w:r w:rsidRPr="00591F6E">
          <w:rPr>
            <w:lang w:val="en-GB"/>
          </w:rPr>
          <w:t>https://doi.org/10.1126/science.1235367</w:t>
        </w:r>
      </w:hyperlink>
    </w:p>
    <w:p w14:paraId="585E4CC4" w14:textId="4BCB581C" w:rsidR="00D9769E" w:rsidRPr="00591F6E" w:rsidRDefault="00D9769E" w:rsidP="00572CBC">
      <w:pPr>
        <w:pStyle w:val="Stile1"/>
        <w:jc w:val="both"/>
        <w:rPr>
          <w:szCs w:val="20"/>
          <w:lang w:val="en-GB"/>
        </w:rPr>
      </w:pPr>
      <w:r w:rsidRPr="00591F6E">
        <w:rPr>
          <w:szCs w:val="20"/>
          <w:lang w:val="en-GB"/>
        </w:rPr>
        <w:lastRenderedPageBreak/>
        <w:t>Humphreys, M., Sachs, J., Stiglitz, J.E. (Eds.), 2007. Escaping the resource curse, Initiative for Policy Dialogue at Columbia. Columbia University Press, New York</w:t>
      </w:r>
    </w:p>
    <w:p w14:paraId="34920518" w14:textId="77777777" w:rsidR="00572CBC" w:rsidRPr="00591F6E" w:rsidRDefault="00572CBC" w:rsidP="00572CBC">
      <w:pPr>
        <w:pStyle w:val="Stile1"/>
        <w:jc w:val="both"/>
        <w:rPr>
          <w:szCs w:val="20"/>
          <w:lang w:val="en-GB"/>
        </w:rPr>
      </w:pPr>
      <w:r w:rsidRPr="00591F6E">
        <w:rPr>
          <w:szCs w:val="20"/>
          <w:lang w:val="en-GB"/>
        </w:rPr>
        <w:t xml:space="preserve">Humphreys, M., 2005. Natural Resources, Conflict, and Conflict Resolution: Uncovering the Mechanisms. Journal of Conflict Resolution 49, 508–537. </w:t>
      </w:r>
      <w:hyperlink r:id="rId87" w:history="1">
        <w:r w:rsidRPr="00591F6E">
          <w:rPr>
            <w:rStyle w:val="Collegamentoipertestuale"/>
            <w:color w:val="auto"/>
            <w:szCs w:val="20"/>
            <w:u w:val="none"/>
            <w:lang w:val="en-GB"/>
          </w:rPr>
          <w:t>https://doi.org/10.1177/0022002705277545</w:t>
        </w:r>
      </w:hyperlink>
    </w:p>
    <w:p w14:paraId="60DA420F" w14:textId="77777777" w:rsidR="00572CBC" w:rsidRPr="00591F6E" w:rsidRDefault="00572CBC" w:rsidP="00572CBC">
      <w:pPr>
        <w:pStyle w:val="Stile1"/>
        <w:jc w:val="both"/>
        <w:rPr>
          <w:szCs w:val="20"/>
          <w:lang w:val="en-GB"/>
        </w:rPr>
      </w:pPr>
      <w:r w:rsidRPr="00591F6E">
        <w:rPr>
          <w:szCs w:val="20"/>
          <w:lang w:val="en-GB"/>
        </w:rPr>
        <w:t xml:space="preserve">Ide, T., 2017. Research methods for exploring the links between climate change and conflict: Research methods for exploring the links between climate change and conflict. Wiley Interdisciplinary Reviews: Climate Change 8, e456. </w:t>
      </w:r>
      <w:hyperlink r:id="rId88" w:history="1">
        <w:r w:rsidRPr="00591F6E">
          <w:rPr>
            <w:rStyle w:val="Collegamentoipertestuale"/>
            <w:color w:val="auto"/>
            <w:szCs w:val="20"/>
            <w:u w:val="none"/>
            <w:lang w:val="en-GB"/>
          </w:rPr>
          <w:t>https://doi.org/10.1002/wcc.456</w:t>
        </w:r>
      </w:hyperlink>
    </w:p>
    <w:p w14:paraId="30251935" w14:textId="77777777" w:rsidR="00572CBC" w:rsidRPr="00591F6E" w:rsidRDefault="00572CBC" w:rsidP="00572CBC">
      <w:pPr>
        <w:pStyle w:val="Stile1"/>
        <w:jc w:val="both"/>
        <w:rPr>
          <w:szCs w:val="20"/>
          <w:lang w:val="en-GB"/>
        </w:rPr>
      </w:pPr>
      <w:r w:rsidRPr="00591F6E">
        <w:rPr>
          <w:szCs w:val="20"/>
          <w:lang w:val="en-GB"/>
        </w:rPr>
        <w:t>IPCC, 2014. Climate Change 2014: Impacts, Adaptation, and Vulnerability. Part A: Global and Sectoral Aspects. Contribution of Working Group II to the Fifth Assessment Report of the Intergovernmental Panel on Climate Change [Field, C.B., V.R. Barros, D.J. Dokken, K.J. Mach, M.D. Mastrandrea, T.E. Bilir, M. Chatterjee, K.L. Ebi, Y.O. Estrada, R.C. Genova, B. Girma, E.S. Kissel, A.N. Levy, S. MacCracken, P.R. Mastrandrea, and L.L. White (eds.)]. Cambridge University Press, Cambridge, United Kingdom and New York, NY, USA.</w:t>
      </w:r>
    </w:p>
    <w:p w14:paraId="1A44E557" w14:textId="77777777" w:rsidR="00572CBC" w:rsidRPr="00591F6E" w:rsidRDefault="00572CBC" w:rsidP="00572CBC">
      <w:pPr>
        <w:pStyle w:val="Stile1"/>
        <w:jc w:val="both"/>
        <w:rPr>
          <w:szCs w:val="20"/>
          <w:lang w:val="en-GB"/>
        </w:rPr>
      </w:pPr>
      <w:r w:rsidRPr="00591F6E">
        <w:rPr>
          <w:szCs w:val="20"/>
          <w:lang w:val="en-GB"/>
        </w:rPr>
        <w:t>Jiménez Cisneros, B.E., Oki, T., Arnell, N.W., Benito, G., Cogley, J.G., Döll, P., Jiang, T., Mwakalila, S.S., 2014. Freshwater resources, in: Field, C.B., Barros, V.R., Dokken, D.J., Mach, K.J., Mastrandrea, M.D., Bilir, T.E., Chatterjee, M., Ebi, K.L., Estrada, Y.O., Genova, R.C., Girma, B., Kissel, E.S., Levy, A.N., MacCracken, S., Mastrandrea, P.R., White, L.L. (Eds.), Climate Change 2014: Impacts, Adaptation, and Vulnerability. Part A: Global and Sectoral Aspects. Contribution of Working Group II to the Fifth Assessment Report of the Intergovernmental Panel of Climate Change. Cambridge University Press, Cambridge, United Kingdom and New York, NY, USA, pp. 229–269.</w:t>
      </w:r>
    </w:p>
    <w:p w14:paraId="601F0156" w14:textId="19FAEF34" w:rsidR="00572CBC" w:rsidRPr="00591F6E" w:rsidRDefault="00572CBC" w:rsidP="00572CBC">
      <w:pPr>
        <w:pStyle w:val="Stile1"/>
        <w:jc w:val="both"/>
        <w:rPr>
          <w:szCs w:val="20"/>
          <w:lang w:val="en-GB"/>
        </w:rPr>
      </w:pPr>
      <w:r w:rsidRPr="00591F6E">
        <w:rPr>
          <w:szCs w:val="20"/>
          <w:lang w:val="en-GB"/>
        </w:rPr>
        <w:t>Kahl, C.H., 2008. States, scarcity, and civil strife in the developing world. Princeton University Press, Princeton, N.J.; Woodstock.</w:t>
      </w:r>
    </w:p>
    <w:p w14:paraId="4AB7654C" w14:textId="1D48C582" w:rsidR="00C96F3B" w:rsidRPr="00591F6E" w:rsidRDefault="00C96F3B" w:rsidP="00572CBC">
      <w:pPr>
        <w:pStyle w:val="Stile1"/>
        <w:jc w:val="both"/>
        <w:rPr>
          <w:szCs w:val="20"/>
          <w:lang w:val="en-GB"/>
        </w:rPr>
      </w:pPr>
      <w:r w:rsidRPr="00591F6E">
        <w:rPr>
          <w:szCs w:val="20"/>
          <w:lang w:val="en-GB"/>
        </w:rPr>
        <w:t xml:space="preserve">Kalyvas, S.N., 2006. The Logic of Violence in Civil War. Cambridge University Press, Cambridge. </w:t>
      </w:r>
      <w:hyperlink r:id="rId89" w:history="1">
        <w:r w:rsidRPr="00591F6E">
          <w:rPr>
            <w:szCs w:val="20"/>
            <w:lang w:val="en-GB"/>
          </w:rPr>
          <w:t>https://doi.org/10.1017/CBO9780511818462</w:t>
        </w:r>
      </w:hyperlink>
    </w:p>
    <w:p w14:paraId="5C36D618" w14:textId="77777777" w:rsidR="00B2410E" w:rsidRPr="00591F6E" w:rsidRDefault="00B2410E" w:rsidP="00B2410E">
      <w:pPr>
        <w:pStyle w:val="Stile1"/>
        <w:jc w:val="both"/>
        <w:rPr>
          <w:szCs w:val="20"/>
          <w:lang w:val="en-GB"/>
        </w:rPr>
      </w:pPr>
      <w:r w:rsidRPr="00591F6E">
        <w:rPr>
          <w:szCs w:val="20"/>
          <w:lang w:val="en-GB"/>
        </w:rPr>
        <w:t xml:space="preserve">Kelley, C.P., Mohtadi, S., Cane, M.A., Seager, R., Kushnir, Y., 2015. Climate change in the Fertile Crescent and implications of the recent Syrian drought. Proc Natl Acad Sci USA 112, 3241–3246. </w:t>
      </w:r>
      <w:hyperlink r:id="rId90" w:history="1">
        <w:r w:rsidRPr="00591F6E">
          <w:rPr>
            <w:rFonts w:eastAsiaTheme="majorEastAsia"/>
            <w:lang w:val="en-GB"/>
          </w:rPr>
          <w:t>https://doi.org/10.1073/pnas.1421533112</w:t>
        </w:r>
      </w:hyperlink>
    </w:p>
    <w:p w14:paraId="244D0D28" w14:textId="67A0EB86" w:rsidR="007A3AD5" w:rsidRPr="00591F6E" w:rsidRDefault="007A3AD5" w:rsidP="007A3AD5">
      <w:pPr>
        <w:pStyle w:val="Stile1"/>
        <w:jc w:val="both"/>
        <w:rPr>
          <w:szCs w:val="20"/>
          <w:lang w:val="en-GB"/>
        </w:rPr>
      </w:pPr>
      <w:r w:rsidRPr="00591F6E">
        <w:rPr>
          <w:szCs w:val="20"/>
          <w:lang w:val="en-GB"/>
        </w:rPr>
        <w:t>Koubi, V., 2019. Climate Change and Conflict. Annu. Rev. Polit. Sci. 22, 343–360. https://doi.org/10.1146/annurev-polisci-050317-070830</w:t>
      </w:r>
    </w:p>
    <w:p w14:paraId="44DBF41C" w14:textId="00DD7E2E" w:rsidR="00C85657" w:rsidRPr="00591F6E" w:rsidRDefault="00C85657" w:rsidP="00C85657">
      <w:pPr>
        <w:pStyle w:val="Stile1"/>
        <w:jc w:val="both"/>
        <w:rPr>
          <w:rStyle w:val="Collegamentoipertestuale"/>
          <w:color w:val="auto"/>
          <w:szCs w:val="20"/>
          <w:u w:val="none"/>
          <w:lang w:val="en-GB"/>
        </w:rPr>
      </w:pPr>
      <w:r w:rsidRPr="00591F6E">
        <w:rPr>
          <w:szCs w:val="20"/>
          <w:lang w:val="en-GB"/>
        </w:rPr>
        <w:t xml:space="preserve">Koubi, V., 2018. Exploring the relationship between climate change and violent conflict. Chinese Journal of Population Resources and Environment 16, 197–202. </w:t>
      </w:r>
      <w:hyperlink r:id="rId91" w:history="1">
        <w:r w:rsidRPr="00591F6E">
          <w:rPr>
            <w:rStyle w:val="Collegamentoipertestuale"/>
            <w:color w:val="auto"/>
            <w:szCs w:val="20"/>
            <w:u w:val="none"/>
            <w:lang w:val="en-GB"/>
          </w:rPr>
          <w:t>https://doi.org/10.1080/10042857.2018.1460957</w:t>
        </w:r>
      </w:hyperlink>
    </w:p>
    <w:p w14:paraId="3A467189" w14:textId="77777777" w:rsidR="00C85657" w:rsidRPr="00591F6E" w:rsidRDefault="00C85657" w:rsidP="00C85657">
      <w:pPr>
        <w:pStyle w:val="Stile1"/>
        <w:jc w:val="both"/>
        <w:rPr>
          <w:szCs w:val="20"/>
          <w:lang w:val="en-GB"/>
        </w:rPr>
      </w:pPr>
      <w:r w:rsidRPr="00591F6E">
        <w:rPr>
          <w:szCs w:val="20"/>
          <w:lang w:val="en-GB"/>
        </w:rPr>
        <w:lastRenderedPageBreak/>
        <w:t xml:space="preserve">Koubi, V., Spilker, G., Böhmelt, T., Bernauer, T., 2013. Do natural resources matter for interstate and intrastate armed conflict? Journal of Peace Research 51, 227–243. </w:t>
      </w:r>
      <w:hyperlink r:id="rId92" w:history="1">
        <w:r w:rsidRPr="00591F6E">
          <w:rPr>
            <w:rFonts w:eastAsiaTheme="majorEastAsia"/>
            <w:lang w:val="en-GB"/>
          </w:rPr>
          <w:t>https://doi.org/10.1177/0022343313493455</w:t>
        </w:r>
      </w:hyperlink>
    </w:p>
    <w:p w14:paraId="20832C11" w14:textId="77777777" w:rsidR="00572CBC" w:rsidRPr="00591F6E" w:rsidRDefault="00572CBC" w:rsidP="00572CBC">
      <w:pPr>
        <w:pStyle w:val="Stile1"/>
        <w:jc w:val="both"/>
        <w:rPr>
          <w:szCs w:val="20"/>
          <w:lang w:val="en-GB"/>
        </w:rPr>
      </w:pPr>
      <w:r w:rsidRPr="00591F6E">
        <w:rPr>
          <w:szCs w:val="20"/>
          <w:lang w:val="en-GB"/>
        </w:rPr>
        <w:t xml:space="preserve">Klomp, J., Valckx, K., 2014. Natural disasters and economic growth: A meta-analysis. Global Environmental Change 26, 183–195. </w:t>
      </w:r>
      <w:hyperlink r:id="rId93" w:history="1">
        <w:r w:rsidRPr="00591F6E">
          <w:rPr>
            <w:lang w:val="en-GB"/>
          </w:rPr>
          <w:t>https://doi.org/10.1016/j.gloenvcha.2014.02.006</w:t>
        </w:r>
      </w:hyperlink>
    </w:p>
    <w:p w14:paraId="633E4A43" w14:textId="6AF711AD" w:rsidR="00572CBC" w:rsidRPr="00591F6E" w:rsidRDefault="00572CBC" w:rsidP="00572CBC">
      <w:pPr>
        <w:pStyle w:val="Stile1"/>
        <w:jc w:val="both"/>
        <w:rPr>
          <w:szCs w:val="20"/>
          <w:lang w:val="en-GB"/>
        </w:rPr>
      </w:pPr>
      <w:r w:rsidRPr="00591F6E">
        <w:rPr>
          <w:szCs w:val="20"/>
          <w:lang w:val="en-GB"/>
        </w:rPr>
        <w:t>Koricheva, J., Gurevitch, J., Mengersen, K. (Eds.), 2013. Handbook of meta-analysis in ecology and evolution. Princeton University Press, Princeton.</w:t>
      </w:r>
    </w:p>
    <w:p w14:paraId="67B3CE1F" w14:textId="77777777" w:rsidR="00572CBC" w:rsidRPr="00591F6E" w:rsidRDefault="00572CBC" w:rsidP="00572CBC">
      <w:pPr>
        <w:pStyle w:val="Stile1"/>
        <w:jc w:val="both"/>
        <w:rPr>
          <w:szCs w:val="20"/>
          <w:lang w:val="en-GB"/>
        </w:rPr>
      </w:pPr>
      <w:r w:rsidRPr="00591F6E">
        <w:rPr>
          <w:szCs w:val="20"/>
          <w:lang w:val="en-GB"/>
        </w:rPr>
        <w:t xml:space="preserve">Kousky, C., 2014. Informing climate adaptation: A review of the economic costs of natural disasters. Energy Economics 46, 576–592. </w:t>
      </w:r>
      <w:hyperlink r:id="rId94" w:history="1">
        <w:r w:rsidRPr="00591F6E">
          <w:rPr>
            <w:rStyle w:val="Collegamentoipertestuale"/>
            <w:color w:val="auto"/>
            <w:szCs w:val="20"/>
            <w:u w:val="none"/>
            <w:lang w:val="en-GB"/>
          </w:rPr>
          <w:t>https://doi.org/10.1016/j.eneco.2013.09.029</w:t>
        </w:r>
      </w:hyperlink>
    </w:p>
    <w:p w14:paraId="77F756AC" w14:textId="77777777" w:rsidR="00572CBC" w:rsidRPr="00591F6E" w:rsidRDefault="00572CBC" w:rsidP="00572CBC">
      <w:pPr>
        <w:pStyle w:val="Stile1"/>
        <w:jc w:val="both"/>
        <w:rPr>
          <w:szCs w:val="20"/>
          <w:lang w:val="en-GB"/>
        </w:rPr>
      </w:pPr>
      <w:r w:rsidRPr="00591F6E">
        <w:rPr>
          <w:szCs w:val="20"/>
          <w:lang w:val="en-GB"/>
        </w:rPr>
        <w:t>Levy, B.S., Sidel, V.W., 2014. Collective Violence Caused by Climate Change and How It Threatens Health and Human Rights. Health and Human Rights Journal 16, 32–40.</w:t>
      </w:r>
    </w:p>
    <w:p w14:paraId="66C4F566" w14:textId="77777777" w:rsidR="00572CBC" w:rsidRPr="00591F6E" w:rsidRDefault="00572CBC" w:rsidP="00572CBC">
      <w:pPr>
        <w:pStyle w:val="Stile1"/>
        <w:jc w:val="both"/>
        <w:rPr>
          <w:szCs w:val="20"/>
          <w:lang w:val="en-GB"/>
        </w:rPr>
      </w:pPr>
      <w:r w:rsidRPr="00591F6E">
        <w:rPr>
          <w:szCs w:val="20"/>
          <w:lang w:val="en-GB"/>
        </w:rPr>
        <w:t>Lipsey, M.W., Wilson, D.B., 2001. Practical meta-analysis, Applied social research methods series. Sage Publications, Thousand Oaks, Calif.</w:t>
      </w:r>
    </w:p>
    <w:p w14:paraId="2D074011" w14:textId="77777777" w:rsidR="00572CBC" w:rsidRPr="00591F6E" w:rsidRDefault="00572CBC" w:rsidP="00572CBC">
      <w:pPr>
        <w:pStyle w:val="Stile1"/>
        <w:jc w:val="both"/>
        <w:rPr>
          <w:szCs w:val="20"/>
          <w:lang w:val="en-GB"/>
        </w:rPr>
      </w:pPr>
      <w:r w:rsidRPr="00591F6E">
        <w:rPr>
          <w:szCs w:val="20"/>
          <w:lang w:val="en-GB"/>
        </w:rPr>
        <w:t xml:space="preserve">Lujala, P., 2009. Deadly Combat over Natural Resources: Gems, Petroleum, Drugs, and the Severity of Armed Civil Conflict. Journal of Conflict Resolution 53, 50–71. </w:t>
      </w:r>
      <w:hyperlink r:id="rId95" w:history="1">
        <w:r w:rsidRPr="00591F6E">
          <w:rPr>
            <w:rStyle w:val="Collegamentoipertestuale"/>
            <w:color w:val="auto"/>
            <w:szCs w:val="20"/>
            <w:u w:val="none"/>
            <w:lang w:val="en-GB"/>
          </w:rPr>
          <w:t>https://doi.org/10.1177/0022002708327644</w:t>
        </w:r>
      </w:hyperlink>
    </w:p>
    <w:p w14:paraId="0A31A93E" w14:textId="77777777" w:rsidR="00572CBC" w:rsidRPr="00591F6E" w:rsidRDefault="00572CBC" w:rsidP="00572CBC">
      <w:pPr>
        <w:pStyle w:val="Stile1"/>
        <w:jc w:val="both"/>
        <w:rPr>
          <w:szCs w:val="20"/>
          <w:lang w:val="en-GB"/>
        </w:rPr>
      </w:pPr>
      <w:r w:rsidRPr="00591F6E">
        <w:rPr>
          <w:szCs w:val="20"/>
          <w:lang w:val="en-GB"/>
        </w:rPr>
        <w:t xml:space="preserve">Lujala, P., Gleditsch, N.P., Gilmore, E., 2005. A Diamond Curse?: Civil War and a Lootable Resource. Journal of Conflict Resolution 49, 538–562. </w:t>
      </w:r>
      <w:hyperlink r:id="rId96" w:history="1">
        <w:r w:rsidRPr="00591F6E">
          <w:rPr>
            <w:rStyle w:val="Collegamentoipertestuale"/>
            <w:color w:val="auto"/>
            <w:szCs w:val="20"/>
            <w:u w:val="none"/>
            <w:lang w:val="en-GB"/>
          </w:rPr>
          <w:t>https://doi.org/10.1177/0022002705277548</w:t>
        </w:r>
      </w:hyperlink>
    </w:p>
    <w:p w14:paraId="3C948957" w14:textId="77777777" w:rsidR="002971A6" w:rsidRPr="00591F6E" w:rsidRDefault="002971A6" w:rsidP="002971A6">
      <w:pPr>
        <w:pStyle w:val="Stile1"/>
        <w:jc w:val="both"/>
        <w:rPr>
          <w:szCs w:val="20"/>
          <w:lang w:val="en-GB"/>
        </w:rPr>
      </w:pPr>
      <w:r w:rsidRPr="00591F6E">
        <w:rPr>
          <w:szCs w:val="20"/>
          <w:lang w:val="en-GB"/>
        </w:rPr>
        <w:t>Martinez-Alier, J., 2002. The environmentalism of the poor: a study of ecological conflicts and valuation. Elgar, Cheltenham.</w:t>
      </w:r>
    </w:p>
    <w:p w14:paraId="2E365391" w14:textId="77777777" w:rsidR="00572CBC" w:rsidRPr="00591F6E" w:rsidRDefault="00572CBC" w:rsidP="00572CBC">
      <w:pPr>
        <w:pStyle w:val="Stile1"/>
        <w:jc w:val="both"/>
        <w:rPr>
          <w:szCs w:val="20"/>
          <w:lang w:val="en-GB"/>
        </w:rPr>
      </w:pPr>
      <w:r w:rsidRPr="00591F6E">
        <w:rPr>
          <w:szCs w:val="20"/>
          <w:lang w:val="en-GB"/>
        </w:rPr>
        <w:t xml:space="preserve">McNeish, J.-A., 2012. More than Beads and Feathers: Resource Extraction and the Indigenous Challenge in Latin America, in: Haarstad, H. (Ed.), New Political Spaces in Latin American Natural Resource Governance. Palgrave Macmillan US, New York, pp. 39–60. </w:t>
      </w:r>
      <w:hyperlink r:id="rId97" w:history="1">
        <w:r w:rsidRPr="00591F6E">
          <w:rPr>
            <w:rStyle w:val="Collegamentoipertestuale"/>
            <w:color w:val="auto"/>
            <w:szCs w:val="20"/>
            <w:u w:val="none"/>
            <w:lang w:val="en-GB"/>
          </w:rPr>
          <w:t>https://doi.org/10.1057/9781137073723_3</w:t>
        </w:r>
      </w:hyperlink>
    </w:p>
    <w:p w14:paraId="7530A34F" w14:textId="77777777" w:rsidR="00572CBC" w:rsidRPr="00591F6E" w:rsidRDefault="00572CBC" w:rsidP="00572CBC">
      <w:pPr>
        <w:pStyle w:val="Stile1"/>
        <w:jc w:val="both"/>
        <w:rPr>
          <w:szCs w:val="20"/>
          <w:lang w:val="en-GB"/>
        </w:rPr>
      </w:pPr>
      <w:r w:rsidRPr="00591F6E">
        <w:rPr>
          <w:szCs w:val="20"/>
          <w:lang w:val="en-GB"/>
        </w:rPr>
        <w:t xml:space="preserve">Mehlum, H., Moene, K., Torvik, R., 2006. Institutions and the Resource Curse. The Economic Journal 116, 1–20. </w:t>
      </w:r>
      <w:hyperlink r:id="rId98" w:history="1">
        <w:r w:rsidRPr="00591F6E">
          <w:rPr>
            <w:rStyle w:val="Collegamentoipertestuale"/>
            <w:color w:val="auto"/>
            <w:szCs w:val="20"/>
            <w:u w:val="none"/>
            <w:lang w:val="en-GB"/>
          </w:rPr>
          <w:t>https://doi.org/10.1111/j.1468-0297.2006.01045.x</w:t>
        </w:r>
      </w:hyperlink>
    </w:p>
    <w:p w14:paraId="65F61265" w14:textId="77777777" w:rsidR="00572CBC" w:rsidRPr="00591F6E" w:rsidRDefault="00572CBC" w:rsidP="00572CBC">
      <w:pPr>
        <w:pStyle w:val="Stile1"/>
        <w:jc w:val="both"/>
        <w:rPr>
          <w:szCs w:val="20"/>
          <w:lang w:val="en-GB"/>
        </w:rPr>
      </w:pPr>
      <w:r w:rsidRPr="00591F6E">
        <w:rPr>
          <w:szCs w:val="20"/>
          <w:lang w:val="en-GB"/>
        </w:rPr>
        <w:t xml:space="preserve">Meze-Hausken, E., 2000. Migration caused by climate change: how vulnerable are people inn dryland areas? Mitigation and Adaptation Strategies for Global Change 5, 379–406. </w:t>
      </w:r>
      <w:hyperlink r:id="rId99" w:history="1">
        <w:r w:rsidRPr="00591F6E">
          <w:rPr>
            <w:rStyle w:val="Collegamentoipertestuale"/>
            <w:color w:val="auto"/>
            <w:szCs w:val="20"/>
            <w:u w:val="none"/>
            <w:lang w:val="en-GB"/>
          </w:rPr>
          <w:t>https://doi.org/10.1023/A:1026570529614</w:t>
        </w:r>
      </w:hyperlink>
    </w:p>
    <w:p w14:paraId="2C2CA0E8" w14:textId="77777777" w:rsidR="00572CBC" w:rsidRPr="00591F6E" w:rsidRDefault="00572CBC" w:rsidP="00572CBC">
      <w:pPr>
        <w:pStyle w:val="Stile1"/>
        <w:jc w:val="both"/>
        <w:rPr>
          <w:szCs w:val="20"/>
          <w:lang w:val="en-GB"/>
        </w:rPr>
      </w:pPr>
      <w:r w:rsidRPr="00591F6E">
        <w:rPr>
          <w:szCs w:val="20"/>
          <w:lang w:val="en-GB"/>
        </w:rPr>
        <w:t xml:space="preserve">Mildner, S.-A., Lauster, G., Wodni, W., 2011. Scarcity and Abundance Revisited: A Literature Review on Natural Resources and Conflict. International Journal of Conflict and Violence (IJCV) Vol 5, No 1: Violence and Violence Research in the Global South-. </w:t>
      </w:r>
      <w:hyperlink r:id="rId100" w:history="1">
        <w:r w:rsidRPr="00591F6E">
          <w:rPr>
            <w:rStyle w:val="Collegamentoipertestuale"/>
            <w:color w:val="auto"/>
            <w:szCs w:val="20"/>
            <w:u w:val="none"/>
            <w:lang w:val="en-GB"/>
          </w:rPr>
          <w:t>https://doi.org/10.4119/unibi/ijcv.113</w:t>
        </w:r>
      </w:hyperlink>
    </w:p>
    <w:p w14:paraId="4725B38E" w14:textId="77777777" w:rsidR="00572CBC" w:rsidRPr="00591F6E" w:rsidRDefault="00572CBC" w:rsidP="00572CBC">
      <w:pPr>
        <w:pStyle w:val="Stile1"/>
        <w:jc w:val="both"/>
        <w:rPr>
          <w:szCs w:val="20"/>
          <w:lang w:val="en-GB"/>
        </w:rPr>
      </w:pPr>
      <w:r w:rsidRPr="00591F6E">
        <w:rPr>
          <w:szCs w:val="20"/>
          <w:lang w:val="en-GB"/>
        </w:rPr>
        <w:lastRenderedPageBreak/>
        <w:t xml:space="preserve">Nillesen, E., Bulte, E., 2014. Natural Resources and Violent Conflict. Annual Review of Resource Economics 6, 69–83. </w:t>
      </w:r>
      <w:hyperlink r:id="rId101" w:history="1">
        <w:r w:rsidRPr="00591F6E">
          <w:rPr>
            <w:rStyle w:val="Collegamentoipertestuale"/>
            <w:color w:val="auto"/>
            <w:szCs w:val="20"/>
            <w:u w:val="none"/>
            <w:lang w:val="en-GB"/>
          </w:rPr>
          <w:t>https://doi.org/10.1146/annurev-resource-091912-151910</w:t>
        </w:r>
      </w:hyperlink>
    </w:p>
    <w:p w14:paraId="0C662F2C" w14:textId="77777777" w:rsidR="00572CBC" w:rsidRPr="00591F6E" w:rsidRDefault="00572CBC" w:rsidP="00572CBC">
      <w:pPr>
        <w:pStyle w:val="Stile1"/>
        <w:jc w:val="both"/>
        <w:rPr>
          <w:szCs w:val="20"/>
          <w:lang w:val="en-GB"/>
        </w:rPr>
      </w:pPr>
      <w:r w:rsidRPr="00591F6E">
        <w:rPr>
          <w:szCs w:val="20"/>
          <w:lang w:val="en-GB"/>
        </w:rPr>
        <w:t xml:space="preserve">O’Brochta, W., 2019. A meta-analysis of natural resources and conflict. Research &amp; Politics 6, 205316801881823. </w:t>
      </w:r>
      <w:hyperlink r:id="rId102" w:history="1">
        <w:r w:rsidRPr="00591F6E">
          <w:rPr>
            <w:rStyle w:val="Collegamentoipertestuale"/>
            <w:color w:val="auto"/>
            <w:szCs w:val="20"/>
            <w:u w:val="none"/>
            <w:lang w:val="en-GB"/>
          </w:rPr>
          <w:t>https://doi.org/10.1177/2053168018818232</w:t>
        </w:r>
      </w:hyperlink>
    </w:p>
    <w:p w14:paraId="472C63A1" w14:textId="073665B8" w:rsidR="00572CBC" w:rsidRPr="00591F6E" w:rsidRDefault="00572CBC" w:rsidP="00572CBC">
      <w:pPr>
        <w:pStyle w:val="Stile1"/>
        <w:jc w:val="both"/>
        <w:rPr>
          <w:rStyle w:val="Collegamentoipertestuale"/>
          <w:color w:val="auto"/>
          <w:szCs w:val="20"/>
          <w:u w:val="none"/>
          <w:lang w:val="en-GB"/>
        </w:rPr>
      </w:pPr>
      <w:r w:rsidRPr="00591F6E">
        <w:rPr>
          <w:szCs w:val="20"/>
          <w:lang w:val="en-GB"/>
        </w:rPr>
        <w:t xml:space="preserve">Østby, G., 2008. Polarization, Horizontal Inequalities and Violent Civil Conflict. Journal of Peace Research 45, 143–162. </w:t>
      </w:r>
      <w:hyperlink r:id="rId103" w:history="1">
        <w:r w:rsidRPr="00591F6E">
          <w:rPr>
            <w:rStyle w:val="Collegamentoipertestuale"/>
            <w:color w:val="auto"/>
            <w:szCs w:val="20"/>
            <w:u w:val="none"/>
            <w:lang w:val="en-GB"/>
          </w:rPr>
          <w:t>https://doi.org/10.1177/0022343307087169</w:t>
        </w:r>
      </w:hyperlink>
    </w:p>
    <w:p w14:paraId="4CE90B66" w14:textId="4CC2FF15" w:rsidR="003C654C" w:rsidRPr="00591F6E" w:rsidRDefault="003C654C" w:rsidP="003C654C">
      <w:pPr>
        <w:pStyle w:val="Stile1"/>
        <w:jc w:val="both"/>
        <w:rPr>
          <w:szCs w:val="20"/>
          <w:lang w:val="en-GB"/>
        </w:rPr>
      </w:pPr>
      <w:r w:rsidRPr="00591F6E">
        <w:rPr>
          <w:szCs w:val="20"/>
          <w:lang w:val="en-GB"/>
        </w:rPr>
        <w:t xml:space="preserve">Ostrom, E., 2015. Governing the Commons: The Evolution of Institutions for Collective Action. Cambridge University Press, Cambridge. </w:t>
      </w:r>
      <w:hyperlink r:id="rId104" w:history="1">
        <w:r w:rsidRPr="00591F6E">
          <w:rPr>
            <w:rFonts w:eastAsiaTheme="majorEastAsia"/>
            <w:lang w:val="en-GB"/>
          </w:rPr>
          <w:t>https://doi.org/10.1017/CBO9781316423936</w:t>
        </w:r>
      </w:hyperlink>
    </w:p>
    <w:p w14:paraId="0CF6FD9E" w14:textId="77777777" w:rsidR="00572CBC" w:rsidRPr="00591F6E" w:rsidRDefault="00572CBC" w:rsidP="00572CBC">
      <w:pPr>
        <w:pStyle w:val="Stile1"/>
        <w:jc w:val="both"/>
        <w:rPr>
          <w:szCs w:val="20"/>
          <w:lang w:val="en-GB"/>
        </w:rPr>
      </w:pPr>
      <w:r w:rsidRPr="00591F6E">
        <w:rPr>
          <w:szCs w:val="20"/>
          <w:lang w:val="en-GB"/>
        </w:rPr>
        <w:t>Peluso, N.L., Watts, M. (Eds.), 2001. Violent environments. Cornell University Press, Ithaca.</w:t>
      </w:r>
    </w:p>
    <w:p w14:paraId="7A6C5FFA" w14:textId="77777777" w:rsidR="00572CBC" w:rsidRPr="00591F6E" w:rsidRDefault="00572CBC" w:rsidP="00572CBC">
      <w:pPr>
        <w:pStyle w:val="Stile1"/>
        <w:jc w:val="both"/>
        <w:rPr>
          <w:szCs w:val="20"/>
          <w:lang w:val="en-GB"/>
        </w:rPr>
      </w:pPr>
      <w:r w:rsidRPr="00591F6E">
        <w:rPr>
          <w:szCs w:val="20"/>
          <w:lang w:val="en-GB"/>
        </w:rPr>
        <w:t xml:space="preserve">Percival, V., Homer-Dixon, T., 1998. Environmental Scarcity and Violent Conflict: The Case of South Africa. Journal of Peace Research 35, 279–298. </w:t>
      </w:r>
      <w:hyperlink r:id="rId105" w:history="1">
        <w:r w:rsidRPr="00591F6E">
          <w:rPr>
            <w:rStyle w:val="Collegamentoipertestuale"/>
            <w:color w:val="auto"/>
            <w:szCs w:val="20"/>
            <w:u w:val="none"/>
            <w:lang w:val="en-GB"/>
          </w:rPr>
          <w:t>https://doi.org/10.1177/0022343398035003002</w:t>
        </w:r>
      </w:hyperlink>
    </w:p>
    <w:p w14:paraId="2AAAE1E6" w14:textId="77777777" w:rsidR="00572CBC" w:rsidRPr="00591F6E" w:rsidRDefault="00572CBC" w:rsidP="00572CBC">
      <w:pPr>
        <w:pStyle w:val="Stile1"/>
        <w:jc w:val="both"/>
        <w:rPr>
          <w:szCs w:val="20"/>
          <w:lang w:val="en-GB"/>
        </w:rPr>
      </w:pPr>
      <w:r w:rsidRPr="00591F6E">
        <w:rPr>
          <w:szCs w:val="20"/>
          <w:lang w:val="en-GB"/>
        </w:rPr>
        <w:t xml:space="preserve">Peterson, R.A., Brown, S.P., 2005. On the Use of Beta Coefficients in Meta-Analysis. Journal of Applied Psychology 90, 175–181. </w:t>
      </w:r>
      <w:hyperlink r:id="rId106" w:history="1">
        <w:r w:rsidRPr="00591F6E">
          <w:rPr>
            <w:rStyle w:val="Collegamentoipertestuale"/>
            <w:color w:val="auto"/>
            <w:szCs w:val="20"/>
            <w:u w:val="none"/>
            <w:lang w:val="en-GB"/>
          </w:rPr>
          <w:t>https://doi.org/10.1037/0021-9010.90.1.175</w:t>
        </w:r>
      </w:hyperlink>
    </w:p>
    <w:p w14:paraId="62145651" w14:textId="77777777" w:rsidR="00572CBC" w:rsidRPr="00591F6E" w:rsidRDefault="00572CBC" w:rsidP="00572CBC">
      <w:pPr>
        <w:pStyle w:val="Stile1"/>
        <w:jc w:val="both"/>
        <w:rPr>
          <w:szCs w:val="20"/>
          <w:lang w:val="en-GB"/>
        </w:rPr>
      </w:pPr>
      <w:r w:rsidRPr="00591F6E">
        <w:rPr>
          <w:szCs w:val="20"/>
          <w:lang w:val="en-GB"/>
        </w:rPr>
        <w:t>Porter, J.R., Xie, L., Challinor, A.J., Cochrane, K., Howden, S.M., Iqbal, M.M., Lobell, D.B., Travasso, M.I., 2014. Food security and food production systems, in: Field, C.B., Barros, V.R., Dokken, D.J., Mach, K.J., Mastrandrea, M.D., Bilir, T.E., Chatterjee, M., Ebi, K.L., Estrada, Y.O., Genova, R.C., Girma, B., Kissel, E.S., Levy, A.N., MacCracken, S., Mastrandrea, P.R., White, L.L. (Eds.), Climate Change 2014: Impacts, Adaptation, and Vulnerability. Part A: Global and Sectoral Aspects. Contribution of Working Group II to the Fifth Assessment Report of the Intergovernmental Panel of Climate Change. Cambridge University Press, Cambridge, United Kingdom and New York, NY, USA, pp. 485–533.</w:t>
      </w:r>
    </w:p>
    <w:p w14:paraId="414042FC" w14:textId="77777777" w:rsidR="00572CBC" w:rsidRPr="00591F6E" w:rsidRDefault="00572CBC" w:rsidP="00572CBC">
      <w:pPr>
        <w:pStyle w:val="Stile1"/>
        <w:jc w:val="both"/>
        <w:rPr>
          <w:szCs w:val="20"/>
          <w:lang w:val="en-GB"/>
        </w:rPr>
      </w:pPr>
      <w:r w:rsidRPr="00591F6E">
        <w:rPr>
          <w:szCs w:val="20"/>
          <w:lang w:val="en-GB"/>
        </w:rPr>
        <w:t xml:space="preserve">Raleigh, C., Kniveton, D., 2012. Come rain or shine: An analysis of conflict and climate variability in East Africa. Journal of Peace Research 49, 51–64. </w:t>
      </w:r>
      <w:hyperlink r:id="rId107" w:history="1">
        <w:r w:rsidRPr="00591F6E">
          <w:rPr>
            <w:rStyle w:val="Collegamentoipertestuale"/>
            <w:color w:val="auto"/>
            <w:szCs w:val="20"/>
            <w:u w:val="none"/>
            <w:lang w:val="en-GB"/>
          </w:rPr>
          <w:t>https://doi.org/10.1177/0022343311427754</w:t>
        </w:r>
      </w:hyperlink>
    </w:p>
    <w:p w14:paraId="5956840E" w14:textId="77777777" w:rsidR="00572CBC" w:rsidRPr="00591F6E" w:rsidRDefault="00572CBC" w:rsidP="00572CBC">
      <w:pPr>
        <w:pStyle w:val="Stile1"/>
        <w:jc w:val="both"/>
        <w:rPr>
          <w:szCs w:val="20"/>
          <w:lang w:val="en-GB"/>
        </w:rPr>
      </w:pPr>
      <w:r w:rsidRPr="00591F6E">
        <w:rPr>
          <w:szCs w:val="20"/>
          <w:lang w:val="en-GB"/>
        </w:rPr>
        <w:t xml:space="preserve">Raleigh, C., Urdal, H., 2007. Climate change, environmental degradation and armed conflict. Political Geography 26, 674–694. </w:t>
      </w:r>
      <w:hyperlink r:id="rId108" w:history="1">
        <w:r w:rsidRPr="00591F6E">
          <w:rPr>
            <w:rStyle w:val="Collegamentoipertestuale"/>
            <w:color w:val="auto"/>
            <w:szCs w:val="20"/>
            <w:u w:val="none"/>
            <w:lang w:val="en-GB"/>
          </w:rPr>
          <w:t>https://doi.org/10.1016/j.polgeo.2007.06.005</w:t>
        </w:r>
      </w:hyperlink>
    </w:p>
    <w:p w14:paraId="6714E400" w14:textId="77777777" w:rsidR="00572CBC" w:rsidRPr="00591F6E" w:rsidRDefault="00572CBC" w:rsidP="00572CBC">
      <w:pPr>
        <w:pStyle w:val="Stile1"/>
        <w:jc w:val="both"/>
        <w:rPr>
          <w:szCs w:val="20"/>
          <w:lang w:val="en-GB"/>
        </w:rPr>
      </w:pPr>
      <w:r w:rsidRPr="00591F6E">
        <w:rPr>
          <w:szCs w:val="20"/>
          <w:lang w:val="en-GB"/>
        </w:rPr>
        <w:t xml:space="preserve">Ravnborg, H.M., Bustamante, R., Cissé, A., Cold-Ravnkilde, S.M., Cossio, V., Djiré, M., Funder, M., Gómez, L.I., Le, P., Mweemba, C., Nyambe, I., Paz, T., Pham, H., Rivas, R., Skielboe, T., Yen, N.T.B., 2012. Challenges of local water governance: the extent, nature and intensity of local water-related conflict and cooperation. Water Policy 14, 336–357. </w:t>
      </w:r>
      <w:hyperlink r:id="rId109" w:history="1">
        <w:r w:rsidRPr="00591F6E">
          <w:rPr>
            <w:rStyle w:val="Collegamentoipertestuale"/>
            <w:color w:val="auto"/>
            <w:szCs w:val="20"/>
            <w:u w:val="none"/>
            <w:lang w:val="en-GB"/>
          </w:rPr>
          <w:t>https://doi.org/10.2166/wp.2011.097</w:t>
        </w:r>
      </w:hyperlink>
    </w:p>
    <w:p w14:paraId="277BC8D1" w14:textId="77777777" w:rsidR="00572CBC" w:rsidRPr="00591F6E" w:rsidRDefault="00572CBC" w:rsidP="00572CBC">
      <w:pPr>
        <w:pStyle w:val="Stile1"/>
        <w:jc w:val="both"/>
        <w:rPr>
          <w:szCs w:val="20"/>
          <w:lang w:val="en-GB"/>
        </w:rPr>
      </w:pPr>
      <w:r w:rsidRPr="00591F6E">
        <w:rPr>
          <w:szCs w:val="20"/>
          <w:lang w:val="en-GB"/>
        </w:rPr>
        <w:t xml:space="preserve">Robinson, J.A., Torvik, R., Verdier, T., 2006. Political foundations of the resource curse. Journal of Development Economics 79, 447–468. </w:t>
      </w:r>
      <w:hyperlink r:id="rId110" w:history="1">
        <w:r w:rsidRPr="00591F6E">
          <w:rPr>
            <w:rStyle w:val="Collegamentoipertestuale"/>
            <w:color w:val="auto"/>
            <w:szCs w:val="20"/>
            <w:u w:val="none"/>
            <w:lang w:val="en-GB"/>
          </w:rPr>
          <w:t>https://doi.org/10.1016/j.jdeveco.2006.01.008</w:t>
        </w:r>
      </w:hyperlink>
    </w:p>
    <w:p w14:paraId="52D3B438" w14:textId="77777777" w:rsidR="00572CBC" w:rsidRPr="00591F6E" w:rsidRDefault="00572CBC" w:rsidP="00572CBC">
      <w:pPr>
        <w:pStyle w:val="Stile1"/>
        <w:jc w:val="both"/>
        <w:rPr>
          <w:szCs w:val="20"/>
          <w:lang w:val="en-GB"/>
        </w:rPr>
      </w:pPr>
      <w:r w:rsidRPr="00591F6E">
        <w:rPr>
          <w:szCs w:val="20"/>
          <w:lang w:val="en-GB"/>
        </w:rPr>
        <w:lastRenderedPageBreak/>
        <w:t xml:space="preserve">Romero-Lankao, P., Qin, H., Dickinson, K., 2012. Urban vulnerability to temperature-related hazards: A meta-analysis and meta-knowledge approach. Global Environmental Change 22, 670–683. </w:t>
      </w:r>
      <w:hyperlink r:id="rId111" w:history="1">
        <w:r w:rsidRPr="00591F6E">
          <w:rPr>
            <w:rStyle w:val="Collegamentoipertestuale"/>
            <w:color w:val="auto"/>
            <w:szCs w:val="20"/>
            <w:u w:val="none"/>
            <w:lang w:val="en-GB"/>
          </w:rPr>
          <w:t>https://doi.org/10.1016/j.gloenvcha.2012.04.002</w:t>
        </w:r>
      </w:hyperlink>
    </w:p>
    <w:p w14:paraId="1EB5AE53" w14:textId="77777777" w:rsidR="00572CBC" w:rsidRPr="00591F6E" w:rsidRDefault="00572CBC" w:rsidP="00572CBC">
      <w:pPr>
        <w:pStyle w:val="Stile1"/>
        <w:jc w:val="both"/>
        <w:rPr>
          <w:szCs w:val="20"/>
          <w:lang w:val="en-GB"/>
        </w:rPr>
      </w:pPr>
      <w:r w:rsidRPr="00591F6E">
        <w:rPr>
          <w:szCs w:val="20"/>
          <w:lang w:val="en-GB"/>
        </w:rPr>
        <w:t>Ross, M., 2013. Resource Wealth and Violent Conflict. The Environmental Forum 434, 1–4.</w:t>
      </w:r>
    </w:p>
    <w:p w14:paraId="3AED61CC" w14:textId="77777777" w:rsidR="00572CBC" w:rsidRPr="00591F6E" w:rsidRDefault="00572CBC" w:rsidP="00572CBC">
      <w:pPr>
        <w:pStyle w:val="Stile1"/>
        <w:jc w:val="both"/>
        <w:rPr>
          <w:szCs w:val="20"/>
          <w:lang w:val="en-GB"/>
        </w:rPr>
      </w:pPr>
      <w:r w:rsidRPr="00591F6E">
        <w:rPr>
          <w:szCs w:val="20"/>
          <w:lang w:val="en-GB"/>
        </w:rPr>
        <w:t xml:space="preserve">Sachs, J.D., Warner, A.M., 2001. The curse of natural resources. European Economic Review 45, 827–838. </w:t>
      </w:r>
      <w:hyperlink r:id="rId112" w:history="1">
        <w:r w:rsidRPr="00591F6E">
          <w:rPr>
            <w:rStyle w:val="Collegamentoipertestuale"/>
            <w:color w:val="auto"/>
            <w:szCs w:val="20"/>
            <w:u w:val="none"/>
            <w:lang w:val="en-GB"/>
          </w:rPr>
          <w:t>https://doi.org/10.1016/S0014-2921(01)00125-8</w:t>
        </w:r>
      </w:hyperlink>
    </w:p>
    <w:p w14:paraId="3FCD9910" w14:textId="77777777" w:rsidR="00572CBC" w:rsidRPr="00591F6E" w:rsidRDefault="00572CBC" w:rsidP="00572CBC">
      <w:pPr>
        <w:pStyle w:val="Stile1"/>
        <w:jc w:val="both"/>
        <w:rPr>
          <w:szCs w:val="20"/>
          <w:lang w:val="en-GB"/>
        </w:rPr>
      </w:pPr>
      <w:r w:rsidRPr="00591F6E">
        <w:rPr>
          <w:szCs w:val="20"/>
          <w:lang w:val="en-GB"/>
        </w:rPr>
        <w:t xml:space="preserve">Salehyan, I., 2014. Climate change and conflict: Making sense of disparate findings. Political Geography 43, 1–5. </w:t>
      </w:r>
      <w:hyperlink r:id="rId113" w:history="1">
        <w:r w:rsidRPr="00591F6E">
          <w:rPr>
            <w:rStyle w:val="Collegamentoipertestuale"/>
            <w:color w:val="auto"/>
            <w:szCs w:val="20"/>
            <w:u w:val="none"/>
            <w:lang w:val="en-GB"/>
          </w:rPr>
          <w:t>https://doi.org/10.1016/j.polgeo.2014.10.004</w:t>
        </w:r>
      </w:hyperlink>
    </w:p>
    <w:p w14:paraId="4D75DF5E" w14:textId="77777777" w:rsidR="00572CBC" w:rsidRPr="00591F6E" w:rsidRDefault="00572CBC" w:rsidP="00572CBC">
      <w:pPr>
        <w:pStyle w:val="Stile1"/>
        <w:jc w:val="both"/>
        <w:rPr>
          <w:szCs w:val="20"/>
          <w:lang w:val="en-GB"/>
        </w:rPr>
      </w:pPr>
      <w:r w:rsidRPr="00591F6E">
        <w:rPr>
          <w:szCs w:val="20"/>
          <w:lang w:val="en-GB"/>
        </w:rPr>
        <w:t>Samset, I., 2009. Natural Resource Wealth, Conflict, and Peacebuilding.</w:t>
      </w:r>
    </w:p>
    <w:p w14:paraId="3E06E9D9" w14:textId="2A3E2526" w:rsidR="00572CBC" w:rsidRPr="00591F6E" w:rsidRDefault="00572CBC" w:rsidP="00572CBC">
      <w:pPr>
        <w:pStyle w:val="Stile1"/>
        <w:jc w:val="both"/>
        <w:rPr>
          <w:rStyle w:val="Collegamentoipertestuale"/>
          <w:color w:val="auto"/>
          <w:szCs w:val="20"/>
          <w:u w:val="none"/>
          <w:lang w:val="en-GB"/>
        </w:rPr>
      </w:pPr>
      <w:r w:rsidRPr="00591F6E">
        <w:rPr>
          <w:szCs w:val="20"/>
          <w:lang w:val="en-GB"/>
        </w:rPr>
        <w:t xml:space="preserve">Scheffran, J., Brzoska, M., Kominek, J., Link, P.M., Schilling, J., 2012. Climate Change and Violent Conflict. Science 336, 869–871. </w:t>
      </w:r>
      <w:hyperlink r:id="rId114" w:history="1">
        <w:r w:rsidRPr="00591F6E">
          <w:rPr>
            <w:rStyle w:val="Collegamentoipertestuale"/>
            <w:color w:val="auto"/>
            <w:szCs w:val="20"/>
            <w:u w:val="none"/>
            <w:lang w:val="en-GB"/>
          </w:rPr>
          <w:t>https://doi.org/10.1126/science.1221339</w:t>
        </w:r>
      </w:hyperlink>
    </w:p>
    <w:p w14:paraId="2D23F8AD" w14:textId="697ACCC7" w:rsidR="00170319" w:rsidRPr="00591F6E" w:rsidRDefault="00170319" w:rsidP="00170319">
      <w:pPr>
        <w:pStyle w:val="Stile1"/>
        <w:jc w:val="both"/>
        <w:rPr>
          <w:szCs w:val="20"/>
          <w:lang w:val="en-GB"/>
        </w:rPr>
      </w:pPr>
      <w:r w:rsidRPr="00591F6E">
        <w:rPr>
          <w:szCs w:val="20"/>
          <w:lang w:val="en-GB"/>
        </w:rPr>
        <w:t xml:space="preserve">Schleussner, C.-F., Donges, J.F., Donner, R.V., Schellnhuber, H.J., 2016. Armed-conflict risks enhanced by climate-related disasters in ethnically fractionalized countries. Proc Natl Acad Sci USA 113, 9216–9221. </w:t>
      </w:r>
      <w:hyperlink r:id="rId115" w:history="1">
        <w:r w:rsidRPr="00591F6E">
          <w:rPr>
            <w:rFonts w:eastAsiaTheme="majorEastAsia"/>
            <w:lang w:val="en-GB"/>
          </w:rPr>
          <w:t>https://doi.org/10.1073/pnas.1601611113</w:t>
        </w:r>
      </w:hyperlink>
    </w:p>
    <w:p w14:paraId="2A45F55D" w14:textId="147817B0" w:rsidR="00572CBC" w:rsidRPr="006241DC" w:rsidRDefault="00572CBC" w:rsidP="00572CBC">
      <w:pPr>
        <w:pStyle w:val="Stile1"/>
        <w:jc w:val="both"/>
        <w:rPr>
          <w:szCs w:val="20"/>
          <w:lang w:val="it-IT"/>
        </w:rPr>
      </w:pPr>
      <w:r w:rsidRPr="00591F6E">
        <w:rPr>
          <w:szCs w:val="20"/>
          <w:lang w:val="en-GB"/>
        </w:rPr>
        <w:t xml:space="preserve">Schilling, J., Scheffran, J., Link, P.M., 2010. Climate Change and Land Use Conflicts in Northern Africa. </w:t>
      </w:r>
      <w:r w:rsidRPr="006241DC">
        <w:rPr>
          <w:szCs w:val="20"/>
          <w:lang w:val="it-IT"/>
        </w:rPr>
        <w:t>Nova Acta Leopoldina 112, 173–182. Nova Acta Leopoldina 112, 173–182.</w:t>
      </w:r>
    </w:p>
    <w:p w14:paraId="7A1A365A" w14:textId="77777777" w:rsidR="00234C70" w:rsidRPr="00591F6E" w:rsidRDefault="00234C70" w:rsidP="00234C70">
      <w:pPr>
        <w:pStyle w:val="Stile1"/>
        <w:rPr>
          <w:szCs w:val="20"/>
          <w:lang w:val="en-GB"/>
        </w:rPr>
      </w:pPr>
      <w:r w:rsidRPr="006241DC">
        <w:rPr>
          <w:szCs w:val="20"/>
          <w:lang w:val="it-IT"/>
        </w:rPr>
        <w:t xml:space="preserve">Schwartz, B.P., Randall, D., 2003. </w:t>
      </w:r>
      <w:r w:rsidRPr="00591F6E">
        <w:rPr>
          <w:szCs w:val="20"/>
          <w:lang w:val="en-GB"/>
        </w:rPr>
        <w:t>An Abrupt Climate Change Scenario and Its Implications for United States National Security.</w:t>
      </w:r>
    </w:p>
    <w:p w14:paraId="58E2A7DB" w14:textId="77777777" w:rsidR="00572CBC" w:rsidRPr="00591F6E" w:rsidRDefault="00572CBC" w:rsidP="00572CBC">
      <w:pPr>
        <w:pStyle w:val="Stile1"/>
        <w:jc w:val="both"/>
        <w:rPr>
          <w:szCs w:val="20"/>
          <w:lang w:val="en-GB"/>
        </w:rPr>
      </w:pPr>
      <w:r w:rsidRPr="00591F6E">
        <w:rPr>
          <w:szCs w:val="20"/>
          <w:lang w:val="en-GB"/>
        </w:rPr>
        <w:t xml:space="preserve">Selby, J., Hoffmann, C., 2014. Beyond scarcity: Rethinking water, climate change and conflict in the Sudans. Global Environmental Change 29, 360–370. </w:t>
      </w:r>
      <w:hyperlink r:id="rId116" w:history="1">
        <w:r w:rsidRPr="00591F6E">
          <w:rPr>
            <w:rStyle w:val="Collegamentoipertestuale"/>
            <w:color w:val="auto"/>
            <w:szCs w:val="20"/>
            <w:u w:val="none"/>
            <w:lang w:val="en-GB"/>
          </w:rPr>
          <w:t>https://doi.org/10.1016/j.gloenvcha.2014.01.008</w:t>
        </w:r>
      </w:hyperlink>
    </w:p>
    <w:p w14:paraId="0A4E69CF" w14:textId="77777777" w:rsidR="00572CBC" w:rsidRPr="00591F6E" w:rsidRDefault="00572CBC" w:rsidP="00572CBC">
      <w:pPr>
        <w:pStyle w:val="Stile1"/>
        <w:jc w:val="both"/>
        <w:rPr>
          <w:szCs w:val="20"/>
          <w:lang w:val="en-GB"/>
        </w:rPr>
      </w:pPr>
      <w:r w:rsidRPr="00591F6E">
        <w:rPr>
          <w:szCs w:val="20"/>
          <w:lang w:val="en-GB"/>
        </w:rPr>
        <w:t xml:space="preserve">Stanley, T.D., Doucouliagos, H., 2017. Neither fixed nor random: weighted least squares meta-regression: Weighted Least Squares Meta-Regression Analysis. Research Synthesis Methods 8, 19–42. </w:t>
      </w:r>
      <w:hyperlink r:id="rId117" w:history="1">
        <w:r w:rsidRPr="00591F6E">
          <w:rPr>
            <w:rStyle w:val="Collegamentoipertestuale"/>
            <w:color w:val="auto"/>
            <w:szCs w:val="20"/>
            <w:u w:val="none"/>
            <w:lang w:val="en-GB"/>
          </w:rPr>
          <w:t>https://doi.org/10.1002/jrsm.1211</w:t>
        </w:r>
      </w:hyperlink>
    </w:p>
    <w:p w14:paraId="7D3DD73A" w14:textId="77777777" w:rsidR="00572CBC" w:rsidRPr="00591F6E" w:rsidRDefault="00572CBC" w:rsidP="00572CBC">
      <w:pPr>
        <w:pStyle w:val="Stile1"/>
        <w:jc w:val="both"/>
        <w:rPr>
          <w:szCs w:val="20"/>
          <w:lang w:val="en-GB"/>
        </w:rPr>
      </w:pPr>
      <w:r w:rsidRPr="00591F6E">
        <w:rPr>
          <w:szCs w:val="20"/>
          <w:lang w:val="en-GB"/>
        </w:rPr>
        <w:t>Stanley, T.D., Doucouliagos, H., 2012. Meta-regression analysis in economics and business. Routledge, New York.</w:t>
      </w:r>
    </w:p>
    <w:p w14:paraId="4876D2A4" w14:textId="77777777" w:rsidR="00572CBC" w:rsidRPr="00591F6E" w:rsidRDefault="00572CBC" w:rsidP="00572CBC">
      <w:pPr>
        <w:pStyle w:val="Stile1"/>
        <w:jc w:val="both"/>
        <w:rPr>
          <w:szCs w:val="20"/>
          <w:lang w:val="en-GB"/>
        </w:rPr>
      </w:pPr>
      <w:r w:rsidRPr="00591F6E">
        <w:rPr>
          <w:szCs w:val="20"/>
          <w:lang w:val="en-GB"/>
        </w:rPr>
        <w:t xml:space="preserve">Sterling, T.D., Rosenbaum, W.L., Weinkam, J.J., 1995. Publication Decisions Revisited: The Effect of the Outcome of Statistical Tests on the Decision to Publish and Vice Versa. The American Statistician 49, 108–112. </w:t>
      </w:r>
      <w:hyperlink r:id="rId118" w:history="1">
        <w:r w:rsidRPr="00591F6E">
          <w:rPr>
            <w:rStyle w:val="Collegamentoipertestuale"/>
            <w:color w:val="auto"/>
            <w:szCs w:val="20"/>
            <w:u w:val="none"/>
            <w:lang w:val="en-GB"/>
          </w:rPr>
          <w:t>https://doi.org/10.1080/00031305.1995.10476125</w:t>
        </w:r>
      </w:hyperlink>
    </w:p>
    <w:p w14:paraId="117BC01D" w14:textId="77777777" w:rsidR="00572CBC" w:rsidRPr="00591F6E" w:rsidRDefault="00572CBC" w:rsidP="00572CBC">
      <w:pPr>
        <w:pStyle w:val="Stile1"/>
        <w:jc w:val="both"/>
        <w:rPr>
          <w:szCs w:val="20"/>
          <w:lang w:val="en-GB"/>
        </w:rPr>
      </w:pPr>
      <w:r w:rsidRPr="00591F6E">
        <w:rPr>
          <w:szCs w:val="20"/>
          <w:lang w:val="en-GB"/>
        </w:rPr>
        <w:t>Sundberg, R., Melander, E., 2013. Introducing the UCDP Georeferenced Event Dataset. Journal of Peace Research 50, 523–532.</w:t>
      </w:r>
    </w:p>
    <w:p w14:paraId="5385C68A" w14:textId="77777777" w:rsidR="00572CBC" w:rsidRPr="00591F6E" w:rsidRDefault="00572CBC" w:rsidP="00572CBC">
      <w:pPr>
        <w:pStyle w:val="Stile1"/>
        <w:jc w:val="both"/>
        <w:rPr>
          <w:szCs w:val="20"/>
          <w:lang w:val="en-GB"/>
        </w:rPr>
      </w:pPr>
      <w:r w:rsidRPr="00591F6E">
        <w:rPr>
          <w:szCs w:val="20"/>
          <w:lang w:val="en-GB"/>
        </w:rPr>
        <w:lastRenderedPageBreak/>
        <w:t xml:space="preserve">Theisen, O.M., 2012. Climate clashes? Weather variability, land pressure, and organized violence in Kenya, 1989–2004. Journal of Peace Research 49, 81–96. </w:t>
      </w:r>
      <w:hyperlink r:id="rId119" w:history="1">
        <w:r w:rsidRPr="00591F6E">
          <w:rPr>
            <w:rStyle w:val="Collegamentoipertestuale"/>
            <w:color w:val="auto"/>
            <w:szCs w:val="20"/>
            <w:u w:val="none"/>
            <w:lang w:val="en-GB"/>
          </w:rPr>
          <w:t>https://doi.org/10.1177/0022343311425842</w:t>
        </w:r>
      </w:hyperlink>
    </w:p>
    <w:p w14:paraId="4E1E8A34" w14:textId="77777777" w:rsidR="00572CBC" w:rsidRPr="00591F6E" w:rsidRDefault="00572CBC" w:rsidP="00572CBC">
      <w:pPr>
        <w:pStyle w:val="Stile1"/>
        <w:jc w:val="both"/>
        <w:rPr>
          <w:szCs w:val="20"/>
          <w:lang w:val="en-GB"/>
        </w:rPr>
      </w:pPr>
      <w:r w:rsidRPr="00591F6E">
        <w:rPr>
          <w:szCs w:val="20"/>
          <w:lang w:val="en-GB"/>
        </w:rPr>
        <w:t xml:space="preserve">Van Leeuwen, M., Van Der Haar, G., 2016. Theorizing the Land–Violent Conflict Nexus. World Development 78, 94–104. </w:t>
      </w:r>
      <w:hyperlink r:id="rId120" w:history="1">
        <w:r w:rsidRPr="00591F6E">
          <w:rPr>
            <w:rStyle w:val="Collegamentoipertestuale"/>
            <w:color w:val="auto"/>
            <w:szCs w:val="20"/>
            <w:u w:val="none"/>
            <w:lang w:val="en-GB"/>
          </w:rPr>
          <w:t>https://doi.org/10.1016/j.worlddev.2015.10.011</w:t>
        </w:r>
      </w:hyperlink>
    </w:p>
    <w:p w14:paraId="04A8C037" w14:textId="77777777" w:rsidR="00572CBC" w:rsidRPr="00591F6E" w:rsidRDefault="00572CBC" w:rsidP="00572CBC">
      <w:pPr>
        <w:pStyle w:val="Stile1"/>
        <w:jc w:val="both"/>
        <w:rPr>
          <w:szCs w:val="20"/>
          <w:lang w:val="en-GB"/>
        </w:rPr>
      </w:pPr>
      <w:r w:rsidRPr="00591F6E">
        <w:rPr>
          <w:szCs w:val="20"/>
          <w:lang w:val="en-GB"/>
        </w:rPr>
        <w:t>Van Vuuren, D., 2015. Integrated assessment: Back to the Future. Inaugural lecture at Utrecht University’s Faculty of Geosciences.</w:t>
      </w:r>
    </w:p>
    <w:p w14:paraId="58E2B0DB" w14:textId="7EEB4657" w:rsidR="00572CBC" w:rsidRPr="00591F6E" w:rsidRDefault="00572CBC" w:rsidP="00572CBC">
      <w:pPr>
        <w:pStyle w:val="Stile1"/>
        <w:jc w:val="both"/>
        <w:rPr>
          <w:lang w:val="en-GB"/>
        </w:rPr>
      </w:pPr>
      <w:r w:rsidRPr="00591F6E">
        <w:rPr>
          <w:szCs w:val="20"/>
          <w:lang w:val="en-GB"/>
        </w:rPr>
        <w:t xml:space="preserve">Von Uexkull, N., Croicu, M., Fjelde, H., Buhaug, H., 2016. Civil conflict sensitivity to growing-season drought. Proceedings of the National Academy of Sciences 113, 12391–12396. </w:t>
      </w:r>
      <w:hyperlink r:id="rId121" w:history="1">
        <w:r w:rsidRPr="00591F6E">
          <w:rPr>
            <w:lang w:val="en-GB"/>
          </w:rPr>
          <w:t>https://doi.org/10.1073/pnas.1607542113</w:t>
        </w:r>
      </w:hyperlink>
    </w:p>
    <w:p w14:paraId="58DAE42D" w14:textId="77777777" w:rsidR="009F5C55" w:rsidRPr="00591F6E" w:rsidRDefault="009F5C55" w:rsidP="009F5C55">
      <w:pPr>
        <w:pStyle w:val="Stile1"/>
        <w:jc w:val="both"/>
        <w:rPr>
          <w:szCs w:val="20"/>
          <w:lang w:val="en-GB"/>
        </w:rPr>
      </w:pPr>
      <w:r w:rsidRPr="00591F6E">
        <w:rPr>
          <w:szCs w:val="20"/>
          <w:lang w:val="en-GB"/>
        </w:rPr>
        <w:t xml:space="preserve">Von Uexkull, N., 2014. Sustained drought, vulnerability and civil conflict in Sub-Saharan Africa. Political Geography 43, 16–26. </w:t>
      </w:r>
      <w:hyperlink r:id="rId122" w:history="1">
        <w:r w:rsidRPr="00591F6E">
          <w:rPr>
            <w:rFonts w:eastAsiaTheme="majorEastAsia"/>
            <w:lang w:val="en-GB"/>
          </w:rPr>
          <w:t>https://doi.org/10.1016/j.polgeo.2014.10.003</w:t>
        </w:r>
      </w:hyperlink>
    </w:p>
    <w:p w14:paraId="0BA7A837" w14:textId="77777777" w:rsidR="00572CBC" w:rsidRPr="00591F6E" w:rsidRDefault="00572CBC" w:rsidP="00572CBC">
      <w:pPr>
        <w:pStyle w:val="Stile1"/>
        <w:jc w:val="both"/>
        <w:rPr>
          <w:szCs w:val="20"/>
          <w:lang w:val="en-GB"/>
        </w:rPr>
      </w:pPr>
      <w:r w:rsidRPr="00591F6E">
        <w:rPr>
          <w:szCs w:val="20"/>
          <w:lang w:val="en-GB"/>
        </w:rPr>
        <w:t>Warnecke, A., Tänzler, D., Vollmer, R., 2010. Climate Change, Migration and Conflict: Receiving Communities under Pressure? The German Marshall Fund of the United States., Berlin/Washington DC.</w:t>
      </w:r>
    </w:p>
    <w:p w14:paraId="39ECF39D" w14:textId="77777777" w:rsidR="00572CBC" w:rsidRPr="00591F6E" w:rsidRDefault="00572CBC" w:rsidP="00572CBC">
      <w:pPr>
        <w:pStyle w:val="Stile1"/>
        <w:jc w:val="both"/>
        <w:rPr>
          <w:szCs w:val="20"/>
          <w:lang w:val="en-GB"/>
        </w:rPr>
      </w:pPr>
      <w:r w:rsidRPr="00591F6E">
        <w:rPr>
          <w:szCs w:val="20"/>
          <w:lang w:val="en-GB"/>
        </w:rPr>
        <w:t>Welsch, H., 2008. Resource abundance and internal armed conflict: Types of natural resources and the incidence of “new wars.” Ecological Economics 67, 503–513.</w:t>
      </w:r>
    </w:p>
    <w:p w14:paraId="524A9943" w14:textId="77777777" w:rsidR="00572CBC" w:rsidRPr="00591F6E" w:rsidRDefault="00572CBC" w:rsidP="00572CBC">
      <w:pPr>
        <w:pStyle w:val="Stile1"/>
        <w:jc w:val="both"/>
        <w:rPr>
          <w:szCs w:val="20"/>
          <w:lang w:val="en-GB"/>
        </w:rPr>
      </w:pPr>
      <w:r w:rsidRPr="00591F6E">
        <w:rPr>
          <w:szCs w:val="20"/>
          <w:lang w:val="en-GB"/>
        </w:rPr>
        <w:t xml:space="preserve">Witsenburg, K.M., Adano, W.R., 2009. Of Rain and Raids: Violent Livestock Raiding in Northern Kenya. Civil Wars 11, 514–538. </w:t>
      </w:r>
      <w:hyperlink r:id="rId123" w:history="1">
        <w:r w:rsidRPr="00591F6E">
          <w:rPr>
            <w:rStyle w:val="Collegamentoipertestuale"/>
            <w:color w:val="auto"/>
            <w:szCs w:val="20"/>
            <w:u w:val="none"/>
            <w:lang w:val="en-GB"/>
          </w:rPr>
          <w:t>https://doi.org/10.1080/13698240903403915</w:t>
        </w:r>
      </w:hyperlink>
    </w:p>
    <w:p w14:paraId="12E68745" w14:textId="77777777" w:rsidR="00572CBC" w:rsidRPr="00591F6E" w:rsidRDefault="00572CBC" w:rsidP="00572CBC">
      <w:pPr>
        <w:pStyle w:val="Stile1"/>
        <w:jc w:val="both"/>
        <w:rPr>
          <w:szCs w:val="20"/>
          <w:lang w:val="en-GB"/>
        </w:rPr>
      </w:pPr>
      <w:r w:rsidRPr="00591F6E">
        <w:rPr>
          <w:szCs w:val="20"/>
          <w:lang w:val="en-GB"/>
        </w:rPr>
        <w:t xml:space="preserve">Wolf, A.T., Yoffe, S.B., Giordano, M., 2003. International waters: identifying basins at risk. Water Policy 5, 29–60. </w:t>
      </w:r>
      <w:hyperlink r:id="rId124" w:history="1">
        <w:r w:rsidRPr="00591F6E">
          <w:rPr>
            <w:rStyle w:val="Collegamentoipertestuale"/>
            <w:color w:val="auto"/>
            <w:szCs w:val="20"/>
            <w:u w:val="none"/>
            <w:lang w:val="en-GB"/>
          </w:rPr>
          <w:t>https://doi.org/10.2166/wp.2003.0002</w:t>
        </w:r>
      </w:hyperlink>
    </w:p>
    <w:p w14:paraId="33989129" w14:textId="77777777" w:rsidR="00572CBC" w:rsidRPr="00591F6E" w:rsidRDefault="00572CBC" w:rsidP="00561CE6">
      <w:pPr>
        <w:pStyle w:val="Stile1"/>
        <w:jc w:val="both"/>
        <w:rPr>
          <w:b/>
          <w:szCs w:val="20"/>
          <w:lang w:val="en-GB"/>
        </w:rPr>
      </w:pPr>
    </w:p>
    <w:sectPr w:rsidR="00572CBC" w:rsidRPr="00591F6E" w:rsidSect="007A3AD5">
      <w:pgSz w:w="11906" w:h="16838"/>
      <w:pgMar w:top="1440" w:right="1440" w:bottom="1440" w:left="1440" w:header="708" w:footer="708" w:gutter="0"/>
      <w:lnNumType w:countBy="1" w:restart="newSection"/>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DFE66B" w14:textId="77777777" w:rsidR="002E1851" w:rsidRDefault="002E1851" w:rsidP="00666AE5">
      <w:r>
        <w:separator/>
      </w:r>
    </w:p>
  </w:endnote>
  <w:endnote w:type="continuationSeparator" w:id="0">
    <w:p w14:paraId="6F6F4965" w14:textId="77777777" w:rsidR="002E1851" w:rsidRDefault="002E1851" w:rsidP="00666A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16"/>
      </w:rPr>
      <w:id w:val="1301340505"/>
      <w:docPartObj>
        <w:docPartGallery w:val="Page Numbers (Bottom of Page)"/>
        <w:docPartUnique/>
      </w:docPartObj>
    </w:sdtPr>
    <w:sdtContent>
      <w:p w14:paraId="21EDE03F" w14:textId="1FFB7A6E" w:rsidR="006241DC" w:rsidRPr="00BF18AA" w:rsidRDefault="006241DC">
        <w:pPr>
          <w:pStyle w:val="Pidipagina"/>
          <w:jc w:val="center"/>
          <w:rPr>
            <w:sz w:val="16"/>
            <w:szCs w:val="16"/>
          </w:rPr>
        </w:pPr>
        <w:r w:rsidRPr="00BF18AA">
          <w:rPr>
            <w:sz w:val="16"/>
            <w:szCs w:val="16"/>
          </w:rPr>
          <w:fldChar w:fldCharType="begin"/>
        </w:r>
        <w:r w:rsidRPr="00BF18AA">
          <w:rPr>
            <w:sz w:val="16"/>
            <w:szCs w:val="16"/>
          </w:rPr>
          <w:instrText>PAGE   \* MERGEFORMAT</w:instrText>
        </w:r>
        <w:r w:rsidRPr="00BF18AA">
          <w:rPr>
            <w:sz w:val="16"/>
            <w:szCs w:val="16"/>
          </w:rPr>
          <w:fldChar w:fldCharType="separate"/>
        </w:r>
        <w:r w:rsidR="009C489D" w:rsidRPr="009C489D">
          <w:rPr>
            <w:noProof/>
            <w:sz w:val="16"/>
            <w:szCs w:val="16"/>
            <w:lang w:val="it-IT"/>
          </w:rPr>
          <w:t>34</w:t>
        </w:r>
        <w:r w:rsidRPr="00BF18AA">
          <w:rPr>
            <w:sz w:val="16"/>
            <w:szCs w:val="16"/>
          </w:rPr>
          <w:fldChar w:fldCharType="end"/>
        </w:r>
      </w:p>
    </w:sdtContent>
  </w:sdt>
  <w:p w14:paraId="186FD864" w14:textId="77777777" w:rsidR="006241DC" w:rsidRPr="00BF18AA" w:rsidRDefault="006241DC" w:rsidP="00212512">
    <w:pPr>
      <w:pStyle w:val="Intestazione"/>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D9B90E" w14:textId="77777777" w:rsidR="002E1851" w:rsidRDefault="002E1851" w:rsidP="00666AE5">
      <w:r>
        <w:separator/>
      </w:r>
    </w:p>
  </w:footnote>
  <w:footnote w:type="continuationSeparator" w:id="0">
    <w:p w14:paraId="6D5D16F4" w14:textId="77777777" w:rsidR="002E1851" w:rsidRDefault="002E1851" w:rsidP="00666AE5">
      <w:r>
        <w:continuationSeparator/>
      </w:r>
    </w:p>
  </w:footnote>
  <w:footnote w:id="1">
    <w:p w14:paraId="383F8589" w14:textId="775E4C44" w:rsidR="006241DC" w:rsidRPr="00584A32" w:rsidRDefault="006241DC">
      <w:pPr>
        <w:pStyle w:val="Testonotaapidipagina"/>
        <w:rPr>
          <w:sz w:val="16"/>
          <w:szCs w:val="16"/>
          <w:lang w:val="en-US"/>
        </w:rPr>
      </w:pPr>
      <w:r w:rsidRPr="00833367">
        <w:rPr>
          <w:rStyle w:val="Rimandonotaapidipagina"/>
          <w:sz w:val="16"/>
          <w:szCs w:val="16"/>
        </w:rPr>
        <w:footnoteRef/>
      </w:r>
      <w:r w:rsidRPr="00584A32">
        <w:rPr>
          <w:sz w:val="16"/>
          <w:szCs w:val="16"/>
          <w:lang w:val="en-US"/>
        </w:rPr>
        <w:t xml:space="preserve"> Conflict onset represents the baseline value or the reference value to which the other conflict specifications are compared to. </w:t>
      </w:r>
    </w:p>
  </w:footnote>
  <w:footnote w:id="2">
    <w:p w14:paraId="4FECD08F" w14:textId="77777777" w:rsidR="006241DC" w:rsidRPr="00584A32" w:rsidRDefault="006241DC" w:rsidP="00666AE5">
      <w:pPr>
        <w:pStyle w:val="Testonotaapidipagina"/>
        <w:rPr>
          <w:sz w:val="16"/>
          <w:szCs w:val="16"/>
          <w:lang w:val="en-US"/>
        </w:rPr>
      </w:pPr>
      <w:r w:rsidRPr="00833367">
        <w:rPr>
          <w:rStyle w:val="Rimandonotaapidipagina"/>
          <w:sz w:val="16"/>
          <w:szCs w:val="16"/>
        </w:rPr>
        <w:footnoteRef/>
      </w:r>
      <w:r w:rsidRPr="00584A32">
        <w:rPr>
          <w:sz w:val="16"/>
          <w:szCs w:val="16"/>
          <w:lang w:val="en-US"/>
        </w:rPr>
        <w:t xml:space="preserve"> Specifically, we included a dummy variable coded as one if studies adopt a global sample and otherwise zero. We explored the possibility of including further proxies of generalisability as regressors (e.g. regional/cross-national sample, studies limited to African countries) but, due to lack of sufficient variation and multicollinearity issues, we could not compute the coefficients for these extra variables.</w:t>
      </w:r>
    </w:p>
  </w:footnote>
  <w:footnote w:id="3">
    <w:p w14:paraId="7803CAED" w14:textId="659FD6D3" w:rsidR="006241DC" w:rsidRPr="00833367" w:rsidRDefault="006241DC">
      <w:pPr>
        <w:pStyle w:val="Testonotaapidipagina"/>
        <w:rPr>
          <w:sz w:val="16"/>
          <w:szCs w:val="16"/>
          <w:lang w:val="en-US"/>
        </w:rPr>
      </w:pPr>
      <w:r w:rsidRPr="00833367">
        <w:rPr>
          <w:rStyle w:val="Rimandonotaapidipagina"/>
          <w:sz w:val="16"/>
          <w:szCs w:val="16"/>
        </w:rPr>
        <w:footnoteRef/>
      </w:r>
      <w:r w:rsidRPr="00584A32">
        <w:rPr>
          <w:sz w:val="16"/>
          <w:szCs w:val="16"/>
          <w:lang w:val="en-US"/>
        </w:rPr>
        <w:t xml:space="preserve"> This may also be due to multicollinearity: when other covariates are introduced in the study’s design (column 3, Table 5) the effect of climate points toward the opposite direction.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AEDCA356"/>
    <w:lvl w:ilvl="0">
      <w:start w:val="1"/>
      <w:numFmt w:val="decimal"/>
      <w:lvlText w:val="%1."/>
      <w:lvlJc w:val="left"/>
      <w:pPr>
        <w:tabs>
          <w:tab w:val="num" w:pos="1492"/>
        </w:tabs>
        <w:ind w:left="1492" w:hanging="360"/>
      </w:pPr>
    </w:lvl>
  </w:abstractNum>
  <w:abstractNum w:abstractNumId="1">
    <w:nsid w:val="FFFFFF7D"/>
    <w:multiLevelType w:val="singleLevel"/>
    <w:tmpl w:val="90802300"/>
    <w:lvl w:ilvl="0">
      <w:start w:val="1"/>
      <w:numFmt w:val="decimal"/>
      <w:lvlText w:val="%1."/>
      <w:lvlJc w:val="left"/>
      <w:pPr>
        <w:tabs>
          <w:tab w:val="num" w:pos="1209"/>
        </w:tabs>
        <w:ind w:left="1209" w:hanging="360"/>
      </w:pPr>
    </w:lvl>
  </w:abstractNum>
  <w:abstractNum w:abstractNumId="2">
    <w:nsid w:val="FFFFFF7E"/>
    <w:multiLevelType w:val="singleLevel"/>
    <w:tmpl w:val="9208A8AE"/>
    <w:lvl w:ilvl="0">
      <w:start w:val="1"/>
      <w:numFmt w:val="decimal"/>
      <w:lvlText w:val="%1."/>
      <w:lvlJc w:val="left"/>
      <w:pPr>
        <w:tabs>
          <w:tab w:val="num" w:pos="926"/>
        </w:tabs>
        <w:ind w:left="926" w:hanging="360"/>
      </w:pPr>
    </w:lvl>
  </w:abstractNum>
  <w:abstractNum w:abstractNumId="3">
    <w:nsid w:val="FFFFFF7F"/>
    <w:multiLevelType w:val="singleLevel"/>
    <w:tmpl w:val="C2D62938"/>
    <w:lvl w:ilvl="0">
      <w:start w:val="1"/>
      <w:numFmt w:val="decimal"/>
      <w:lvlText w:val="%1."/>
      <w:lvlJc w:val="left"/>
      <w:pPr>
        <w:tabs>
          <w:tab w:val="num" w:pos="643"/>
        </w:tabs>
        <w:ind w:left="643" w:hanging="360"/>
      </w:pPr>
    </w:lvl>
  </w:abstractNum>
  <w:abstractNum w:abstractNumId="4">
    <w:nsid w:val="FFFFFF80"/>
    <w:multiLevelType w:val="singleLevel"/>
    <w:tmpl w:val="7FE4D51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E6EDBF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CB69A1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964700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ECC8C10"/>
    <w:lvl w:ilvl="0">
      <w:start w:val="1"/>
      <w:numFmt w:val="decimal"/>
      <w:lvlText w:val="%1."/>
      <w:lvlJc w:val="left"/>
      <w:pPr>
        <w:tabs>
          <w:tab w:val="num" w:pos="360"/>
        </w:tabs>
        <w:ind w:left="360" w:hanging="360"/>
      </w:pPr>
    </w:lvl>
  </w:abstractNum>
  <w:abstractNum w:abstractNumId="9">
    <w:nsid w:val="FFFFFF89"/>
    <w:multiLevelType w:val="singleLevel"/>
    <w:tmpl w:val="8758C69A"/>
    <w:lvl w:ilvl="0">
      <w:start w:val="1"/>
      <w:numFmt w:val="bullet"/>
      <w:lvlText w:val=""/>
      <w:lvlJc w:val="left"/>
      <w:pPr>
        <w:tabs>
          <w:tab w:val="num" w:pos="360"/>
        </w:tabs>
        <w:ind w:left="360" w:hanging="360"/>
      </w:pPr>
      <w:rPr>
        <w:rFonts w:ascii="Symbol" w:hAnsi="Symbol" w:hint="default"/>
      </w:rPr>
    </w:lvl>
  </w:abstractNum>
  <w:abstractNum w:abstractNumId="10">
    <w:nsid w:val="06D536B0"/>
    <w:multiLevelType w:val="hybridMultilevel"/>
    <w:tmpl w:val="7AFED932"/>
    <w:lvl w:ilvl="0" w:tplc="0410000F">
      <w:start w:val="1"/>
      <w:numFmt w:val="decimal"/>
      <w:lvlText w:val="%1."/>
      <w:lvlJc w:val="left"/>
      <w:pPr>
        <w:ind w:left="1429" w:hanging="360"/>
      </w:pPr>
      <w:rPr>
        <w:rFonts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11">
    <w:nsid w:val="0D940C25"/>
    <w:multiLevelType w:val="hybridMultilevel"/>
    <w:tmpl w:val="39389E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0DE121FC"/>
    <w:multiLevelType w:val="multilevel"/>
    <w:tmpl w:val="FA924728"/>
    <w:lvl w:ilvl="0">
      <w:start w:val="1"/>
      <w:numFmt w:val="decimal"/>
      <w:lvlText w:val="%1."/>
      <w:lvlJc w:val="left"/>
      <w:pPr>
        <w:ind w:left="644" w:hanging="360"/>
      </w:pPr>
      <w:rPr>
        <w:rFonts w:hint="default"/>
        <w:i/>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nsid w:val="0F806249"/>
    <w:multiLevelType w:val="hybridMultilevel"/>
    <w:tmpl w:val="6C3E0186"/>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14F94F14"/>
    <w:multiLevelType w:val="hybridMultilevel"/>
    <w:tmpl w:val="007C010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2E18094A"/>
    <w:multiLevelType w:val="hybridMultilevel"/>
    <w:tmpl w:val="02EA3770"/>
    <w:lvl w:ilvl="0" w:tplc="0809000F">
      <w:start w:val="1"/>
      <w:numFmt w:val="decimal"/>
      <w:lvlText w:val="%1."/>
      <w:lvlJc w:val="left"/>
      <w:pPr>
        <w:ind w:left="240" w:hanging="360"/>
      </w:pPr>
    </w:lvl>
    <w:lvl w:ilvl="1" w:tplc="08090019" w:tentative="1">
      <w:start w:val="1"/>
      <w:numFmt w:val="lowerLetter"/>
      <w:lvlText w:val="%2."/>
      <w:lvlJc w:val="left"/>
      <w:pPr>
        <w:ind w:left="960" w:hanging="360"/>
      </w:pPr>
    </w:lvl>
    <w:lvl w:ilvl="2" w:tplc="0809001B" w:tentative="1">
      <w:start w:val="1"/>
      <w:numFmt w:val="lowerRoman"/>
      <w:lvlText w:val="%3."/>
      <w:lvlJc w:val="right"/>
      <w:pPr>
        <w:ind w:left="1680" w:hanging="180"/>
      </w:pPr>
    </w:lvl>
    <w:lvl w:ilvl="3" w:tplc="0809000F" w:tentative="1">
      <w:start w:val="1"/>
      <w:numFmt w:val="decimal"/>
      <w:lvlText w:val="%4."/>
      <w:lvlJc w:val="left"/>
      <w:pPr>
        <w:ind w:left="2400" w:hanging="360"/>
      </w:pPr>
    </w:lvl>
    <w:lvl w:ilvl="4" w:tplc="08090019" w:tentative="1">
      <w:start w:val="1"/>
      <w:numFmt w:val="lowerLetter"/>
      <w:lvlText w:val="%5."/>
      <w:lvlJc w:val="left"/>
      <w:pPr>
        <w:ind w:left="3120" w:hanging="360"/>
      </w:pPr>
    </w:lvl>
    <w:lvl w:ilvl="5" w:tplc="0809001B" w:tentative="1">
      <w:start w:val="1"/>
      <w:numFmt w:val="lowerRoman"/>
      <w:lvlText w:val="%6."/>
      <w:lvlJc w:val="right"/>
      <w:pPr>
        <w:ind w:left="3840" w:hanging="180"/>
      </w:pPr>
    </w:lvl>
    <w:lvl w:ilvl="6" w:tplc="0809000F" w:tentative="1">
      <w:start w:val="1"/>
      <w:numFmt w:val="decimal"/>
      <w:lvlText w:val="%7."/>
      <w:lvlJc w:val="left"/>
      <w:pPr>
        <w:ind w:left="4560" w:hanging="360"/>
      </w:pPr>
    </w:lvl>
    <w:lvl w:ilvl="7" w:tplc="08090019" w:tentative="1">
      <w:start w:val="1"/>
      <w:numFmt w:val="lowerLetter"/>
      <w:lvlText w:val="%8."/>
      <w:lvlJc w:val="left"/>
      <w:pPr>
        <w:ind w:left="5280" w:hanging="360"/>
      </w:pPr>
    </w:lvl>
    <w:lvl w:ilvl="8" w:tplc="0809001B" w:tentative="1">
      <w:start w:val="1"/>
      <w:numFmt w:val="lowerRoman"/>
      <w:lvlText w:val="%9."/>
      <w:lvlJc w:val="right"/>
      <w:pPr>
        <w:ind w:left="6000" w:hanging="180"/>
      </w:pPr>
    </w:lvl>
  </w:abstractNum>
  <w:abstractNum w:abstractNumId="16">
    <w:nsid w:val="2E1B08EF"/>
    <w:multiLevelType w:val="hybridMultilevel"/>
    <w:tmpl w:val="C944DB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36895B96"/>
    <w:multiLevelType w:val="hybridMultilevel"/>
    <w:tmpl w:val="8C9CB1FA"/>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18">
    <w:nsid w:val="3B4C0111"/>
    <w:multiLevelType w:val="hybridMultilevel"/>
    <w:tmpl w:val="0BC61D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3CF24F84"/>
    <w:multiLevelType w:val="hybridMultilevel"/>
    <w:tmpl w:val="72AEE4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3E9D5847"/>
    <w:multiLevelType w:val="hybridMultilevel"/>
    <w:tmpl w:val="D0A612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447919BC"/>
    <w:multiLevelType w:val="hybridMultilevel"/>
    <w:tmpl w:val="14428A4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6C997017"/>
    <w:multiLevelType w:val="hybridMultilevel"/>
    <w:tmpl w:val="DE6462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72277FD9"/>
    <w:multiLevelType w:val="hybridMultilevel"/>
    <w:tmpl w:val="E3EEC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7C2D0C71"/>
    <w:multiLevelType w:val="hybridMultilevel"/>
    <w:tmpl w:val="4484CB80"/>
    <w:lvl w:ilvl="0" w:tplc="82FA2C02">
      <w:start w:val="1"/>
      <w:numFmt w:val="decimal"/>
      <w:lvlText w:val="%1."/>
      <w:lvlJc w:val="left"/>
      <w:pPr>
        <w:ind w:left="720" w:hanging="360"/>
      </w:pPr>
      <w:rPr>
        <w:rFonts w:ascii="Times New Roman" w:hAnsi="Times New Roman" w:cs="Times New Roman" w:hint="default"/>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7E6F439C"/>
    <w:multiLevelType w:val="hybridMultilevel"/>
    <w:tmpl w:val="D7AA15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7EEE4A5D"/>
    <w:multiLevelType w:val="multilevel"/>
    <w:tmpl w:val="BD2A8BC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23"/>
  </w:num>
  <w:num w:numId="2">
    <w:abstractNumId w:val="12"/>
  </w:num>
  <w:num w:numId="3">
    <w:abstractNumId w:val="13"/>
  </w:num>
  <w:num w:numId="4">
    <w:abstractNumId w:val="8"/>
  </w:num>
  <w:num w:numId="5">
    <w:abstractNumId w:val="3"/>
  </w:num>
  <w:num w:numId="6">
    <w:abstractNumId w:val="2"/>
  </w:num>
  <w:num w:numId="7">
    <w:abstractNumId w:val="1"/>
  </w:num>
  <w:num w:numId="8">
    <w:abstractNumId w:val="0"/>
  </w:num>
  <w:num w:numId="9">
    <w:abstractNumId w:val="9"/>
  </w:num>
  <w:num w:numId="10">
    <w:abstractNumId w:val="7"/>
  </w:num>
  <w:num w:numId="11">
    <w:abstractNumId w:val="6"/>
  </w:num>
  <w:num w:numId="12">
    <w:abstractNumId w:val="5"/>
  </w:num>
  <w:num w:numId="13">
    <w:abstractNumId w:val="4"/>
  </w:num>
  <w:num w:numId="14">
    <w:abstractNumId w:val="21"/>
  </w:num>
  <w:num w:numId="15">
    <w:abstractNumId w:val="19"/>
  </w:num>
  <w:num w:numId="16">
    <w:abstractNumId w:val="20"/>
  </w:num>
  <w:num w:numId="17">
    <w:abstractNumId w:val="22"/>
  </w:num>
  <w:num w:numId="18">
    <w:abstractNumId w:val="24"/>
  </w:num>
  <w:num w:numId="19">
    <w:abstractNumId w:val="15"/>
  </w:num>
  <w:num w:numId="20">
    <w:abstractNumId w:val="25"/>
  </w:num>
  <w:num w:numId="21">
    <w:abstractNumId w:val="16"/>
  </w:num>
  <w:num w:numId="22">
    <w:abstractNumId w:val="11"/>
  </w:num>
  <w:num w:numId="23">
    <w:abstractNumId w:val="18"/>
  </w:num>
  <w:num w:numId="24">
    <w:abstractNumId w:val="17"/>
  </w:num>
  <w:num w:numId="25">
    <w:abstractNumId w:val="10"/>
  </w:num>
  <w:num w:numId="26">
    <w:abstractNumId w:val="14"/>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activeWritingStyle w:appName="MSWord" w:lang="it-IT" w:vendorID="64" w:dllVersion="131078" w:nlCheck="1" w:checkStyle="0"/>
  <w:activeWritingStyle w:appName="MSWord" w:lang="en-GB" w:vendorID="64" w:dllVersion="131078" w:nlCheck="1" w:checkStyle="1"/>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AE5"/>
    <w:rsid w:val="0000659F"/>
    <w:rsid w:val="00007180"/>
    <w:rsid w:val="00023B28"/>
    <w:rsid w:val="00023F0D"/>
    <w:rsid w:val="00026855"/>
    <w:rsid w:val="00031A39"/>
    <w:rsid w:val="000341F0"/>
    <w:rsid w:val="00034332"/>
    <w:rsid w:val="000361EC"/>
    <w:rsid w:val="0004004A"/>
    <w:rsid w:val="00041D74"/>
    <w:rsid w:val="00042A36"/>
    <w:rsid w:val="0004645C"/>
    <w:rsid w:val="00047511"/>
    <w:rsid w:val="00051FE7"/>
    <w:rsid w:val="0006261C"/>
    <w:rsid w:val="00064E6C"/>
    <w:rsid w:val="00071A41"/>
    <w:rsid w:val="000750D4"/>
    <w:rsid w:val="00084714"/>
    <w:rsid w:val="000858F7"/>
    <w:rsid w:val="0008688B"/>
    <w:rsid w:val="000A3192"/>
    <w:rsid w:val="000A69B7"/>
    <w:rsid w:val="000B119A"/>
    <w:rsid w:val="000C31C3"/>
    <w:rsid w:val="000C604A"/>
    <w:rsid w:val="000C7614"/>
    <w:rsid w:val="000D06D3"/>
    <w:rsid w:val="000D0D79"/>
    <w:rsid w:val="000D7FEF"/>
    <w:rsid w:val="000E34FD"/>
    <w:rsid w:val="000E59D9"/>
    <w:rsid w:val="000F6766"/>
    <w:rsid w:val="00104C0E"/>
    <w:rsid w:val="001152B8"/>
    <w:rsid w:val="00117E24"/>
    <w:rsid w:val="00123C53"/>
    <w:rsid w:val="00126A2A"/>
    <w:rsid w:val="00132F29"/>
    <w:rsid w:val="00135361"/>
    <w:rsid w:val="001370FC"/>
    <w:rsid w:val="00140503"/>
    <w:rsid w:val="00140A6B"/>
    <w:rsid w:val="00161E7F"/>
    <w:rsid w:val="00170319"/>
    <w:rsid w:val="001735D8"/>
    <w:rsid w:val="00176F21"/>
    <w:rsid w:val="00177895"/>
    <w:rsid w:val="00181A53"/>
    <w:rsid w:val="00183D33"/>
    <w:rsid w:val="00194E08"/>
    <w:rsid w:val="001953F6"/>
    <w:rsid w:val="001A0BEB"/>
    <w:rsid w:val="001A38B6"/>
    <w:rsid w:val="001C18B1"/>
    <w:rsid w:val="001D20A9"/>
    <w:rsid w:val="001D32DC"/>
    <w:rsid w:val="001E3708"/>
    <w:rsid w:val="001F26E0"/>
    <w:rsid w:val="001F3C0F"/>
    <w:rsid w:val="001F5505"/>
    <w:rsid w:val="0020068C"/>
    <w:rsid w:val="00201382"/>
    <w:rsid w:val="00201991"/>
    <w:rsid w:val="00204793"/>
    <w:rsid w:val="00205B76"/>
    <w:rsid w:val="002076A3"/>
    <w:rsid w:val="00212512"/>
    <w:rsid w:val="00214731"/>
    <w:rsid w:val="002163FE"/>
    <w:rsid w:val="002243CB"/>
    <w:rsid w:val="002330E0"/>
    <w:rsid w:val="00234C70"/>
    <w:rsid w:val="00236143"/>
    <w:rsid w:val="002425E3"/>
    <w:rsid w:val="00254F18"/>
    <w:rsid w:val="002570B0"/>
    <w:rsid w:val="0025766A"/>
    <w:rsid w:val="00257E70"/>
    <w:rsid w:val="002637C9"/>
    <w:rsid w:val="00264C57"/>
    <w:rsid w:val="00264F3A"/>
    <w:rsid w:val="00267812"/>
    <w:rsid w:val="00271643"/>
    <w:rsid w:val="00276AB3"/>
    <w:rsid w:val="00281AEB"/>
    <w:rsid w:val="00282039"/>
    <w:rsid w:val="0028235D"/>
    <w:rsid w:val="00283D15"/>
    <w:rsid w:val="0029356B"/>
    <w:rsid w:val="00296D82"/>
    <w:rsid w:val="002971A6"/>
    <w:rsid w:val="0029755D"/>
    <w:rsid w:val="00297B49"/>
    <w:rsid w:val="002A4B62"/>
    <w:rsid w:val="002A5B27"/>
    <w:rsid w:val="002B1DD9"/>
    <w:rsid w:val="002B2597"/>
    <w:rsid w:val="002B5948"/>
    <w:rsid w:val="002C7232"/>
    <w:rsid w:val="002D5587"/>
    <w:rsid w:val="002E1851"/>
    <w:rsid w:val="002F3428"/>
    <w:rsid w:val="002F3535"/>
    <w:rsid w:val="002F636D"/>
    <w:rsid w:val="003029C1"/>
    <w:rsid w:val="0032156C"/>
    <w:rsid w:val="003322DA"/>
    <w:rsid w:val="003342B2"/>
    <w:rsid w:val="00335E5B"/>
    <w:rsid w:val="00341031"/>
    <w:rsid w:val="00341032"/>
    <w:rsid w:val="00341CF9"/>
    <w:rsid w:val="003439B3"/>
    <w:rsid w:val="00356BAC"/>
    <w:rsid w:val="0035709B"/>
    <w:rsid w:val="0036160A"/>
    <w:rsid w:val="003655CE"/>
    <w:rsid w:val="00365818"/>
    <w:rsid w:val="00370D64"/>
    <w:rsid w:val="00376309"/>
    <w:rsid w:val="0037737D"/>
    <w:rsid w:val="00382ABE"/>
    <w:rsid w:val="00382CF6"/>
    <w:rsid w:val="00383760"/>
    <w:rsid w:val="00384589"/>
    <w:rsid w:val="00385209"/>
    <w:rsid w:val="003877A4"/>
    <w:rsid w:val="003900A1"/>
    <w:rsid w:val="00391FE0"/>
    <w:rsid w:val="00396AC7"/>
    <w:rsid w:val="003A137F"/>
    <w:rsid w:val="003A15EB"/>
    <w:rsid w:val="003A53F0"/>
    <w:rsid w:val="003A677C"/>
    <w:rsid w:val="003B2011"/>
    <w:rsid w:val="003C3583"/>
    <w:rsid w:val="003C626E"/>
    <w:rsid w:val="003C654C"/>
    <w:rsid w:val="003D0372"/>
    <w:rsid w:val="003D35EB"/>
    <w:rsid w:val="003D6082"/>
    <w:rsid w:val="003E5A4F"/>
    <w:rsid w:val="003E774C"/>
    <w:rsid w:val="003E7E1A"/>
    <w:rsid w:val="00401FA9"/>
    <w:rsid w:val="00402FDF"/>
    <w:rsid w:val="0040496A"/>
    <w:rsid w:val="004054B8"/>
    <w:rsid w:val="00412F23"/>
    <w:rsid w:val="00413204"/>
    <w:rsid w:val="004137B0"/>
    <w:rsid w:val="00413F92"/>
    <w:rsid w:val="00414A9A"/>
    <w:rsid w:val="004155BC"/>
    <w:rsid w:val="00417F80"/>
    <w:rsid w:val="0042269F"/>
    <w:rsid w:val="00422A79"/>
    <w:rsid w:val="00424C63"/>
    <w:rsid w:val="0044007F"/>
    <w:rsid w:val="00444EAB"/>
    <w:rsid w:val="00445005"/>
    <w:rsid w:val="00450072"/>
    <w:rsid w:val="004536B0"/>
    <w:rsid w:val="004627EB"/>
    <w:rsid w:val="00463368"/>
    <w:rsid w:val="00464D91"/>
    <w:rsid w:val="004655E3"/>
    <w:rsid w:val="004815B0"/>
    <w:rsid w:val="00482E45"/>
    <w:rsid w:val="00483B1C"/>
    <w:rsid w:val="00492553"/>
    <w:rsid w:val="004A0893"/>
    <w:rsid w:val="004A48E8"/>
    <w:rsid w:val="004A4F31"/>
    <w:rsid w:val="004A7B61"/>
    <w:rsid w:val="004A7B7B"/>
    <w:rsid w:val="004B2A9A"/>
    <w:rsid w:val="004B4606"/>
    <w:rsid w:val="004C2991"/>
    <w:rsid w:val="004D09BD"/>
    <w:rsid w:val="004D3A4B"/>
    <w:rsid w:val="004D3F0A"/>
    <w:rsid w:val="004D676F"/>
    <w:rsid w:val="004E1F3A"/>
    <w:rsid w:val="004E3BA8"/>
    <w:rsid w:val="004F0B76"/>
    <w:rsid w:val="004F0ECB"/>
    <w:rsid w:val="004F17E7"/>
    <w:rsid w:val="004F1C6E"/>
    <w:rsid w:val="004F21B5"/>
    <w:rsid w:val="004F6145"/>
    <w:rsid w:val="00517184"/>
    <w:rsid w:val="00523399"/>
    <w:rsid w:val="00531A94"/>
    <w:rsid w:val="005331D3"/>
    <w:rsid w:val="00546F04"/>
    <w:rsid w:val="005476D7"/>
    <w:rsid w:val="005507A5"/>
    <w:rsid w:val="00555232"/>
    <w:rsid w:val="00561969"/>
    <w:rsid w:val="00561CE6"/>
    <w:rsid w:val="00572CBC"/>
    <w:rsid w:val="00583F37"/>
    <w:rsid w:val="00584A32"/>
    <w:rsid w:val="00587580"/>
    <w:rsid w:val="00591212"/>
    <w:rsid w:val="00591F6E"/>
    <w:rsid w:val="005A0881"/>
    <w:rsid w:val="005B54A4"/>
    <w:rsid w:val="005C470B"/>
    <w:rsid w:val="005D0366"/>
    <w:rsid w:val="005D7156"/>
    <w:rsid w:val="005D71E2"/>
    <w:rsid w:val="005E2F9D"/>
    <w:rsid w:val="005E4708"/>
    <w:rsid w:val="005E537D"/>
    <w:rsid w:val="005F0241"/>
    <w:rsid w:val="00603AB5"/>
    <w:rsid w:val="00605E8E"/>
    <w:rsid w:val="00606EA9"/>
    <w:rsid w:val="006108D4"/>
    <w:rsid w:val="00613CE3"/>
    <w:rsid w:val="0061768E"/>
    <w:rsid w:val="006209EF"/>
    <w:rsid w:val="006241DC"/>
    <w:rsid w:val="00645399"/>
    <w:rsid w:val="006545A4"/>
    <w:rsid w:val="00654887"/>
    <w:rsid w:val="00654A97"/>
    <w:rsid w:val="00662264"/>
    <w:rsid w:val="00666AE5"/>
    <w:rsid w:val="00667518"/>
    <w:rsid w:val="00670FFC"/>
    <w:rsid w:val="006750F4"/>
    <w:rsid w:val="00675604"/>
    <w:rsid w:val="00675BAE"/>
    <w:rsid w:val="00677697"/>
    <w:rsid w:val="00680158"/>
    <w:rsid w:val="00683DF2"/>
    <w:rsid w:val="0069584E"/>
    <w:rsid w:val="00697374"/>
    <w:rsid w:val="00697BD6"/>
    <w:rsid w:val="006B0D28"/>
    <w:rsid w:val="006B505C"/>
    <w:rsid w:val="006B67A4"/>
    <w:rsid w:val="006C51D3"/>
    <w:rsid w:val="006D2BEF"/>
    <w:rsid w:val="006D38D7"/>
    <w:rsid w:val="006E3A47"/>
    <w:rsid w:val="006E5A65"/>
    <w:rsid w:val="006E69AE"/>
    <w:rsid w:val="006E6A15"/>
    <w:rsid w:val="00700071"/>
    <w:rsid w:val="00702E2B"/>
    <w:rsid w:val="0070521F"/>
    <w:rsid w:val="0072773E"/>
    <w:rsid w:val="007363E9"/>
    <w:rsid w:val="007370AA"/>
    <w:rsid w:val="00745164"/>
    <w:rsid w:val="00757778"/>
    <w:rsid w:val="00764A1C"/>
    <w:rsid w:val="00766328"/>
    <w:rsid w:val="00772AD4"/>
    <w:rsid w:val="00774127"/>
    <w:rsid w:val="00777A39"/>
    <w:rsid w:val="00777EC5"/>
    <w:rsid w:val="007827EA"/>
    <w:rsid w:val="00784D11"/>
    <w:rsid w:val="00786174"/>
    <w:rsid w:val="00786852"/>
    <w:rsid w:val="00786C70"/>
    <w:rsid w:val="00795720"/>
    <w:rsid w:val="00796C16"/>
    <w:rsid w:val="007A0B93"/>
    <w:rsid w:val="007A3AD5"/>
    <w:rsid w:val="007C6E79"/>
    <w:rsid w:val="007E3AC8"/>
    <w:rsid w:val="007E5CDA"/>
    <w:rsid w:val="007F126C"/>
    <w:rsid w:val="007F1AB4"/>
    <w:rsid w:val="00800155"/>
    <w:rsid w:val="008016D4"/>
    <w:rsid w:val="008071FE"/>
    <w:rsid w:val="008124CC"/>
    <w:rsid w:val="008172D7"/>
    <w:rsid w:val="00821F55"/>
    <w:rsid w:val="00833367"/>
    <w:rsid w:val="008339F1"/>
    <w:rsid w:val="008417FB"/>
    <w:rsid w:val="00842303"/>
    <w:rsid w:val="0084258F"/>
    <w:rsid w:val="00842DD8"/>
    <w:rsid w:val="00844D73"/>
    <w:rsid w:val="008459CD"/>
    <w:rsid w:val="008516DF"/>
    <w:rsid w:val="00853089"/>
    <w:rsid w:val="008531CD"/>
    <w:rsid w:val="00866287"/>
    <w:rsid w:val="00870C63"/>
    <w:rsid w:val="008711D7"/>
    <w:rsid w:val="00876C4C"/>
    <w:rsid w:val="00882889"/>
    <w:rsid w:val="00885BB3"/>
    <w:rsid w:val="00887B4A"/>
    <w:rsid w:val="00895E5C"/>
    <w:rsid w:val="008A3F31"/>
    <w:rsid w:val="008B57A2"/>
    <w:rsid w:val="008B6169"/>
    <w:rsid w:val="008D4EC9"/>
    <w:rsid w:val="008E703F"/>
    <w:rsid w:val="008E7482"/>
    <w:rsid w:val="008F25EF"/>
    <w:rsid w:val="008F3D22"/>
    <w:rsid w:val="008F51FD"/>
    <w:rsid w:val="00900B5A"/>
    <w:rsid w:val="00916421"/>
    <w:rsid w:val="00932BE3"/>
    <w:rsid w:val="00934C15"/>
    <w:rsid w:val="00942BA3"/>
    <w:rsid w:val="0094526B"/>
    <w:rsid w:val="00947B19"/>
    <w:rsid w:val="00950FE2"/>
    <w:rsid w:val="00957E17"/>
    <w:rsid w:val="00960162"/>
    <w:rsid w:val="009706C5"/>
    <w:rsid w:val="00970E4A"/>
    <w:rsid w:val="0097131B"/>
    <w:rsid w:val="009727AC"/>
    <w:rsid w:val="00972806"/>
    <w:rsid w:val="009806FD"/>
    <w:rsid w:val="009835CF"/>
    <w:rsid w:val="009850A9"/>
    <w:rsid w:val="00985921"/>
    <w:rsid w:val="0099173A"/>
    <w:rsid w:val="00993565"/>
    <w:rsid w:val="00993A6D"/>
    <w:rsid w:val="009C1D95"/>
    <w:rsid w:val="009C489D"/>
    <w:rsid w:val="009D446A"/>
    <w:rsid w:val="009D6D7A"/>
    <w:rsid w:val="009D6E46"/>
    <w:rsid w:val="009E07CC"/>
    <w:rsid w:val="009F027D"/>
    <w:rsid w:val="009F1A75"/>
    <w:rsid w:val="009F5C55"/>
    <w:rsid w:val="00A035D7"/>
    <w:rsid w:val="00A048C8"/>
    <w:rsid w:val="00A13D6C"/>
    <w:rsid w:val="00A16801"/>
    <w:rsid w:val="00A22656"/>
    <w:rsid w:val="00A23793"/>
    <w:rsid w:val="00A32374"/>
    <w:rsid w:val="00A34BE7"/>
    <w:rsid w:val="00A410CB"/>
    <w:rsid w:val="00A51E64"/>
    <w:rsid w:val="00A54CEA"/>
    <w:rsid w:val="00A633B2"/>
    <w:rsid w:val="00A80762"/>
    <w:rsid w:val="00A8466C"/>
    <w:rsid w:val="00A879D1"/>
    <w:rsid w:val="00AA0671"/>
    <w:rsid w:val="00AA1B03"/>
    <w:rsid w:val="00AA20E6"/>
    <w:rsid w:val="00AA6C68"/>
    <w:rsid w:val="00AB1AA4"/>
    <w:rsid w:val="00AB2F48"/>
    <w:rsid w:val="00AB374D"/>
    <w:rsid w:val="00AB6632"/>
    <w:rsid w:val="00AB663B"/>
    <w:rsid w:val="00AB7EF1"/>
    <w:rsid w:val="00AC6DDB"/>
    <w:rsid w:val="00AC7669"/>
    <w:rsid w:val="00AD144D"/>
    <w:rsid w:val="00AE1134"/>
    <w:rsid w:val="00AE5373"/>
    <w:rsid w:val="00AE5AED"/>
    <w:rsid w:val="00AF6923"/>
    <w:rsid w:val="00B016B0"/>
    <w:rsid w:val="00B143CA"/>
    <w:rsid w:val="00B2410E"/>
    <w:rsid w:val="00B333FC"/>
    <w:rsid w:val="00B35C33"/>
    <w:rsid w:val="00B36680"/>
    <w:rsid w:val="00B46BCC"/>
    <w:rsid w:val="00B50920"/>
    <w:rsid w:val="00B540F8"/>
    <w:rsid w:val="00B62EBA"/>
    <w:rsid w:val="00B63643"/>
    <w:rsid w:val="00B66734"/>
    <w:rsid w:val="00B76058"/>
    <w:rsid w:val="00B76E14"/>
    <w:rsid w:val="00B81893"/>
    <w:rsid w:val="00B82656"/>
    <w:rsid w:val="00B92F24"/>
    <w:rsid w:val="00B9597C"/>
    <w:rsid w:val="00BA16E8"/>
    <w:rsid w:val="00BA35CF"/>
    <w:rsid w:val="00BA59F2"/>
    <w:rsid w:val="00BB47A3"/>
    <w:rsid w:val="00BB6C95"/>
    <w:rsid w:val="00BC0FC8"/>
    <w:rsid w:val="00BD4932"/>
    <w:rsid w:val="00BE5C39"/>
    <w:rsid w:val="00BE621A"/>
    <w:rsid w:val="00BF18AA"/>
    <w:rsid w:val="00BF5D7F"/>
    <w:rsid w:val="00C010D7"/>
    <w:rsid w:val="00C02AF0"/>
    <w:rsid w:val="00C04400"/>
    <w:rsid w:val="00C05F08"/>
    <w:rsid w:val="00C116FF"/>
    <w:rsid w:val="00C11C19"/>
    <w:rsid w:val="00C171A6"/>
    <w:rsid w:val="00C2238F"/>
    <w:rsid w:val="00C22ADD"/>
    <w:rsid w:val="00C35E22"/>
    <w:rsid w:val="00C3663B"/>
    <w:rsid w:val="00C452F4"/>
    <w:rsid w:val="00C45571"/>
    <w:rsid w:val="00C45729"/>
    <w:rsid w:val="00C4759C"/>
    <w:rsid w:val="00C51C61"/>
    <w:rsid w:val="00C523DB"/>
    <w:rsid w:val="00C641F7"/>
    <w:rsid w:val="00C66149"/>
    <w:rsid w:val="00C74D5F"/>
    <w:rsid w:val="00C80728"/>
    <w:rsid w:val="00C85657"/>
    <w:rsid w:val="00C93B02"/>
    <w:rsid w:val="00C96F3B"/>
    <w:rsid w:val="00CA3CE3"/>
    <w:rsid w:val="00CA5B4B"/>
    <w:rsid w:val="00CA64ED"/>
    <w:rsid w:val="00CB050D"/>
    <w:rsid w:val="00CB07B8"/>
    <w:rsid w:val="00CB3888"/>
    <w:rsid w:val="00CB687D"/>
    <w:rsid w:val="00CC049B"/>
    <w:rsid w:val="00CC52A0"/>
    <w:rsid w:val="00CC5440"/>
    <w:rsid w:val="00CE18A8"/>
    <w:rsid w:val="00CE699C"/>
    <w:rsid w:val="00CF1217"/>
    <w:rsid w:val="00CF1E6E"/>
    <w:rsid w:val="00CF3342"/>
    <w:rsid w:val="00CF3C32"/>
    <w:rsid w:val="00CF6F7F"/>
    <w:rsid w:val="00D06B0E"/>
    <w:rsid w:val="00D06E43"/>
    <w:rsid w:val="00D07762"/>
    <w:rsid w:val="00D1004C"/>
    <w:rsid w:val="00D108A6"/>
    <w:rsid w:val="00D1520A"/>
    <w:rsid w:val="00D16257"/>
    <w:rsid w:val="00D17D86"/>
    <w:rsid w:val="00D24BD4"/>
    <w:rsid w:val="00D261E9"/>
    <w:rsid w:val="00D3134A"/>
    <w:rsid w:val="00D356D8"/>
    <w:rsid w:val="00D505AF"/>
    <w:rsid w:val="00D62846"/>
    <w:rsid w:val="00D63144"/>
    <w:rsid w:val="00D67AD8"/>
    <w:rsid w:val="00D80C64"/>
    <w:rsid w:val="00D838BE"/>
    <w:rsid w:val="00D83B0D"/>
    <w:rsid w:val="00D9769E"/>
    <w:rsid w:val="00DA1366"/>
    <w:rsid w:val="00DA5693"/>
    <w:rsid w:val="00DB1084"/>
    <w:rsid w:val="00DB2FAD"/>
    <w:rsid w:val="00DC259A"/>
    <w:rsid w:val="00DC4444"/>
    <w:rsid w:val="00DD2531"/>
    <w:rsid w:val="00DD2B3E"/>
    <w:rsid w:val="00DD7CC6"/>
    <w:rsid w:val="00DE1E54"/>
    <w:rsid w:val="00DE2F1A"/>
    <w:rsid w:val="00DE64BF"/>
    <w:rsid w:val="00DE66F6"/>
    <w:rsid w:val="00DF15AE"/>
    <w:rsid w:val="00DF6401"/>
    <w:rsid w:val="00DF72F4"/>
    <w:rsid w:val="00E00E34"/>
    <w:rsid w:val="00E037B6"/>
    <w:rsid w:val="00E047FA"/>
    <w:rsid w:val="00E06077"/>
    <w:rsid w:val="00E078CB"/>
    <w:rsid w:val="00E101F7"/>
    <w:rsid w:val="00E11480"/>
    <w:rsid w:val="00E1352F"/>
    <w:rsid w:val="00E165F0"/>
    <w:rsid w:val="00E209E8"/>
    <w:rsid w:val="00E357E1"/>
    <w:rsid w:val="00E36584"/>
    <w:rsid w:val="00E515DF"/>
    <w:rsid w:val="00E61BCE"/>
    <w:rsid w:val="00E61BFF"/>
    <w:rsid w:val="00E80692"/>
    <w:rsid w:val="00E94F0C"/>
    <w:rsid w:val="00EA1392"/>
    <w:rsid w:val="00EA6F5F"/>
    <w:rsid w:val="00EA7E1F"/>
    <w:rsid w:val="00EC138F"/>
    <w:rsid w:val="00EC67B5"/>
    <w:rsid w:val="00ED1EB0"/>
    <w:rsid w:val="00ED5C06"/>
    <w:rsid w:val="00EE0542"/>
    <w:rsid w:val="00EE389F"/>
    <w:rsid w:val="00EE3F34"/>
    <w:rsid w:val="00EE79E2"/>
    <w:rsid w:val="00EF073F"/>
    <w:rsid w:val="00EF2F13"/>
    <w:rsid w:val="00EF3D19"/>
    <w:rsid w:val="00F019E1"/>
    <w:rsid w:val="00F0794D"/>
    <w:rsid w:val="00F10D2E"/>
    <w:rsid w:val="00F21AA6"/>
    <w:rsid w:val="00F23FC9"/>
    <w:rsid w:val="00F250A1"/>
    <w:rsid w:val="00F25407"/>
    <w:rsid w:val="00F34418"/>
    <w:rsid w:val="00F34615"/>
    <w:rsid w:val="00F358DF"/>
    <w:rsid w:val="00F418A9"/>
    <w:rsid w:val="00F467BF"/>
    <w:rsid w:val="00F5086C"/>
    <w:rsid w:val="00F62A23"/>
    <w:rsid w:val="00F6717A"/>
    <w:rsid w:val="00F74FDE"/>
    <w:rsid w:val="00F83993"/>
    <w:rsid w:val="00F93AA6"/>
    <w:rsid w:val="00FA384F"/>
    <w:rsid w:val="00FB154B"/>
    <w:rsid w:val="00FB5A7C"/>
    <w:rsid w:val="00FC5FE8"/>
    <w:rsid w:val="00FC6AD2"/>
    <w:rsid w:val="00FD1F04"/>
    <w:rsid w:val="00FD2FE4"/>
    <w:rsid w:val="00FD3AF2"/>
    <w:rsid w:val="00FD5792"/>
    <w:rsid w:val="00FD5A9D"/>
    <w:rsid w:val="00FD6776"/>
    <w:rsid w:val="00FD6C02"/>
    <w:rsid w:val="00FE3336"/>
    <w:rsid w:val="00FE3555"/>
    <w:rsid w:val="00FE58BA"/>
    <w:rsid w:val="00FF45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7D2B8"/>
  <w15:chartTrackingRefBased/>
  <w15:docId w15:val="{7CF6F79C-7445-174B-B9AC-B39A3F9C9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9769E"/>
    <w:pPr>
      <w:spacing w:after="0" w:line="240" w:lineRule="auto"/>
    </w:pPr>
    <w:rPr>
      <w:rFonts w:ascii="Times New Roman" w:eastAsia="Times New Roman" w:hAnsi="Times New Roman" w:cs="Times New Roman"/>
      <w:sz w:val="24"/>
      <w:szCs w:val="24"/>
      <w:lang w:val="sv-SE" w:eastAsia="en-GB"/>
    </w:rPr>
  </w:style>
  <w:style w:type="paragraph" w:styleId="Titolo1">
    <w:name w:val="heading 1"/>
    <w:basedOn w:val="Normale"/>
    <w:next w:val="Normale"/>
    <w:link w:val="Titolo1Carattere"/>
    <w:uiPriority w:val="9"/>
    <w:qFormat/>
    <w:rsid w:val="00666AE5"/>
    <w:pPr>
      <w:keepNext/>
      <w:keepLines/>
      <w:spacing w:before="240" w:line="432" w:lineRule="auto"/>
      <w:jc w:val="both"/>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666AE5"/>
    <w:pPr>
      <w:keepNext/>
      <w:keepLines/>
      <w:spacing w:before="40" w:line="432" w:lineRule="auto"/>
      <w:jc w:val="both"/>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semiHidden/>
    <w:unhideWhenUsed/>
    <w:qFormat/>
    <w:rsid w:val="00666AE5"/>
    <w:pPr>
      <w:keepNext/>
      <w:keepLines/>
      <w:spacing w:before="40" w:line="432" w:lineRule="auto"/>
      <w:jc w:val="both"/>
      <w:outlineLvl w:val="2"/>
    </w:pPr>
    <w:rPr>
      <w:rFonts w:asciiTheme="majorHAnsi" w:eastAsiaTheme="majorEastAsia" w:hAnsiTheme="majorHAnsi" w:cstheme="majorBidi"/>
      <w:color w:val="1F3763" w:themeColor="accent1" w:themeShade="7F"/>
    </w:rPr>
  </w:style>
  <w:style w:type="paragraph" w:styleId="Titolo4">
    <w:name w:val="heading 4"/>
    <w:basedOn w:val="Normale"/>
    <w:next w:val="Normale"/>
    <w:link w:val="Titolo4Carattere"/>
    <w:uiPriority w:val="9"/>
    <w:semiHidden/>
    <w:unhideWhenUsed/>
    <w:qFormat/>
    <w:rsid w:val="00666AE5"/>
    <w:pPr>
      <w:keepNext/>
      <w:keepLines/>
      <w:spacing w:before="40" w:line="432" w:lineRule="auto"/>
      <w:jc w:val="both"/>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666AE5"/>
    <w:pPr>
      <w:keepNext/>
      <w:keepLines/>
      <w:spacing w:before="40" w:line="432" w:lineRule="auto"/>
      <w:jc w:val="both"/>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666AE5"/>
    <w:pPr>
      <w:keepNext/>
      <w:keepLines/>
      <w:spacing w:before="40" w:line="432" w:lineRule="auto"/>
      <w:jc w:val="both"/>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666AE5"/>
    <w:pPr>
      <w:keepNext/>
      <w:keepLines/>
      <w:spacing w:before="40" w:line="432" w:lineRule="auto"/>
      <w:jc w:val="both"/>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666AE5"/>
    <w:pPr>
      <w:keepNext/>
      <w:keepLines/>
      <w:spacing w:before="40" w:line="432" w:lineRule="auto"/>
      <w:jc w:val="both"/>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666AE5"/>
    <w:pPr>
      <w:keepNext/>
      <w:keepLines/>
      <w:spacing w:before="40" w:line="432" w:lineRule="auto"/>
      <w:jc w:val="both"/>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666AE5"/>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
    <w:uiPriority w:val="9"/>
    <w:semiHidden/>
    <w:rsid w:val="00666AE5"/>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basedOn w:val="Carpredefinitoparagrafo"/>
    <w:link w:val="Titolo3"/>
    <w:uiPriority w:val="9"/>
    <w:semiHidden/>
    <w:rsid w:val="00666AE5"/>
    <w:rPr>
      <w:rFonts w:asciiTheme="majorHAnsi" w:eastAsiaTheme="majorEastAsia" w:hAnsiTheme="majorHAnsi" w:cstheme="majorBidi"/>
      <w:color w:val="1F3763" w:themeColor="accent1" w:themeShade="7F"/>
      <w:sz w:val="24"/>
      <w:szCs w:val="24"/>
    </w:rPr>
  </w:style>
  <w:style w:type="character" w:customStyle="1" w:styleId="Titolo4Carattere">
    <w:name w:val="Titolo 4 Carattere"/>
    <w:basedOn w:val="Carpredefinitoparagrafo"/>
    <w:link w:val="Titolo4"/>
    <w:uiPriority w:val="9"/>
    <w:semiHidden/>
    <w:rsid w:val="00666AE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
    <w:semiHidden/>
    <w:rsid w:val="00666AE5"/>
    <w:rPr>
      <w:rFonts w:asciiTheme="majorHAnsi" w:eastAsiaTheme="majorEastAsia" w:hAnsiTheme="majorHAnsi" w:cstheme="majorBidi"/>
      <w:color w:val="2F5496" w:themeColor="accent1" w:themeShade="BF"/>
    </w:rPr>
  </w:style>
  <w:style w:type="character" w:customStyle="1" w:styleId="Titolo6Carattere">
    <w:name w:val="Titolo 6 Carattere"/>
    <w:basedOn w:val="Carpredefinitoparagrafo"/>
    <w:link w:val="Titolo6"/>
    <w:uiPriority w:val="9"/>
    <w:semiHidden/>
    <w:rsid w:val="00666AE5"/>
    <w:rPr>
      <w:rFonts w:asciiTheme="majorHAnsi" w:eastAsiaTheme="majorEastAsia" w:hAnsiTheme="majorHAnsi" w:cstheme="majorBidi"/>
      <w:color w:val="1F3763" w:themeColor="accent1" w:themeShade="7F"/>
    </w:rPr>
  </w:style>
  <w:style w:type="character" w:customStyle="1" w:styleId="Titolo7Carattere">
    <w:name w:val="Titolo 7 Carattere"/>
    <w:basedOn w:val="Carpredefinitoparagrafo"/>
    <w:link w:val="Titolo7"/>
    <w:uiPriority w:val="9"/>
    <w:semiHidden/>
    <w:rsid w:val="00666AE5"/>
    <w:rPr>
      <w:rFonts w:asciiTheme="majorHAnsi" w:eastAsiaTheme="majorEastAsia" w:hAnsiTheme="majorHAnsi" w:cstheme="majorBidi"/>
      <w:i/>
      <w:iCs/>
      <w:color w:val="1F3763" w:themeColor="accent1" w:themeShade="7F"/>
    </w:rPr>
  </w:style>
  <w:style w:type="character" w:customStyle="1" w:styleId="Titolo8Carattere">
    <w:name w:val="Titolo 8 Carattere"/>
    <w:basedOn w:val="Carpredefinitoparagrafo"/>
    <w:link w:val="Titolo8"/>
    <w:uiPriority w:val="9"/>
    <w:semiHidden/>
    <w:rsid w:val="00666AE5"/>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666AE5"/>
    <w:rPr>
      <w:rFonts w:asciiTheme="majorHAnsi" w:eastAsiaTheme="majorEastAsia" w:hAnsiTheme="majorHAnsi" w:cstheme="majorBidi"/>
      <w:i/>
      <w:iCs/>
      <w:color w:val="272727" w:themeColor="text1" w:themeTint="D8"/>
      <w:sz w:val="21"/>
      <w:szCs w:val="21"/>
    </w:rPr>
  </w:style>
  <w:style w:type="numbering" w:customStyle="1" w:styleId="Nessunelenco1">
    <w:name w:val="Nessun elenco1"/>
    <w:next w:val="Nessunelenco"/>
    <w:uiPriority w:val="99"/>
    <w:semiHidden/>
    <w:unhideWhenUsed/>
    <w:rsid w:val="00666AE5"/>
  </w:style>
  <w:style w:type="paragraph" w:styleId="Testonotaapidipagina">
    <w:name w:val="footnote text"/>
    <w:basedOn w:val="Normale"/>
    <w:link w:val="TestonotaapidipaginaCarattere"/>
    <w:uiPriority w:val="99"/>
    <w:semiHidden/>
    <w:unhideWhenUsed/>
    <w:rsid w:val="00666AE5"/>
    <w:pPr>
      <w:jc w:val="both"/>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666AE5"/>
    <w:rPr>
      <w:sz w:val="20"/>
      <w:szCs w:val="20"/>
    </w:rPr>
  </w:style>
  <w:style w:type="character" w:styleId="Rimandonotaapidipagina">
    <w:name w:val="footnote reference"/>
    <w:basedOn w:val="Carpredefinitoparagrafo"/>
    <w:uiPriority w:val="99"/>
    <w:semiHidden/>
    <w:unhideWhenUsed/>
    <w:rsid w:val="00666AE5"/>
    <w:rPr>
      <w:vertAlign w:val="superscript"/>
    </w:rPr>
  </w:style>
  <w:style w:type="character" w:styleId="Collegamentoipertestuale">
    <w:name w:val="Hyperlink"/>
    <w:basedOn w:val="Carpredefinitoparagrafo"/>
    <w:uiPriority w:val="99"/>
    <w:unhideWhenUsed/>
    <w:rsid w:val="00666AE5"/>
    <w:rPr>
      <w:color w:val="0563C1" w:themeColor="hyperlink"/>
      <w:u w:val="single"/>
    </w:rPr>
  </w:style>
  <w:style w:type="character" w:customStyle="1" w:styleId="Menzionenonrisolta1">
    <w:name w:val="Menzione non risolta1"/>
    <w:basedOn w:val="Carpredefinitoparagrafo"/>
    <w:uiPriority w:val="99"/>
    <w:semiHidden/>
    <w:unhideWhenUsed/>
    <w:rsid w:val="00666AE5"/>
    <w:rPr>
      <w:color w:val="808080"/>
      <w:shd w:val="clear" w:color="auto" w:fill="E6E6E6"/>
    </w:rPr>
  </w:style>
  <w:style w:type="character" w:styleId="Collegamentovisitato">
    <w:name w:val="FollowedHyperlink"/>
    <w:basedOn w:val="Carpredefinitoparagrafo"/>
    <w:uiPriority w:val="99"/>
    <w:semiHidden/>
    <w:unhideWhenUsed/>
    <w:rsid w:val="00666AE5"/>
    <w:rPr>
      <w:color w:val="954F72" w:themeColor="followedHyperlink"/>
      <w:u w:val="single"/>
    </w:rPr>
  </w:style>
  <w:style w:type="paragraph" w:styleId="Didascalia">
    <w:name w:val="caption"/>
    <w:basedOn w:val="Normale"/>
    <w:next w:val="Normale"/>
    <w:uiPriority w:val="35"/>
    <w:semiHidden/>
    <w:unhideWhenUsed/>
    <w:qFormat/>
    <w:rsid w:val="00666AE5"/>
    <w:pPr>
      <w:spacing w:after="200"/>
      <w:jc w:val="both"/>
    </w:pPr>
    <w:rPr>
      <w:i/>
      <w:iCs/>
      <w:color w:val="44546A" w:themeColor="text2"/>
      <w:sz w:val="18"/>
      <w:szCs w:val="18"/>
    </w:rPr>
  </w:style>
  <w:style w:type="paragraph" w:styleId="Titolo">
    <w:name w:val="Title"/>
    <w:basedOn w:val="Normale"/>
    <w:next w:val="Normale"/>
    <w:link w:val="TitoloCarattere"/>
    <w:uiPriority w:val="10"/>
    <w:qFormat/>
    <w:rsid w:val="00666AE5"/>
    <w:pPr>
      <w:contextualSpacing/>
      <w:jc w:val="both"/>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666AE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666AE5"/>
    <w:pPr>
      <w:numPr>
        <w:ilvl w:val="1"/>
      </w:numPr>
      <w:spacing w:line="432" w:lineRule="auto"/>
      <w:jc w:val="both"/>
    </w:pPr>
    <w:rPr>
      <w:rFonts w:eastAsiaTheme="minorEastAsia"/>
      <w:color w:val="5A5A5A" w:themeColor="text1" w:themeTint="A5"/>
      <w:spacing w:val="15"/>
    </w:rPr>
  </w:style>
  <w:style w:type="character" w:customStyle="1" w:styleId="SottotitoloCarattere">
    <w:name w:val="Sottotitolo Carattere"/>
    <w:basedOn w:val="Carpredefinitoparagrafo"/>
    <w:link w:val="Sottotitolo"/>
    <w:uiPriority w:val="11"/>
    <w:rsid w:val="00666AE5"/>
    <w:rPr>
      <w:rFonts w:eastAsiaTheme="minorEastAsia"/>
      <w:color w:val="5A5A5A" w:themeColor="text1" w:themeTint="A5"/>
      <w:spacing w:val="15"/>
    </w:rPr>
  </w:style>
  <w:style w:type="character" w:styleId="Enfasigrassetto">
    <w:name w:val="Strong"/>
    <w:basedOn w:val="Carpredefinitoparagrafo"/>
    <w:uiPriority w:val="22"/>
    <w:qFormat/>
    <w:rsid w:val="00666AE5"/>
    <w:rPr>
      <w:b/>
      <w:bCs/>
    </w:rPr>
  </w:style>
  <w:style w:type="character" w:styleId="Enfasicorsivo">
    <w:name w:val="Emphasis"/>
    <w:basedOn w:val="Carpredefinitoparagrafo"/>
    <w:uiPriority w:val="20"/>
    <w:qFormat/>
    <w:rsid w:val="00666AE5"/>
    <w:rPr>
      <w:i/>
      <w:iCs/>
    </w:rPr>
  </w:style>
  <w:style w:type="paragraph" w:styleId="Nessunaspaziatura">
    <w:name w:val="No Spacing"/>
    <w:uiPriority w:val="1"/>
    <w:qFormat/>
    <w:rsid w:val="00666AE5"/>
    <w:pPr>
      <w:spacing w:after="0" w:line="240" w:lineRule="auto"/>
      <w:jc w:val="both"/>
    </w:pPr>
  </w:style>
  <w:style w:type="paragraph" w:styleId="Citazione">
    <w:name w:val="Quote"/>
    <w:basedOn w:val="Normale"/>
    <w:next w:val="Normale"/>
    <w:link w:val="CitazioneCarattere"/>
    <w:uiPriority w:val="29"/>
    <w:qFormat/>
    <w:rsid w:val="00666AE5"/>
    <w:pPr>
      <w:spacing w:before="200" w:line="432" w:lineRule="auto"/>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666AE5"/>
    <w:rPr>
      <w:i/>
      <w:iCs/>
      <w:color w:val="404040" w:themeColor="text1" w:themeTint="BF"/>
    </w:rPr>
  </w:style>
  <w:style w:type="paragraph" w:styleId="Citazioneintensa">
    <w:name w:val="Intense Quote"/>
    <w:basedOn w:val="Normale"/>
    <w:next w:val="Normale"/>
    <w:link w:val="CitazioneintensaCarattere"/>
    <w:uiPriority w:val="30"/>
    <w:qFormat/>
    <w:rsid w:val="00666AE5"/>
    <w:pPr>
      <w:pBdr>
        <w:top w:val="single" w:sz="4" w:space="10" w:color="4472C4" w:themeColor="accent1"/>
        <w:bottom w:val="single" w:sz="4" w:space="10" w:color="4472C4" w:themeColor="accent1"/>
      </w:pBdr>
      <w:spacing w:before="360" w:after="360" w:line="432" w:lineRule="auto"/>
      <w:ind w:left="864" w:right="864"/>
      <w:jc w:val="center"/>
    </w:pPr>
    <w:rPr>
      <w:i/>
      <w:iCs/>
      <w:color w:val="4472C4" w:themeColor="accent1"/>
    </w:rPr>
  </w:style>
  <w:style w:type="character" w:customStyle="1" w:styleId="CitazioneintensaCarattere">
    <w:name w:val="Citazione intensa Carattere"/>
    <w:basedOn w:val="Carpredefinitoparagrafo"/>
    <w:link w:val="Citazioneintensa"/>
    <w:uiPriority w:val="30"/>
    <w:rsid w:val="00666AE5"/>
    <w:rPr>
      <w:i/>
      <w:iCs/>
      <w:color w:val="4472C4" w:themeColor="accent1"/>
    </w:rPr>
  </w:style>
  <w:style w:type="character" w:styleId="Enfasidelicata">
    <w:name w:val="Subtle Emphasis"/>
    <w:basedOn w:val="Carpredefinitoparagrafo"/>
    <w:uiPriority w:val="19"/>
    <w:qFormat/>
    <w:rsid w:val="00666AE5"/>
    <w:rPr>
      <w:i/>
      <w:iCs/>
      <w:color w:val="404040" w:themeColor="text1" w:themeTint="BF"/>
    </w:rPr>
  </w:style>
  <w:style w:type="character" w:styleId="Enfasiintensa">
    <w:name w:val="Intense Emphasis"/>
    <w:basedOn w:val="Carpredefinitoparagrafo"/>
    <w:uiPriority w:val="21"/>
    <w:qFormat/>
    <w:rsid w:val="00666AE5"/>
    <w:rPr>
      <w:i/>
      <w:iCs/>
      <w:color w:val="4472C4" w:themeColor="accent1"/>
    </w:rPr>
  </w:style>
  <w:style w:type="character" w:styleId="Riferimentodelicato">
    <w:name w:val="Subtle Reference"/>
    <w:basedOn w:val="Carpredefinitoparagrafo"/>
    <w:uiPriority w:val="31"/>
    <w:qFormat/>
    <w:rsid w:val="00666AE5"/>
    <w:rPr>
      <w:smallCaps/>
      <w:color w:val="5A5A5A" w:themeColor="text1" w:themeTint="A5"/>
    </w:rPr>
  </w:style>
  <w:style w:type="character" w:styleId="Riferimentointenso">
    <w:name w:val="Intense Reference"/>
    <w:basedOn w:val="Carpredefinitoparagrafo"/>
    <w:uiPriority w:val="32"/>
    <w:qFormat/>
    <w:rsid w:val="00666AE5"/>
    <w:rPr>
      <w:b/>
      <w:bCs/>
      <w:smallCaps/>
      <w:color w:val="4472C4" w:themeColor="accent1"/>
      <w:spacing w:val="5"/>
    </w:rPr>
  </w:style>
  <w:style w:type="character" w:styleId="Titolodellibro">
    <w:name w:val="Book Title"/>
    <w:basedOn w:val="Carpredefinitoparagrafo"/>
    <w:uiPriority w:val="33"/>
    <w:qFormat/>
    <w:rsid w:val="00666AE5"/>
    <w:rPr>
      <w:b/>
      <w:bCs/>
      <w:i/>
      <w:iCs/>
      <w:spacing w:val="5"/>
    </w:rPr>
  </w:style>
  <w:style w:type="paragraph" w:styleId="Titolosommario">
    <w:name w:val="TOC Heading"/>
    <w:basedOn w:val="Titolo1"/>
    <w:next w:val="Normale"/>
    <w:uiPriority w:val="39"/>
    <w:semiHidden/>
    <w:unhideWhenUsed/>
    <w:qFormat/>
    <w:rsid w:val="00666AE5"/>
    <w:pPr>
      <w:outlineLvl w:val="9"/>
    </w:pPr>
  </w:style>
  <w:style w:type="character" w:styleId="Numeroriga">
    <w:name w:val="line number"/>
    <w:basedOn w:val="Stile1Carattere"/>
    <w:uiPriority w:val="99"/>
    <w:semiHidden/>
    <w:unhideWhenUsed/>
    <w:rsid w:val="00666AE5"/>
    <w:rPr>
      <w:rFonts w:ascii="Times New Roman" w:hAnsi="Times New Roman"/>
      <w:i/>
      <w:sz w:val="16"/>
      <w:lang w:val="en-US"/>
    </w:rPr>
  </w:style>
  <w:style w:type="paragraph" w:styleId="Paragrafoelenco">
    <w:name w:val="List Paragraph"/>
    <w:basedOn w:val="Normale"/>
    <w:uiPriority w:val="34"/>
    <w:qFormat/>
    <w:rsid w:val="00666AE5"/>
    <w:pPr>
      <w:spacing w:line="432" w:lineRule="auto"/>
      <w:ind w:left="720"/>
      <w:contextualSpacing/>
      <w:jc w:val="both"/>
    </w:pPr>
  </w:style>
  <w:style w:type="table" w:customStyle="1" w:styleId="Tabellasemplice-11">
    <w:name w:val="Tabella semplice - 11"/>
    <w:basedOn w:val="Tabellanormale"/>
    <w:next w:val="Tabellasemplice-12"/>
    <w:uiPriority w:val="41"/>
    <w:rsid w:val="00666AE5"/>
    <w:pPr>
      <w:spacing w:after="0" w:line="240" w:lineRule="auto"/>
    </w:p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ellasemplice-12">
    <w:name w:val="Tabella semplice - 12"/>
    <w:basedOn w:val="Tabellanormale"/>
    <w:uiPriority w:val="41"/>
    <w:rsid w:val="00666AE5"/>
    <w:pPr>
      <w:spacing w:after="0" w:line="240" w:lineRule="auto"/>
      <w:jc w:val="both"/>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gliatabella">
    <w:name w:val="Table Grid"/>
    <w:basedOn w:val="Tabellanormale"/>
    <w:uiPriority w:val="39"/>
    <w:rsid w:val="00666AE5"/>
    <w:pPr>
      <w:spacing w:after="0" w:line="24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gliatabella1">
    <w:name w:val="Griglia tabella1"/>
    <w:basedOn w:val="Tabellanormale"/>
    <w:next w:val="Grigliatabella"/>
    <w:uiPriority w:val="39"/>
    <w:rsid w:val="00666AE5"/>
    <w:pPr>
      <w:spacing w:after="0" w:line="240" w:lineRule="auto"/>
    </w:pPr>
    <w:rPr>
      <w:rFonts w:ascii="Century Schoolbook" w:eastAsia="Century Schoolbook" w:hAnsi="Century Schoolbook"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imandocommento">
    <w:name w:val="annotation reference"/>
    <w:basedOn w:val="Carpredefinitoparagrafo"/>
    <w:uiPriority w:val="99"/>
    <w:semiHidden/>
    <w:unhideWhenUsed/>
    <w:rsid w:val="00666AE5"/>
    <w:rPr>
      <w:sz w:val="16"/>
      <w:szCs w:val="16"/>
    </w:rPr>
  </w:style>
  <w:style w:type="paragraph" w:styleId="Testocommento">
    <w:name w:val="annotation text"/>
    <w:basedOn w:val="Normale"/>
    <w:link w:val="TestocommentoCarattere"/>
    <w:uiPriority w:val="99"/>
    <w:semiHidden/>
    <w:unhideWhenUsed/>
    <w:rsid w:val="00666AE5"/>
    <w:pPr>
      <w:jc w:val="both"/>
    </w:pPr>
    <w:rPr>
      <w:sz w:val="20"/>
      <w:szCs w:val="20"/>
    </w:rPr>
  </w:style>
  <w:style w:type="character" w:customStyle="1" w:styleId="TestocommentoCarattere">
    <w:name w:val="Testo commento Carattere"/>
    <w:basedOn w:val="Carpredefinitoparagrafo"/>
    <w:link w:val="Testocommento"/>
    <w:uiPriority w:val="99"/>
    <w:semiHidden/>
    <w:rsid w:val="00666AE5"/>
    <w:rPr>
      <w:sz w:val="20"/>
      <w:szCs w:val="20"/>
    </w:rPr>
  </w:style>
  <w:style w:type="paragraph" w:styleId="Soggettocommento">
    <w:name w:val="annotation subject"/>
    <w:basedOn w:val="Testocommento"/>
    <w:next w:val="Testocommento"/>
    <w:link w:val="SoggettocommentoCarattere"/>
    <w:uiPriority w:val="99"/>
    <w:semiHidden/>
    <w:unhideWhenUsed/>
    <w:rsid w:val="00666AE5"/>
    <w:rPr>
      <w:b/>
      <w:bCs/>
    </w:rPr>
  </w:style>
  <w:style w:type="character" w:customStyle="1" w:styleId="SoggettocommentoCarattere">
    <w:name w:val="Soggetto commento Carattere"/>
    <w:basedOn w:val="TestocommentoCarattere"/>
    <w:link w:val="Soggettocommento"/>
    <w:uiPriority w:val="99"/>
    <w:semiHidden/>
    <w:rsid w:val="00666AE5"/>
    <w:rPr>
      <w:b/>
      <w:bCs/>
      <w:sz w:val="20"/>
      <w:szCs w:val="20"/>
    </w:rPr>
  </w:style>
  <w:style w:type="paragraph" w:styleId="Testofumetto">
    <w:name w:val="Balloon Text"/>
    <w:basedOn w:val="Normale"/>
    <w:link w:val="TestofumettoCarattere"/>
    <w:uiPriority w:val="99"/>
    <w:semiHidden/>
    <w:unhideWhenUsed/>
    <w:rsid w:val="00666AE5"/>
    <w:pPr>
      <w:jc w:val="both"/>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66AE5"/>
    <w:rPr>
      <w:rFonts w:ascii="Tahoma" w:hAnsi="Tahoma" w:cs="Tahoma"/>
      <w:sz w:val="16"/>
      <w:szCs w:val="16"/>
    </w:rPr>
  </w:style>
  <w:style w:type="paragraph" w:styleId="Revisione">
    <w:name w:val="Revision"/>
    <w:hidden/>
    <w:uiPriority w:val="99"/>
    <w:semiHidden/>
    <w:rsid w:val="00666AE5"/>
    <w:pPr>
      <w:spacing w:after="0" w:line="240" w:lineRule="auto"/>
    </w:pPr>
  </w:style>
  <w:style w:type="paragraph" w:styleId="Intestazione">
    <w:name w:val="header"/>
    <w:basedOn w:val="Normale"/>
    <w:link w:val="IntestazioneCarattere"/>
    <w:uiPriority w:val="99"/>
    <w:unhideWhenUsed/>
    <w:rsid w:val="00666AE5"/>
    <w:pPr>
      <w:tabs>
        <w:tab w:val="center" w:pos="4513"/>
        <w:tab w:val="right" w:pos="9026"/>
      </w:tabs>
      <w:jc w:val="both"/>
    </w:pPr>
  </w:style>
  <w:style w:type="character" w:customStyle="1" w:styleId="IntestazioneCarattere">
    <w:name w:val="Intestazione Carattere"/>
    <w:basedOn w:val="Carpredefinitoparagrafo"/>
    <w:link w:val="Intestazione"/>
    <w:uiPriority w:val="99"/>
    <w:rsid w:val="00666AE5"/>
  </w:style>
  <w:style w:type="paragraph" w:styleId="Pidipagina">
    <w:name w:val="footer"/>
    <w:basedOn w:val="Normale"/>
    <w:link w:val="PidipaginaCarattere"/>
    <w:uiPriority w:val="99"/>
    <w:unhideWhenUsed/>
    <w:rsid w:val="00666AE5"/>
    <w:pPr>
      <w:tabs>
        <w:tab w:val="center" w:pos="4513"/>
        <w:tab w:val="right" w:pos="9026"/>
      </w:tabs>
      <w:jc w:val="both"/>
    </w:pPr>
  </w:style>
  <w:style w:type="character" w:customStyle="1" w:styleId="PidipaginaCarattere">
    <w:name w:val="Piè di pagina Carattere"/>
    <w:basedOn w:val="Carpredefinitoparagrafo"/>
    <w:link w:val="Pidipagina"/>
    <w:uiPriority w:val="99"/>
    <w:rsid w:val="00666AE5"/>
  </w:style>
  <w:style w:type="character" w:customStyle="1" w:styleId="Menzionenonrisolta2">
    <w:name w:val="Menzione non risolta2"/>
    <w:basedOn w:val="Carpredefinitoparagrafo"/>
    <w:uiPriority w:val="99"/>
    <w:semiHidden/>
    <w:unhideWhenUsed/>
    <w:rsid w:val="00666AE5"/>
    <w:rPr>
      <w:color w:val="808080"/>
      <w:shd w:val="clear" w:color="auto" w:fill="E6E6E6"/>
    </w:rPr>
  </w:style>
  <w:style w:type="paragraph" w:customStyle="1" w:styleId="Stile1">
    <w:name w:val="Stile1"/>
    <w:basedOn w:val="Normale"/>
    <w:link w:val="Stile1Carattere"/>
    <w:qFormat/>
    <w:rsid w:val="00140503"/>
    <w:pPr>
      <w:spacing w:line="480" w:lineRule="auto"/>
      <w:ind w:firstLine="709"/>
    </w:pPr>
    <w:rPr>
      <w:sz w:val="20"/>
      <w:lang w:val="en-US"/>
    </w:rPr>
  </w:style>
  <w:style w:type="character" w:customStyle="1" w:styleId="Stile1Carattere">
    <w:name w:val="Stile1 Carattere"/>
    <w:basedOn w:val="Carpredefinitoparagrafo"/>
    <w:link w:val="Stile1"/>
    <w:rsid w:val="00140503"/>
    <w:rPr>
      <w:rFonts w:ascii="Times New Roman" w:hAnsi="Times New Roman"/>
      <w:sz w:val="20"/>
      <w:lang w:val="en-US"/>
    </w:rPr>
  </w:style>
  <w:style w:type="character" w:customStyle="1" w:styleId="UnresolvedMention">
    <w:name w:val="Unresolved Mention"/>
    <w:basedOn w:val="Carpredefinitoparagrafo"/>
    <w:uiPriority w:val="99"/>
    <w:semiHidden/>
    <w:unhideWhenUsed/>
    <w:rsid w:val="00666AE5"/>
    <w:rPr>
      <w:color w:val="605E5C"/>
      <w:shd w:val="clear" w:color="auto" w:fill="E1DFDD"/>
    </w:rPr>
  </w:style>
  <w:style w:type="table" w:styleId="Tabellasemplice-2">
    <w:name w:val="Plain Table 2"/>
    <w:basedOn w:val="Tabellanormale"/>
    <w:uiPriority w:val="42"/>
    <w:rsid w:val="00031A3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gliatabellachiara">
    <w:name w:val="Grid Table Light"/>
    <w:basedOn w:val="Tabellanormale"/>
    <w:uiPriority w:val="40"/>
    <w:rsid w:val="00031A39"/>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NormaleWeb">
    <w:name w:val="Normal (Web)"/>
    <w:basedOn w:val="Normale"/>
    <w:uiPriority w:val="99"/>
    <w:unhideWhenUsed/>
    <w:rsid w:val="00BA59F2"/>
    <w:pPr>
      <w:spacing w:before="100" w:beforeAutospacing="1" w:after="100" w:afterAutospacing="1"/>
    </w:pPr>
    <w:rPr>
      <w:lang w:val="it-IT" w:eastAsia="it-IT"/>
    </w:rPr>
  </w:style>
  <w:style w:type="character" w:customStyle="1" w:styleId="mjx-char">
    <w:name w:val="mjx-char"/>
    <w:basedOn w:val="Carpredefinitoparagrafo"/>
    <w:rsid w:val="00BA59F2"/>
  </w:style>
  <w:style w:type="character" w:customStyle="1" w:styleId="mjxassistivemathml">
    <w:name w:val="mjx_assistive_mathml"/>
    <w:basedOn w:val="Carpredefinitoparagrafo"/>
    <w:rsid w:val="00BA59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085035">
      <w:bodyDiv w:val="1"/>
      <w:marLeft w:val="0"/>
      <w:marRight w:val="0"/>
      <w:marTop w:val="0"/>
      <w:marBottom w:val="0"/>
      <w:divBdr>
        <w:top w:val="none" w:sz="0" w:space="0" w:color="auto"/>
        <w:left w:val="none" w:sz="0" w:space="0" w:color="auto"/>
        <w:bottom w:val="none" w:sz="0" w:space="0" w:color="auto"/>
        <w:right w:val="none" w:sz="0" w:space="0" w:color="auto"/>
      </w:divBdr>
    </w:div>
    <w:div w:id="41058236">
      <w:bodyDiv w:val="1"/>
      <w:marLeft w:val="0"/>
      <w:marRight w:val="0"/>
      <w:marTop w:val="0"/>
      <w:marBottom w:val="0"/>
      <w:divBdr>
        <w:top w:val="none" w:sz="0" w:space="0" w:color="auto"/>
        <w:left w:val="none" w:sz="0" w:space="0" w:color="auto"/>
        <w:bottom w:val="none" w:sz="0" w:space="0" w:color="auto"/>
        <w:right w:val="none" w:sz="0" w:space="0" w:color="auto"/>
      </w:divBdr>
      <w:divsChild>
        <w:div w:id="135609365">
          <w:marLeft w:val="480"/>
          <w:marRight w:val="0"/>
          <w:marTop w:val="0"/>
          <w:marBottom w:val="0"/>
          <w:divBdr>
            <w:top w:val="none" w:sz="0" w:space="0" w:color="auto"/>
            <w:left w:val="none" w:sz="0" w:space="0" w:color="auto"/>
            <w:bottom w:val="none" w:sz="0" w:space="0" w:color="auto"/>
            <w:right w:val="none" w:sz="0" w:space="0" w:color="auto"/>
          </w:divBdr>
          <w:divsChild>
            <w:div w:id="90795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05972">
      <w:bodyDiv w:val="1"/>
      <w:marLeft w:val="0"/>
      <w:marRight w:val="0"/>
      <w:marTop w:val="0"/>
      <w:marBottom w:val="0"/>
      <w:divBdr>
        <w:top w:val="none" w:sz="0" w:space="0" w:color="auto"/>
        <w:left w:val="none" w:sz="0" w:space="0" w:color="auto"/>
        <w:bottom w:val="none" w:sz="0" w:space="0" w:color="auto"/>
        <w:right w:val="none" w:sz="0" w:space="0" w:color="auto"/>
      </w:divBdr>
      <w:divsChild>
        <w:div w:id="2082751146">
          <w:marLeft w:val="480"/>
          <w:marRight w:val="0"/>
          <w:marTop w:val="0"/>
          <w:marBottom w:val="0"/>
          <w:divBdr>
            <w:top w:val="none" w:sz="0" w:space="0" w:color="auto"/>
            <w:left w:val="none" w:sz="0" w:space="0" w:color="auto"/>
            <w:bottom w:val="none" w:sz="0" w:space="0" w:color="auto"/>
            <w:right w:val="none" w:sz="0" w:space="0" w:color="auto"/>
          </w:divBdr>
          <w:divsChild>
            <w:div w:id="71612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208043">
      <w:bodyDiv w:val="1"/>
      <w:marLeft w:val="0"/>
      <w:marRight w:val="0"/>
      <w:marTop w:val="0"/>
      <w:marBottom w:val="0"/>
      <w:divBdr>
        <w:top w:val="none" w:sz="0" w:space="0" w:color="auto"/>
        <w:left w:val="none" w:sz="0" w:space="0" w:color="auto"/>
        <w:bottom w:val="none" w:sz="0" w:space="0" w:color="auto"/>
        <w:right w:val="none" w:sz="0" w:space="0" w:color="auto"/>
      </w:divBdr>
      <w:divsChild>
        <w:div w:id="464663516">
          <w:marLeft w:val="480"/>
          <w:marRight w:val="0"/>
          <w:marTop w:val="0"/>
          <w:marBottom w:val="0"/>
          <w:divBdr>
            <w:top w:val="none" w:sz="0" w:space="0" w:color="auto"/>
            <w:left w:val="none" w:sz="0" w:space="0" w:color="auto"/>
            <w:bottom w:val="none" w:sz="0" w:space="0" w:color="auto"/>
            <w:right w:val="none" w:sz="0" w:space="0" w:color="auto"/>
          </w:divBdr>
          <w:divsChild>
            <w:div w:id="622923130">
              <w:marLeft w:val="0"/>
              <w:marRight w:val="0"/>
              <w:marTop w:val="0"/>
              <w:marBottom w:val="0"/>
              <w:divBdr>
                <w:top w:val="none" w:sz="0" w:space="0" w:color="auto"/>
                <w:left w:val="none" w:sz="0" w:space="0" w:color="auto"/>
                <w:bottom w:val="none" w:sz="0" w:space="0" w:color="auto"/>
                <w:right w:val="none" w:sz="0" w:space="0" w:color="auto"/>
              </w:divBdr>
            </w:div>
            <w:div w:id="167792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569112">
      <w:bodyDiv w:val="1"/>
      <w:marLeft w:val="0"/>
      <w:marRight w:val="0"/>
      <w:marTop w:val="0"/>
      <w:marBottom w:val="0"/>
      <w:divBdr>
        <w:top w:val="none" w:sz="0" w:space="0" w:color="auto"/>
        <w:left w:val="none" w:sz="0" w:space="0" w:color="auto"/>
        <w:bottom w:val="none" w:sz="0" w:space="0" w:color="auto"/>
        <w:right w:val="none" w:sz="0" w:space="0" w:color="auto"/>
      </w:divBdr>
    </w:div>
    <w:div w:id="368645056">
      <w:bodyDiv w:val="1"/>
      <w:marLeft w:val="0"/>
      <w:marRight w:val="0"/>
      <w:marTop w:val="0"/>
      <w:marBottom w:val="0"/>
      <w:divBdr>
        <w:top w:val="none" w:sz="0" w:space="0" w:color="auto"/>
        <w:left w:val="none" w:sz="0" w:space="0" w:color="auto"/>
        <w:bottom w:val="none" w:sz="0" w:space="0" w:color="auto"/>
        <w:right w:val="none" w:sz="0" w:space="0" w:color="auto"/>
      </w:divBdr>
      <w:divsChild>
        <w:div w:id="1876499098">
          <w:marLeft w:val="480"/>
          <w:marRight w:val="0"/>
          <w:marTop w:val="0"/>
          <w:marBottom w:val="0"/>
          <w:divBdr>
            <w:top w:val="none" w:sz="0" w:space="0" w:color="auto"/>
            <w:left w:val="none" w:sz="0" w:space="0" w:color="auto"/>
            <w:bottom w:val="none" w:sz="0" w:space="0" w:color="auto"/>
            <w:right w:val="none" w:sz="0" w:space="0" w:color="auto"/>
          </w:divBdr>
          <w:divsChild>
            <w:div w:id="157766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860020">
      <w:bodyDiv w:val="1"/>
      <w:marLeft w:val="0"/>
      <w:marRight w:val="0"/>
      <w:marTop w:val="0"/>
      <w:marBottom w:val="0"/>
      <w:divBdr>
        <w:top w:val="none" w:sz="0" w:space="0" w:color="auto"/>
        <w:left w:val="none" w:sz="0" w:space="0" w:color="auto"/>
        <w:bottom w:val="none" w:sz="0" w:space="0" w:color="auto"/>
        <w:right w:val="none" w:sz="0" w:space="0" w:color="auto"/>
      </w:divBdr>
    </w:div>
    <w:div w:id="394619993">
      <w:bodyDiv w:val="1"/>
      <w:marLeft w:val="0"/>
      <w:marRight w:val="0"/>
      <w:marTop w:val="0"/>
      <w:marBottom w:val="0"/>
      <w:divBdr>
        <w:top w:val="none" w:sz="0" w:space="0" w:color="auto"/>
        <w:left w:val="none" w:sz="0" w:space="0" w:color="auto"/>
        <w:bottom w:val="none" w:sz="0" w:space="0" w:color="auto"/>
        <w:right w:val="none" w:sz="0" w:space="0" w:color="auto"/>
      </w:divBdr>
      <w:divsChild>
        <w:div w:id="155731947">
          <w:marLeft w:val="480"/>
          <w:marRight w:val="0"/>
          <w:marTop w:val="0"/>
          <w:marBottom w:val="0"/>
          <w:divBdr>
            <w:top w:val="none" w:sz="0" w:space="0" w:color="auto"/>
            <w:left w:val="none" w:sz="0" w:space="0" w:color="auto"/>
            <w:bottom w:val="none" w:sz="0" w:space="0" w:color="auto"/>
            <w:right w:val="none" w:sz="0" w:space="0" w:color="auto"/>
          </w:divBdr>
          <w:divsChild>
            <w:div w:id="899437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3354227">
      <w:bodyDiv w:val="1"/>
      <w:marLeft w:val="0"/>
      <w:marRight w:val="0"/>
      <w:marTop w:val="0"/>
      <w:marBottom w:val="0"/>
      <w:divBdr>
        <w:top w:val="none" w:sz="0" w:space="0" w:color="auto"/>
        <w:left w:val="none" w:sz="0" w:space="0" w:color="auto"/>
        <w:bottom w:val="none" w:sz="0" w:space="0" w:color="auto"/>
        <w:right w:val="none" w:sz="0" w:space="0" w:color="auto"/>
      </w:divBdr>
      <w:divsChild>
        <w:div w:id="1517422149">
          <w:marLeft w:val="480"/>
          <w:marRight w:val="0"/>
          <w:marTop w:val="0"/>
          <w:marBottom w:val="0"/>
          <w:divBdr>
            <w:top w:val="none" w:sz="0" w:space="0" w:color="auto"/>
            <w:left w:val="none" w:sz="0" w:space="0" w:color="auto"/>
            <w:bottom w:val="none" w:sz="0" w:space="0" w:color="auto"/>
            <w:right w:val="none" w:sz="0" w:space="0" w:color="auto"/>
          </w:divBdr>
          <w:divsChild>
            <w:div w:id="39447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979877">
      <w:bodyDiv w:val="1"/>
      <w:marLeft w:val="0"/>
      <w:marRight w:val="0"/>
      <w:marTop w:val="0"/>
      <w:marBottom w:val="0"/>
      <w:divBdr>
        <w:top w:val="none" w:sz="0" w:space="0" w:color="auto"/>
        <w:left w:val="none" w:sz="0" w:space="0" w:color="auto"/>
        <w:bottom w:val="none" w:sz="0" w:space="0" w:color="auto"/>
        <w:right w:val="none" w:sz="0" w:space="0" w:color="auto"/>
      </w:divBdr>
      <w:divsChild>
        <w:div w:id="444346315">
          <w:marLeft w:val="480"/>
          <w:marRight w:val="0"/>
          <w:marTop w:val="0"/>
          <w:marBottom w:val="0"/>
          <w:divBdr>
            <w:top w:val="none" w:sz="0" w:space="0" w:color="auto"/>
            <w:left w:val="none" w:sz="0" w:space="0" w:color="auto"/>
            <w:bottom w:val="none" w:sz="0" w:space="0" w:color="auto"/>
            <w:right w:val="none" w:sz="0" w:space="0" w:color="auto"/>
          </w:divBdr>
          <w:divsChild>
            <w:div w:id="53662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7971551">
      <w:bodyDiv w:val="1"/>
      <w:marLeft w:val="0"/>
      <w:marRight w:val="0"/>
      <w:marTop w:val="0"/>
      <w:marBottom w:val="0"/>
      <w:divBdr>
        <w:top w:val="none" w:sz="0" w:space="0" w:color="auto"/>
        <w:left w:val="none" w:sz="0" w:space="0" w:color="auto"/>
        <w:bottom w:val="none" w:sz="0" w:space="0" w:color="auto"/>
        <w:right w:val="none" w:sz="0" w:space="0" w:color="auto"/>
      </w:divBdr>
      <w:divsChild>
        <w:div w:id="306975079">
          <w:marLeft w:val="480"/>
          <w:marRight w:val="0"/>
          <w:marTop w:val="0"/>
          <w:marBottom w:val="0"/>
          <w:divBdr>
            <w:top w:val="none" w:sz="0" w:space="0" w:color="auto"/>
            <w:left w:val="none" w:sz="0" w:space="0" w:color="auto"/>
            <w:bottom w:val="none" w:sz="0" w:space="0" w:color="auto"/>
            <w:right w:val="none" w:sz="0" w:space="0" w:color="auto"/>
          </w:divBdr>
          <w:divsChild>
            <w:div w:id="22052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6361600">
      <w:bodyDiv w:val="1"/>
      <w:marLeft w:val="0"/>
      <w:marRight w:val="0"/>
      <w:marTop w:val="0"/>
      <w:marBottom w:val="0"/>
      <w:divBdr>
        <w:top w:val="none" w:sz="0" w:space="0" w:color="auto"/>
        <w:left w:val="none" w:sz="0" w:space="0" w:color="auto"/>
        <w:bottom w:val="none" w:sz="0" w:space="0" w:color="auto"/>
        <w:right w:val="none" w:sz="0" w:space="0" w:color="auto"/>
      </w:divBdr>
      <w:divsChild>
        <w:div w:id="714888599">
          <w:marLeft w:val="480"/>
          <w:marRight w:val="0"/>
          <w:marTop w:val="0"/>
          <w:marBottom w:val="0"/>
          <w:divBdr>
            <w:top w:val="none" w:sz="0" w:space="0" w:color="auto"/>
            <w:left w:val="none" w:sz="0" w:space="0" w:color="auto"/>
            <w:bottom w:val="none" w:sz="0" w:space="0" w:color="auto"/>
            <w:right w:val="none" w:sz="0" w:space="0" w:color="auto"/>
          </w:divBdr>
          <w:divsChild>
            <w:div w:id="112029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420250">
      <w:bodyDiv w:val="1"/>
      <w:marLeft w:val="0"/>
      <w:marRight w:val="0"/>
      <w:marTop w:val="0"/>
      <w:marBottom w:val="0"/>
      <w:divBdr>
        <w:top w:val="none" w:sz="0" w:space="0" w:color="auto"/>
        <w:left w:val="none" w:sz="0" w:space="0" w:color="auto"/>
        <w:bottom w:val="none" w:sz="0" w:space="0" w:color="auto"/>
        <w:right w:val="none" w:sz="0" w:space="0" w:color="auto"/>
      </w:divBdr>
      <w:divsChild>
        <w:div w:id="1566258144">
          <w:marLeft w:val="480"/>
          <w:marRight w:val="0"/>
          <w:marTop w:val="0"/>
          <w:marBottom w:val="0"/>
          <w:divBdr>
            <w:top w:val="none" w:sz="0" w:space="0" w:color="auto"/>
            <w:left w:val="none" w:sz="0" w:space="0" w:color="auto"/>
            <w:bottom w:val="none" w:sz="0" w:space="0" w:color="auto"/>
            <w:right w:val="none" w:sz="0" w:space="0" w:color="auto"/>
          </w:divBdr>
          <w:divsChild>
            <w:div w:id="51730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696747">
      <w:bodyDiv w:val="1"/>
      <w:marLeft w:val="0"/>
      <w:marRight w:val="0"/>
      <w:marTop w:val="0"/>
      <w:marBottom w:val="0"/>
      <w:divBdr>
        <w:top w:val="none" w:sz="0" w:space="0" w:color="auto"/>
        <w:left w:val="none" w:sz="0" w:space="0" w:color="auto"/>
        <w:bottom w:val="none" w:sz="0" w:space="0" w:color="auto"/>
        <w:right w:val="none" w:sz="0" w:space="0" w:color="auto"/>
      </w:divBdr>
    </w:div>
    <w:div w:id="608507728">
      <w:bodyDiv w:val="1"/>
      <w:marLeft w:val="0"/>
      <w:marRight w:val="0"/>
      <w:marTop w:val="0"/>
      <w:marBottom w:val="0"/>
      <w:divBdr>
        <w:top w:val="none" w:sz="0" w:space="0" w:color="auto"/>
        <w:left w:val="none" w:sz="0" w:space="0" w:color="auto"/>
        <w:bottom w:val="none" w:sz="0" w:space="0" w:color="auto"/>
        <w:right w:val="none" w:sz="0" w:space="0" w:color="auto"/>
      </w:divBdr>
      <w:divsChild>
        <w:div w:id="478766863">
          <w:marLeft w:val="0"/>
          <w:marRight w:val="0"/>
          <w:marTop w:val="0"/>
          <w:marBottom w:val="0"/>
          <w:divBdr>
            <w:top w:val="none" w:sz="0" w:space="0" w:color="auto"/>
            <w:left w:val="none" w:sz="0" w:space="0" w:color="auto"/>
            <w:bottom w:val="none" w:sz="0" w:space="0" w:color="auto"/>
            <w:right w:val="none" w:sz="0" w:space="0" w:color="auto"/>
          </w:divBdr>
        </w:div>
        <w:div w:id="933705197">
          <w:marLeft w:val="0"/>
          <w:marRight w:val="0"/>
          <w:marTop w:val="0"/>
          <w:marBottom w:val="0"/>
          <w:divBdr>
            <w:top w:val="none" w:sz="0" w:space="0" w:color="auto"/>
            <w:left w:val="none" w:sz="0" w:space="0" w:color="auto"/>
            <w:bottom w:val="none" w:sz="0" w:space="0" w:color="auto"/>
            <w:right w:val="none" w:sz="0" w:space="0" w:color="auto"/>
          </w:divBdr>
        </w:div>
        <w:div w:id="1061903248">
          <w:marLeft w:val="0"/>
          <w:marRight w:val="0"/>
          <w:marTop w:val="0"/>
          <w:marBottom w:val="0"/>
          <w:divBdr>
            <w:top w:val="none" w:sz="0" w:space="0" w:color="auto"/>
            <w:left w:val="none" w:sz="0" w:space="0" w:color="auto"/>
            <w:bottom w:val="none" w:sz="0" w:space="0" w:color="auto"/>
            <w:right w:val="none" w:sz="0" w:space="0" w:color="auto"/>
          </w:divBdr>
        </w:div>
        <w:div w:id="1138110394">
          <w:marLeft w:val="0"/>
          <w:marRight w:val="0"/>
          <w:marTop w:val="0"/>
          <w:marBottom w:val="0"/>
          <w:divBdr>
            <w:top w:val="none" w:sz="0" w:space="0" w:color="auto"/>
            <w:left w:val="none" w:sz="0" w:space="0" w:color="auto"/>
            <w:bottom w:val="none" w:sz="0" w:space="0" w:color="auto"/>
            <w:right w:val="none" w:sz="0" w:space="0" w:color="auto"/>
          </w:divBdr>
        </w:div>
        <w:div w:id="1200242804">
          <w:marLeft w:val="0"/>
          <w:marRight w:val="0"/>
          <w:marTop w:val="0"/>
          <w:marBottom w:val="0"/>
          <w:divBdr>
            <w:top w:val="none" w:sz="0" w:space="0" w:color="auto"/>
            <w:left w:val="none" w:sz="0" w:space="0" w:color="auto"/>
            <w:bottom w:val="none" w:sz="0" w:space="0" w:color="auto"/>
            <w:right w:val="none" w:sz="0" w:space="0" w:color="auto"/>
          </w:divBdr>
        </w:div>
        <w:div w:id="1654985119">
          <w:marLeft w:val="0"/>
          <w:marRight w:val="0"/>
          <w:marTop w:val="0"/>
          <w:marBottom w:val="0"/>
          <w:divBdr>
            <w:top w:val="none" w:sz="0" w:space="0" w:color="auto"/>
            <w:left w:val="none" w:sz="0" w:space="0" w:color="auto"/>
            <w:bottom w:val="none" w:sz="0" w:space="0" w:color="auto"/>
            <w:right w:val="none" w:sz="0" w:space="0" w:color="auto"/>
          </w:divBdr>
        </w:div>
      </w:divsChild>
    </w:div>
    <w:div w:id="621496723">
      <w:bodyDiv w:val="1"/>
      <w:marLeft w:val="0"/>
      <w:marRight w:val="0"/>
      <w:marTop w:val="0"/>
      <w:marBottom w:val="0"/>
      <w:divBdr>
        <w:top w:val="none" w:sz="0" w:space="0" w:color="auto"/>
        <w:left w:val="none" w:sz="0" w:space="0" w:color="auto"/>
        <w:bottom w:val="none" w:sz="0" w:space="0" w:color="auto"/>
        <w:right w:val="none" w:sz="0" w:space="0" w:color="auto"/>
      </w:divBdr>
      <w:divsChild>
        <w:div w:id="915628070">
          <w:marLeft w:val="480"/>
          <w:marRight w:val="0"/>
          <w:marTop w:val="0"/>
          <w:marBottom w:val="0"/>
          <w:divBdr>
            <w:top w:val="none" w:sz="0" w:space="0" w:color="auto"/>
            <w:left w:val="none" w:sz="0" w:space="0" w:color="auto"/>
            <w:bottom w:val="none" w:sz="0" w:space="0" w:color="auto"/>
            <w:right w:val="none" w:sz="0" w:space="0" w:color="auto"/>
          </w:divBdr>
          <w:divsChild>
            <w:div w:id="8415253">
              <w:marLeft w:val="0"/>
              <w:marRight w:val="0"/>
              <w:marTop w:val="0"/>
              <w:marBottom w:val="0"/>
              <w:divBdr>
                <w:top w:val="none" w:sz="0" w:space="0" w:color="auto"/>
                <w:left w:val="none" w:sz="0" w:space="0" w:color="auto"/>
                <w:bottom w:val="none" w:sz="0" w:space="0" w:color="auto"/>
                <w:right w:val="none" w:sz="0" w:space="0" w:color="auto"/>
              </w:divBdr>
            </w:div>
            <w:div w:id="13266062">
              <w:marLeft w:val="0"/>
              <w:marRight w:val="0"/>
              <w:marTop w:val="0"/>
              <w:marBottom w:val="0"/>
              <w:divBdr>
                <w:top w:val="none" w:sz="0" w:space="0" w:color="auto"/>
                <w:left w:val="none" w:sz="0" w:space="0" w:color="auto"/>
                <w:bottom w:val="none" w:sz="0" w:space="0" w:color="auto"/>
                <w:right w:val="none" w:sz="0" w:space="0" w:color="auto"/>
              </w:divBdr>
            </w:div>
            <w:div w:id="15468406">
              <w:marLeft w:val="0"/>
              <w:marRight w:val="0"/>
              <w:marTop w:val="0"/>
              <w:marBottom w:val="0"/>
              <w:divBdr>
                <w:top w:val="none" w:sz="0" w:space="0" w:color="auto"/>
                <w:left w:val="none" w:sz="0" w:space="0" w:color="auto"/>
                <w:bottom w:val="none" w:sz="0" w:space="0" w:color="auto"/>
                <w:right w:val="none" w:sz="0" w:space="0" w:color="auto"/>
              </w:divBdr>
            </w:div>
            <w:div w:id="15690817">
              <w:marLeft w:val="0"/>
              <w:marRight w:val="0"/>
              <w:marTop w:val="0"/>
              <w:marBottom w:val="0"/>
              <w:divBdr>
                <w:top w:val="none" w:sz="0" w:space="0" w:color="auto"/>
                <w:left w:val="none" w:sz="0" w:space="0" w:color="auto"/>
                <w:bottom w:val="none" w:sz="0" w:space="0" w:color="auto"/>
                <w:right w:val="none" w:sz="0" w:space="0" w:color="auto"/>
              </w:divBdr>
            </w:div>
            <w:div w:id="47924932">
              <w:marLeft w:val="0"/>
              <w:marRight w:val="0"/>
              <w:marTop w:val="0"/>
              <w:marBottom w:val="0"/>
              <w:divBdr>
                <w:top w:val="none" w:sz="0" w:space="0" w:color="auto"/>
                <w:left w:val="none" w:sz="0" w:space="0" w:color="auto"/>
                <w:bottom w:val="none" w:sz="0" w:space="0" w:color="auto"/>
                <w:right w:val="none" w:sz="0" w:space="0" w:color="auto"/>
              </w:divBdr>
            </w:div>
            <w:div w:id="82260268">
              <w:marLeft w:val="0"/>
              <w:marRight w:val="0"/>
              <w:marTop w:val="0"/>
              <w:marBottom w:val="0"/>
              <w:divBdr>
                <w:top w:val="none" w:sz="0" w:space="0" w:color="auto"/>
                <w:left w:val="none" w:sz="0" w:space="0" w:color="auto"/>
                <w:bottom w:val="none" w:sz="0" w:space="0" w:color="auto"/>
                <w:right w:val="none" w:sz="0" w:space="0" w:color="auto"/>
              </w:divBdr>
            </w:div>
            <w:div w:id="148399341">
              <w:marLeft w:val="0"/>
              <w:marRight w:val="0"/>
              <w:marTop w:val="0"/>
              <w:marBottom w:val="0"/>
              <w:divBdr>
                <w:top w:val="none" w:sz="0" w:space="0" w:color="auto"/>
                <w:left w:val="none" w:sz="0" w:space="0" w:color="auto"/>
                <w:bottom w:val="none" w:sz="0" w:space="0" w:color="auto"/>
                <w:right w:val="none" w:sz="0" w:space="0" w:color="auto"/>
              </w:divBdr>
            </w:div>
            <w:div w:id="174998650">
              <w:marLeft w:val="0"/>
              <w:marRight w:val="0"/>
              <w:marTop w:val="0"/>
              <w:marBottom w:val="0"/>
              <w:divBdr>
                <w:top w:val="none" w:sz="0" w:space="0" w:color="auto"/>
                <w:left w:val="none" w:sz="0" w:space="0" w:color="auto"/>
                <w:bottom w:val="none" w:sz="0" w:space="0" w:color="auto"/>
                <w:right w:val="none" w:sz="0" w:space="0" w:color="auto"/>
              </w:divBdr>
            </w:div>
            <w:div w:id="198669839">
              <w:marLeft w:val="0"/>
              <w:marRight w:val="0"/>
              <w:marTop w:val="0"/>
              <w:marBottom w:val="0"/>
              <w:divBdr>
                <w:top w:val="none" w:sz="0" w:space="0" w:color="auto"/>
                <w:left w:val="none" w:sz="0" w:space="0" w:color="auto"/>
                <w:bottom w:val="none" w:sz="0" w:space="0" w:color="auto"/>
                <w:right w:val="none" w:sz="0" w:space="0" w:color="auto"/>
              </w:divBdr>
            </w:div>
            <w:div w:id="273288215">
              <w:marLeft w:val="0"/>
              <w:marRight w:val="0"/>
              <w:marTop w:val="0"/>
              <w:marBottom w:val="0"/>
              <w:divBdr>
                <w:top w:val="none" w:sz="0" w:space="0" w:color="auto"/>
                <w:left w:val="none" w:sz="0" w:space="0" w:color="auto"/>
                <w:bottom w:val="none" w:sz="0" w:space="0" w:color="auto"/>
                <w:right w:val="none" w:sz="0" w:space="0" w:color="auto"/>
              </w:divBdr>
            </w:div>
            <w:div w:id="293947494">
              <w:marLeft w:val="0"/>
              <w:marRight w:val="0"/>
              <w:marTop w:val="0"/>
              <w:marBottom w:val="0"/>
              <w:divBdr>
                <w:top w:val="none" w:sz="0" w:space="0" w:color="auto"/>
                <w:left w:val="none" w:sz="0" w:space="0" w:color="auto"/>
                <w:bottom w:val="none" w:sz="0" w:space="0" w:color="auto"/>
                <w:right w:val="none" w:sz="0" w:space="0" w:color="auto"/>
              </w:divBdr>
            </w:div>
            <w:div w:id="338392123">
              <w:marLeft w:val="0"/>
              <w:marRight w:val="0"/>
              <w:marTop w:val="0"/>
              <w:marBottom w:val="0"/>
              <w:divBdr>
                <w:top w:val="none" w:sz="0" w:space="0" w:color="auto"/>
                <w:left w:val="none" w:sz="0" w:space="0" w:color="auto"/>
                <w:bottom w:val="none" w:sz="0" w:space="0" w:color="auto"/>
                <w:right w:val="none" w:sz="0" w:space="0" w:color="auto"/>
              </w:divBdr>
            </w:div>
            <w:div w:id="342901621">
              <w:marLeft w:val="0"/>
              <w:marRight w:val="0"/>
              <w:marTop w:val="0"/>
              <w:marBottom w:val="0"/>
              <w:divBdr>
                <w:top w:val="none" w:sz="0" w:space="0" w:color="auto"/>
                <w:left w:val="none" w:sz="0" w:space="0" w:color="auto"/>
                <w:bottom w:val="none" w:sz="0" w:space="0" w:color="auto"/>
                <w:right w:val="none" w:sz="0" w:space="0" w:color="auto"/>
              </w:divBdr>
            </w:div>
            <w:div w:id="368146130">
              <w:marLeft w:val="0"/>
              <w:marRight w:val="0"/>
              <w:marTop w:val="0"/>
              <w:marBottom w:val="0"/>
              <w:divBdr>
                <w:top w:val="none" w:sz="0" w:space="0" w:color="auto"/>
                <w:left w:val="none" w:sz="0" w:space="0" w:color="auto"/>
                <w:bottom w:val="none" w:sz="0" w:space="0" w:color="auto"/>
                <w:right w:val="none" w:sz="0" w:space="0" w:color="auto"/>
              </w:divBdr>
            </w:div>
            <w:div w:id="409159524">
              <w:marLeft w:val="0"/>
              <w:marRight w:val="0"/>
              <w:marTop w:val="0"/>
              <w:marBottom w:val="0"/>
              <w:divBdr>
                <w:top w:val="none" w:sz="0" w:space="0" w:color="auto"/>
                <w:left w:val="none" w:sz="0" w:space="0" w:color="auto"/>
                <w:bottom w:val="none" w:sz="0" w:space="0" w:color="auto"/>
                <w:right w:val="none" w:sz="0" w:space="0" w:color="auto"/>
              </w:divBdr>
            </w:div>
            <w:div w:id="424882030">
              <w:marLeft w:val="0"/>
              <w:marRight w:val="0"/>
              <w:marTop w:val="0"/>
              <w:marBottom w:val="0"/>
              <w:divBdr>
                <w:top w:val="none" w:sz="0" w:space="0" w:color="auto"/>
                <w:left w:val="none" w:sz="0" w:space="0" w:color="auto"/>
                <w:bottom w:val="none" w:sz="0" w:space="0" w:color="auto"/>
                <w:right w:val="none" w:sz="0" w:space="0" w:color="auto"/>
              </w:divBdr>
            </w:div>
            <w:div w:id="440802101">
              <w:marLeft w:val="0"/>
              <w:marRight w:val="0"/>
              <w:marTop w:val="0"/>
              <w:marBottom w:val="0"/>
              <w:divBdr>
                <w:top w:val="none" w:sz="0" w:space="0" w:color="auto"/>
                <w:left w:val="none" w:sz="0" w:space="0" w:color="auto"/>
                <w:bottom w:val="none" w:sz="0" w:space="0" w:color="auto"/>
                <w:right w:val="none" w:sz="0" w:space="0" w:color="auto"/>
              </w:divBdr>
            </w:div>
            <w:div w:id="444739859">
              <w:marLeft w:val="0"/>
              <w:marRight w:val="0"/>
              <w:marTop w:val="0"/>
              <w:marBottom w:val="0"/>
              <w:divBdr>
                <w:top w:val="none" w:sz="0" w:space="0" w:color="auto"/>
                <w:left w:val="none" w:sz="0" w:space="0" w:color="auto"/>
                <w:bottom w:val="none" w:sz="0" w:space="0" w:color="auto"/>
                <w:right w:val="none" w:sz="0" w:space="0" w:color="auto"/>
              </w:divBdr>
            </w:div>
            <w:div w:id="447897121">
              <w:marLeft w:val="0"/>
              <w:marRight w:val="0"/>
              <w:marTop w:val="0"/>
              <w:marBottom w:val="0"/>
              <w:divBdr>
                <w:top w:val="none" w:sz="0" w:space="0" w:color="auto"/>
                <w:left w:val="none" w:sz="0" w:space="0" w:color="auto"/>
                <w:bottom w:val="none" w:sz="0" w:space="0" w:color="auto"/>
                <w:right w:val="none" w:sz="0" w:space="0" w:color="auto"/>
              </w:divBdr>
            </w:div>
            <w:div w:id="477966279">
              <w:marLeft w:val="0"/>
              <w:marRight w:val="0"/>
              <w:marTop w:val="0"/>
              <w:marBottom w:val="0"/>
              <w:divBdr>
                <w:top w:val="none" w:sz="0" w:space="0" w:color="auto"/>
                <w:left w:val="none" w:sz="0" w:space="0" w:color="auto"/>
                <w:bottom w:val="none" w:sz="0" w:space="0" w:color="auto"/>
                <w:right w:val="none" w:sz="0" w:space="0" w:color="auto"/>
              </w:divBdr>
            </w:div>
            <w:div w:id="487206266">
              <w:marLeft w:val="0"/>
              <w:marRight w:val="0"/>
              <w:marTop w:val="0"/>
              <w:marBottom w:val="0"/>
              <w:divBdr>
                <w:top w:val="none" w:sz="0" w:space="0" w:color="auto"/>
                <w:left w:val="none" w:sz="0" w:space="0" w:color="auto"/>
                <w:bottom w:val="none" w:sz="0" w:space="0" w:color="auto"/>
                <w:right w:val="none" w:sz="0" w:space="0" w:color="auto"/>
              </w:divBdr>
            </w:div>
            <w:div w:id="524055499">
              <w:marLeft w:val="0"/>
              <w:marRight w:val="0"/>
              <w:marTop w:val="0"/>
              <w:marBottom w:val="0"/>
              <w:divBdr>
                <w:top w:val="none" w:sz="0" w:space="0" w:color="auto"/>
                <w:left w:val="none" w:sz="0" w:space="0" w:color="auto"/>
                <w:bottom w:val="none" w:sz="0" w:space="0" w:color="auto"/>
                <w:right w:val="none" w:sz="0" w:space="0" w:color="auto"/>
              </w:divBdr>
            </w:div>
            <w:div w:id="527569409">
              <w:marLeft w:val="0"/>
              <w:marRight w:val="0"/>
              <w:marTop w:val="0"/>
              <w:marBottom w:val="0"/>
              <w:divBdr>
                <w:top w:val="none" w:sz="0" w:space="0" w:color="auto"/>
                <w:left w:val="none" w:sz="0" w:space="0" w:color="auto"/>
                <w:bottom w:val="none" w:sz="0" w:space="0" w:color="auto"/>
                <w:right w:val="none" w:sz="0" w:space="0" w:color="auto"/>
              </w:divBdr>
            </w:div>
            <w:div w:id="539319110">
              <w:marLeft w:val="0"/>
              <w:marRight w:val="0"/>
              <w:marTop w:val="0"/>
              <w:marBottom w:val="0"/>
              <w:divBdr>
                <w:top w:val="none" w:sz="0" w:space="0" w:color="auto"/>
                <w:left w:val="none" w:sz="0" w:space="0" w:color="auto"/>
                <w:bottom w:val="none" w:sz="0" w:space="0" w:color="auto"/>
                <w:right w:val="none" w:sz="0" w:space="0" w:color="auto"/>
              </w:divBdr>
            </w:div>
            <w:div w:id="587233635">
              <w:marLeft w:val="0"/>
              <w:marRight w:val="0"/>
              <w:marTop w:val="0"/>
              <w:marBottom w:val="0"/>
              <w:divBdr>
                <w:top w:val="none" w:sz="0" w:space="0" w:color="auto"/>
                <w:left w:val="none" w:sz="0" w:space="0" w:color="auto"/>
                <w:bottom w:val="none" w:sz="0" w:space="0" w:color="auto"/>
                <w:right w:val="none" w:sz="0" w:space="0" w:color="auto"/>
              </w:divBdr>
            </w:div>
            <w:div w:id="610476886">
              <w:marLeft w:val="0"/>
              <w:marRight w:val="0"/>
              <w:marTop w:val="0"/>
              <w:marBottom w:val="0"/>
              <w:divBdr>
                <w:top w:val="none" w:sz="0" w:space="0" w:color="auto"/>
                <w:left w:val="none" w:sz="0" w:space="0" w:color="auto"/>
                <w:bottom w:val="none" w:sz="0" w:space="0" w:color="auto"/>
                <w:right w:val="none" w:sz="0" w:space="0" w:color="auto"/>
              </w:divBdr>
            </w:div>
            <w:div w:id="618681918">
              <w:marLeft w:val="0"/>
              <w:marRight w:val="0"/>
              <w:marTop w:val="0"/>
              <w:marBottom w:val="0"/>
              <w:divBdr>
                <w:top w:val="none" w:sz="0" w:space="0" w:color="auto"/>
                <w:left w:val="none" w:sz="0" w:space="0" w:color="auto"/>
                <w:bottom w:val="none" w:sz="0" w:space="0" w:color="auto"/>
                <w:right w:val="none" w:sz="0" w:space="0" w:color="auto"/>
              </w:divBdr>
            </w:div>
            <w:div w:id="652560037">
              <w:marLeft w:val="0"/>
              <w:marRight w:val="0"/>
              <w:marTop w:val="0"/>
              <w:marBottom w:val="0"/>
              <w:divBdr>
                <w:top w:val="none" w:sz="0" w:space="0" w:color="auto"/>
                <w:left w:val="none" w:sz="0" w:space="0" w:color="auto"/>
                <w:bottom w:val="none" w:sz="0" w:space="0" w:color="auto"/>
                <w:right w:val="none" w:sz="0" w:space="0" w:color="auto"/>
              </w:divBdr>
            </w:div>
            <w:div w:id="666402593">
              <w:marLeft w:val="0"/>
              <w:marRight w:val="0"/>
              <w:marTop w:val="0"/>
              <w:marBottom w:val="0"/>
              <w:divBdr>
                <w:top w:val="none" w:sz="0" w:space="0" w:color="auto"/>
                <w:left w:val="none" w:sz="0" w:space="0" w:color="auto"/>
                <w:bottom w:val="none" w:sz="0" w:space="0" w:color="auto"/>
                <w:right w:val="none" w:sz="0" w:space="0" w:color="auto"/>
              </w:divBdr>
            </w:div>
            <w:div w:id="704982768">
              <w:marLeft w:val="0"/>
              <w:marRight w:val="0"/>
              <w:marTop w:val="0"/>
              <w:marBottom w:val="0"/>
              <w:divBdr>
                <w:top w:val="none" w:sz="0" w:space="0" w:color="auto"/>
                <w:left w:val="none" w:sz="0" w:space="0" w:color="auto"/>
                <w:bottom w:val="none" w:sz="0" w:space="0" w:color="auto"/>
                <w:right w:val="none" w:sz="0" w:space="0" w:color="auto"/>
              </w:divBdr>
            </w:div>
            <w:div w:id="720179174">
              <w:marLeft w:val="0"/>
              <w:marRight w:val="0"/>
              <w:marTop w:val="0"/>
              <w:marBottom w:val="0"/>
              <w:divBdr>
                <w:top w:val="none" w:sz="0" w:space="0" w:color="auto"/>
                <w:left w:val="none" w:sz="0" w:space="0" w:color="auto"/>
                <w:bottom w:val="none" w:sz="0" w:space="0" w:color="auto"/>
                <w:right w:val="none" w:sz="0" w:space="0" w:color="auto"/>
              </w:divBdr>
            </w:div>
            <w:div w:id="741565572">
              <w:marLeft w:val="0"/>
              <w:marRight w:val="0"/>
              <w:marTop w:val="0"/>
              <w:marBottom w:val="0"/>
              <w:divBdr>
                <w:top w:val="none" w:sz="0" w:space="0" w:color="auto"/>
                <w:left w:val="none" w:sz="0" w:space="0" w:color="auto"/>
                <w:bottom w:val="none" w:sz="0" w:space="0" w:color="auto"/>
                <w:right w:val="none" w:sz="0" w:space="0" w:color="auto"/>
              </w:divBdr>
            </w:div>
            <w:div w:id="838886130">
              <w:marLeft w:val="0"/>
              <w:marRight w:val="0"/>
              <w:marTop w:val="0"/>
              <w:marBottom w:val="0"/>
              <w:divBdr>
                <w:top w:val="none" w:sz="0" w:space="0" w:color="auto"/>
                <w:left w:val="none" w:sz="0" w:space="0" w:color="auto"/>
                <w:bottom w:val="none" w:sz="0" w:space="0" w:color="auto"/>
                <w:right w:val="none" w:sz="0" w:space="0" w:color="auto"/>
              </w:divBdr>
            </w:div>
            <w:div w:id="856121444">
              <w:marLeft w:val="0"/>
              <w:marRight w:val="0"/>
              <w:marTop w:val="0"/>
              <w:marBottom w:val="0"/>
              <w:divBdr>
                <w:top w:val="none" w:sz="0" w:space="0" w:color="auto"/>
                <w:left w:val="none" w:sz="0" w:space="0" w:color="auto"/>
                <w:bottom w:val="none" w:sz="0" w:space="0" w:color="auto"/>
                <w:right w:val="none" w:sz="0" w:space="0" w:color="auto"/>
              </w:divBdr>
            </w:div>
            <w:div w:id="864251813">
              <w:marLeft w:val="0"/>
              <w:marRight w:val="0"/>
              <w:marTop w:val="0"/>
              <w:marBottom w:val="0"/>
              <w:divBdr>
                <w:top w:val="none" w:sz="0" w:space="0" w:color="auto"/>
                <w:left w:val="none" w:sz="0" w:space="0" w:color="auto"/>
                <w:bottom w:val="none" w:sz="0" w:space="0" w:color="auto"/>
                <w:right w:val="none" w:sz="0" w:space="0" w:color="auto"/>
              </w:divBdr>
            </w:div>
            <w:div w:id="873345463">
              <w:marLeft w:val="0"/>
              <w:marRight w:val="0"/>
              <w:marTop w:val="0"/>
              <w:marBottom w:val="0"/>
              <w:divBdr>
                <w:top w:val="none" w:sz="0" w:space="0" w:color="auto"/>
                <w:left w:val="none" w:sz="0" w:space="0" w:color="auto"/>
                <w:bottom w:val="none" w:sz="0" w:space="0" w:color="auto"/>
                <w:right w:val="none" w:sz="0" w:space="0" w:color="auto"/>
              </w:divBdr>
            </w:div>
            <w:div w:id="874344381">
              <w:marLeft w:val="0"/>
              <w:marRight w:val="0"/>
              <w:marTop w:val="0"/>
              <w:marBottom w:val="0"/>
              <w:divBdr>
                <w:top w:val="none" w:sz="0" w:space="0" w:color="auto"/>
                <w:left w:val="none" w:sz="0" w:space="0" w:color="auto"/>
                <w:bottom w:val="none" w:sz="0" w:space="0" w:color="auto"/>
                <w:right w:val="none" w:sz="0" w:space="0" w:color="auto"/>
              </w:divBdr>
            </w:div>
            <w:div w:id="875967651">
              <w:marLeft w:val="0"/>
              <w:marRight w:val="0"/>
              <w:marTop w:val="0"/>
              <w:marBottom w:val="0"/>
              <w:divBdr>
                <w:top w:val="none" w:sz="0" w:space="0" w:color="auto"/>
                <w:left w:val="none" w:sz="0" w:space="0" w:color="auto"/>
                <w:bottom w:val="none" w:sz="0" w:space="0" w:color="auto"/>
                <w:right w:val="none" w:sz="0" w:space="0" w:color="auto"/>
              </w:divBdr>
            </w:div>
            <w:div w:id="891890372">
              <w:marLeft w:val="0"/>
              <w:marRight w:val="0"/>
              <w:marTop w:val="0"/>
              <w:marBottom w:val="0"/>
              <w:divBdr>
                <w:top w:val="none" w:sz="0" w:space="0" w:color="auto"/>
                <w:left w:val="none" w:sz="0" w:space="0" w:color="auto"/>
                <w:bottom w:val="none" w:sz="0" w:space="0" w:color="auto"/>
                <w:right w:val="none" w:sz="0" w:space="0" w:color="auto"/>
              </w:divBdr>
            </w:div>
            <w:div w:id="914895014">
              <w:marLeft w:val="0"/>
              <w:marRight w:val="0"/>
              <w:marTop w:val="0"/>
              <w:marBottom w:val="0"/>
              <w:divBdr>
                <w:top w:val="none" w:sz="0" w:space="0" w:color="auto"/>
                <w:left w:val="none" w:sz="0" w:space="0" w:color="auto"/>
                <w:bottom w:val="none" w:sz="0" w:space="0" w:color="auto"/>
                <w:right w:val="none" w:sz="0" w:space="0" w:color="auto"/>
              </w:divBdr>
            </w:div>
            <w:div w:id="946080868">
              <w:marLeft w:val="0"/>
              <w:marRight w:val="0"/>
              <w:marTop w:val="0"/>
              <w:marBottom w:val="0"/>
              <w:divBdr>
                <w:top w:val="none" w:sz="0" w:space="0" w:color="auto"/>
                <w:left w:val="none" w:sz="0" w:space="0" w:color="auto"/>
                <w:bottom w:val="none" w:sz="0" w:space="0" w:color="auto"/>
                <w:right w:val="none" w:sz="0" w:space="0" w:color="auto"/>
              </w:divBdr>
            </w:div>
            <w:div w:id="954562710">
              <w:marLeft w:val="0"/>
              <w:marRight w:val="0"/>
              <w:marTop w:val="0"/>
              <w:marBottom w:val="0"/>
              <w:divBdr>
                <w:top w:val="none" w:sz="0" w:space="0" w:color="auto"/>
                <w:left w:val="none" w:sz="0" w:space="0" w:color="auto"/>
                <w:bottom w:val="none" w:sz="0" w:space="0" w:color="auto"/>
                <w:right w:val="none" w:sz="0" w:space="0" w:color="auto"/>
              </w:divBdr>
            </w:div>
            <w:div w:id="971520391">
              <w:marLeft w:val="0"/>
              <w:marRight w:val="0"/>
              <w:marTop w:val="0"/>
              <w:marBottom w:val="0"/>
              <w:divBdr>
                <w:top w:val="none" w:sz="0" w:space="0" w:color="auto"/>
                <w:left w:val="none" w:sz="0" w:space="0" w:color="auto"/>
                <w:bottom w:val="none" w:sz="0" w:space="0" w:color="auto"/>
                <w:right w:val="none" w:sz="0" w:space="0" w:color="auto"/>
              </w:divBdr>
            </w:div>
            <w:div w:id="971986122">
              <w:marLeft w:val="0"/>
              <w:marRight w:val="0"/>
              <w:marTop w:val="0"/>
              <w:marBottom w:val="0"/>
              <w:divBdr>
                <w:top w:val="none" w:sz="0" w:space="0" w:color="auto"/>
                <w:left w:val="none" w:sz="0" w:space="0" w:color="auto"/>
                <w:bottom w:val="none" w:sz="0" w:space="0" w:color="auto"/>
                <w:right w:val="none" w:sz="0" w:space="0" w:color="auto"/>
              </w:divBdr>
            </w:div>
            <w:div w:id="992223278">
              <w:marLeft w:val="0"/>
              <w:marRight w:val="0"/>
              <w:marTop w:val="0"/>
              <w:marBottom w:val="0"/>
              <w:divBdr>
                <w:top w:val="none" w:sz="0" w:space="0" w:color="auto"/>
                <w:left w:val="none" w:sz="0" w:space="0" w:color="auto"/>
                <w:bottom w:val="none" w:sz="0" w:space="0" w:color="auto"/>
                <w:right w:val="none" w:sz="0" w:space="0" w:color="auto"/>
              </w:divBdr>
            </w:div>
            <w:div w:id="992762307">
              <w:marLeft w:val="0"/>
              <w:marRight w:val="0"/>
              <w:marTop w:val="0"/>
              <w:marBottom w:val="0"/>
              <w:divBdr>
                <w:top w:val="none" w:sz="0" w:space="0" w:color="auto"/>
                <w:left w:val="none" w:sz="0" w:space="0" w:color="auto"/>
                <w:bottom w:val="none" w:sz="0" w:space="0" w:color="auto"/>
                <w:right w:val="none" w:sz="0" w:space="0" w:color="auto"/>
              </w:divBdr>
            </w:div>
            <w:div w:id="1048067869">
              <w:marLeft w:val="0"/>
              <w:marRight w:val="0"/>
              <w:marTop w:val="0"/>
              <w:marBottom w:val="0"/>
              <w:divBdr>
                <w:top w:val="none" w:sz="0" w:space="0" w:color="auto"/>
                <w:left w:val="none" w:sz="0" w:space="0" w:color="auto"/>
                <w:bottom w:val="none" w:sz="0" w:space="0" w:color="auto"/>
                <w:right w:val="none" w:sz="0" w:space="0" w:color="auto"/>
              </w:divBdr>
            </w:div>
            <w:div w:id="1058437041">
              <w:marLeft w:val="0"/>
              <w:marRight w:val="0"/>
              <w:marTop w:val="0"/>
              <w:marBottom w:val="0"/>
              <w:divBdr>
                <w:top w:val="none" w:sz="0" w:space="0" w:color="auto"/>
                <w:left w:val="none" w:sz="0" w:space="0" w:color="auto"/>
                <w:bottom w:val="none" w:sz="0" w:space="0" w:color="auto"/>
                <w:right w:val="none" w:sz="0" w:space="0" w:color="auto"/>
              </w:divBdr>
            </w:div>
            <w:div w:id="1062604932">
              <w:marLeft w:val="0"/>
              <w:marRight w:val="0"/>
              <w:marTop w:val="0"/>
              <w:marBottom w:val="0"/>
              <w:divBdr>
                <w:top w:val="none" w:sz="0" w:space="0" w:color="auto"/>
                <w:left w:val="none" w:sz="0" w:space="0" w:color="auto"/>
                <w:bottom w:val="none" w:sz="0" w:space="0" w:color="auto"/>
                <w:right w:val="none" w:sz="0" w:space="0" w:color="auto"/>
              </w:divBdr>
            </w:div>
            <w:div w:id="1062875558">
              <w:marLeft w:val="0"/>
              <w:marRight w:val="0"/>
              <w:marTop w:val="0"/>
              <w:marBottom w:val="0"/>
              <w:divBdr>
                <w:top w:val="none" w:sz="0" w:space="0" w:color="auto"/>
                <w:left w:val="none" w:sz="0" w:space="0" w:color="auto"/>
                <w:bottom w:val="none" w:sz="0" w:space="0" w:color="auto"/>
                <w:right w:val="none" w:sz="0" w:space="0" w:color="auto"/>
              </w:divBdr>
            </w:div>
            <w:div w:id="1084228318">
              <w:marLeft w:val="0"/>
              <w:marRight w:val="0"/>
              <w:marTop w:val="0"/>
              <w:marBottom w:val="0"/>
              <w:divBdr>
                <w:top w:val="none" w:sz="0" w:space="0" w:color="auto"/>
                <w:left w:val="none" w:sz="0" w:space="0" w:color="auto"/>
                <w:bottom w:val="none" w:sz="0" w:space="0" w:color="auto"/>
                <w:right w:val="none" w:sz="0" w:space="0" w:color="auto"/>
              </w:divBdr>
            </w:div>
            <w:div w:id="1135174499">
              <w:marLeft w:val="0"/>
              <w:marRight w:val="0"/>
              <w:marTop w:val="0"/>
              <w:marBottom w:val="0"/>
              <w:divBdr>
                <w:top w:val="none" w:sz="0" w:space="0" w:color="auto"/>
                <w:left w:val="none" w:sz="0" w:space="0" w:color="auto"/>
                <w:bottom w:val="none" w:sz="0" w:space="0" w:color="auto"/>
                <w:right w:val="none" w:sz="0" w:space="0" w:color="auto"/>
              </w:divBdr>
            </w:div>
            <w:div w:id="1141728649">
              <w:marLeft w:val="0"/>
              <w:marRight w:val="0"/>
              <w:marTop w:val="0"/>
              <w:marBottom w:val="0"/>
              <w:divBdr>
                <w:top w:val="none" w:sz="0" w:space="0" w:color="auto"/>
                <w:left w:val="none" w:sz="0" w:space="0" w:color="auto"/>
                <w:bottom w:val="none" w:sz="0" w:space="0" w:color="auto"/>
                <w:right w:val="none" w:sz="0" w:space="0" w:color="auto"/>
              </w:divBdr>
            </w:div>
            <w:div w:id="1170483593">
              <w:marLeft w:val="0"/>
              <w:marRight w:val="0"/>
              <w:marTop w:val="0"/>
              <w:marBottom w:val="0"/>
              <w:divBdr>
                <w:top w:val="none" w:sz="0" w:space="0" w:color="auto"/>
                <w:left w:val="none" w:sz="0" w:space="0" w:color="auto"/>
                <w:bottom w:val="none" w:sz="0" w:space="0" w:color="auto"/>
                <w:right w:val="none" w:sz="0" w:space="0" w:color="auto"/>
              </w:divBdr>
            </w:div>
            <w:div w:id="1193693197">
              <w:marLeft w:val="0"/>
              <w:marRight w:val="0"/>
              <w:marTop w:val="0"/>
              <w:marBottom w:val="0"/>
              <w:divBdr>
                <w:top w:val="none" w:sz="0" w:space="0" w:color="auto"/>
                <w:left w:val="none" w:sz="0" w:space="0" w:color="auto"/>
                <w:bottom w:val="none" w:sz="0" w:space="0" w:color="auto"/>
                <w:right w:val="none" w:sz="0" w:space="0" w:color="auto"/>
              </w:divBdr>
            </w:div>
            <w:div w:id="1220941572">
              <w:marLeft w:val="0"/>
              <w:marRight w:val="0"/>
              <w:marTop w:val="0"/>
              <w:marBottom w:val="0"/>
              <w:divBdr>
                <w:top w:val="none" w:sz="0" w:space="0" w:color="auto"/>
                <w:left w:val="none" w:sz="0" w:space="0" w:color="auto"/>
                <w:bottom w:val="none" w:sz="0" w:space="0" w:color="auto"/>
                <w:right w:val="none" w:sz="0" w:space="0" w:color="auto"/>
              </w:divBdr>
            </w:div>
            <w:div w:id="1239243263">
              <w:marLeft w:val="0"/>
              <w:marRight w:val="0"/>
              <w:marTop w:val="0"/>
              <w:marBottom w:val="0"/>
              <w:divBdr>
                <w:top w:val="none" w:sz="0" w:space="0" w:color="auto"/>
                <w:left w:val="none" w:sz="0" w:space="0" w:color="auto"/>
                <w:bottom w:val="none" w:sz="0" w:space="0" w:color="auto"/>
                <w:right w:val="none" w:sz="0" w:space="0" w:color="auto"/>
              </w:divBdr>
            </w:div>
            <w:div w:id="1242836848">
              <w:marLeft w:val="0"/>
              <w:marRight w:val="0"/>
              <w:marTop w:val="0"/>
              <w:marBottom w:val="0"/>
              <w:divBdr>
                <w:top w:val="none" w:sz="0" w:space="0" w:color="auto"/>
                <w:left w:val="none" w:sz="0" w:space="0" w:color="auto"/>
                <w:bottom w:val="none" w:sz="0" w:space="0" w:color="auto"/>
                <w:right w:val="none" w:sz="0" w:space="0" w:color="auto"/>
              </w:divBdr>
            </w:div>
            <w:div w:id="1260723381">
              <w:marLeft w:val="0"/>
              <w:marRight w:val="0"/>
              <w:marTop w:val="0"/>
              <w:marBottom w:val="0"/>
              <w:divBdr>
                <w:top w:val="none" w:sz="0" w:space="0" w:color="auto"/>
                <w:left w:val="none" w:sz="0" w:space="0" w:color="auto"/>
                <w:bottom w:val="none" w:sz="0" w:space="0" w:color="auto"/>
                <w:right w:val="none" w:sz="0" w:space="0" w:color="auto"/>
              </w:divBdr>
            </w:div>
            <w:div w:id="1310280958">
              <w:marLeft w:val="0"/>
              <w:marRight w:val="0"/>
              <w:marTop w:val="0"/>
              <w:marBottom w:val="0"/>
              <w:divBdr>
                <w:top w:val="none" w:sz="0" w:space="0" w:color="auto"/>
                <w:left w:val="none" w:sz="0" w:space="0" w:color="auto"/>
                <w:bottom w:val="none" w:sz="0" w:space="0" w:color="auto"/>
                <w:right w:val="none" w:sz="0" w:space="0" w:color="auto"/>
              </w:divBdr>
            </w:div>
            <w:div w:id="1338001012">
              <w:marLeft w:val="0"/>
              <w:marRight w:val="0"/>
              <w:marTop w:val="0"/>
              <w:marBottom w:val="0"/>
              <w:divBdr>
                <w:top w:val="none" w:sz="0" w:space="0" w:color="auto"/>
                <w:left w:val="none" w:sz="0" w:space="0" w:color="auto"/>
                <w:bottom w:val="none" w:sz="0" w:space="0" w:color="auto"/>
                <w:right w:val="none" w:sz="0" w:space="0" w:color="auto"/>
              </w:divBdr>
            </w:div>
            <w:div w:id="1372415914">
              <w:marLeft w:val="0"/>
              <w:marRight w:val="0"/>
              <w:marTop w:val="0"/>
              <w:marBottom w:val="0"/>
              <w:divBdr>
                <w:top w:val="none" w:sz="0" w:space="0" w:color="auto"/>
                <w:left w:val="none" w:sz="0" w:space="0" w:color="auto"/>
                <w:bottom w:val="none" w:sz="0" w:space="0" w:color="auto"/>
                <w:right w:val="none" w:sz="0" w:space="0" w:color="auto"/>
              </w:divBdr>
            </w:div>
            <w:div w:id="1379622946">
              <w:marLeft w:val="0"/>
              <w:marRight w:val="0"/>
              <w:marTop w:val="0"/>
              <w:marBottom w:val="0"/>
              <w:divBdr>
                <w:top w:val="none" w:sz="0" w:space="0" w:color="auto"/>
                <w:left w:val="none" w:sz="0" w:space="0" w:color="auto"/>
                <w:bottom w:val="none" w:sz="0" w:space="0" w:color="auto"/>
                <w:right w:val="none" w:sz="0" w:space="0" w:color="auto"/>
              </w:divBdr>
            </w:div>
            <w:div w:id="1416508993">
              <w:marLeft w:val="0"/>
              <w:marRight w:val="0"/>
              <w:marTop w:val="0"/>
              <w:marBottom w:val="0"/>
              <w:divBdr>
                <w:top w:val="none" w:sz="0" w:space="0" w:color="auto"/>
                <w:left w:val="none" w:sz="0" w:space="0" w:color="auto"/>
                <w:bottom w:val="none" w:sz="0" w:space="0" w:color="auto"/>
                <w:right w:val="none" w:sz="0" w:space="0" w:color="auto"/>
              </w:divBdr>
            </w:div>
            <w:div w:id="1430657314">
              <w:marLeft w:val="0"/>
              <w:marRight w:val="0"/>
              <w:marTop w:val="0"/>
              <w:marBottom w:val="0"/>
              <w:divBdr>
                <w:top w:val="none" w:sz="0" w:space="0" w:color="auto"/>
                <w:left w:val="none" w:sz="0" w:space="0" w:color="auto"/>
                <w:bottom w:val="none" w:sz="0" w:space="0" w:color="auto"/>
                <w:right w:val="none" w:sz="0" w:space="0" w:color="auto"/>
              </w:divBdr>
            </w:div>
            <w:div w:id="1460490953">
              <w:marLeft w:val="0"/>
              <w:marRight w:val="0"/>
              <w:marTop w:val="0"/>
              <w:marBottom w:val="0"/>
              <w:divBdr>
                <w:top w:val="none" w:sz="0" w:space="0" w:color="auto"/>
                <w:left w:val="none" w:sz="0" w:space="0" w:color="auto"/>
                <w:bottom w:val="none" w:sz="0" w:space="0" w:color="auto"/>
                <w:right w:val="none" w:sz="0" w:space="0" w:color="auto"/>
              </w:divBdr>
            </w:div>
            <w:div w:id="1461219888">
              <w:marLeft w:val="0"/>
              <w:marRight w:val="0"/>
              <w:marTop w:val="0"/>
              <w:marBottom w:val="0"/>
              <w:divBdr>
                <w:top w:val="none" w:sz="0" w:space="0" w:color="auto"/>
                <w:left w:val="none" w:sz="0" w:space="0" w:color="auto"/>
                <w:bottom w:val="none" w:sz="0" w:space="0" w:color="auto"/>
                <w:right w:val="none" w:sz="0" w:space="0" w:color="auto"/>
              </w:divBdr>
            </w:div>
            <w:div w:id="1468468426">
              <w:marLeft w:val="0"/>
              <w:marRight w:val="0"/>
              <w:marTop w:val="0"/>
              <w:marBottom w:val="0"/>
              <w:divBdr>
                <w:top w:val="none" w:sz="0" w:space="0" w:color="auto"/>
                <w:left w:val="none" w:sz="0" w:space="0" w:color="auto"/>
                <w:bottom w:val="none" w:sz="0" w:space="0" w:color="auto"/>
                <w:right w:val="none" w:sz="0" w:space="0" w:color="auto"/>
              </w:divBdr>
            </w:div>
            <w:div w:id="1470242315">
              <w:marLeft w:val="0"/>
              <w:marRight w:val="0"/>
              <w:marTop w:val="0"/>
              <w:marBottom w:val="0"/>
              <w:divBdr>
                <w:top w:val="none" w:sz="0" w:space="0" w:color="auto"/>
                <w:left w:val="none" w:sz="0" w:space="0" w:color="auto"/>
                <w:bottom w:val="none" w:sz="0" w:space="0" w:color="auto"/>
                <w:right w:val="none" w:sz="0" w:space="0" w:color="auto"/>
              </w:divBdr>
            </w:div>
            <w:div w:id="1500579781">
              <w:marLeft w:val="0"/>
              <w:marRight w:val="0"/>
              <w:marTop w:val="0"/>
              <w:marBottom w:val="0"/>
              <w:divBdr>
                <w:top w:val="none" w:sz="0" w:space="0" w:color="auto"/>
                <w:left w:val="none" w:sz="0" w:space="0" w:color="auto"/>
                <w:bottom w:val="none" w:sz="0" w:space="0" w:color="auto"/>
                <w:right w:val="none" w:sz="0" w:space="0" w:color="auto"/>
              </w:divBdr>
            </w:div>
            <w:div w:id="1522544785">
              <w:marLeft w:val="0"/>
              <w:marRight w:val="0"/>
              <w:marTop w:val="0"/>
              <w:marBottom w:val="0"/>
              <w:divBdr>
                <w:top w:val="none" w:sz="0" w:space="0" w:color="auto"/>
                <w:left w:val="none" w:sz="0" w:space="0" w:color="auto"/>
                <w:bottom w:val="none" w:sz="0" w:space="0" w:color="auto"/>
                <w:right w:val="none" w:sz="0" w:space="0" w:color="auto"/>
              </w:divBdr>
            </w:div>
            <w:div w:id="1532765403">
              <w:marLeft w:val="0"/>
              <w:marRight w:val="0"/>
              <w:marTop w:val="0"/>
              <w:marBottom w:val="0"/>
              <w:divBdr>
                <w:top w:val="none" w:sz="0" w:space="0" w:color="auto"/>
                <w:left w:val="none" w:sz="0" w:space="0" w:color="auto"/>
                <w:bottom w:val="none" w:sz="0" w:space="0" w:color="auto"/>
                <w:right w:val="none" w:sz="0" w:space="0" w:color="auto"/>
              </w:divBdr>
            </w:div>
            <w:div w:id="1570530662">
              <w:marLeft w:val="0"/>
              <w:marRight w:val="0"/>
              <w:marTop w:val="0"/>
              <w:marBottom w:val="0"/>
              <w:divBdr>
                <w:top w:val="none" w:sz="0" w:space="0" w:color="auto"/>
                <w:left w:val="none" w:sz="0" w:space="0" w:color="auto"/>
                <w:bottom w:val="none" w:sz="0" w:space="0" w:color="auto"/>
                <w:right w:val="none" w:sz="0" w:space="0" w:color="auto"/>
              </w:divBdr>
            </w:div>
            <w:div w:id="1620140933">
              <w:marLeft w:val="0"/>
              <w:marRight w:val="0"/>
              <w:marTop w:val="0"/>
              <w:marBottom w:val="0"/>
              <w:divBdr>
                <w:top w:val="none" w:sz="0" w:space="0" w:color="auto"/>
                <w:left w:val="none" w:sz="0" w:space="0" w:color="auto"/>
                <w:bottom w:val="none" w:sz="0" w:space="0" w:color="auto"/>
                <w:right w:val="none" w:sz="0" w:space="0" w:color="auto"/>
              </w:divBdr>
            </w:div>
            <w:div w:id="1647397662">
              <w:marLeft w:val="0"/>
              <w:marRight w:val="0"/>
              <w:marTop w:val="0"/>
              <w:marBottom w:val="0"/>
              <w:divBdr>
                <w:top w:val="none" w:sz="0" w:space="0" w:color="auto"/>
                <w:left w:val="none" w:sz="0" w:space="0" w:color="auto"/>
                <w:bottom w:val="none" w:sz="0" w:space="0" w:color="auto"/>
                <w:right w:val="none" w:sz="0" w:space="0" w:color="auto"/>
              </w:divBdr>
            </w:div>
            <w:div w:id="1680429936">
              <w:marLeft w:val="0"/>
              <w:marRight w:val="0"/>
              <w:marTop w:val="0"/>
              <w:marBottom w:val="0"/>
              <w:divBdr>
                <w:top w:val="none" w:sz="0" w:space="0" w:color="auto"/>
                <w:left w:val="none" w:sz="0" w:space="0" w:color="auto"/>
                <w:bottom w:val="none" w:sz="0" w:space="0" w:color="auto"/>
                <w:right w:val="none" w:sz="0" w:space="0" w:color="auto"/>
              </w:divBdr>
            </w:div>
            <w:div w:id="1713798820">
              <w:marLeft w:val="0"/>
              <w:marRight w:val="0"/>
              <w:marTop w:val="0"/>
              <w:marBottom w:val="0"/>
              <w:divBdr>
                <w:top w:val="none" w:sz="0" w:space="0" w:color="auto"/>
                <w:left w:val="none" w:sz="0" w:space="0" w:color="auto"/>
                <w:bottom w:val="none" w:sz="0" w:space="0" w:color="auto"/>
                <w:right w:val="none" w:sz="0" w:space="0" w:color="auto"/>
              </w:divBdr>
            </w:div>
            <w:div w:id="1781874133">
              <w:marLeft w:val="0"/>
              <w:marRight w:val="0"/>
              <w:marTop w:val="0"/>
              <w:marBottom w:val="0"/>
              <w:divBdr>
                <w:top w:val="none" w:sz="0" w:space="0" w:color="auto"/>
                <w:left w:val="none" w:sz="0" w:space="0" w:color="auto"/>
                <w:bottom w:val="none" w:sz="0" w:space="0" w:color="auto"/>
                <w:right w:val="none" w:sz="0" w:space="0" w:color="auto"/>
              </w:divBdr>
            </w:div>
            <w:div w:id="1789279216">
              <w:marLeft w:val="0"/>
              <w:marRight w:val="0"/>
              <w:marTop w:val="0"/>
              <w:marBottom w:val="0"/>
              <w:divBdr>
                <w:top w:val="none" w:sz="0" w:space="0" w:color="auto"/>
                <w:left w:val="none" w:sz="0" w:space="0" w:color="auto"/>
                <w:bottom w:val="none" w:sz="0" w:space="0" w:color="auto"/>
                <w:right w:val="none" w:sz="0" w:space="0" w:color="auto"/>
              </w:divBdr>
            </w:div>
            <w:div w:id="1845316369">
              <w:marLeft w:val="0"/>
              <w:marRight w:val="0"/>
              <w:marTop w:val="0"/>
              <w:marBottom w:val="0"/>
              <w:divBdr>
                <w:top w:val="none" w:sz="0" w:space="0" w:color="auto"/>
                <w:left w:val="none" w:sz="0" w:space="0" w:color="auto"/>
                <w:bottom w:val="none" w:sz="0" w:space="0" w:color="auto"/>
                <w:right w:val="none" w:sz="0" w:space="0" w:color="auto"/>
              </w:divBdr>
            </w:div>
            <w:div w:id="1851332287">
              <w:marLeft w:val="0"/>
              <w:marRight w:val="0"/>
              <w:marTop w:val="0"/>
              <w:marBottom w:val="0"/>
              <w:divBdr>
                <w:top w:val="none" w:sz="0" w:space="0" w:color="auto"/>
                <w:left w:val="none" w:sz="0" w:space="0" w:color="auto"/>
                <w:bottom w:val="none" w:sz="0" w:space="0" w:color="auto"/>
                <w:right w:val="none" w:sz="0" w:space="0" w:color="auto"/>
              </w:divBdr>
            </w:div>
            <w:div w:id="1879703720">
              <w:marLeft w:val="0"/>
              <w:marRight w:val="0"/>
              <w:marTop w:val="0"/>
              <w:marBottom w:val="0"/>
              <w:divBdr>
                <w:top w:val="none" w:sz="0" w:space="0" w:color="auto"/>
                <w:left w:val="none" w:sz="0" w:space="0" w:color="auto"/>
                <w:bottom w:val="none" w:sz="0" w:space="0" w:color="auto"/>
                <w:right w:val="none" w:sz="0" w:space="0" w:color="auto"/>
              </w:divBdr>
            </w:div>
            <w:div w:id="1954899957">
              <w:marLeft w:val="0"/>
              <w:marRight w:val="0"/>
              <w:marTop w:val="0"/>
              <w:marBottom w:val="0"/>
              <w:divBdr>
                <w:top w:val="none" w:sz="0" w:space="0" w:color="auto"/>
                <w:left w:val="none" w:sz="0" w:space="0" w:color="auto"/>
                <w:bottom w:val="none" w:sz="0" w:space="0" w:color="auto"/>
                <w:right w:val="none" w:sz="0" w:space="0" w:color="auto"/>
              </w:divBdr>
            </w:div>
            <w:div w:id="1959948078">
              <w:marLeft w:val="0"/>
              <w:marRight w:val="0"/>
              <w:marTop w:val="0"/>
              <w:marBottom w:val="0"/>
              <w:divBdr>
                <w:top w:val="none" w:sz="0" w:space="0" w:color="auto"/>
                <w:left w:val="none" w:sz="0" w:space="0" w:color="auto"/>
                <w:bottom w:val="none" w:sz="0" w:space="0" w:color="auto"/>
                <w:right w:val="none" w:sz="0" w:space="0" w:color="auto"/>
              </w:divBdr>
            </w:div>
            <w:div w:id="2029480539">
              <w:marLeft w:val="0"/>
              <w:marRight w:val="0"/>
              <w:marTop w:val="0"/>
              <w:marBottom w:val="0"/>
              <w:divBdr>
                <w:top w:val="none" w:sz="0" w:space="0" w:color="auto"/>
                <w:left w:val="none" w:sz="0" w:space="0" w:color="auto"/>
                <w:bottom w:val="none" w:sz="0" w:space="0" w:color="auto"/>
                <w:right w:val="none" w:sz="0" w:space="0" w:color="auto"/>
              </w:divBdr>
            </w:div>
            <w:div w:id="2032216416">
              <w:marLeft w:val="0"/>
              <w:marRight w:val="0"/>
              <w:marTop w:val="0"/>
              <w:marBottom w:val="0"/>
              <w:divBdr>
                <w:top w:val="none" w:sz="0" w:space="0" w:color="auto"/>
                <w:left w:val="none" w:sz="0" w:space="0" w:color="auto"/>
                <w:bottom w:val="none" w:sz="0" w:space="0" w:color="auto"/>
                <w:right w:val="none" w:sz="0" w:space="0" w:color="auto"/>
              </w:divBdr>
            </w:div>
            <w:div w:id="2034529403">
              <w:marLeft w:val="0"/>
              <w:marRight w:val="0"/>
              <w:marTop w:val="0"/>
              <w:marBottom w:val="0"/>
              <w:divBdr>
                <w:top w:val="none" w:sz="0" w:space="0" w:color="auto"/>
                <w:left w:val="none" w:sz="0" w:space="0" w:color="auto"/>
                <w:bottom w:val="none" w:sz="0" w:space="0" w:color="auto"/>
                <w:right w:val="none" w:sz="0" w:space="0" w:color="auto"/>
              </w:divBdr>
            </w:div>
            <w:div w:id="2036418810">
              <w:marLeft w:val="0"/>
              <w:marRight w:val="0"/>
              <w:marTop w:val="0"/>
              <w:marBottom w:val="0"/>
              <w:divBdr>
                <w:top w:val="none" w:sz="0" w:space="0" w:color="auto"/>
                <w:left w:val="none" w:sz="0" w:space="0" w:color="auto"/>
                <w:bottom w:val="none" w:sz="0" w:space="0" w:color="auto"/>
                <w:right w:val="none" w:sz="0" w:space="0" w:color="auto"/>
              </w:divBdr>
            </w:div>
            <w:div w:id="2072539339">
              <w:marLeft w:val="0"/>
              <w:marRight w:val="0"/>
              <w:marTop w:val="0"/>
              <w:marBottom w:val="0"/>
              <w:divBdr>
                <w:top w:val="none" w:sz="0" w:space="0" w:color="auto"/>
                <w:left w:val="none" w:sz="0" w:space="0" w:color="auto"/>
                <w:bottom w:val="none" w:sz="0" w:space="0" w:color="auto"/>
                <w:right w:val="none" w:sz="0" w:space="0" w:color="auto"/>
              </w:divBdr>
            </w:div>
            <w:div w:id="2074043797">
              <w:marLeft w:val="0"/>
              <w:marRight w:val="0"/>
              <w:marTop w:val="0"/>
              <w:marBottom w:val="0"/>
              <w:divBdr>
                <w:top w:val="none" w:sz="0" w:space="0" w:color="auto"/>
                <w:left w:val="none" w:sz="0" w:space="0" w:color="auto"/>
                <w:bottom w:val="none" w:sz="0" w:space="0" w:color="auto"/>
                <w:right w:val="none" w:sz="0" w:space="0" w:color="auto"/>
              </w:divBdr>
            </w:div>
            <w:div w:id="2076465931">
              <w:marLeft w:val="0"/>
              <w:marRight w:val="0"/>
              <w:marTop w:val="0"/>
              <w:marBottom w:val="0"/>
              <w:divBdr>
                <w:top w:val="none" w:sz="0" w:space="0" w:color="auto"/>
                <w:left w:val="none" w:sz="0" w:space="0" w:color="auto"/>
                <w:bottom w:val="none" w:sz="0" w:space="0" w:color="auto"/>
                <w:right w:val="none" w:sz="0" w:space="0" w:color="auto"/>
              </w:divBdr>
            </w:div>
            <w:div w:id="2107269868">
              <w:marLeft w:val="0"/>
              <w:marRight w:val="0"/>
              <w:marTop w:val="0"/>
              <w:marBottom w:val="0"/>
              <w:divBdr>
                <w:top w:val="none" w:sz="0" w:space="0" w:color="auto"/>
                <w:left w:val="none" w:sz="0" w:space="0" w:color="auto"/>
                <w:bottom w:val="none" w:sz="0" w:space="0" w:color="auto"/>
                <w:right w:val="none" w:sz="0" w:space="0" w:color="auto"/>
              </w:divBdr>
            </w:div>
            <w:div w:id="2108649231">
              <w:marLeft w:val="0"/>
              <w:marRight w:val="0"/>
              <w:marTop w:val="0"/>
              <w:marBottom w:val="0"/>
              <w:divBdr>
                <w:top w:val="none" w:sz="0" w:space="0" w:color="auto"/>
                <w:left w:val="none" w:sz="0" w:space="0" w:color="auto"/>
                <w:bottom w:val="none" w:sz="0" w:space="0" w:color="auto"/>
                <w:right w:val="none" w:sz="0" w:space="0" w:color="auto"/>
              </w:divBdr>
            </w:div>
            <w:div w:id="2143846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652363">
      <w:bodyDiv w:val="1"/>
      <w:marLeft w:val="0"/>
      <w:marRight w:val="0"/>
      <w:marTop w:val="0"/>
      <w:marBottom w:val="0"/>
      <w:divBdr>
        <w:top w:val="none" w:sz="0" w:space="0" w:color="auto"/>
        <w:left w:val="none" w:sz="0" w:space="0" w:color="auto"/>
        <w:bottom w:val="none" w:sz="0" w:space="0" w:color="auto"/>
        <w:right w:val="none" w:sz="0" w:space="0" w:color="auto"/>
      </w:divBdr>
      <w:divsChild>
        <w:div w:id="239216717">
          <w:marLeft w:val="480"/>
          <w:marRight w:val="0"/>
          <w:marTop w:val="0"/>
          <w:marBottom w:val="0"/>
          <w:divBdr>
            <w:top w:val="none" w:sz="0" w:space="0" w:color="auto"/>
            <w:left w:val="none" w:sz="0" w:space="0" w:color="auto"/>
            <w:bottom w:val="none" w:sz="0" w:space="0" w:color="auto"/>
            <w:right w:val="none" w:sz="0" w:space="0" w:color="auto"/>
          </w:divBdr>
          <w:divsChild>
            <w:div w:id="153271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567811">
      <w:bodyDiv w:val="1"/>
      <w:marLeft w:val="0"/>
      <w:marRight w:val="0"/>
      <w:marTop w:val="0"/>
      <w:marBottom w:val="0"/>
      <w:divBdr>
        <w:top w:val="none" w:sz="0" w:space="0" w:color="auto"/>
        <w:left w:val="none" w:sz="0" w:space="0" w:color="auto"/>
        <w:bottom w:val="none" w:sz="0" w:space="0" w:color="auto"/>
        <w:right w:val="none" w:sz="0" w:space="0" w:color="auto"/>
      </w:divBdr>
      <w:divsChild>
        <w:div w:id="223375929">
          <w:marLeft w:val="480"/>
          <w:marRight w:val="0"/>
          <w:marTop w:val="0"/>
          <w:marBottom w:val="0"/>
          <w:divBdr>
            <w:top w:val="none" w:sz="0" w:space="0" w:color="auto"/>
            <w:left w:val="none" w:sz="0" w:space="0" w:color="auto"/>
            <w:bottom w:val="none" w:sz="0" w:space="0" w:color="auto"/>
            <w:right w:val="none" w:sz="0" w:space="0" w:color="auto"/>
          </w:divBdr>
          <w:divsChild>
            <w:div w:id="187873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726954">
      <w:bodyDiv w:val="1"/>
      <w:marLeft w:val="0"/>
      <w:marRight w:val="0"/>
      <w:marTop w:val="0"/>
      <w:marBottom w:val="0"/>
      <w:divBdr>
        <w:top w:val="none" w:sz="0" w:space="0" w:color="auto"/>
        <w:left w:val="none" w:sz="0" w:space="0" w:color="auto"/>
        <w:bottom w:val="none" w:sz="0" w:space="0" w:color="auto"/>
        <w:right w:val="none" w:sz="0" w:space="0" w:color="auto"/>
      </w:divBdr>
      <w:divsChild>
        <w:div w:id="341396478">
          <w:marLeft w:val="0"/>
          <w:marRight w:val="0"/>
          <w:marTop w:val="0"/>
          <w:marBottom w:val="0"/>
          <w:divBdr>
            <w:top w:val="none" w:sz="0" w:space="0" w:color="auto"/>
            <w:left w:val="none" w:sz="0" w:space="0" w:color="auto"/>
            <w:bottom w:val="none" w:sz="0" w:space="0" w:color="auto"/>
            <w:right w:val="none" w:sz="0" w:space="0" w:color="auto"/>
          </w:divBdr>
        </w:div>
        <w:div w:id="501044837">
          <w:marLeft w:val="0"/>
          <w:marRight w:val="0"/>
          <w:marTop w:val="0"/>
          <w:marBottom w:val="0"/>
          <w:divBdr>
            <w:top w:val="none" w:sz="0" w:space="0" w:color="auto"/>
            <w:left w:val="none" w:sz="0" w:space="0" w:color="auto"/>
            <w:bottom w:val="none" w:sz="0" w:space="0" w:color="auto"/>
            <w:right w:val="none" w:sz="0" w:space="0" w:color="auto"/>
          </w:divBdr>
        </w:div>
        <w:div w:id="933785278">
          <w:marLeft w:val="0"/>
          <w:marRight w:val="0"/>
          <w:marTop w:val="0"/>
          <w:marBottom w:val="0"/>
          <w:divBdr>
            <w:top w:val="none" w:sz="0" w:space="0" w:color="auto"/>
            <w:left w:val="none" w:sz="0" w:space="0" w:color="auto"/>
            <w:bottom w:val="none" w:sz="0" w:space="0" w:color="auto"/>
            <w:right w:val="none" w:sz="0" w:space="0" w:color="auto"/>
          </w:divBdr>
        </w:div>
        <w:div w:id="1376856118">
          <w:marLeft w:val="0"/>
          <w:marRight w:val="0"/>
          <w:marTop w:val="0"/>
          <w:marBottom w:val="0"/>
          <w:divBdr>
            <w:top w:val="none" w:sz="0" w:space="0" w:color="auto"/>
            <w:left w:val="none" w:sz="0" w:space="0" w:color="auto"/>
            <w:bottom w:val="none" w:sz="0" w:space="0" w:color="auto"/>
            <w:right w:val="none" w:sz="0" w:space="0" w:color="auto"/>
          </w:divBdr>
        </w:div>
        <w:div w:id="1498232269">
          <w:marLeft w:val="0"/>
          <w:marRight w:val="0"/>
          <w:marTop w:val="0"/>
          <w:marBottom w:val="0"/>
          <w:divBdr>
            <w:top w:val="none" w:sz="0" w:space="0" w:color="auto"/>
            <w:left w:val="none" w:sz="0" w:space="0" w:color="auto"/>
            <w:bottom w:val="none" w:sz="0" w:space="0" w:color="auto"/>
            <w:right w:val="none" w:sz="0" w:space="0" w:color="auto"/>
          </w:divBdr>
        </w:div>
        <w:div w:id="1878541442">
          <w:marLeft w:val="0"/>
          <w:marRight w:val="0"/>
          <w:marTop w:val="0"/>
          <w:marBottom w:val="0"/>
          <w:divBdr>
            <w:top w:val="none" w:sz="0" w:space="0" w:color="auto"/>
            <w:left w:val="none" w:sz="0" w:space="0" w:color="auto"/>
            <w:bottom w:val="none" w:sz="0" w:space="0" w:color="auto"/>
            <w:right w:val="none" w:sz="0" w:space="0" w:color="auto"/>
          </w:divBdr>
        </w:div>
      </w:divsChild>
    </w:div>
    <w:div w:id="806048440">
      <w:bodyDiv w:val="1"/>
      <w:marLeft w:val="0"/>
      <w:marRight w:val="0"/>
      <w:marTop w:val="0"/>
      <w:marBottom w:val="0"/>
      <w:divBdr>
        <w:top w:val="none" w:sz="0" w:space="0" w:color="auto"/>
        <w:left w:val="none" w:sz="0" w:space="0" w:color="auto"/>
        <w:bottom w:val="none" w:sz="0" w:space="0" w:color="auto"/>
        <w:right w:val="none" w:sz="0" w:space="0" w:color="auto"/>
      </w:divBdr>
      <w:divsChild>
        <w:div w:id="1915309259">
          <w:marLeft w:val="480"/>
          <w:marRight w:val="0"/>
          <w:marTop w:val="0"/>
          <w:marBottom w:val="0"/>
          <w:divBdr>
            <w:top w:val="none" w:sz="0" w:space="0" w:color="auto"/>
            <w:left w:val="none" w:sz="0" w:space="0" w:color="auto"/>
            <w:bottom w:val="none" w:sz="0" w:space="0" w:color="auto"/>
            <w:right w:val="none" w:sz="0" w:space="0" w:color="auto"/>
          </w:divBdr>
          <w:divsChild>
            <w:div w:id="11223133">
              <w:marLeft w:val="0"/>
              <w:marRight w:val="0"/>
              <w:marTop w:val="0"/>
              <w:marBottom w:val="0"/>
              <w:divBdr>
                <w:top w:val="none" w:sz="0" w:space="0" w:color="auto"/>
                <w:left w:val="none" w:sz="0" w:space="0" w:color="auto"/>
                <w:bottom w:val="none" w:sz="0" w:space="0" w:color="auto"/>
                <w:right w:val="none" w:sz="0" w:space="0" w:color="auto"/>
              </w:divBdr>
            </w:div>
            <w:div w:id="17514967">
              <w:marLeft w:val="0"/>
              <w:marRight w:val="0"/>
              <w:marTop w:val="0"/>
              <w:marBottom w:val="0"/>
              <w:divBdr>
                <w:top w:val="none" w:sz="0" w:space="0" w:color="auto"/>
                <w:left w:val="none" w:sz="0" w:space="0" w:color="auto"/>
                <w:bottom w:val="none" w:sz="0" w:space="0" w:color="auto"/>
                <w:right w:val="none" w:sz="0" w:space="0" w:color="auto"/>
              </w:divBdr>
            </w:div>
            <w:div w:id="37239423">
              <w:marLeft w:val="0"/>
              <w:marRight w:val="0"/>
              <w:marTop w:val="0"/>
              <w:marBottom w:val="0"/>
              <w:divBdr>
                <w:top w:val="none" w:sz="0" w:space="0" w:color="auto"/>
                <w:left w:val="none" w:sz="0" w:space="0" w:color="auto"/>
                <w:bottom w:val="none" w:sz="0" w:space="0" w:color="auto"/>
                <w:right w:val="none" w:sz="0" w:space="0" w:color="auto"/>
              </w:divBdr>
            </w:div>
            <w:div w:id="39716839">
              <w:marLeft w:val="0"/>
              <w:marRight w:val="0"/>
              <w:marTop w:val="0"/>
              <w:marBottom w:val="0"/>
              <w:divBdr>
                <w:top w:val="none" w:sz="0" w:space="0" w:color="auto"/>
                <w:left w:val="none" w:sz="0" w:space="0" w:color="auto"/>
                <w:bottom w:val="none" w:sz="0" w:space="0" w:color="auto"/>
                <w:right w:val="none" w:sz="0" w:space="0" w:color="auto"/>
              </w:divBdr>
            </w:div>
            <w:div w:id="44721839">
              <w:marLeft w:val="0"/>
              <w:marRight w:val="0"/>
              <w:marTop w:val="0"/>
              <w:marBottom w:val="0"/>
              <w:divBdr>
                <w:top w:val="none" w:sz="0" w:space="0" w:color="auto"/>
                <w:left w:val="none" w:sz="0" w:space="0" w:color="auto"/>
                <w:bottom w:val="none" w:sz="0" w:space="0" w:color="auto"/>
                <w:right w:val="none" w:sz="0" w:space="0" w:color="auto"/>
              </w:divBdr>
            </w:div>
            <w:div w:id="45954278">
              <w:marLeft w:val="0"/>
              <w:marRight w:val="0"/>
              <w:marTop w:val="0"/>
              <w:marBottom w:val="0"/>
              <w:divBdr>
                <w:top w:val="none" w:sz="0" w:space="0" w:color="auto"/>
                <w:left w:val="none" w:sz="0" w:space="0" w:color="auto"/>
                <w:bottom w:val="none" w:sz="0" w:space="0" w:color="auto"/>
                <w:right w:val="none" w:sz="0" w:space="0" w:color="auto"/>
              </w:divBdr>
            </w:div>
            <w:div w:id="52891583">
              <w:marLeft w:val="0"/>
              <w:marRight w:val="0"/>
              <w:marTop w:val="0"/>
              <w:marBottom w:val="0"/>
              <w:divBdr>
                <w:top w:val="none" w:sz="0" w:space="0" w:color="auto"/>
                <w:left w:val="none" w:sz="0" w:space="0" w:color="auto"/>
                <w:bottom w:val="none" w:sz="0" w:space="0" w:color="auto"/>
                <w:right w:val="none" w:sz="0" w:space="0" w:color="auto"/>
              </w:divBdr>
            </w:div>
            <w:div w:id="57017178">
              <w:marLeft w:val="0"/>
              <w:marRight w:val="0"/>
              <w:marTop w:val="0"/>
              <w:marBottom w:val="0"/>
              <w:divBdr>
                <w:top w:val="none" w:sz="0" w:space="0" w:color="auto"/>
                <w:left w:val="none" w:sz="0" w:space="0" w:color="auto"/>
                <w:bottom w:val="none" w:sz="0" w:space="0" w:color="auto"/>
                <w:right w:val="none" w:sz="0" w:space="0" w:color="auto"/>
              </w:divBdr>
            </w:div>
            <w:div w:id="73668927">
              <w:marLeft w:val="0"/>
              <w:marRight w:val="0"/>
              <w:marTop w:val="0"/>
              <w:marBottom w:val="0"/>
              <w:divBdr>
                <w:top w:val="none" w:sz="0" w:space="0" w:color="auto"/>
                <w:left w:val="none" w:sz="0" w:space="0" w:color="auto"/>
                <w:bottom w:val="none" w:sz="0" w:space="0" w:color="auto"/>
                <w:right w:val="none" w:sz="0" w:space="0" w:color="auto"/>
              </w:divBdr>
            </w:div>
            <w:div w:id="93861776">
              <w:marLeft w:val="0"/>
              <w:marRight w:val="0"/>
              <w:marTop w:val="0"/>
              <w:marBottom w:val="0"/>
              <w:divBdr>
                <w:top w:val="none" w:sz="0" w:space="0" w:color="auto"/>
                <w:left w:val="none" w:sz="0" w:space="0" w:color="auto"/>
                <w:bottom w:val="none" w:sz="0" w:space="0" w:color="auto"/>
                <w:right w:val="none" w:sz="0" w:space="0" w:color="auto"/>
              </w:divBdr>
            </w:div>
            <w:div w:id="121077093">
              <w:marLeft w:val="0"/>
              <w:marRight w:val="0"/>
              <w:marTop w:val="0"/>
              <w:marBottom w:val="0"/>
              <w:divBdr>
                <w:top w:val="none" w:sz="0" w:space="0" w:color="auto"/>
                <w:left w:val="none" w:sz="0" w:space="0" w:color="auto"/>
                <w:bottom w:val="none" w:sz="0" w:space="0" w:color="auto"/>
                <w:right w:val="none" w:sz="0" w:space="0" w:color="auto"/>
              </w:divBdr>
            </w:div>
            <w:div w:id="122969125">
              <w:marLeft w:val="0"/>
              <w:marRight w:val="0"/>
              <w:marTop w:val="0"/>
              <w:marBottom w:val="0"/>
              <w:divBdr>
                <w:top w:val="none" w:sz="0" w:space="0" w:color="auto"/>
                <w:left w:val="none" w:sz="0" w:space="0" w:color="auto"/>
                <w:bottom w:val="none" w:sz="0" w:space="0" w:color="auto"/>
                <w:right w:val="none" w:sz="0" w:space="0" w:color="auto"/>
              </w:divBdr>
            </w:div>
            <w:div w:id="184246108">
              <w:marLeft w:val="0"/>
              <w:marRight w:val="0"/>
              <w:marTop w:val="0"/>
              <w:marBottom w:val="0"/>
              <w:divBdr>
                <w:top w:val="none" w:sz="0" w:space="0" w:color="auto"/>
                <w:left w:val="none" w:sz="0" w:space="0" w:color="auto"/>
                <w:bottom w:val="none" w:sz="0" w:space="0" w:color="auto"/>
                <w:right w:val="none" w:sz="0" w:space="0" w:color="auto"/>
              </w:divBdr>
            </w:div>
            <w:div w:id="187530883">
              <w:marLeft w:val="0"/>
              <w:marRight w:val="0"/>
              <w:marTop w:val="0"/>
              <w:marBottom w:val="0"/>
              <w:divBdr>
                <w:top w:val="none" w:sz="0" w:space="0" w:color="auto"/>
                <w:left w:val="none" w:sz="0" w:space="0" w:color="auto"/>
                <w:bottom w:val="none" w:sz="0" w:space="0" w:color="auto"/>
                <w:right w:val="none" w:sz="0" w:space="0" w:color="auto"/>
              </w:divBdr>
            </w:div>
            <w:div w:id="238713891">
              <w:marLeft w:val="0"/>
              <w:marRight w:val="0"/>
              <w:marTop w:val="0"/>
              <w:marBottom w:val="0"/>
              <w:divBdr>
                <w:top w:val="none" w:sz="0" w:space="0" w:color="auto"/>
                <w:left w:val="none" w:sz="0" w:space="0" w:color="auto"/>
                <w:bottom w:val="none" w:sz="0" w:space="0" w:color="auto"/>
                <w:right w:val="none" w:sz="0" w:space="0" w:color="auto"/>
              </w:divBdr>
            </w:div>
            <w:div w:id="250890599">
              <w:marLeft w:val="0"/>
              <w:marRight w:val="0"/>
              <w:marTop w:val="0"/>
              <w:marBottom w:val="0"/>
              <w:divBdr>
                <w:top w:val="none" w:sz="0" w:space="0" w:color="auto"/>
                <w:left w:val="none" w:sz="0" w:space="0" w:color="auto"/>
                <w:bottom w:val="none" w:sz="0" w:space="0" w:color="auto"/>
                <w:right w:val="none" w:sz="0" w:space="0" w:color="auto"/>
              </w:divBdr>
            </w:div>
            <w:div w:id="268242602">
              <w:marLeft w:val="0"/>
              <w:marRight w:val="0"/>
              <w:marTop w:val="0"/>
              <w:marBottom w:val="0"/>
              <w:divBdr>
                <w:top w:val="none" w:sz="0" w:space="0" w:color="auto"/>
                <w:left w:val="none" w:sz="0" w:space="0" w:color="auto"/>
                <w:bottom w:val="none" w:sz="0" w:space="0" w:color="auto"/>
                <w:right w:val="none" w:sz="0" w:space="0" w:color="auto"/>
              </w:divBdr>
            </w:div>
            <w:div w:id="303393565">
              <w:marLeft w:val="0"/>
              <w:marRight w:val="0"/>
              <w:marTop w:val="0"/>
              <w:marBottom w:val="0"/>
              <w:divBdr>
                <w:top w:val="none" w:sz="0" w:space="0" w:color="auto"/>
                <w:left w:val="none" w:sz="0" w:space="0" w:color="auto"/>
                <w:bottom w:val="none" w:sz="0" w:space="0" w:color="auto"/>
                <w:right w:val="none" w:sz="0" w:space="0" w:color="auto"/>
              </w:divBdr>
            </w:div>
            <w:div w:id="316228139">
              <w:marLeft w:val="0"/>
              <w:marRight w:val="0"/>
              <w:marTop w:val="0"/>
              <w:marBottom w:val="0"/>
              <w:divBdr>
                <w:top w:val="none" w:sz="0" w:space="0" w:color="auto"/>
                <w:left w:val="none" w:sz="0" w:space="0" w:color="auto"/>
                <w:bottom w:val="none" w:sz="0" w:space="0" w:color="auto"/>
                <w:right w:val="none" w:sz="0" w:space="0" w:color="auto"/>
              </w:divBdr>
            </w:div>
            <w:div w:id="353463489">
              <w:marLeft w:val="0"/>
              <w:marRight w:val="0"/>
              <w:marTop w:val="0"/>
              <w:marBottom w:val="0"/>
              <w:divBdr>
                <w:top w:val="none" w:sz="0" w:space="0" w:color="auto"/>
                <w:left w:val="none" w:sz="0" w:space="0" w:color="auto"/>
                <w:bottom w:val="none" w:sz="0" w:space="0" w:color="auto"/>
                <w:right w:val="none" w:sz="0" w:space="0" w:color="auto"/>
              </w:divBdr>
            </w:div>
            <w:div w:id="354893588">
              <w:marLeft w:val="0"/>
              <w:marRight w:val="0"/>
              <w:marTop w:val="0"/>
              <w:marBottom w:val="0"/>
              <w:divBdr>
                <w:top w:val="none" w:sz="0" w:space="0" w:color="auto"/>
                <w:left w:val="none" w:sz="0" w:space="0" w:color="auto"/>
                <w:bottom w:val="none" w:sz="0" w:space="0" w:color="auto"/>
                <w:right w:val="none" w:sz="0" w:space="0" w:color="auto"/>
              </w:divBdr>
            </w:div>
            <w:div w:id="362218365">
              <w:marLeft w:val="0"/>
              <w:marRight w:val="0"/>
              <w:marTop w:val="0"/>
              <w:marBottom w:val="0"/>
              <w:divBdr>
                <w:top w:val="none" w:sz="0" w:space="0" w:color="auto"/>
                <w:left w:val="none" w:sz="0" w:space="0" w:color="auto"/>
                <w:bottom w:val="none" w:sz="0" w:space="0" w:color="auto"/>
                <w:right w:val="none" w:sz="0" w:space="0" w:color="auto"/>
              </w:divBdr>
            </w:div>
            <w:div w:id="376247296">
              <w:marLeft w:val="0"/>
              <w:marRight w:val="0"/>
              <w:marTop w:val="0"/>
              <w:marBottom w:val="0"/>
              <w:divBdr>
                <w:top w:val="none" w:sz="0" w:space="0" w:color="auto"/>
                <w:left w:val="none" w:sz="0" w:space="0" w:color="auto"/>
                <w:bottom w:val="none" w:sz="0" w:space="0" w:color="auto"/>
                <w:right w:val="none" w:sz="0" w:space="0" w:color="auto"/>
              </w:divBdr>
            </w:div>
            <w:div w:id="413211384">
              <w:marLeft w:val="0"/>
              <w:marRight w:val="0"/>
              <w:marTop w:val="0"/>
              <w:marBottom w:val="0"/>
              <w:divBdr>
                <w:top w:val="none" w:sz="0" w:space="0" w:color="auto"/>
                <w:left w:val="none" w:sz="0" w:space="0" w:color="auto"/>
                <w:bottom w:val="none" w:sz="0" w:space="0" w:color="auto"/>
                <w:right w:val="none" w:sz="0" w:space="0" w:color="auto"/>
              </w:divBdr>
            </w:div>
            <w:div w:id="435101719">
              <w:marLeft w:val="0"/>
              <w:marRight w:val="0"/>
              <w:marTop w:val="0"/>
              <w:marBottom w:val="0"/>
              <w:divBdr>
                <w:top w:val="none" w:sz="0" w:space="0" w:color="auto"/>
                <w:left w:val="none" w:sz="0" w:space="0" w:color="auto"/>
                <w:bottom w:val="none" w:sz="0" w:space="0" w:color="auto"/>
                <w:right w:val="none" w:sz="0" w:space="0" w:color="auto"/>
              </w:divBdr>
            </w:div>
            <w:div w:id="438717249">
              <w:marLeft w:val="0"/>
              <w:marRight w:val="0"/>
              <w:marTop w:val="0"/>
              <w:marBottom w:val="0"/>
              <w:divBdr>
                <w:top w:val="none" w:sz="0" w:space="0" w:color="auto"/>
                <w:left w:val="none" w:sz="0" w:space="0" w:color="auto"/>
                <w:bottom w:val="none" w:sz="0" w:space="0" w:color="auto"/>
                <w:right w:val="none" w:sz="0" w:space="0" w:color="auto"/>
              </w:divBdr>
            </w:div>
            <w:div w:id="466632874">
              <w:marLeft w:val="0"/>
              <w:marRight w:val="0"/>
              <w:marTop w:val="0"/>
              <w:marBottom w:val="0"/>
              <w:divBdr>
                <w:top w:val="none" w:sz="0" w:space="0" w:color="auto"/>
                <w:left w:val="none" w:sz="0" w:space="0" w:color="auto"/>
                <w:bottom w:val="none" w:sz="0" w:space="0" w:color="auto"/>
                <w:right w:val="none" w:sz="0" w:space="0" w:color="auto"/>
              </w:divBdr>
            </w:div>
            <w:div w:id="499541449">
              <w:marLeft w:val="0"/>
              <w:marRight w:val="0"/>
              <w:marTop w:val="0"/>
              <w:marBottom w:val="0"/>
              <w:divBdr>
                <w:top w:val="none" w:sz="0" w:space="0" w:color="auto"/>
                <w:left w:val="none" w:sz="0" w:space="0" w:color="auto"/>
                <w:bottom w:val="none" w:sz="0" w:space="0" w:color="auto"/>
                <w:right w:val="none" w:sz="0" w:space="0" w:color="auto"/>
              </w:divBdr>
            </w:div>
            <w:div w:id="532886925">
              <w:marLeft w:val="0"/>
              <w:marRight w:val="0"/>
              <w:marTop w:val="0"/>
              <w:marBottom w:val="0"/>
              <w:divBdr>
                <w:top w:val="none" w:sz="0" w:space="0" w:color="auto"/>
                <w:left w:val="none" w:sz="0" w:space="0" w:color="auto"/>
                <w:bottom w:val="none" w:sz="0" w:space="0" w:color="auto"/>
                <w:right w:val="none" w:sz="0" w:space="0" w:color="auto"/>
              </w:divBdr>
            </w:div>
            <w:div w:id="544021988">
              <w:marLeft w:val="0"/>
              <w:marRight w:val="0"/>
              <w:marTop w:val="0"/>
              <w:marBottom w:val="0"/>
              <w:divBdr>
                <w:top w:val="none" w:sz="0" w:space="0" w:color="auto"/>
                <w:left w:val="none" w:sz="0" w:space="0" w:color="auto"/>
                <w:bottom w:val="none" w:sz="0" w:space="0" w:color="auto"/>
                <w:right w:val="none" w:sz="0" w:space="0" w:color="auto"/>
              </w:divBdr>
            </w:div>
            <w:div w:id="546138737">
              <w:marLeft w:val="0"/>
              <w:marRight w:val="0"/>
              <w:marTop w:val="0"/>
              <w:marBottom w:val="0"/>
              <w:divBdr>
                <w:top w:val="none" w:sz="0" w:space="0" w:color="auto"/>
                <w:left w:val="none" w:sz="0" w:space="0" w:color="auto"/>
                <w:bottom w:val="none" w:sz="0" w:space="0" w:color="auto"/>
                <w:right w:val="none" w:sz="0" w:space="0" w:color="auto"/>
              </w:divBdr>
            </w:div>
            <w:div w:id="555361307">
              <w:marLeft w:val="0"/>
              <w:marRight w:val="0"/>
              <w:marTop w:val="0"/>
              <w:marBottom w:val="0"/>
              <w:divBdr>
                <w:top w:val="none" w:sz="0" w:space="0" w:color="auto"/>
                <w:left w:val="none" w:sz="0" w:space="0" w:color="auto"/>
                <w:bottom w:val="none" w:sz="0" w:space="0" w:color="auto"/>
                <w:right w:val="none" w:sz="0" w:space="0" w:color="auto"/>
              </w:divBdr>
            </w:div>
            <w:div w:id="569852867">
              <w:marLeft w:val="0"/>
              <w:marRight w:val="0"/>
              <w:marTop w:val="0"/>
              <w:marBottom w:val="0"/>
              <w:divBdr>
                <w:top w:val="none" w:sz="0" w:space="0" w:color="auto"/>
                <w:left w:val="none" w:sz="0" w:space="0" w:color="auto"/>
                <w:bottom w:val="none" w:sz="0" w:space="0" w:color="auto"/>
                <w:right w:val="none" w:sz="0" w:space="0" w:color="auto"/>
              </w:divBdr>
            </w:div>
            <w:div w:id="575822917">
              <w:marLeft w:val="0"/>
              <w:marRight w:val="0"/>
              <w:marTop w:val="0"/>
              <w:marBottom w:val="0"/>
              <w:divBdr>
                <w:top w:val="none" w:sz="0" w:space="0" w:color="auto"/>
                <w:left w:val="none" w:sz="0" w:space="0" w:color="auto"/>
                <w:bottom w:val="none" w:sz="0" w:space="0" w:color="auto"/>
                <w:right w:val="none" w:sz="0" w:space="0" w:color="auto"/>
              </w:divBdr>
            </w:div>
            <w:div w:id="601841149">
              <w:marLeft w:val="0"/>
              <w:marRight w:val="0"/>
              <w:marTop w:val="0"/>
              <w:marBottom w:val="0"/>
              <w:divBdr>
                <w:top w:val="none" w:sz="0" w:space="0" w:color="auto"/>
                <w:left w:val="none" w:sz="0" w:space="0" w:color="auto"/>
                <w:bottom w:val="none" w:sz="0" w:space="0" w:color="auto"/>
                <w:right w:val="none" w:sz="0" w:space="0" w:color="auto"/>
              </w:divBdr>
            </w:div>
            <w:div w:id="612909194">
              <w:marLeft w:val="0"/>
              <w:marRight w:val="0"/>
              <w:marTop w:val="0"/>
              <w:marBottom w:val="0"/>
              <w:divBdr>
                <w:top w:val="none" w:sz="0" w:space="0" w:color="auto"/>
                <w:left w:val="none" w:sz="0" w:space="0" w:color="auto"/>
                <w:bottom w:val="none" w:sz="0" w:space="0" w:color="auto"/>
                <w:right w:val="none" w:sz="0" w:space="0" w:color="auto"/>
              </w:divBdr>
            </w:div>
            <w:div w:id="627392586">
              <w:marLeft w:val="0"/>
              <w:marRight w:val="0"/>
              <w:marTop w:val="0"/>
              <w:marBottom w:val="0"/>
              <w:divBdr>
                <w:top w:val="none" w:sz="0" w:space="0" w:color="auto"/>
                <w:left w:val="none" w:sz="0" w:space="0" w:color="auto"/>
                <w:bottom w:val="none" w:sz="0" w:space="0" w:color="auto"/>
                <w:right w:val="none" w:sz="0" w:space="0" w:color="auto"/>
              </w:divBdr>
            </w:div>
            <w:div w:id="630982332">
              <w:marLeft w:val="0"/>
              <w:marRight w:val="0"/>
              <w:marTop w:val="0"/>
              <w:marBottom w:val="0"/>
              <w:divBdr>
                <w:top w:val="none" w:sz="0" w:space="0" w:color="auto"/>
                <w:left w:val="none" w:sz="0" w:space="0" w:color="auto"/>
                <w:bottom w:val="none" w:sz="0" w:space="0" w:color="auto"/>
                <w:right w:val="none" w:sz="0" w:space="0" w:color="auto"/>
              </w:divBdr>
            </w:div>
            <w:div w:id="675232898">
              <w:marLeft w:val="0"/>
              <w:marRight w:val="0"/>
              <w:marTop w:val="0"/>
              <w:marBottom w:val="0"/>
              <w:divBdr>
                <w:top w:val="none" w:sz="0" w:space="0" w:color="auto"/>
                <w:left w:val="none" w:sz="0" w:space="0" w:color="auto"/>
                <w:bottom w:val="none" w:sz="0" w:space="0" w:color="auto"/>
                <w:right w:val="none" w:sz="0" w:space="0" w:color="auto"/>
              </w:divBdr>
            </w:div>
            <w:div w:id="710376516">
              <w:marLeft w:val="0"/>
              <w:marRight w:val="0"/>
              <w:marTop w:val="0"/>
              <w:marBottom w:val="0"/>
              <w:divBdr>
                <w:top w:val="none" w:sz="0" w:space="0" w:color="auto"/>
                <w:left w:val="none" w:sz="0" w:space="0" w:color="auto"/>
                <w:bottom w:val="none" w:sz="0" w:space="0" w:color="auto"/>
                <w:right w:val="none" w:sz="0" w:space="0" w:color="auto"/>
              </w:divBdr>
            </w:div>
            <w:div w:id="791287548">
              <w:marLeft w:val="0"/>
              <w:marRight w:val="0"/>
              <w:marTop w:val="0"/>
              <w:marBottom w:val="0"/>
              <w:divBdr>
                <w:top w:val="none" w:sz="0" w:space="0" w:color="auto"/>
                <w:left w:val="none" w:sz="0" w:space="0" w:color="auto"/>
                <w:bottom w:val="none" w:sz="0" w:space="0" w:color="auto"/>
                <w:right w:val="none" w:sz="0" w:space="0" w:color="auto"/>
              </w:divBdr>
            </w:div>
            <w:div w:id="813110235">
              <w:marLeft w:val="0"/>
              <w:marRight w:val="0"/>
              <w:marTop w:val="0"/>
              <w:marBottom w:val="0"/>
              <w:divBdr>
                <w:top w:val="none" w:sz="0" w:space="0" w:color="auto"/>
                <w:left w:val="none" w:sz="0" w:space="0" w:color="auto"/>
                <w:bottom w:val="none" w:sz="0" w:space="0" w:color="auto"/>
                <w:right w:val="none" w:sz="0" w:space="0" w:color="auto"/>
              </w:divBdr>
            </w:div>
            <w:div w:id="843012111">
              <w:marLeft w:val="0"/>
              <w:marRight w:val="0"/>
              <w:marTop w:val="0"/>
              <w:marBottom w:val="0"/>
              <w:divBdr>
                <w:top w:val="none" w:sz="0" w:space="0" w:color="auto"/>
                <w:left w:val="none" w:sz="0" w:space="0" w:color="auto"/>
                <w:bottom w:val="none" w:sz="0" w:space="0" w:color="auto"/>
                <w:right w:val="none" w:sz="0" w:space="0" w:color="auto"/>
              </w:divBdr>
            </w:div>
            <w:div w:id="875390960">
              <w:marLeft w:val="0"/>
              <w:marRight w:val="0"/>
              <w:marTop w:val="0"/>
              <w:marBottom w:val="0"/>
              <w:divBdr>
                <w:top w:val="none" w:sz="0" w:space="0" w:color="auto"/>
                <w:left w:val="none" w:sz="0" w:space="0" w:color="auto"/>
                <w:bottom w:val="none" w:sz="0" w:space="0" w:color="auto"/>
                <w:right w:val="none" w:sz="0" w:space="0" w:color="auto"/>
              </w:divBdr>
            </w:div>
            <w:div w:id="920944260">
              <w:marLeft w:val="0"/>
              <w:marRight w:val="0"/>
              <w:marTop w:val="0"/>
              <w:marBottom w:val="0"/>
              <w:divBdr>
                <w:top w:val="none" w:sz="0" w:space="0" w:color="auto"/>
                <w:left w:val="none" w:sz="0" w:space="0" w:color="auto"/>
                <w:bottom w:val="none" w:sz="0" w:space="0" w:color="auto"/>
                <w:right w:val="none" w:sz="0" w:space="0" w:color="auto"/>
              </w:divBdr>
            </w:div>
            <w:div w:id="921641048">
              <w:marLeft w:val="0"/>
              <w:marRight w:val="0"/>
              <w:marTop w:val="0"/>
              <w:marBottom w:val="0"/>
              <w:divBdr>
                <w:top w:val="none" w:sz="0" w:space="0" w:color="auto"/>
                <w:left w:val="none" w:sz="0" w:space="0" w:color="auto"/>
                <w:bottom w:val="none" w:sz="0" w:space="0" w:color="auto"/>
                <w:right w:val="none" w:sz="0" w:space="0" w:color="auto"/>
              </w:divBdr>
            </w:div>
            <w:div w:id="937131046">
              <w:marLeft w:val="0"/>
              <w:marRight w:val="0"/>
              <w:marTop w:val="0"/>
              <w:marBottom w:val="0"/>
              <w:divBdr>
                <w:top w:val="none" w:sz="0" w:space="0" w:color="auto"/>
                <w:left w:val="none" w:sz="0" w:space="0" w:color="auto"/>
                <w:bottom w:val="none" w:sz="0" w:space="0" w:color="auto"/>
                <w:right w:val="none" w:sz="0" w:space="0" w:color="auto"/>
              </w:divBdr>
            </w:div>
            <w:div w:id="944387604">
              <w:marLeft w:val="0"/>
              <w:marRight w:val="0"/>
              <w:marTop w:val="0"/>
              <w:marBottom w:val="0"/>
              <w:divBdr>
                <w:top w:val="none" w:sz="0" w:space="0" w:color="auto"/>
                <w:left w:val="none" w:sz="0" w:space="0" w:color="auto"/>
                <w:bottom w:val="none" w:sz="0" w:space="0" w:color="auto"/>
                <w:right w:val="none" w:sz="0" w:space="0" w:color="auto"/>
              </w:divBdr>
            </w:div>
            <w:div w:id="946930791">
              <w:marLeft w:val="0"/>
              <w:marRight w:val="0"/>
              <w:marTop w:val="0"/>
              <w:marBottom w:val="0"/>
              <w:divBdr>
                <w:top w:val="none" w:sz="0" w:space="0" w:color="auto"/>
                <w:left w:val="none" w:sz="0" w:space="0" w:color="auto"/>
                <w:bottom w:val="none" w:sz="0" w:space="0" w:color="auto"/>
                <w:right w:val="none" w:sz="0" w:space="0" w:color="auto"/>
              </w:divBdr>
            </w:div>
            <w:div w:id="1023441734">
              <w:marLeft w:val="0"/>
              <w:marRight w:val="0"/>
              <w:marTop w:val="0"/>
              <w:marBottom w:val="0"/>
              <w:divBdr>
                <w:top w:val="none" w:sz="0" w:space="0" w:color="auto"/>
                <w:left w:val="none" w:sz="0" w:space="0" w:color="auto"/>
                <w:bottom w:val="none" w:sz="0" w:space="0" w:color="auto"/>
                <w:right w:val="none" w:sz="0" w:space="0" w:color="auto"/>
              </w:divBdr>
            </w:div>
            <w:div w:id="1072238232">
              <w:marLeft w:val="0"/>
              <w:marRight w:val="0"/>
              <w:marTop w:val="0"/>
              <w:marBottom w:val="0"/>
              <w:divBdr>
                <w:top w:val="none" w:sz="0" w:space="0" w:color="auto"/>
                <w:left w:val="none" w:sz="0" w:space="0" w:color="auto"/>
                <w:bottom w:val="none" w:sz="0" w:space="0" w:color="auto"/>
                <w:right w:val="none" w:sz="0" w:space="0" w:color="auto"/>
              </w:divBdr>
            </w:div>
            <w:div w:id="1102342071">
              <w:marLeft w:val="0"/>
              <w:marRight w:val="0"/>
              <w:marTop w:val="0"/>
              <w:marBottom w:val="0"/>
              <w:divBdr>
                <w:top w:val="none" w:sz="0" w:space="0" w:color="auto"/>
                <w:left w:val="none" w:sz="0" w:space="0" w:color="auto"/>
                <w:bottom w:val="none" w:sz="0" w:space="0" w:color="auto"/>
                <w:right w:val="none" w:sz="0" w:space="0" w:color="auto"/>
              </w:divBdr>
            </w:div>
            <w:div w:id="1116288496">
              <w:marLeft w:val="0"/>
              <w:marRight w:val="0"/>
              <w:marTop w:val="0"/>
              <w:marBottom w:val="0"/>
              <w:divBdr>
                <w:top w:val="none" w:sz="0" w:space="0" w:color="auto"/>
                <w:left w:val="none" w:sz="0" w:space="0" w:color="auto"/>
                <w:bottom w:val="none" w:sz="0" w:space="0" w:color="auto"/>
                <w:right w:val="none" w:sz="0" w:space="0" w:color="auto"/>
              </w:divBdr>
            </w:div>
            <w:div w:id="1119183287">
              <w:marLeft w:val="0"/>
              <w:marRight w:val="0"/>
              <w:marTop w:val="0"/>
              <w:marBottom w:val="0"/>
              <w:divBdr>
                <w:top w:val="none" w:sz="0" w:space="0" w:color="auto"/>
                <w:left w:val="none" w:sz="0" w:space="0" w:color="auto"/>
                <w:bottom w:val="none" w:sz="0" w:space="0" w:color="auto"/>
                <w:right w:val="none" w:sz="0" w:space="0" w:color="auto"/>
              </w:divBdr>
            </w:div>
            <w:div w:id="1148322297">
              <w:marLeft w:val="0"/>
              <w:marRight w:val="0"/>
              <w:marTop w:val="0"/>
              <w:marBottom w:val="0"/>
              <w:divBdr>
                <w:top w:val="none" w:sz="0" w:space="0" w:color="auto"/>
                <w:left w:val="none" w:sz="0" w:space="0" w:color="auto"/>
                <w:bottom w:val="none" w:sz="0" w:space="0" w:color="auto"/>
                <w:right w:val="none" w:sz="0" w:space="0" w:color="auto"/>
              </w:divBdr>
            </w:div>
            <w:div w:id="1201744978">
              <w:marLeft w:val="0"/>
              <w:marRight w:val="0"/>
              <w:marTop w:val="0"/>
              <w:marBottom w:val="0"/>
              <w:divBdr>
                <w:top w:val="none" w:sz="0" w:space="0" w:color="auto"/>
                <w:left w:val="none" w:sz="0" w:space="0" w:color="auto"/>
                <w:bottom w:val="none" w:sz="0" w:space="0" w:color="auto"/>
                <w:right w:val="none" w:sz="0" w:space="0" w:color="auto"/>
              </w:divBdr>
            </w:div>
            <w:div w:id="1240142623">
              <w:marLeft w:val="0"/>
              <w:marRight w:val="0"/>
              <w:marTop w:val="0"/>
              <w:marBottom w:val="0"/>
              <w:divBdr>
                <w:top w:val="none" w:sz="0" w:space="0" w:color="auto"/>
                <w:left w:val="none" w:sz="0" w:space="0" w:color="auto"/>
                <w:bottom w:val="none" w:sz="0" w:space="0" w:color="auto"/>
                <w:right w:val="none" w:sz="0" w:space="0" w:color="auto"/>
              </w:divBdr>
            </w:div>
            <w:div w:id="1250427653">
              <w:marLeft w:val="0"/>
              <w:marRight w:val="0"/>
              <w:marTop w:val="0"/>
              <w:marBottom w:val="0"/>
              <w:divBdr>
                <w:top w:val="none" w:sz="0" w:space="0" w:color="auto"/>
                <w:left w:val="none" w:sz="0" w:space="0" w:color="auto"/>
                <w:bottom w:val="none" w:sz="0" w:space="0" w:color="auto"/>
                <w:right w:val="none" w:sz="0" w:space="0" w:color="auto"/>
              </w:divBdr>
            </w:div>
            <w:div w:id="1277827365">
              <w:marLeft w:val="0"/>
              <w:marRight w:val="0"/>
              <w:marTop w:val="0"/>
              <w:marBottom w:val="0"/>
              <w:divBdr>
                <w:top w:val="none" w:sz="0" w:space="0" w:color="auto"/>
                <w:left w:val="none" w:sz="0" w:space="0" w:color="auto"/>
                <w:bottom w:val="none" w:sz="0" w:space="0" w:color="auto"/>
                <w:right w:val="none" w:sz="0" w:space="0" w:color="auto"/>
              </w:divBdr>
            </w:div>
            <w:div w:id="1282423764">
              <w:marLeft w:val="0"/>
              <w:marRight w:val="0"/>
              <w:marTop w:val="0"/>
              <w:marBottom w:val="0"/>
              <w:divBdr>
                <w:top w:val="none" w:sz="0" w:space="0" w:color="auto"/>
                <w:left w:val="none" w:sz="0" w:space="0" w:color="auto"/>
                <w:bottom w:val="none" w:sz="0" w:space="0" w:color="auto"/>
                <w:right w:val="none" w:sz="0" w:space="0" w:color="auto"/>
              </w:divBdr>
            </w:div>
            <w:div w:id="1335917514">
              <w:marLeft w:val="0"/>
              <w:marRight w:val="0"/>
              <w:marTop w:val="0"/>
              <w:marBottom w:val="0"/>
              <w:divBdr>
                <w:top w:val="none" w:sz="0" w:space="0" w:color="auto"/>
                <w:left w:val="none" w:sz="0" w:space="0" w:color="auto"/>
                <w:bottom w:val="none" w:sz="0" w:space="0" w:color="auto"/>
                <w:right w:val="none" w:sz="0" w:space="0" w:color="auto"/>
              </w:divBdr>
            </w:div>
            <w:div w:id="1379739991">
              <w:marLeft w:val="0"/>
              <w:marRight w:val="0"/>
              <w:marTop w:val="0"/>
              <w:marBottom w:val="0"/>
              <w:divBdr>
                <w:top w:val="none" w:sz="0" w:space="0" w:color="auto"/>
                <w:left w:val="none" w:sz="0" w:space="0" w:color="auto"/>
                <w:bottom w:val="none" w:sz="0" w:space="0" w:color="auto"/>
                <w:right w:val="none" w:sz="0" w:space="0" w:color="auto"/>
              </w:divBdr>
            </w:div>
            <w:div w:id="1434321049">
              <w:marLeft w:val="0"/>
              <w:marRight w:val="0"/>
              <w:marTop w:val="0"/>
              <w:marBottom w:val="0"/>
              <w:divBdr>
                <w:top w:val="none" w:sz="0" w:space="0" w:color="auto"/>
                <w:left w:val="none" w:sz="0" w:space="0" w:color="auto"/>
                <w:bottom w:val="none" w:sz="0" w:space="0" w:color="auto"/>
                <w:right w:val="none" w:sz="0" w:space="0" w:color="auto"/>
              </w:divBdr>
            </w:div>
            <w:div w:id="1443961444">
              <w:marLeft w:val="0"/>
              <w:marRight w:val="0"/>
              <w:marTop w:val="0"/>
              <w:marBottom w:val="0"/>
              <w:divBdr>
                <w:top w:val="none" w:sz="0" w:space="0" w:color="auto"/>
                <w:left w:val="none" w:sz="0" w:space="0" w:color="auto"/>
                <w:bottom w:val="none" w:sz="0" w:space="0" w:color="auto"/>
                <w:right w:val="none" w:sz="0" w:space="0" w:color="auto"/>
              </w:divBdr>
            </w:div>
            <w:div w:id="1494295934">
              <w:marLeft w:val="0"/>
              <w:marRight w:val="0"/>
              <w:marTop w:val="0"/>
              <w:marBottom w:val="0"/>
              <w:divBdr>
                <w:top w:val="none" w:sz="0" w:space="0" w:color="auto"/>
                <w:left w:val="none" w:sz="0" w:space="0" w:color="auto"/>
                <w:bottom w:val="none" w:sz="0" w:space="0" w:color="auto"/>
                <w:right w:val="none" w:sz="0" w:space="0" w:color="auto"/>
              </w:divBdr>
            </w:div>
            <w:div w:id="1509174340">
              <w:marLeft w:val="0"/>
              <w:marRight w:val="0"/>
              <w:marTop w:val="0"/>
              <w:marBottom w:val="0"/>
              <w:divBdr>
                <w:top w:val="none" w:sz="0" w:space="0" w:color="auto"/>
                <w:left w:val="none" w:sz="0" w:space="0" w:color="auto"/>
                <w:bottom w:val="none" w:sz="0" w:space="0" w:color="auto"/>
                <w:right w:val="none" w:sz="0" w:space="0" w:color="auto"/>
              </w:divBdr>
            </w:div>
            <w:div w:id="1559055566">
              <w:marLeft w:val="0"/>
              <w:marRight w:val="0"/>
              <w:marTop w:val="0"/>
              <w:marBottom w:val="0"/>
              <w:divBdr>
                <w:top w:val="none" w:sz="0" w:space="0" w:color="auto"/>
                <w:left w:val="none" w:sz="0" w:space="0" w:color="auto"/>
                <w:bottom w:val="none" w:sz="0" w:space="0" w:color="auto"/>
                <w:right w:val="none" w:sz="0" w:space="0" w:color="auto"/>
              </w:divBdr>
            </w:div>
            <w:div w:id="1562406629">
              <w:marLeft w:val="0"/>
              <w:marRight w:val="0"/>
              <w:marTop w:val="0"/>
              <w:marBottom w:val="0"/>
              <w:divBdr>
                <w:top w:val="none" w:sz="0" w:space="0" w:color="auto"/>
                <w:left w:val="none" w:sz="0" w:space="0" w:color="auto"/>
                <w:bottom w:val="none" w:sz="0" w:space="0" w:color="auto"/>
                <w:right w:val="none" w:sz="0" w:space="0" w:color="auto"/>
              </w:divBdr>
            </w:div>
            <w:div w:id="1566573285">
              <w:marLeft w:val="0"/>
              <w:marRight w:val="0"/>
              <w:marTop w:val="0"/>
              <w:marBottom w:val="0"/>
              <w:divBdr>
                <w:top w:val="none" w:sz="0" w:space="0" w:color="auto"/>
                <w:left w:val="none" w:sz="0" w:space="0" w:color="auto"/>
                <w:bottom w:val="none" w:sz="0" w:space="0" w:color="auto"/>
                <w:right w:val="none" w:sz="0" w:space="0" w:color="auto"/>
              </w:divBdr>
            </w:div>
            <w:div w:id="1601790049">
              <w:marLeft w:val="0"/>
              <w:marRight w:val="0"/>
              <w:marTop w:val="0"/>
              <w:marBottom w:val="0"/>
              <w:divBdr>
                <w:top w:val="none" w:sz="0" w:space="0" w:color="auto"/>
                <w:left w:val="none" w:sz="0" w:space="0" w:color="auto"/>
                <w:bottom w:val="none" w:sz="0" w:space="0" w:color="auto"/>
                <w:right w:val="none" w:sz="0" w:space="0" w:color="auto"/>
              </w:divBdr>
            </w:div>
            <w:div w:id="1608269563">
              <w:marLeft w:val="0"/>
              <w:marRight w:val="0"/>
              <w:marTop w:val="0"/>
              <w:marBottom w:val="0"/>
              <w:divBdr>
                <w:top w:val="none" w:sz="0" w:space="0" w:color="auto"/>
                <w:left w:val="none" w:sz="0" w:space="0" w:color="auto"/>
                <w:bottom w:val="none" w:sz="0" w:space="0" w:color="auto"/>
                <w:right w:val="none" w:sz="0" w:space="0" w:color="auto"/>
              </w:divBdr>
            </w:div>
            <w:div w:id="1629313928">
              <w:marLeft w:val="0"/>
              <w:marRight w:val="0"/>
              <w:marTop w:val="0"/>
              <w:marBottom w:val="0"/>
              <w:divBdr>
                <w:top w:val="none" w:sz="0" w:space="0" w:color="auto"/>
                <w:left w:val="none" w:sz="0" w:space="0" w:color="auto"/>
                <w:bottom w:val="none" w:sz="0" w:space="0" w:color="auto"/>
                <w:right w:val="none" w:sz="0" w:space="0" w:color="auto"/>
              </w:divBdr>
            </w:div>
            <w:div w:id="1631860803">
              <w:marLeft w:val="0"/>
              <w:marRight w:val="0"/>
              <w:marTop w:val="0"/>
              <w:marBottom w:val="0"/>
              <w:divBdr>
                <w:top w:val="none" w:sz="0" w:space="0" w:color="auto"/>
                <w:left w:val="none" w:sz="0" w:space="0" w:color="auto"/>
                <w:bottom w:val="none" w:sz="0" w:space="0" w:color="auto"/>
                <w:right w:val="none" w:sz="0" w:space="0" w:color="auto"/>
              </w:divBdr>
            </w:div>
            <w:div w:id="1641497808">
              <w:marLeft w:val="0"/>
              <w:marRight w:val="0"/>
              <w:marTop w:val="0"/>
              <w:marBottom w:val="0"/>
              <w:divBdr>
                <w:top w:val="none" w:sz="0" w:space="0" w:color="auto"/>
                <w:left w:val="none" w:sz="0" w:space="0" w:color="auto"/>
                <w:bottom w:val="none" w:sz="0" w:space="0" w:color="auto"/>
                <w:right w:val="none" w:sz="0" w:space="0" w:color="auto"/>
              </w:divBdr>
            </w:div>
            <w:div w:id="1642660814">
              <w:marLeft w:val="0"/>
              <w:marRight w:val="0"/>
              <w:marTop w:val="0"/>
              <w:marBottom w:val="0"/>
              <w:divBdr>
                <w:top w:val="none" w:sz="0" w:space="0" w:color="auto"/>
                <w:left w:val="none" w:sz="0" w:space="0" w:color="auto"/>
                <w:bottom w:val="none" w:sz="0" w:space="0" w:color="auto"/>
                <w:right w:val="none" w:sz="0" w:space="0" w:color="auto"/>
              </w:divBdr>
            </w:div>
            <w:div w:id="1677924864">
              <w:marLeft w:val="0"/>
              <w:marRight w:val="0"/>
              <w:marTop w:val="0"/>
              <w:marBottom w:val="0"/>
              <w:divBdr>
                <w:top w:val="none" w:sz="0" w:space="0" w:color="auto"/>
                <w:left w:val="none" w:sz="0" w:space="0" w:color="auto"/>
                <w:bottom w:val="none" w:sz="0" w:space="0" w:color="auto"/>
                <w:right w:val="none" w:sz="0" w:space="0" w:color="auto"/>
              </w:divBdr>
            </w:div>
            <w:div w:id="1688947536">
              <w:marLeft w:val="0"/>
              <w:marRight w:val="0"/>
              <w:marTop w:val="0"/>
              <w:marBottom w:val="0"/>
              <w:divBdr>
                <w:top w:val="none" w:sz="0" w:space="0" w:color="auto"/>
                <w:left w:val="none" w:sz="0" w:space="0" w:color="auto"/>
                <w:bottom w:val="none" w:sz="0" w:space="0" w:color="auto"/>
                <w:right w:val="none" w:sz="0" w:space="0" w:color="auto"/>
              </w:divBdr>
            </w:div>
            <w:div w:id="1703555968">
              <w:marLeft w:val="0"/>
              <w:marRight w:val="0"/>
              <w:marTop w:val="0"/>
              <w:marBottom w:val="0"/>
              <w:divBdr>
                <w:top w:val="none" w:sz="0" w:space="0" w:color="auto"/>
                <w:left w:val="none" w:sz="0" w:space="0" w:color="auto"/>
                <w:bottom w:val="none" w:sz="0" w:space="0" w:color="auto"/>
                <w:right w:val="none" w:sz="0" w:space="0" w:color="auto"/>
              </w:divBdr>
            </w:div>
            <w:div w:id="1713114048">
              <w:marLeft w:val="0"/>
              <w:marRight w:val="0"/>
              <w:marTop w:val="0"/>
              <w:marBottom w:val="0"/>
              <w:divBdr>
                <w:top w:val="none" w:sz="0" w:space="0" w:color="auto"/>
                <w:left w:val="none" w:sz="0" w:space="0" w:color="auto"/>
                <w:bottom w:val="none" w:sz="0" w:space="0" w:color="auto"/>
                <w:right w:val="none" w:sz="0" w:space="0" w:color="auto"/>
              </w:divBdr>
            </w:div>
            <w:div w:id="1760641209">
              <w:marLeft w:val="0"/>
              <w:marRight w:val="0"/>
              <w:marTop w:val="0"/>
              <w:marBottom w:val="0"/>
              <w:divBdr>
                <w:top w:val="none" w:sz="0" w:space="0" w:color="auto"/>
                <w:left w:val="none" w:sz="0" w:space="0" w:color="auto"/>
                <w:bottom w:val="none" w:sz="0" w:space="0" w:color="auto"/>
                <w:right w:val="none" w:sz="0" w:space="0" w:color="auto"/>
              </w:divBdr>
            </w:div>
            <w:div w:id="1765805047">
              <w:marLeft w:val="0"/>
              <w:marRight w:val="0"/>
              <w:marTop w:val="0"/>
              <w:marBottom w:val="0"/>
              <w:divBdr>
                <w:top w:val="none" w:sz="0" w:space="0" w:color="auto"/>
                <w:left w:val="none" w:sz="0" w:space="0" w:color="auto"/>
                <w:bottom w:val="none" w:sz="0" w:space="0" w:color="auto"/>
                <w:right w:val="none" w:sz="0" w:space="0" w:color="auto"/>
              </w:divBdr>
            </w:div>
            <w:div w:id="1771706311">
              <w:marLeft w:val="0"/>
              <w:marRight w:val="0"/>
              <w:marTop w:val="0"/>
              <w:marBottom w:val="0"/>
              <w:divBdr>
                <w:top w:val="none" w:sz="0" w:space="0" w:color="auto"/>
                <w:left w:val="none" w:sz="0" w:space="0" w:color="auto"/>
                <w:bottom w:val="none" w:sz="0" w:space="0" w:color="auto"/>
                <w:right w:val="none" w:sz="0" w:space="0" w:color="auto"/>
              </w:divBdr>
            </w:div>
            <w:div w:id="1773352210">
              <w:marLeft w:val="0"/>
              <w:marRight w:val="0"/>
              <w:marTop w:val="0"/>
              <w:marBottom w:val="0"/>
              <w:divBdr>
                <w:top w:val="none" w:sz="0" w:space="0" w:color="auto"/>
                <w:left w:val="none" w:sz="0" w:space="0" w:color="auto"/>
                <w:bottom w:val="none" w:sz="0" w:space="0" w:color="auto"/>
                <w:right w:val="none" w:sz="0" w:space="0" w:color="auto"/>
              </w:divBdr>
            </w:div>
            <w:div w:id="1787653992">
              <w:marLeft w:val="0"/>
              <w:marRight w:val="0"/>
              <w:marTop w:val="0"/>
              <w:marBottom w:val="0"/>
              <w:divBdr>
                <w:top w:val="none" w:sz="0" w:space="0" w:color="auto"/>
                <w:left w:val="none" w:sz="0" w:space="0" w:color="auto"/>
                <w:bottom w:val="none" w:sz="0" w:space="0" w:color="auto"/>
                <w:right w:val="none" w:sz="0" w:space="0" w:color="auto"/>
              </w:divBdr>
            </w:div>
            <w:div w:id="1807383871">
              <w:marLeft w:val="0"/>
              <w:marRight w:val="0"/>
              <w:marTop w:val="0"/>
              <w:marBottom w:val="0"/>
              <w:divBdr>
                <w:top w:val="none" w:sz="0" w:space="0" w:color="auto"/>
                <w:left w:val="none" w:sz="0" w:space="0" w:color="auto"/>
                <w:bottom w:val="none" w:sz="0" w:space="0" w:color="auto"/>
                <w:right w:val="none" w:sz="0" w:space="0" w:color="auto"/>
              </w:divBdr>
            </w:div>
            <w:div w:id="1843740402">
              <w:marLeft w:val="0"/>
              <w:marRight w:val="0"/>
              <w:marTop w:val="0"/>
              <w:marBottom w:val="0"/>
              <w:divBdr>
                <w:top w:val="none" w:sz="0" w:space="0" w:color="auto"/>
                <w:left w:val="none" w:sz="0" w:space="0" w:color="auto"/>
                <w:bottom w:val="none" w:sz="0" w:space="0" w:color="auto"/>
                <w:right w:val="none" w:sz="0" w:space="0" w:color="auto"/>
              </w:divBdr>
            </w:div>
            <w:div w:id="1874079132">
              <w:marLeft w:val="0"/>
              <w:marRight w:val="0"/>
              <w:marTop w:val="0"/>
              <w:marBottom w:val="0"/>
              <w:divBdr>
                <w:top w:val="none" w:sz="0" w:space="0" w:color="auto"/>
                <w:left w:val="none" w:sz="0" w:space="0" w:color="auto"/>
                <w:bottom w:val="none" w:sz="0" w:space="0" w:color="auto"/>
                <w:right w:val="none" w:sz="0" w:space="0" w:color="auto"/>
              </w:divBdr>
            </w:div>
            <w:div w:id="1909224836">
              <w:marLeft w:val="0"/>
              <w:marRight w:val="0"/>
              <w:marTop w:val="0"/>
              <w:marBottom w:val="0"/>
              <w:divBdr>
                <w:top w:val="none" w:sz="0" w:space="0" w:color="auto"/>
                <w:left w:val="none" w:sz="0" w:space="0" w:color="auto"/>
                <w:bottom w:val="none" w:sz="0" w:space="0" w:color="auto"/>
                <w:right w:val="none" w:sz="0" w:space="0" w:color="auto"/>
              </w:divBdr>
            </w:div>
            <w:div w:id="1947762388">
              <w:marLeft w:val="0"/>
              <w:marRight w:val="0"/>
              <w:marTop w:val="0"/>
              <w:marBottom w:val="0"/>
              <w:divBdr>
                <w:top w:val="none" w:sz="0" w:space="0" w:color="auto"/>
                <w:left w:val="none" w:sz="0" w:space="0" w:color="auto"/>
                <w:bottom w:val="none" w:sz="0" w:space="0" w:color="auto"/>
                <w:right w:val="none" w:sz="0" w:space="0" w:color="auto"/>
              </w:divBdr>
            </w:div>
            <w:div w:id="1990358181">
              <w:marLeft w:val="0"/>
              <w:marRight w:val="0"/>
              <w:marTop w:val="0"/>
              <w:marBottom w:val="0"/>
              <w:divBdr>
                <w:top w:val="none" w:sz="0" w:space="0" w:color="auto"/>
                <w:left w:val="none" w:sz="0" w:space="0" w:color="auto"/>
                <w:bottom w:val="none" w:sz="0" w:space="0" w:color="auto"/>
                <w:right w:val="none" w:sz="0" w:space="0" w:color="auto"/>
              </w:divBdr>
            </w:div>
            <w:div w:id="2011252846">
              <w:marLeft w:val="0"/>
              <w:marRight w:val="0"/>
              <w:marTop w:val="0"/>
              <w:marBottom w:val="0"/>
              <w:divBdr>
                <w:top w:val="none" w:sz="0" w:space="0" w:color="auto"/>
                <w:left w:val="none" w:sz="0" w:space="0" w:color="auto"/>
                <w:bottom w:val="none" w:sz="0" w:space="0" w:color="auto"/>
                <w:right w:val="none" w:sz="0" w:space="0" w:color="auto"/>
              </w:divBdr>
            </w:div>
            <w:div w:id="2023625509">
              <w:marLeft w:val="0"/>
              <w:marRight w:val="0"/>
              <w:marTop w:val="0"/>
              <w:marBottom w:val="0"/>
              <w:divBdr>
                <w:top w:val="none" w:sz="0" w:space="0" w:color="auto"/>
                <w:left w:val="none" w:sz="0" w:space="0" w:color="auto"/>
                <w:bottom w:val="none" w:sz="0" w:space="0" w:color="auto"/>
                <w:right w:val="none" w:sz="0" w:space="0" w:color="auto"/>
              </w:divBdr>
            </w:div>
            <w:div w:id="2041733680">
              <w:marLeft w:val="0"/>
              <w:marRight w:val="0"/>
              <w:marTop w:val="0"/>
              <w:marBottom w:val="0"/>
              <w:divBdr>
                <w:top w:val="none" w:sz="0" w:space="0" w:color="auto"/>
                <w:left w:val="none" w:sz="0" w:space="0" w:color="auto"/>
                <w:bottom w:val="none" w:sz="0" w:space="0" w:color="auto"/>
                <w:right w:val="none" w:sz="0" w:space="0" w:color="auto"/>
              </w:divBdr>
            </w:div>
            <w:div w:id="214697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244032">
      <w:bodyDiv w:val="1"/>
      <w:marLeft w:val="0"/>
      <w:marRight w:val="0"/>
      <w:marTop w:val="0"/>
      <w:marBottom w:val="0"/>
      <w:divBdr>
        <w:top w:val="none" w:sz="0" w:space="0" w:color="auto"/>
        <w:left w:val="none" w:sz="0" w:space="0" w:color="auto"/>
        <w:bottom w:val="none" w:sz="0" w:space="0" w:color="auto"/>
        <w:right w:val="none" w:sz="0" w:space="0" w:color="auto"/>
      </w:divBdr>
      <w:divsChild>
        <w:div w:id="1333489750">
          <w:marLeft w:val="480"/>
          <w:marRight w:val="0"/>
          <w:marTop w:val="0"/>
          <w:marBottom w:val="0"/>
          <w:divBdr>
            <w:top w:val="none" w:sz="0" w:space="0" w:color="auto"/>
            <w:left w:val="none" w:sz="0" w:space="0" w:color="auto"/>
            <w:bottom w:val="none" w:sz="0" w:space="0" w:color="auto"/>
            <w:right w:val="none" w:sz="0" w:space="0" w:color="auto"/>
          </w:divBdr>
          <w:divsChild>
            <w:div w:id="41867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230661">
      <w:bodyDiv w:val="1"/>
      <w:marLeft w:val="0"/>
      <w:marRight w:val="0"/>
      <w:marTop w:val="0"/>
      <w:marBottom w:val="0"/>
      <w:divBdr>
        <w:top w:val="none" w:sz="0" w:space="0" w:color="auto"/>
        <w:left w:val="none" w:sz="0" w:space="0" w:color="auto"/>
        <w:bottom w:val="none" w:sz="0" w:space="0" w:color="auto"/>
        <w:right w:val="none" w:sz="0" w:space="0" w:color="auto"/>
      </w:divBdr>
      <w:divsChild>
        <w:div w:id="294332697">
          <w:marLeft w:val="480"/>
          <w:marRight w:val="0"/>
          <w:marTop w:val="0"/>
          <w:marBottom w:val="0"/>
          <w:divBdr>
            <w:top w:val="none" w:sz="0" w:space="0" w:color="auto"/>
            <w:left w:val="none" w:sz="0" w:space="0" w:color="auto"/>
            <w:bottom w:val="none" w:sz="0" w:space="0" w:color="auto"/>
            <w:right w:val="none" w:sz="0" w:space="0" w:color="auto"/>
          </w:divBdr>
          <w:divsChild>
            <w:div w:id="49498554">
              <w:marLeft w:val="0"/>
              <w:marRight w:val="0"/>
              <w:marTop w:val="0"/>
              <w:marBottom w:val="0"/>
              <w:divBdr>
                <w:top w:val="none" w:sz="0" w:space="0" w:color="auto"/>
                <w:left w:val="none" w:sz="0" w:space="0" w:color="auto"/>
                <w:bottom w:val="none" w:sz="0" w:space="0" w:color="auto"/>
                <w:right w:val="none" w:sz="0" w:space="0" w:color="auto"/>
              </w:divBdr>
            </w:div>
            <w:div w:id="73741768">
              <w:marLeft w:val="0"/>
              <w:marRight w:val="0"/>
              <w:marTop w:val="0"/>
              <w:marBottom w:val="0"/>
              <w:divBdr>
                <w:top w:val="none" w:sz="0" w:space="0" w:color="auto"/>
                <w:left w:val="none" w:sz="0" w:space="0" w:color="auto"/>
                <w:bottom w:val="none" w:sz="0" w:space="0" w:color="auto"/>
                <w:right w:val="none" w:sz="0" w:space="0" w:color="auto"/>
              </w:divBdr>
            </w:div>
            <w:div w:id="83965798">
              <w:marLeft w:val="0"/>
              <w:marRight w:val="0"/>
              <w:marTop w:val="0"/>
              <w:marBottom w:val="0"/>
              <w:divBdr>
                <w:top w:val="none" w:sz="0" w:space="0" w:color="auto"/>
                <w:left w:val="none" w:sz="0" w:space="0" w:color="auto"/>
                <w:bottom w:val="none" w:sz="0" w:space="0" w:color="auto"/>
                <w:right w:val="none" w:sz="0" w:space="0" w:color="auto"/>
              </w:divBdr>
            </w:div>
            <w:div w:id="108356326">
              <w:marLeft w:val="0"/>
              <w:marRight w:val="0"/>
              <w:marTop w:val="0"/>
              <w:marBottom w:val="0"/>
              <w:divBdr>
                <w:top w:val="none" w:sz="0" w:space="0" w:color="auto"/>
                <w:left w:val="none" w:sz="0" w:space="0" w:color="auto"/>
                <w:bottom w:val="none" w:sz="0" w:space="0" w:color="auto"/>
                <w:right w:val="none" w:sz="0" w:space="0" w:color="auto"/>
              </w:divBdr>
            </w:div>
            <w:div w:id="138811072">
              <w:marLeft w:val="0"/>
              <w:marRight w:val="0"/>
              <w:marTop w:val="0"/>
              <w:marBottom w:val="0"/>
              <w:divBdr>
                <w:top w:val="none" w:sz="0" w:space="0" w:color="auto"/>
                <w:left w:val="none" w:sz="0" w:space="0" w:color="auto"/>
                <w:bottom w:val="none" w:sz="0" w:space="0" w:color="auto"/>
                <w:right w:val="none" w:sz="0" w:space="0" w:color="auto"/>
              </w:divBdr>
            </w:div>
            <w:div w:id="163673234">
              <w:marLeft w:val="0"/>
              <w:marRight w:val="0"/>
              <w:marTop w:val="0"/>
              <w:marBottom w:val="0"/>
              <w:divBdr>
                <w:top w:val="none" w:sz="0" w:space="0" w:color="auto"/>
                <w:left w:val="none" w:sz="0" w:space="0" w:color="auto"/>
                <w:bottom w:val="none" w:sz="0" w:space="0" w:color="auto"/>
                <w:right w:val="none" w:sz="0" w:space="0" w:color="auto"/>
              </w:divBdr>
            </w:div>
            <w:div w:id="194269896">
              <w:marLeft w:val="0"/>
              <w:marRight w:val="0"/>
              <w:marTop w:val="0"/>
              <w:marBottom w:val="0"/>
              <w:divBdr>
                <w:top w:val="none" w:sz="0" w:space="0" w:color="auto"/>
                <w:left w:val="none" w:sz="0" w:space="0" w:color="auto"/>
                <w:bottom w:val="none" w:sz="0" w:space="0" w:color="auto"/>
                <w:right w:val="none" w:sz="0" w:space="0" w:color="auto"/>
              </w:divBdr>
            </w:div>
            <w:div w:id="296572849">
              <w:marLeft w:val="0"/>
              <w:marRight w:val="0"/>
              <w:marTop w:val="0"/>
              <w:marBottom w:val="0"/>
              <w:divBdr>
                <w:top w:val="none" w:sz="0" w:space="0" w:color="auto"/>
                <w:left w:val="none" w:sz="0" w:space="0" w:color="auto"/>
                <w:bottom w:val="none" w:sz="0" w:space="0" w:color="auto"/>
                <w:right w:val="none" w:sz="0" w:space="0" w:color="auto"/>
              </w:divBdr>
            </w:div>
            <w:div w:id="306128619">
              <w:marLeft w:val="0"/>
              <w:marRight w:val="0"/>
              <w:marTop w:val="0"/>
              <w:marBottom w:val="0"/>
              <w:divBdr>
                <w:top w:val="none" w:sz="0" w:space="0" w:color="auto"/>
                <w:left w:val="none" w:sz="0" w:space="0" w:color="auto"/>
                <w:bottom w:val="none" w:sz="0" w:space="0" w:color="auto"/>
                <w:right w:val="none" w:sz="0" w:space="0" w:color="auto"/>
              </w:divBdr>
            </w:div>
            <w:div w:id="335420010">
              <w:marLeft w:val="0"/>
              <w:marRight w:val="0"/>
              <w:marTop w:val="0"/>
              <w:marBottom w:val="0"/>
              <w:divBdr>
                <w:top w:val="none" w:sz="0" w:space="0" w:color="auto"/>
                <w:left w:val="none" w:sz="0" w:space="0" w:color="auto"/>
                <w:bottom w:val="none" w:sz="0" w:space="0" w:color="auto"/>
                <w:right w:val="none" w:sz="0" w:space="0" w:color="auto"/>
              </w:divBdr>
            </w:div>
            <w:div w:id="387653654">
              <w:marLeft w:val="0"/>
              <w:marRight w:val="0"/>
              <w:marTop w:val="0"/>
              <w:marBottom w:val="0"/>
              <w:divBdr>
                <w:top w:val="none" w:sz="0" w:space="0" w:color="auto"/>
                <w:left w:val="none" w:sz="0" w:space="0" w:color="auto"/>
                <w:bottom w:val="none" w:sz="0" w:space="0" w:color="auto"/>
                <w:right w:val="none" w:sz="0" w:space="0" w:color="auto"/>
              </w:divBdr>
            </w:div>
            <w:div w:id="409348328">
              <w:marLeft w:val="0"/>
              <w:marRight w:val="0"/>
              <w:marTop w:val="0"/>
              <w:marBottom w:val="0"/>
              <w:divBdr>
                <w:top w:val="none" w:sz="0" w:space="0" w:color="auto"/>
                <w:left w:val="none" w:sz="0" w:space="0" w:color="auto"/>
                <w:bottom w:val="none" w:sz="0" w:space="0" w:color="auto"/>
                <w:right w:val="none" w:sz="0" w:space="0" w:color="auto"/>
              </w:divBdr>
            </w:div>
            <w:div w:id="417793870">
              <w:marLeft w:val="0"/>
              <w:marRight w:val="0"/>
              <w:marTop w:val="0"/>
              <w:marBottom w:val="0"/>
              <w:divBdr>
                <w:top w:val="none" w:sz="0" w:space="0" w:color="auto"/>
                <w:left w:val="none" w:sz="0" w:space="0" w:color="auto"/>
                <w:bottom w:val="none" w:sz="0" w:space="0" w:color="auto"/>
                <w:right w:val="none" w:sz="0" w:space="0" w:color="auto"/>
              </w:divBdr>
            </w:div>
            <w:div w:id="433522820">
              <w:marLeft w:val="0"/>
              <w:marRight w:val="0"/>
              <w:marTop w:val="0"/>
              <w:marBottom w:val="0"/>
              <w:divBdr>
                <w:top w:val="none" w:sz="0" w:space="0" w:color="auto"/>
                <w:left w:val="none" w:sz="0" w:space="0" w:color="auto"/>
                <w:bottom w:val="none" w:sz="0" w:space="0" w:color="auto"/>
                <w:right w:val="none" w:sz="0" w:space="0" w:color="auto"/>
              </w:divBdr>
            </w:div>
            <w:div w:id="457261582">
              <w:marLeft w:val="0"/>
              <w:marRight w:val="0"/>
              <w:marTop w:val="0"/>
              <w:marBottom w:val="0"/>
              <w:divBdr>
                <w:top w:val="none" w:sz="0" w:space="0" w:color="auto"/>
                <w:left w:val="none" w:sz="0" w:space="0" w:color="auto"/>
                <w:bottom w:val="none" w:sz="0" w:space="0" w:color="auto"/>
                <w:right w:val="none" w:sz="0" w:space="0" w:color="auto"/>
              </w:divBdr>
            </w:div>
            <w:div w:id="470446654">
              <w:marLeft w:val="0"/>
              <w:marRight w:val="0"/>
              <w:marTop w:val="0"/>
              <w:marBottom w:val="0"/>
              <w:divBdr>
                <w:top w:val="none" w:sz="0" w:space="0" w:color="auto"/>
                <w:left w:val="none" w:sz="0" w:space="0" w:color="auto"/>
                <w:bottom w:val="none" w:sz="0" w:space="0" w:color="auto"/>
                <w:right w:val="none" w:sz="0" w:space="0" w:color="auto"/>
              </w:divBdr>
            </w:div>
            <w:div w:id="471287888">
              <w:marLeft w:val="0"/>
              <w:marRight w:val="0"/>
              <w:marTop w:val="0"/>
              <w:marBottom w:val="0"/>
              <w:divBdr>
                <w:top w:val="none" w:sz="0" w:space="0" w:color="auto"/>
                <w:left w:val="none" w:sz="0" w:space="0" w:color="auto"/>
                <w:bottom w:val="none" w:sz="0" w:space="0" w:color="auto"/>
                <w:right w:val="none" w:sz="0" w:space="0" w:color="auto"/>
              </w:divBdr>
            </w:div>
            <w:div w:id="524486258">
              <w:marLeft w:val="0"/>
              <w:marRight w:val="0"/>
              <w:marTop w:val="0"/>
              <w:marBottom w:val="0"/>
              <w:divBdr>
                <w:top w:val="none" w:sz="0" w:space="0" w:color="auto"/>
                <w:left w:val="none" w:sz="0" w:space="0" w:color="auto"/>
                <w:bottom w:val="none" w:sz="0" w:space="0" w:color="auto"/>
                <w:right w:val="none" w:sz="0" w:space="0" w:color="auto"/>
              </w:divBdr>
            </w:div>
            <w:div w:id="525337340">
              <w:marLeft w:val="0"/>
              <w:marRight w:val="0"/>
              <w:marTop w:val="0"/>
              <w:marBottom w:val="0"/>
              <w:divBdr>
                <w:top w:val="none" w:sz="0" w:space="0" w:color="auto"/>
                <w:left w:val="none" w:sz="0" w:space="0" w:color="auto"/>
                <w:bottom w:val="none" w:sz="0" w:space="0" w:color="auto"/>
                <w:right w:val="none" w:sz="0" w:space="0" w:color="auto"/>
              </w:divBdr>
            </w:div>
            <w:div w:id="528421049">
              <w:marLeft w:val="0"/>
              <w:marRight w:val="0"/>
              <w:marTop w:val="0"/>
              <w:marBottom w:val="0"/>
              <w:divBdr>
                <w:top w:val="none" w:sz="0" w:space="0" w:color="auto"/>
                <w:left w:val="none" w:sz="0" w:space="0" w:color="auto"/>
                <w:bottom w:val="none" w:sz="0" w:space="0" w:color="auto"/>
                <w:right w:val="none" w:sz="0" w:space="0" w:color="auto"/>
              </w:divBdr>
            </w:div>
            <w:div w:id="571042716">
              <w:marLeft w:val="0"/>
              <w:marRight w:val="0"/>
              <w:marTop w:val="0"/>
              <w:marBottom w:val="0"/>
              <w:divBdr>
                <w:top w:val="none" w:sz="0" w:space="0" w:color="auto"/>
                <w:left w:val="none" w:sz="0" w:space="0" w:color="auto"/>
                <w:bottom w:val="none" w:sz="0" w:space="0" w:color="auto"/>
                <w:right w:val="none" w:sz="0" w:space="0" w:color="auto"/>
              </w:divBdr>
            </w:div>
            <w:div w:id="629941926">
              <w:marLeft w:val="0"/>
              <w:marRight w:val="0"/>
              <w:marTop w:val="0"/>
              <w:marBottom w:val="0"/>
              <w:divBdr>
                <w:top w:val="none" w:sz="0" w:space="0" w:color="auto"/>
                <w:left w:val="none" w:sz="0" w:space="0" w:color="auto"/>
                <w:bottom w:val="none" w:sz="0" w:space="0" w:color="auto"/>
                <w:right w:val="none" w:sz="0" w:space="0" w:color="auto"/>
              </w:divBdr>
            </w:div>
            <w:div w:id="670371515">
              <w:marLeft w:val="0"/>
              <w:marRight w:val="0"/>
              <w:marTop w:val="0"/>
              <w:marBottom w:val="0"/>
              <w:divBdr>
                <w:top w:val="none" w:sz="0" w:space="0" w:color="auto"/>
                <w:left w:val="none" w:sz="0" w:space="0" w:color="auto"/>
                <w:bottom w:val="none" w:sz="0" w:space="0" w:color="auto"/>
                <w:right w:val="none" w:sz="0" w:space="0" w:color="auto"/>
              </w:divBdr>
            </w:div>
            <w:div w:id="685986218">
              <w:marLeft w:val="0"/>
              <w:marRight w:val="0"/>
              <w:marTop w:val="0"/>
              <w:marBottom w:val="0"/>
              <w:divBdr>
                <w:top w:val="none" w:sz="0" w:space="0" w:color="auto"/>
                <w:left w:val="none" w:sz="0" w:space="0" w:color="auto"/>
                <w:bottom w:val="none" w:sz="0" w:space="0" w:color="auto"/>
                <w:right w:val="none" w:sz="0" w:space="0" w:color="auto"/>
              </w:divBdr>
            </w:div>
            <w:div w:id="737361919">
              <w:marLeft w:val="0"/>
              <w:marRight w:val="0"/>
              <w:marTop w:val="0"/>
              <w:marBottom w:val="0"/>
              <w:divBdr>
                <w:top w:val="none" w:sz="0" w:space="0" w:color="auto"/>
                <w:left w:val="none" w:sz="0" w:space="0" w:color="auto"/>
                <w:bottom w:val="none" w:sz="0" w:space="0" w:color="auto"/>
                <w:right w:val="none" w:sz="0" w:space="0" w:color="auto"/>
              </w:divBdr>
            </w:div>
            <w:div w:id="755322307">
              <w:marLeft w:val="0"/>
              <w:marRight w:val="0"/>
              <w:marTop w:val="0"/>
              <w:marBottom w:val="0"/>
              <w:divBdr>
                <w:top w:val="none" w:sz="0" w:space="0" w:color="auto"/>
                <w:left w:val="none" w:sz="0" w:space="0" w:color="auto"/>
                <w:bottom w:val="none" w:sz="0" w:space="0" w:color="auto"/>
                <w:right w:val="none" w:sz="0" w:space="0" w:color="auto"/>
              </w:divBdr>
            </w:div>
            <w:div w:id="785319930">
              <w:marLeft w:val="0"/>
              <w:marRight w:val="0"/>
              <w:marTop w:val="0"/>
              <w:marBottom w:val="0"/>
              <w:divBdr>
                <w:top w:val="none" w:sz="0" w:space="0" w:color="auto"/>
                <w:left w:val="none" w:sz="0" w:space="0" w:color="auto"/>
                <w:bottom w:val="none" w:sz="0" w:space="0" w:color="auto"/>
                <w:right w:val="none" w:sz="0" w:space="0" w:color="auto"/>
              </w:divBdr>
            </w:div>
            <w:div w:id="805247046">
              <w:marLeft w:val="0"/>
              <w:marRight w:val="0"/>
              <w:marTop w:val="0"/>
              <w:marBottom w:val="0"/>
              <w:divBdr>
                <w:top w:val="none" w:sz="0" w:space="0" w:color="auto"/>
                <w:left w:val="none" w:sz="0" w:space="0" w:color="auto"/>
                <w:bottom w:val="none" w:sz="0" w:space="0" w:color="auto"/>
                <w:right w:val="none" w:sz="0" w:space="0" w:color="auto"/>
              </w:divBdr>
            </w:div>
            <w:div w:id="817843669">
              <w:marLeft w:val="0"/>
              <w:marRight w:val="0"/>
              <w:marTop w:val="0"/>
              <w:marBottom w:val="0"/>
              <w:divBdr>
                <w:top w:val="none" w:sz="0" w:space="0" w:color="auto"/>
                <w:left w:val="none" w:sz="0" w:space="0" w:color="auto"/>
                <w:bottom w:val="none" w:sz="0" w:space="0" w:color="auto"/>
                <w:right w:val="none" w:sz="0" w:space="0" w:color="auto"/>
              </w:divBdr>
            </w:div>
            <w:div w:id="879974466">
              <w:marLeft w:val="0"/>
              <w:marRight w:val="0"/>
              <w:marTop w:val="0"/>
              <w:marBottom w:val="0"/>
              <w:divBdr>
                <w:top w:val="none" w:sz="0" w:space="0" w:color="auto"/>
                <w:left w:val="none" w:sz="0" w:space="0" w:color="auto"/>
                <w:bottom w:val="none" w:sz="0" w:space="0" w:color="auto"/>
                <w:right w:val="none" w:sz="0" w:space="0" w:color="auto"/>
              </w:divBdr>
            </w:div>
            <w:div w:id="890190550">
              <w:marLeft w:val="0"/>
              <w:marRight w:val="0"/>
              <w:marTop w:val="0"/>
              <w:marBottom w:val="0"/>
              <w:divBdr>
                <w:top w:val="none" w:sz="0" w:space="0" w:color="auto"/>
                <w:left w:val="none" w:sz="0" w:space="0" w:color="auto"/>
                <w:bottom w:val="none" w:sz="0" w:space="0" w:color="auto"/>
                <w:right w:val="none" w:sz="0" w:space="0" w:color="auto"/>
              </w:divBdr>
            </w:div>
            <w:div w:id="892697254">
              <w:marLeft w:val="0"/>
              <w:marRight w:val="0"/>
              <w:marTop w:val="0"/>
              <w:marBottom w:val="0"/>
              <w:divBdr>
                <w:top w:val="none" w:sz="0" w:space="0" w:color="auto"/>
                <w:left w:val="none" w:sz="0" w:space="0" w:color="auto"/>
                <w:bottom w:val="none" w:sz="0" w:space="0" w:color="auto"/>
                <w:right w:val="none" w:sz="0" w:space="0" w:color="auto"/>
              </w:divBdr>
            </w:div>
            <w:div w:id="897591621">
              <w:marLeft w:val="0"/>
              <w:marRight w:val="0"/>
              <w:marTop w:val="0"/>
              <w:marBottom w:val="0"/>
              <w:divBdr>
                <w:top w:val="none" w:sz="0" w:space="0" w:color="auto"/>
                <w:left w:val="none" w:sz="0" w:space="0" w:color="auto"/>
                <w:bottom w:val="none" w:sz="0" w:space="0" w:color="auto"/>
                <w:right w:val="none" w:sz="0" w:space="0" w:color="auto"/>
              </w:divBdr>
            </w:div>
            <w:div w:id="897741265">
              <w:marLeft w:val="0"/>
              <w:marRight w:val="0"/>
              <w:marTop w:val="0"/>
              <w:marBottom w:val="0"/>
              <w:divBdr>
                <w:top w:val="none" w:sz="0" w:space="0" w:color="auto"/>
                <w:left w:val="none" w:sz="0" w:space="0" w:color="auto"/>
                <w:bottom w:val="none" w:sz="0" w:space="0" w:color="auto"/>
                <w:right w:val="none" w:sz="0" w:space="0" w:color="auto"/>
              </w:divBdr>
            </w:div>
            <w:div w:id="910848315">
              <w:marLeft w:val="0"/>
              <w:marRight w:val="0"/>
              <w:marTop w:val="0"/>
              <w:marBottom w:val="0"/>
              <w:divBdr>
                <w:top w:val="none" w:sz="0" w:space="0" w:color="auto"/>
                <w:left w:val="none" w:sz="0" w:space="0" w:color="auto"/>
                <w:bottom w:val="none" w:sz="0" w:space="0" w:color="auto"/>
                <w:right w:val="none" w:sz="0" w:space="0" w:color="auto"/>
              </w:divBdr>
            </w:div>
            <w:div w:id="916986834">
              <w:marLeft w:val="0"/>
              <w:marRight w:val="0"/>
              <w:marTop w:val="0"/>
              <w:marBottom w:val="0"/>
              <w:divBdr>
                <w:top w:val="none" w:sz="0" w:space="0" w:color="auto"/>
                <w:left w:val="none" w:sz="0" w:space="0" w:color="auto"/>
                <w:bottom w:val="none" w:sz="0" w:space="0" w:color="auto"/>
                <w:right w:val="none" w:sz="0" w:space="0" w:color="auto"/>
              </w:divBdr>
            </w:div>
            <w:div w:id="924922650">
              <w:marLeft w:val="0"/>
              <w:marRight w:val="0"/>
              <w:marTop w:val="0"/>
              <w:marBottom w:val="0"/>
              <w:divBdr>
                <w:top w:val="none" w:sz="0" w:space="0" w:color="auto"/>
                <w:left w:val="none" w:sz="0" w:space="0" w:color="auto"/>
                <w:bottom w:val="none" w:sz="0" w:space="0" w:color="auto"/>
                <w:right w:val="none" w:sz="0" w:space="0" w:color="auto"/>
              </w:divBdr>
            </w:div>
            <w:div w:id="964969037">
              <w:marLeft w:val="0"/>
              <w:marRight w:val="0"/>
              <w:marTop w:val="0"/>
              <w:marBottom w:val="0"/>
              <w:divBdr>
                <w:top w:val="none" w:sz="0" w:space="0" w:color="auto"/>
                <w:left w:val="none" w:sz="0" w:space="0" w:color="auto"/>
                <w:bottom w:val="none" w:sz="0" w:space="0" w:color="auto"/>
                <w:right w:val="none" w:sz="0" w:space="0" w:color="auto"/>
              </w:divBdr>
            </w:div>
            <w:div w:id="974137146">
              <w:marLeft w:val="0"/>
              <w:marRight w:val="0"/>
              <w:marTop w:val="0"/>
              <w:marBottom w:val="0"/>
              <w:divBdr>
                <w:top w:val="none" w:sz="0" w:space="0" w:color="auto"/>
                <w:left w:val="none" w:sz="0" w:space="0" w:color="auto"/>
                <w:bottom w:val="none" w:sz="0" w:space="0" w:color="auto"/>
                <w:right w:val="none" w:sz="0" w:space="0" w:color="auto"/>
              </w:divBdr>
            </w:div>
            <w:div w:id="1006978306">
              <w:marLeft w:val="0"/>
              <w:marRight w:val="0"/>
              <w:marTop w:val="0"/>
              <w:marBottom w:val="0"/>
              <w:divBdr>
                <w:top w:val="none" w:sz="0" w:space="0" w:color="auto"/>
                <w:left w:val="none" w:sz="0" w:space="0" w:color="auto"/>
                <w:bottom w:val="none" w:sz="0" w:space="0" w:color="auto"/>
                <w:right w:val="none" w:sz="0" w:space="0" w:color="auto"/>
              </w:divBdr>
            </w:div>
            <w:div w:id="1024403638">
              <w:marLeft w:val="0"/>
              <w:marRight w:val="0"/>
              <w:marTop w:val="0"/>
              <w:marBottom w:val="0"/>
              <w:divBdr>
                <w:top w:val="none" w:sz="0" w:space="0" w:color="auto"/>
                <w:left w:val="none" w:sz="0" w:space="0" w:color="auto"/>
                <w:bottom w:val="none" w:sz="0" w:space="0" w:color="auto"/>
                <w:right w:val="none" w:sz="0" w:space="0" w:color="auto"/>
              </w:divBdr>
            </w:div>
            <w:div w:id="1039860176">
              <w:marLeft w:val="0"/>
              <w:marRight w:val="0"/>
              <w:marTop w:val="0"/>
              <w:marBottom w:val="0"/>
              <w:divBdr>
                <w:top w:val="none" w:sz="0" w:space="0" w:color="auto"/>
                <w:left w:val="none" w:sz="0" w:space="0" w:color="auto"/>
                <w:bottom w:val="none" w:sz="0" w:space="0" w:color="auto"/>
                <w:right w:val="none" w:sz="0" w:space="0" w:color="auto"/>
              </w:divBdr>
            </w:div>
            <w:div w:id="1043749684">
              <w:marLeft w:val="0"/>
              <w:marRight w:val="0"/>
              <w:marTop w:val="0"/>
              <w:marBottom w:val="0"/>
              <w:divBdr>
                <w:top w:val="none" w:sz="0" w:space="0" w:color="auto"/>
                <w:left w:val="none" w:sz="0" w:space="0" w:color="auto"/>
                <w:bottom w:val="none" w:sz="0" w:space="0" w:color="auto"/>
                <w:right w:val="none" w:sz="0" w:space="0" w:color="auto"/>
              </w:divBdr>
            </w:div>
            <w:div w:id="1074206751">
              <w:marLeft w:val="0"/>
              <w:marRight w:val="0"/>
              <w:marTop w:val="0"/>
              <w:marBottom w:val="0"/>
              <w:divBdr>
                <w:top w:val="none" w:sz="0" w:space="0" w:color="auto"/>
                <w:left w:val="none" w:sz="0" w:space="0" w:color="auto"/>
                <w:bottom w:val="none" w:sz="0" w:space="0" w:color="auto"/>
                <w:right w:val="none" w:sz="0" w:space="0" w:color="auto"/>
              </w:divBdr>
            </w:div>
            <w:div w:id="1078870420">
              <w:marLeft w:val="0"/>
              <w:marRight w:val="0"/>
              <w:marTop w:val="0"/>
              <w:marBottom w:val="0"/>
              <w:divBdr>
                <w:top w:val="none" w:sz="0" w:space="0" w:color="auto"/>
                <w:left w:val="none" w:sz="0" w:space="0" w:color="auto"/>
                <w:bottom w:val="none" w:sz="0" w:space="0" w:color="auto"/>
                <w:right w:val="none" w:sz="0" w:space="0" w:color="auto"/>
              </w:divBdr>
            </w:div>
            <w:div w:id="1106078564">
              <w:marLeft w:val="0"/>
              <w:marRight w:val="0"/>
              <w:marTop w:val="0"/>
              <w:marBottom w:val="0"/>
              <w:divBdr>
                <w:top w:val="none" w:sz="0" w:space="0" w:color="auto"/>
                <w:left w:val="none" w:sz="0" w:space="0" w:color="auto"/>
                <w:bottom w:val="none" w:sz="0" w:space="0" w:color="auto"/>
                <w:right w:val="none" w:sz="0" w:space="0" w:color="auto"/>
              </w:divBdr>
            </w:div>
            <w:div w:id="1137643174">
              <w:marLeft w:val="0"/>
              <w:marRight w:val="0"/>
              <w:marTop w:val="0"/>
              <w:marBottom w:val="0"/>
              <w:divBdr>
                <w:top w:val="none" w:sz="0" w:space="0" w:color="auto"/>
                <w:left w:val="none" w:sz="0" w:space="0" w:color="auto"/>
                <w:bottom w:val="none" w:sz="0" w:space="0" w:color="auto"/>
                <w:right w:val="none" w:sz="0" w:space="0" w:color="auto"/>
              </w:divBdr>
            </w:div>
            <w:div w:id="1156530291">
              <w:marLeft w:val="0"/>
              <w:marRight w:val="0"/>
              <w:marTop w:val="0"/>
              <w:marBottom w:val="0"/>
              <w:divBdr>
                <w:top w:val="none" w:sz="0" w:space="0" w:color="auto"/>
                <w:left w:val="none" w:sz="0" w:space="0" w:color="auto"/>
                <w:bottom w:val="none" w:sz="0" w:space="0" w:color="auto"/>
                <w:right w:val="none" w:sz="0" w:space="0" w:color="auto"/>
              </w:divBdr>
            </w:div>
            <w:div w:id="1168860853">
              <w:marLeft w:val="0"/>
              <w:marRight w:val="0"/>
              <w:marTop w:val="0"/>
              <w:marBottom w:val="0"/>
              <w:divBdr>
                <w:top w:val="none" w:sz="0" w:space="0" w:color="auto"/>
                <w:left w:val="none" w:sz="0" w:space="0" w:color="auto"/>
                <w:bottom w:val="none" w:sz="0" w:space="0" w:color="auto"/>
                <w:right w:val="none" w:sz="0" w:space="0" w:color="auto"/>
              </w:divBdr>
            </w:div>
            <w:div w:id="1207453052">
              <w:marLeft w:val="0"/>
              <w:marRight w:val="0"/>
              <w:marTop w:val="0"/>
              <w:marBottom w:val="0"/>
              <w:divBdr>
                <w:top w:val="none" w:sz="0" w:space="0" w:color="auto"/>
                <w:left w:val="none" w:sz="0" w:space="0" w:color="auto"/>
                <w:bottom w:val="none" w:sz="0" w:space="0" w:color="auto"/>
                <w:right w:val="none" w:sz="0" w:space="0" w:color="auto"/>
              </w:divBdr>
            </w:div>
            <w:div w:id="1225219346">
              <w:marLeft w:val="0"/>
              <w:marRight w:val="0"/>
              <w:marTop w:val="0"/>
              <w:marBottom w:val="0"/>
              <w:divBdr>
                <w:top w:val="none" w:sz="0" w:space="0" w:color="auto"/>
                <w:left w:val="none" w:sz="0" w:space="0" w:color="auto"/>
                <w:bottom w:val="none" w:sz="0" w:space="0" w:color="auto"/>
                <w:right w:val="none" w:sz="0" w:space="0" w:color="auto"/>
              </w:divBdr>
            </w:div>
            <w:div w:id="1250701085">
              <w:marLeft w:val="0"/>
              <w:marRight w:val="0"/>
              <w:marTop w:val="0"/>
              <w:marBottom w:val="0"/>
              <w:divBdr>
                <w:top w:val="none" w:sz="0" w:space="0" w:color="auto"/>
                <w:left w:val="none" w:sz="0" w:space="0" w:color="auto"/>
                <w:bottom w:val="none" w:sz="0" w:space="0" w:color="auto"/>
                <w:right w:val="none" w:sz="0" w:space="0" w:color="auto"/>
              </w:divBdr>
            </w:div>
            <w:div w:id="1318918744">
              <w:marLeft w:val="0"/>
              <w:marRight w:val="0"/>
              <w:marTop w:val="0"/>
              <w:marBottom w:val="0"/>
              <w:divBdr>
                <w:top w:val="none" w:sz="0" w:space="0" w:color="auto"/>
                <w:left w:val="none" w:sz="0" w:space="0" w:color="auto"/>
                <w:bottom w:val="none" w:sz="0" w:space="0" w:color="auto"/>
                <w:right w:val="none" w:sz="0" w:space="0" w:color="auto"/>
              </w:divBdr>
            </w:div>
            <w:div w:id="1330910496">
              <w:marLeft w:val="0"/>
              <w:marRight w:val="0"/>
              <w:marTop w:val="0"/>
              <w:marBottom w:val="0"/>
              <w:divBdr>
                <w:top w:val="none" w:sz="0" w:space="0" w:color="auto"/>
                <w:left w:val="none" w:sz="0" w:space="0" w:color="auto"/>
                <w:bottom w:val="none" w:sz="0" w:space="0" w:color="auto"/>
                <w:right w:val="none" w:sz="0" w:space="0" w:color="auto"/>
              </w:divBdr>
            </w:div>
            <w:div w:id="1335380812">
              <w:marLeft w:val="0"/>
              <w:marRight w:val="0"/>
              <w:marTop w:val="0"/>
              <w:marBottom w:val="0"/>
              <w:divBdr>
                <w:top w:val="none" w:sz="0" w:space="0" w:color="auto"/>
                <w:left w:val="none" w:sz="0" w:space="0" w:color="auto"/>
                <w:bottom w:val="none" w:sz="0" w:space="0" w:color="auto"/>
                <w:right w:val="none" w:sz="0" w:space="0" w:color="auto"/>
              </w:divBdr>
            </w:div>
            <w:div w:id="1349720327">
              <w:marLeft w:val="0"/>
              <w:marRight w:val="0"/>
              <w:marTop w:val="0"/>
              <w:marBottom w:val="0"/>
              <w:divBdr>
                <w:top w:val="none" w:sz="0" w:space="0" w:color="auto"/>
                <w:left w:val="none" w:sz="0" w:space="0" w:color="auto"/>
                <w:bottom w:val="none" w:sz="0" w:space="0" w:color="auto"/>
                <w:right w:val="none" w:sz="0" w:space="0" w:color="auto"/>
              </w:divBdr>
            </w:div>
            <w:div w:id="1356882396">
              <w:marLeft w:val="0"/>
              <w:marRight w:val="0"/>
              <w:marTop w:val="0"/>
              <w:marBottom w:val="0"/>
              <w:divBdr>
                <w:top w:val="none" w:sz="0" w:space="0" w:color="auto"/>
                <w:left w:val="none" w:sz="0" w:space="0" w:color="auto"/>
                <w:bottom w:val="none" w:sz="0" w:space="0" w:color="auto"/>
                <w:right w:val="none" w:sz="0" w:space="0" w:color="auto"/>
              </w:divBdr>
            </w:div>
            <w:div w:id="1357391738">
              <w:marLeft w:val="0"/>
              <w:marRight w:val="0"/>
              <w:marTop w:val="0"/>
              <w:marBottom w:val="0"/>
              <w:divBdr>
                <w:top w:val="none" w:sz="0" w:space="0" w:color="auto"/>
                <w:left w:val="none" w:sz="0" w:space="0" w:color="auto"/>
                <w:bottom w:val="none" w:sz="0" w:space="0" w:color="auto"/>
                <w:right w:val="none" w:sz="0" w:space="0" w:color="auto"/>
              </w:divBdr>
            </w:div>
            <w:div w:id="1360620641">
              <w:marLeft w:val="0"/>
              <w:marRight w:val="0"/>
              <w:marTop w:val="0"/>
              <w:marBottom w:val="0"/>
              <w:divBdr>
                <w:top w:val="none" w:sz="0" w:space="0" w:color="auto"/>
                <w:left w:val="none" w:sz="0" w:space="0" w:color="auto"/>
                <w:bottom w:val="none" w:sz="0" w:space="0" w:color="auto"/>
                <w:right w:val="none" w:sz="0" w:space="0" w:color="auto"/>
              </w:divBdr>
            </w:div>
            <w:div w:id="1361129107">
              <w:marLeft w:val="0"/>
              <w:marRight w:val="0"/>
              <w:marTop w:val="0"/>
              <w:marBottom w:val="0"/>
              <w:divBdr>
                <w:top w:val="none" w:sz="0" w:space="0" w:color="auto"/>
                <w:left w:val="none" w:sz="0" w:space="0" w:color="auto"/>
                <w:bottom w:val="none" w:sz="0" w:space="0" w:color="auto"/>
                <w:right w:val="none" w:sz="0" w:space="0" w:color="auto"/>
              </w:divBdr>
            </w:div>
            <w:div w:id="1379696300">
              <w:marLeft w:val="0"/>
              <w:marRight w:val="0"/>
              <w:marTop w:val="0"/>
              <w:marBottom w:val="0"/>
              <w:divBdr>
                <w:top w:val="none" w:sz="0" w:space="0" w:color="auto"/>
                <w:left w:val="none" w:sz="0" w:space="0" w:color="auto"/>
                <w:bottom w:val="none" w:sz="0" w:space="0" w:color="auto"/>
                <w:right w:val="none" w:sz="0" w:space="0" w:color="auto"/>
              </w:divBdr>
            </w:div>
            <w:div w:id="1388412329">
              <w:marLeft w:val="0"/>
              <w:marRight w:val="0"/>
              <w:marTop w:val="0"/>
              <w:marBottom w:val="0"/>
              <w:divBdr>
                <w:top w:val="none" w:sz="0" w:space="0" w:color="auto"/>
                <w:left w:val="none" w:sz="0" w:space="0" w:color="auto"/>
                <w:bottom w:val="none" w:sz="0" w:space="0" w:color="auto"/>
                <w:right w:val="none" w:sz="0" w:space="0" w:color="auto"/>
              </w:divBdr>
            </w:div>
            <w:div w:id="1451244997">
              <w:marLeft w:val="0"/>
              <w:marRight w:val="0"/>
              <w:marTop w:val="0"/>
              <w:marBottom w:val="0"/>
              <w:divBdr>
                <w:top w:val="none" w:sz="0" w:space="0" w:color="auto"/>
                <w:left w:val="none" w:sz="0" w:space="0" w:color="auto"/>
                <w:bottom w:val="none" w:sz="0" w:space="0" w:color="auto"/>
                <w:right w:val="none" w:sz="0" w:space="0" w:color="auto"/>
              </w:divBdr>
            </w:div>
            <w:div w:id="1512841405">
              <w:marLeft w:val="0"/>
              <w:marRight w:val="0"/>
              <w:marTop w:val="0"/>
              <w:marBottom w:val="0"/>
              <w:divBdr>
                <w:top w:val="none" w:sz="0" w:space="0" w:color="auto"/>
                <w:left w:val="none" w:sz="0" w:space="0" w:color="auto"/>
                <w:bottom w:val="none" w:sz="0" w:space="0" w:color="auto"/>
                <w:right w:val="none" w:sz="0" w:space="0" w:color="auto"/>
              </w:divBdr>
            </w:div>
            <w:div w:id="1518277529">
              <w:marLeft w:val="0"/>
              <w:marRight w:val="0"/>
              <w:marTop w:val="0"/>
              <w:marBottom w:val="0"/>
              <w:divBdr>
                <w:top w:val="none" w:sz="0" w:space="0" w:color="auto"/>
                <w:left w:val="none" w:sz="0" w:space="0" w:color="auto"/>
                <w:bottom w:val="none" w:sz="0" w:space="0" w:color="auto"/>
                <w:right w:val="none" w:sz="0" w:space="0" w:color="auto"/>
              </w:divBdr>
            </w:div>
            <w:div w:id="1548686433">
              <w:marLeft w:val="0"/>
              <w:marRight w:val="0"/>
              <w:marTop w:val="0"/>
              <w:marBottom w:val="0"/>
              <w:divBdr>
                <w:top w:val="none" w:sz="0" w:space="0" w:color="auto"/>
                <w:left w:val="none" w:sz="0" w:space="0" w:color="auto"/>
                <w:bottom w:val="none" w:sz="0" w:space="0" w:color="auto"/>
                <w:right w:val="none" w:sz="0" w:space="0" w:color="auto"/>
              </w:divBdr>
            </w:div>
            <w:div w:id="1554534743">
              <w:marLeft w:val="0"/>
              <w:marRight w:val="0"/>
              <w:marTop w:val="0"/>
              <w:marBottom w:val="0"/>
              <w:divBdr>
                <w:top w:val="none" w:sz="0" w:space="0" w:color="auto"/>
                <w:left w:val="none" w:sz="0" w:space="0" w:color="auto"/>
                <w:bottom w:val="none" w:sz="0" w:space="0" w:color="auto"/>
                <w:right w:val="none" w:sz="0" w:space="0" w:color="auto"/>
              </w:divBdr>
            </w:div>
            <w:div w:id="1556696529">
              <w:marLeft w:val="0"/>
              <w:marRight w:val="0"/>
              <w:marTop w:val="0"/>
              <w:marBottom w:val="0"/>
              <w:divBdr>
                <w:top w:val="none" w:sz="0" w:space="0" w:color="auto"/>
                <w:left w:val="none" w:sz="0" w:space="0" w:color="auto"/>
                <w:bottom w:val="none" w:sz="0" w:space="0" w:color="auto"/>
                <w:right w:val="none" w:sz="0" w:space="0" w:color="auto"/>
              </w:divBdr>
            </w:div>
            <w:div w:id="1595475864">
              <w:marLeft w:val="0"/>
              <w:marRight w:val="0"/>
              <w:marTop w:val="0"/>
              <w:marBottom w:val="0"/>
              <w:divBdr>
                <w:top w:val="none" w:sz="0" w:space="0" w:color="auto"/>
                <w:left w:val="none" w:sz="0" w:space="0" w:color="auto"/>
                <w:bottom w:val="none" w:sz="0" w:space="0" w:color="auto"/>
                <w:right w:val="none" w:sz="0" w:space="0" w:color="auto"/>
              </w:divBdr>
            </w:div>
            <w:div w:id="1598363083">
              <w:marLeft w:val="0"/>
              <w:marRight w:val="0"/>
              <w:marTop w:val="0"/>
              <w:marBottom w:val="0"/>
              <w:divBdr>
                <w:top w:val="none" w:sz="0" w:space="0" w:color="auto"/>
                <w:left w:val="none" w:sz="0" w:space="0" w:color="auto"/>
                <w:bottom w:val="none" w:sz="0" w:space="0" w:color="auto"/>
                <w:right w:val="none" w:sz="0" w:space="0" w:color="auto"/>
              </w:divBdr>
            </w:div>
            <w:div w:id="1634868821">
              <w:marLeft w:val="0"/>
              <w:marRight w:val="0"/>
              <w:marTop w:val="0"/>
              <w:marBottom w:val="0"/>
              <w:divBdr>
                <w:top w:val="none" w:sz="0" w:space="0" w:color="auto"/>
                <w:left w:val="none" w:sz="0" w:space="0" w:color="auto"/>
                <w:bottom w:val="none" w:sz="0" w:space="0" w:color="auto"/>
                <w:right w:val="none" w:sz="0" w:space="0" w:color="auto"/>
              </w:divBdr>
            </w:div>
            <w:div w:id="1638334695">
              <w:marLeft w:val="0"/>
              <w:marRight w:val="0"/>
              <w:marTop w:val="0"/>
              <w:marBottom w:val="0"/>
              <w:divBdr>
                <w:top w:val="none" w:sz="0" w:space="0" w:color="auto"/>
                <w:left w:val="none" w:sz="0" w:space="0" w:color="auto"/>
                <w:bottom w:val="none" w:sz="0" w:space="0" w:color="auto"/>
                <w:right w:val="none" w:sz="0" w:space="0" w:color="auto"/>
              </w:divBdr>
            </w:div>
            <w:div w:id="1647126986">
              <w:marLeft w:val="0"/>
              <w:marRight w:val="0"/>
              <w:marTop w:val="0"/>
              <w:marBottom w:val="0"/>
              <w:divBdr>
                <w:top w:val="none" w:sz="0" w:space="0" w:color="auto"/>
                <w:left w:val="none" w:sz="0" w:space="0" w:color="auto"/>
                <w:bottom w:val="none" w:sz="0" w:space="0" w:color="auto"/>
                <w:right w:val="none" w:sz="0" w:space="0" w:color="auto"/>
              </w:divBdr>
            </w:div>
            <w:div w:id="1665014791">
              <w:marLeft w:val="0"/>
              <w:marRight w:val="0"/>
              <w:marTop w:val="0"/>
              <w:marBottom w:val="0"/>
              <w:divBdr>
                <w:top w:val="none" w:sz="0" w:space="0" w:color="auto"/>
                <w:left w:val="none" w:sz="0" w:space="0" w:color="auto"/>
                <w:bottom w:val="none" w:sz="0" w:space="0" w:color="auto"/>
                <w:right w:val="none" w:sz="0" w:space="0" w:color="auto"/>
              </w:divBdr>
            </w:div>
            <w:div w:id="1690256920">
              <w:marLeft w:val="0"/>
              <w:marRight w:val="0"/>
              <w:marTop w:val="0"/>
              <w:marBottom w:val="0"/>
              <w:divBdr>
                <w:top w:val="none" w:sz="0" w:space="0" w:color="auto"/>
                <w:left w:val="none" w:sz="0" w:space="0" w:color="auto"/>
                <w:bottom w:val="none" w:sz="0" w:space="0" w:color="auto"/>
                <w:right w:val="none" w:sz="0" w:space="0" w:color="auto"/>
              </w:divBdr>
            </w:div>
            <w:div w:id="1729836954">
              <w:marLeft w:val="0"/>
              <w:marRight w:val="0"/>
              <w:marTop w:val="0"/>
              <w:marBottom w:val="0"/>
              <w:divBdr>
                <w:top w:val="none" w:sz="0" w:space="0" w:color="auto"/>
                <w:left w:val="none" w:sz="0" w:space="0" w:color="auto"/>
                <w:bottom w:val="none" w:sz="0" w:space="0" w:color="auto"/>
                <w:right w:val="none" w:sz="0" w:space="0" w:color="auto"/>
              </w:divBdr>
            </w:div>
            <w:div w:id="1749964925">
              <w:marLeft w:val="0"/>
              <w:marRight w:val="0"/>
              <w:marTop w:val="0"/>
              <w:marBottom w:val="0"/>
              <w:divBdr>
                <w:top w:val="none" w:sz="0" w:space="0" w:color="auto"/>
                <w:left w:val="none" w:sz="0" w:space="0" w:color="auto"/>
                <w:bottom w:val="none" w:sz="0" w:space="0" w:color="auto"/>
                <w:right w:val="none" w:sz="0" w:space="0" w:color="auto"/>
              </w:divBdr>
            </w:div>
            <w:div w:id="1794979103">
              <w:marLeft w:val="0"/>
              <w:marRight w:val="0"/>
              <w:marTop w:val="0"/>
              <w:marBottom w:val="0"/>
              <w:divBdr>
                <w:top w:val="none" w:sz="0" w:space="0" w:color="auto"/>
                <w:left w:val="none" w:sz="0" w:space="0" w:color="auto"/>
                <w:bottom w:val="none" w:sz="0" w:space="0" w:color="auto"/>
                <w:right w:val="none" w:sz="0" w:space="0" w:color="auto"/>
              </w:divBdr>
            </w:div>
            <w:div w:id="1812360487">
              <w:marLeft w:val="0"/>
              <w:marRight w:val="0"/>
              <w:marTop w:val="0"/>
              <w:marBottom w:val="0"/>
              <w:divBdr>
                <w:top w:val="none" w:sz="0" w:space="0" w:color="auto"/>
                <w:left w:val="none" w:sz="0" w:space="0" w:color="auto"/>
                <w:bottom w:val="none" w:sz="0" w:space="0" w:color="auto"/>
                <w:right w:val="none" w:sz="0" w:space="0" w:color="auto"/>
              </w:divBdr>
            </w:div>
            <w:div w:id="1837726320">
              <w:marLeft w:val="0"/>
              <w:marRight w:val="0"/>
              <w:marTop w:val="0"/>
              <w:marBottom w:val="0"/>
              <w:divBdr>
                <w:top w:val="none" w:sz="0" w:space="0" w:color="auto"/>
                <w:left w:val="none" w:sz="0" w:space="0" w:color="auto"/>
                <w:bottom w:val="none" w:sz="0" w:space="0" w:color="auto"/>
                <w:right w:val="none" w:sz="0" w:space="0" w:color="auto"/>
              </w:divBdr>
            </w:div>
            <w:div w:id="1851338374">
              <w:marLeft w:val="0"/>
              <w:marRight w:val="0"/>
              <w:marTop w:val="0"/>
              <w:marBottom w:val="0"/>
              <w:divBdr>
                <w:top w:val="none" w:sz="0" w:space="0" w:color="auto"/>
                <w:left w:val="none" w:sz="0" w:space="0" w:color="auto"/>
                <w:bottom w:val="none" w:sz="0" w:space="0" w:color="auto"/>
                <w:right w:val="none" w:sz="0" w:space="0" w:color="auto"/>
              </w:divBdr>
            </w:div>
            <w:div w:id="1959991969">
              <w:marLeft w:val="0"/>
              <w:marRight w:val="0"/>
              <w:marTop w:val="0"/>
              <w:marBottom w:val="0"/>
              <w:divBdr>
                <w:top w:val="none" w:sz="0" w:space="0" w:color="auto"/>
                <w:left w:val="none" w:sz="0" w:space="0" w:color="auto"/>
                <w:bottom w:val="none" w:sz="0" w:space="0" w:color="auto"/>
                <w:right w:val="none" w:sz="0" w:space="0" w:color="auto"/>
              </w:divBdr>
            </w:div>
            <w:div w:id="1978298431">
              <w:marLeft w:val="0"/>
              <w:marRight w:val="0"/>
              <w:marTop w:val="0"/>
              <w:marBottom w:val="0"/>
              <w:divBdr>
                <w:top w:val="none" w:sz="0" w:space="0" w:color="auto"/>
                <w:left w:val="none" w:sz="0" w:space="0" w:color="auto"/>
                <w:bottom w:val="none" w:sz="0" w:space="0" w:color="auto"/>
                <w:right w:val="none" w:sz="0" w:space="0" w:color="auto"/>
              </w:divBdr>
            </w:div>
            <w:div w:id="2079282414">
              <w:marLeft w:val="0"/>
              <w:marRight w:val="0"/>
              <w:marTop w:val="0"/>
              <w:marBottom w:val="0"/>
              <w:divBdr>
                <w:top w:val="none" w:sz="0" w:space="0" w:color="auto"/>
                <w:left w:val="none" w:sz="0" w:space="0" w:color="auto"/>
                <w:bottom w:val="none" w:sz="0" w:space="0" w:color="auto"/>
                <w:right w:val="none" w:sz="0" w:space="0" w:color="auto"/>
              </w:divBdr>
            </w:div>
            <w:div w:id="2083747742">
              <w:marLeft w:val="0"/>
              <w:marRight w:val="0"/>
              <w:marTop w:val="0"/>
              <w:marBottom w:val="0"/>
              <w:divBdr>
                <w:top w:val="none" w:sz="0" w:space="0" w:color="auto"/>
                <w:left w:val="none" w:sz="0" w:space="0" w:color="auto"/>
                <w:bottom w:val="none" w:sz="0" w:space="0" w:color="auto"/>
                <w:right w:val="none" w:sz="0" w:space="0" w:color="auto"/>
              </w:divBdr>
            </w:div>
            <w:div w:id="2098595861">
              <w:marLeft w:val="0"/>
              <w:marRight w:val="0"/>
              <w:marTop w:val="0"/>
              <w:marBottom w:val="0"/>
              <w:divBdr>
                <w:top w:val="none" w:sz="0" w:space="0" w:color="auto"/>
                <w:left w:val="none" w:sz="0" w:space="0" w:color="auto"/>
                <w:bottom w:val="none" w:sz="0" w:space="0" w:color="auto"/>
                <w:right w:val="none" w:sz="0" w:space="0" w:color="auto"/>
              </w:divBdr>
            </w:div>
            <w:div w:id="2102410550">
              <w:marLeft w:val="0"/>
              <w:marRight w:val="0"/>
              <w:marTop w:val="0"/>
              <w:marBottom w:val="0"/>
              <w:divBdr>
                <w:top w:val="none" w:sz="0" w:space="0" w:color="auto"/>
                <w:left w:val="none" w:sz="0" w:space="0" w:color="auto"/>
                <w:bottom w:val="none" w:sz="0" w:space="0" w:color="auto"/>
                <w:right w:val="none" w:sz="0" w:space="0" w:color="auto"/>
              </w:divBdr>
            </w:div>
            <w:div w:id="2104375207">
              <w:marLeft w:val="0"/>
              <w:marRight w:val="0"/>
              <w:marTop w:val="0"/>
              <w:marBottom w:val="0"/>
              <w:divBdr>
                <w:top w:val="none" w:sz="0" w:space="0" w:color="auto"/>
                <w:left w:val="none" w:sz="0" w:space="0" w:color="auto"/>
                <w:bottom w:val="none" w:sz="0" w:space="0" w:color="auto"/>
                <w:right w:val="none" w:sz="0" w:space="0" w:color="auto"/>
              </w:divBdr>
            </w:div>
            <w:div w:id="2106343465">
              <w:marLeft w:val="0"/>
              <w:marRight w:val="0"/>
              <w:marTop w:val="0"/>
              <w:marBottom w:val="0"/>
              <w:divBdr>
                <w:top w:val="none" w:sz="0" w:space="0" w:color="auto"/>
                <w:left w:val="none" w:sz="0" w:space="0" w:color="auto"/>
                <w:bottom w:val="none" w:sz="0" w:space="0" w:color="auto"/>
                <w:right w:val="none" w:sz="0" w:space="0" w:color="auto"/>
              </w:divBdr>
            </w:div>
            <w:div w:id="2112316359">
              <w:marLeft w:val="0"/>
              <w:marRight w:val="0"/>
              <w:marTop w:val="0"/>
              <w:marBottom w:val="0"/>
              <w:divBdr>
                <w:top w:val="none" w:sz="0" w:space="0" w:color="auto"/>
                <w:left w:val="none" w:sz="0" w:space="0" w:color="auto"/>
                <w:bottom w:val="none" w:sz="0" w:space="0" w:color="auto"/>
                <w:right w:val="none" w:sz="0" w:space="0" w:color="auto"/>
              </w:divBdr>
            </w:div>
            <w:div w:id="2124304707">
              <w:marLeft w:val="0"/>
              <w:marRight w:val="0"/>
              <w:marTop w:val="0"/>
              <w:marBottom w:val="0"/>
              <w:divBdr>
                <w:top w:val="none" w:sz="0" w:space="0" w:color="auto"/>
                <w:left w:val="none" w:sz="0" w:space="0" w:color="auto"/>
                <w:bottom w:val="none" w:sz="0" w:space="0" w:color="auto"/>
                <w:right w:val="none" w:sz="0" w:space="0" w:color="auto"/>
              </w:divBdr>
            </w:div>
            <w:div w:id="212442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732518">
      <w:bodyDiv w:val="1"/>
      <w:marLeft w:val="0"/>
      <w:marRight w:val="0"/>
      <w:marTop w:val="0"/>
      <w:marBottom w:val="0"/>
      <w:divBdr>
        <w:top w:val="none" w:sz="0" w:space="0" w:color="auto"/>
        <w:left w:val="none" w:sz="0" w:space="0" w:color="auto"/>
        <w:bottom w:val="none" w:sz="0" w:space="0" w:color="auto"/>
        <w:right w:val="none" w:sz="0" w:space="0" w:color="auto"/>
      </w:divBdr>
      <w:divsChild>
        <w:div w:id="1812818736">
          <w:marLeft w:val="480"/>
          <w:marRight w:val="0"/>
          <w:marTop w:val="0"/>
          <w:marBottom w:val="0"/>
          <w:divBdr>
            <w:top w:val="none" w:sz="0" w:space="0" w:color="auto"/>
            <w:left w:val="none" w:sz="0" w:space="0" w:color="auto"/>
            <w:bottom w:val="none" w:sz="0" w:space="0" w:color="auto"/>
            <w:right w:val="none" w:sz="0" w:space="0" w:color="auto"/>
          </w:divBdr>
          <w:divsChild>
            <w:div w:id="33696850">
              <w:marLeft w:val="0"/>
              <w:marRight w:val="0"/>
              <w:marTop w:val="0"/>
              <w:marBottom w:val="0"/>
              <w:divBdr>
                <w:top w:val="none" w:sz="0" w:space="0" w:color="auto"/>
                <w:left w:val="none" w:sz="0" w:space="0" w:color="auto"/>
                <w:bottom w:val="none" w:sz="0" w:space="0" w:color="auto"/>
                <w:right w:val="none" w:sz="0" w:space="0" w:color="auto"/>
              </w:divBdr>
            </w:div>
            <w:div w:id="67114308">
              <w:marLeft w:val="0"/>
              <w:marRight w:val="0"/>
              <w:marTop w:val="0"/>
              <w:marBottom w:val="0"/>
              <w:divBdr>
                <w:top w:val="none" w:sz="0" w:space="0" w:color="auto"/>
                <w:left w:val="none" w:sz="0" w:space="0" w:color="auto"/>
                <w:bottom w:val="none" w:sz="0" w:space="0" w:color="auto"/>
                <w:right w:val="none" w:sz="0" w:space="0" w:color="auto"/>
              </w:divBdr>
            </w:div>
            <w:div w:id="218369078">
              <w:marLeft w:val="0"/>
              <w:marRight w:val="0"/>
              <w:marTop w:val="0"/>
              <w:marBottom w:val="0"/>
              <w:divBdr>
                <w:top w:val="none" w:sz="0" w:space="0" w:color="auto"/>
                <w:left w:val="none" w:sz="0" w:space="0" w:color="auto"/>
                <w:bottom w:val="none" w:sz="0" w:space="0" w:color="auto"/>
                <w:right w:val="none" w:sz="0" w:space="0" w:color="auto"/>
              </w:divBdr>
            </w:div>
            <w:div w:id="240214190">
              <w:marLeft w:val="0"/>
              <w:marRight w:val="0"/>
              <w:marTop w:val="0"/>
              <w:marBottom w:val="0"/>
              <w:divBdr>
                <w:top w:val="none" w:sz="0" w:space="0" w:color="auto"/>
                <w:left w:val="none" w:sz="0" w:space="0" w:color="auto"/>
                <w:bottom w:val="none" w:sz="0" w:space="0" w:color="auto"/>
                <w:right w:val="none" w:sz="0" w:space="0" w:color="auto"/>
              </w:divBdr>
            </w:div>
            <w:div w:id="349339594">
              <w:marLeft w:val="0"/>
              <w:marRight w:val="0"/>
              <w:marTop w:val="0"/>
              <w:marBottom w:val="0"/>
              <w:divBdr>
                <w:top w:val="none" w:sz="0" w:space="0" w:color="auto"/>
                <w:left w:val="none" w:sz="0" w:space="0" w:color="auto"/>
                <w:bottom w:val="none" w:sz="0" w:space="0" w:color="auto"/>
                <w:right w:val="none" w:sz="0" w:space="0" w:color="auto"/>
              </w:divBdr>
            </w:div>
            <w:div w:id="362370142">
              <w:marLeft w:val="0"/>
              <w:marRight w:val="0"/>
              <w:marTop w:val="0"/>
              <w:marBottom w:val="0"/>
              <w:divBdr>
                <w:top w:val="none" w:sz="0" w:space="0" w:color="auto"/>
                <w:left w:val="none" w:sz="0" w:space="0" w:color="auto"/>
                <w:bottom w:val="none" w:sz="0" w:space="0" w:color="auto"/>
                <w:right w:val="none" w:sz="0" w:space="0" w:color="auto"/>
              </w:divBdr>
            </w:div>
            <w:div w:id="443615742">
              <w:marLeft w:val="0"/>
              <w:marRight w:val="0"/>
              <w:marTop w:val="0"/>
              <w:marBottom w:val="0"/>
              <w:divBdr>
                <w:top w:val="none" w:sz="0" w:space="0" w:color="auto"/>
                <w:left w:val="none" w:sz="0" w:space="0" w:color="auto"/>
                <w:bottom w:val="none" w:sz="0" w:space="0" w:color="auto"/>
                <w:right w:val="none" w:sz="0" w:space="0" w:color="auto"/>
              </w:divBdr>
            </w:div>
            <w:div w:id="492449303">
              <w:marLeft w:val="0"/>
              <w:marRight w:val="0"/>
              <w:marTop w:val="0"/>
              <w:marBottom w:val="0"/>
              <w:divBdr>
                <w:top w:val="none" w:sz="0" w:space="0" w:color="auto"/>
                <w:left w:val="none" w:sz="0" w:space="0" w:color="auto"/>
                <w:bottom w:val="none" w:sz="0" w:space="0" w:color="auto"/>
                <w:right w:val="none" w:sz="0" w:space="0" w:color="auto"/>
              </w:divBdr>
            </w:div>
            <w:div w:id="517428925">
              <w:marLeft w:val="0"/>
              <w:marRight w:val="0"/>
              <w:marTop w:val="0"/>
              <w:marBottom w:val="0"/>
              <w:divBdr>
                <w:top w:val="none" w:sz="0" w:space="0" w:color="auto"/>
                <w:left w:val="none" w:sz="0" w:space="0" w:color="auto"/>
                <w:bottom w:val="none" w:sz="0" w:space="0" w:color="auto"/>
                <w:right w:val="none" w:sz="0" w:space="0" w:color="auto"/>
              </w:divBdr>
            </w:div>
            <w:div w:id="538274881">
              <w:marLeft w:val="0"/>
              <w:marRight w:val="0"/>
              <w:marTop w:val="0"/>
              <w:marBottom w:val="0"/>
              <w:divBdr>
                <w:top w:val="none" w:sz="0" w:space="0" w:color="auto"/>
                <w:left w:val="none" w:sz="0" w:space="0" w:color="auto"/>
                <w:bottom w:val="none" w:sz="0" w:space="0" w:color="auto"/>
                <w:right w:val="none" w:sz="0" w:space="0" w:color="auto"/>
              </w:divBdr>
            </w:div>
            <w:div w:id="589580774">
              <w:marLeft w:val="0"/>
              <w:marRight w:val="0"/>
              <w:marTop w:val="0"/>
              <w:marBottom w:val="0"/>
              <w:divBdr>
                <w:top w:val="none" w:sz="0" w:space="0" w:color="auto"/>
                <w:left w:val="none" w:sz="0" w:space="0" w:color="auto"/>
                <w:bottom w:val="none" w:sz="0" w:space="0" w:color="auto"/>
                <w:right w:val="none" w:sz="0" w:space="0" w:color="auto"/>
              </w:divBdr>
            </w:div>
            <w:div w:id="593363773">
              <w:marLeft w:val="0"/>
              <w:marRight w:val="0"/>
              <w:marTop w:val="0"/>
              <w:marBottom w:val="0"/>
              <w:divBdr>
                <w:top w:val="none" w:sz="0" w:space="0" w:color="auto"/>
                <w:left w:val="none" w:sz="0" w:space="0" w:color="auto"/>
                <w:bottom w:val="none" w:sz="0" w:space="0" w:color="auto"/>
                <w:right w:val="none" w:sz="0" w:space="0" w:color="auto"/>
              </w:divBdr>
            </w:div>
            <w:div w:id="752749466">
              <w:marLeft w:val="0"/>
              <w:marRight w:val="0"/>
              <w:marTop w:val="0"/>
              <w:marBottom w:val="0"/>
              <w:divBdr>
                <w:top w:val="none" w:sz="0" w:space="0" w:color="auto"/>
                <w:left w:val="none" w:sz="0" w:space="0" w:color="auto"/>
                <w:bottom w:val="none" w:sz="0" w:space="0" w:color="auto"/>
                <w:right w:val="none" w:sz="0" w:space="0" w:color="auto"/>
              </w:divBdr>
            </w:div>
            <w:div w:id="773479293">
              <w:marLeft w:val="0"/>
              <w:marRight w:val="0"/>
              <w:marTop w:val="0"/>
              <w:marBottom w:val="0"/>
              <w:divBdr>
                <w:top w:val="none" w:sz="0" w:space="0" w:color="auto"/>
                <w:left w:val="none" w:sz="0" w:space="0" w:color="auto"/>
                <w:bottom w:val="none" w:sz="0" w:space="0" w:color="auto"/>
                <w:right w:val="none" w:sz="0" w:space="0" w:color="auto"/>
              </w:divBdr>
            </w:div>
            <w:div w:id="800420616">
              <w:marLeft w:val="0"/>
              <w:marRight w:val="0"/>
              <w:marTop w:val="0"/>
              <w:marBottom w:val="0"/>
              <w:divBdr>
                <w:top w:val="none" w:sz="0" w:space="0" w:color="auto"/>
                <w:left w:val="none" w:sz="0" w:space="0" w:color="auto"/>
                <w:bottom w:val="none" w:sz="0" w:space="0" w:color="auto"/>
                <w:right w:val="none" w:sz="0" w:space="0" w:color="auto"/>
              </w:divBdr>
            </w:div>
            <w:div w:id="874729045">
              <w:marLeft w:val="0"/>
              <w:marRight w:val="0"/>
              <w:marTop w:val="0"/>
              <w:marBottom w:val="0"/>
              <w:divBdr>
                <w:top w:val="none" w:sz="0" w:space="0" w:color="auto"/>
                <w:left w:val="none" w:sz="0" w:space="0" w:color="auto"/>
                <w:bottom w:val="none" w:sz="0" w:space="0" w:color="auto"/>
                <w:right w:val="none" w:sz="0" w:space="0" w:color="auto"/>
              </w:divBdr>
            </w:div>
            <w:div w:id="914700671">
              <w:marLeft w:val="0"/>
              <w:marRight w:val="0"/>
              <w:marTop w:val="0"/>
              <w:marBottom w:val="0"/>
              <w:divBdr>
                <w:top w:val="none" w:sz="0" w:space="0" w:color="auto"/>
                <w:left w:val="none" w:sz="0" w:space="0" w:color="auto"/>
                <w:bottom w:val="none" w:sz="0" w:space="0" w:color="auto"/>
                <w:right w:val="none" w:sz="0" w:space="0" w:color="auto"/>
              </w:divBdr>
            </w:div>
            <w:div w:id="959188934">
              <w:marLeft w:val="0"/>
              <w:marRight w:val="0"/>
              <w:marTop w:val="0"/>
              <w:marBottom w:val="0"/>
              <w:divBdr>
                <w:top w:val="none" w:sz="0" w:space="0" w:color="auto"/>
                <w:left w:val="none" w:sz="0" w:space="0" w:color="auto"/>
                <w:bottom w:val="none" w:sz="0" w:space="0" w:color="auto"/>
                <w:right w:val="none" w:sz="0" w:space="0" w:color="auto"/>
              </w:divBdr>
            </w:div>
            <w:div w:id="970287792">
              <w:marLeft w:val="0"/>
              <w:marRight w:val="0"/>
              <w:marTop w:val="0"/>
              <w:marBottom w:val="0"/>
              <w:divBdr>
                <w:top w:val="none" w:sz="0" w:space="0" w:color="auto"/>
                <w:left w:val="none" w:sz="0" w:space="0" w:color="auto"/>
                <w:bottom w:val="none" w:sz="0" w:space="0" w:color="auto"/>
                <w:right w:val="none" w:sz="0" w:space="0" w:color="auto"/>
              </w:divBdr>
            </w:div>
            <w:div w:id="1160848435">
              <w:marLeft w:val="0"/>
              <w:marRight w:val="0"/>
              <w:marTop w:val="0"/>
              <w:marBottom w:val="0"/>
              <w:divBdr>
                <w:top w:val="none" w:sz="0" w:space="0" w:color="auto"/>
                <w:left w:val="none" w:sz="0" w:space="0" w:color="auto"/>
                <w:bottom w:val="none" w:sz="0" w:space="0" w:color="auto"/>
                <w:right w:val="none" w:sz="0" w:space="0" w:color="auto"/>
              </w:divBdr>
            </w:div>
            <w:div w:id="1166825861">
              <w:marLeft w:val="0"/>
              <w:marRight w:val="0"/>
              <w:marTop w:val="0"/>
              <w:marBottom w:val="0"/>
              <w:divBdr>
                <w:top w:val="none" w:sz="0" w:space="0" w:color="auto"/>
                <w:left w:val="none" w:sz="0" w:space="0" w:color="auto"/>
                <w:bottom w:val="none" w:sz="0" w:space="0" w:color="auto"/>
                <w:right w:val="none" w:sz="0" w:space="0" w:color="auto"/>
              </w:divBdr>
            </w:div>
            <w:div w:id="1174105704">
              <w:marLeft w:val="0"/>
              <w:marRight w:val="0"/>
              <w:marTop w:val="0"/>
              <w:marBottom w:val="0"/>
              <w:divBdr>
                <w:top w:val="none" w:sz="0" w:space="0" w:color="auto"/>
                <w:left w:val="none" w:sz="0" w:space="0" w:color="auto"/>
                <w:bottom w:val="none" w:sz="0" w:space="0" w:color="auto"/>
                <w:right w:val="none" w:sz="0" w:space="0" w:color="auto"/>
              </w:divBdr>
            </w:div>
            <w:div w:id="1240942680">
              <w:marLeft w:val="0"/>
              <w:marRight w:val="0"/>
              <w:marTop w:val="0"/>
              <w:marBottom w:val="0"/>
              <w:divBdr>
                <w:top w:val="none" w:sz="0" w:space="0" w:color="auto"/>
                <w:left w:val="none" w:sz="0" w:space="0" w:color="auto"/>
                <w:bottom w:val="none" w:sz="0" w:space="0" w:color="auto"/>
                <w:right w:val="none" w:sz="0" w:space="0" w:color="auto"/>
              </w:divBdr>
            </w:div>
            <w:div w:id="1248923941">
              <w:marLeft w:val="0"/>
              <w:marRight w:val="0"/>
              <w:marTop w:val="0"/>
              <w:marBottom w:val="0"/>
              <w:divBdr>
                <w:top w:val="none" w:sz="0" w:space="0" w:color="auto"/>
                <w:left w:val="none" w:sz="0" w:space="0" w:color="auto"/>
                <w:bottom w:val="none" w:sz="0" w:space="0" w:color="auto"/>
                <w:right w:val="none" w:sz="0" w:space="0" w:color="auto"/>
              </w:divBdr>
            </w:div>
            <w:div w:id="1307126383">
              <w:marLeft w:val="0"/>
              <w:marRight w:val="0"/>
              <w:marTop w:val="0"/>
              <w:marBottom w:val="0"/>
              <w:divBdr>
                <w:top w:val="none" w:sz="0" w:space="0" w:color="auto"/>
                <w:left w:val="none" w:sz="0" w:space="0" w:color="auto"/>
                <w:bottom w:val="none" w:sz="0" w:space="0" w:color="auto"/>
                <w:right w:val="none" w:sz="0" w:space="0" w:color="auto"/>
              </w:divBdr>
            </w:div>
            <w:div w:id="1319337196">
              <w:marLeft w:val="0"/>
              <w:marRight w:val="0"/>
              <w:marTop w:val="0"/>
              <w:marBottom w:val="0"/>
              <w:divBdr>
                <w:top w:val="none" w:sz="0" w:space="0" w:color="auto"/>
                <w:left w:val="none" w:sz="0" w:space="0" w:color="auto"/>
                <w:bottom w:val="none" w:sz="0" w:space="0" w:color="auto"/>
                <w:right w:val="none" w:sz="0" w:space="0" w:color="auto"/>
              </w:divBdr>
            </w:div>
            <w:div w:id="1403404197">
              <w:marLeft w:val="0"/>
              <w:marRight w:val="0"/>
              <w:marTop w:val="0"/>
              <w:marBottom w:val="0"/>
              <w:divBdr>
                <w:top w:val="none" w:sz="0" w:space="0" w:color="auto"/>
                <w:left w:val="none" w:sz="0" w:space="0" w:color="auto"/>
                <w:bottom w:val="none" w:sz="0" w:space="0" w:color="auto"/>
                <w:right w:val="none" w:sz="0" w:space="0" w:color="auto"/>
              </w:divBdr>
            </w:div>
            <w:div w:id="1414007138">
              <w:marLeft w:val="0"/>
              <w:marRight w:val="0"/>
              <w:marTop w:val="0"/>
              <w:marBottom w:val="0"/>
              <w:divBdr>
                <w:top w:val="none" w:sz="0" w:space="0" w:color="auto"/>
                <w:left w:val="none" w:sz="0" w:space="0" w:color="auto"/>
                <w:bottom w:val="none" w:sz="0" w:space="0" w:color="auto"/>
                <w:right w:val="none" w:sz="0" w:space="0" w:color="auto"/>
              </w:divBdr>
            </w:div>
            <w:div w:id="1495685071">
              <w:marLeft w:val="0"/>
              <w:marRight w:val="0"/>
              <w:marTop w:val="0"/>
              <w:marBottom w:val="0"/>
              <w:divBdr>
                <w:top w:val="none" w:sz="0" w:space="0" w:color="auto"/>
                <w:left w:val="none" w:sz="0" w:space="0" w:color="auto"/>
                <w:bottom w:val="none" w:sz="0" w:space="0" w:color="auto"/>
                <w:right w:val="none" w:sz="0" w:space="0" w:color="auto"/>
              </w:divBdr>
            </w:div>
            <w:div w:id="1508325933">
              <w:marLeft w:val="0"/>
              <w:marRight w:val="0"/>
              <w:marTop w:val="0"/>
              <w:marBottom w:val="0"/>
              <w:divBdr>
                <w:top w:val="none" w:sz="0" w:space="0" w:color="auto"/>
                <w:left w:val="none" w:sz="0" w:space="0" w:color="auto"/>
                <w:bottom w:val="none" w:sz="0" w:space="0" w:color="auto"/>
                <w:right w:val="none" w:sz="0" w:space="0" w:color="auto"/>
              </w:divBdr>
            </w:div>
            <w:div w:id="1538927409">
              <w:marLeft w:val="0"/>
              <w:marRight w:val="0"/>
              <w:marTop w:val="0"/>
              <w:marBottom w:val="0"/>
              <w:divBdr>
                <w:top w:val="none" w:sz="0" w:space="0" w:color="auto"/>
                <w:left w:val="none" w:sz="0" w:space="0" w:color="auto"/>
                <w:bottom w:val="none" w:sz="0" w:space="0" w:color="auto"/>
                <w:right w:val="none" w:sz="0" w:space="0" w:color="auto"/>
              </w:divBdr>
            </w:div>
            <w:div w:id="1578057419">
              <w:marLeft w:val="0"/>
              <w:marRight w:val="0"/>
              <w:marTop w:val="0"/>
              <w:marBottom w:val="0"/>
              <w:divBdr>
                <w:top w:val="none" w:sz="0" w:space="0" w:color="auto"/>
                <w:left w:val="none" w:sz="0" w:space="0" w:color="auto"/>
                <w:bottom w:val="none" w:sz="0" w:space="0" w:color="auto"/>
                <w:right w:val="none" w:sz="0" w:space="0" w:color="auto"/>
              </w:divBdr>
            </w:div>
            <w:div w:id="1630939027">
              <w:marLeft w:val="0"/>
              <w:marRight w:val="0"/>
              <w:marTop w:val="0"/>
              <w:marBottom w:val="0"/>
              <w:divBdr>
                <w:top w:val="none" w:sz="0" w:space="0" w:color="auto"/>
                <w:left w:val="none" w:sz="0" w:space="0" w:color="auto"/>
                <w:bottom w:val="none" w:sz="0" w:space="0" w:color="auto"/>
                <w:right w:val="none" w:sz="0" w:space="0" w:color="auto"/>
              </w:divBdr>
            </w:div>
            <w:div w:id="1688479989">
              <w:marLeft w:val="0"/>
              <w:marRight w:val="0"/>
              <w:marTop w:val="0"/>
              <w:marBottom w:val="0"/>
              <w:divBdr>
                <w:top w:val="none" w:sz="0" w:space="0" w:color="auto"/>
                <w:left w:val="none" w:sz="0" w:space="0" w:color="auto"/>
                <w:bottom w:val="none" w:sz="0" w:space="0" w:color="auto"/>
                <w:right w:val="none" w:sz="0" w:space="0" w:color="auto"/>
              </w:divBdr>
            </w:div>
            <w:div w:id="1699506866">
              <w:marLeft w:val="0"/>
              <w:marRight w:val="0"/>
              <w:marTop w:val="0"/>
              <w:marBottom w:val="0"/>
              <w:divBdr>
                <w:top w:val="none" w:sz="0" w:space="0" w:color="auto"/>
                <w:left w:val="none" w:sz="0" w:space="0" w:color="auto"/>
                <w:bottom w:val="none" w:sz="0" w:space="0" w:color="auto"/>
                <w:right w:val="none" w:sz="0" w:space="0" w:color="auto"/>
              </w:divBdr>
            </w:div>
            <w:div w:id="1745371968">
              <w:marLeft w:val="0"/>
              <w:marRight w:val="0"/>
              <w:marTop w:val="0"/>
              <w:marBottom w:val="0"/>
              <w:divBdr>
                <w:top w:val="none" w:sz="0" w:space="0" w:color="auto"/>
                <w:left w:val="none" w:sz="0" w:space="0" w:color="auto"/>
                <w:bottom w:val="none" w:sz="0" w:space="0" w:color="auto"/>
                <w:right w:val="none" w:sz="0" w:space="0" w:color="auto"/>
              </w:divBdr>
            </w:div>
            <w:div w:id="1748649657">
              <w:marLeft w:val="0"/>
              <w:marRight w:val="0"/>
              <w:marTop w:val="0"/>
              <w:marBottom w:val="0"/>
              <w:divBdr>
                <w:top w:val="none" w:sz="0" w:space="0" w:color="auto"/>
                <w:left w:val="none" w:sz="0" w:space="0" w:color="auto"/>
                <w:bottom w:val="none" w:sz="0" w:space="0" w:color="auto"/>
                <w:right w:val="none" w:sz="0" w:space="0" w:color="auto"/>
              </w:divBdr>
            </w:div>
            <w:div w:id="1937057223">
              <w:marLeft w:val="0"/>
              <w:marRight w:val="0"/>
              <w:marTop w:val="0"/>
              <w:marBottom w:val="0"/>
              <w:divBdr>
                <w:top w:val="none" w:sz="0" w:space="0" w:color="auto"/>
                <w:left w:val="none" w:sz="0" w:space="0" w:color="auto"/>
                <w:bottom w:val="none" w:sz="0" w:space="0" w:color="auto"/>
                <w:right w:val="none" w:sz="0" w:space="0" w:color="auto"/>
              </w:divBdr>
            </w:div>
            <w:div w:id="2024819192">
              <w:marLeft w:val="0"/>
              <w:marRight w:val="0"/>
              <w:marTop w:val="0"/>
              <w:marBottom w:val="0"/>
              <w:divBdr>
                <w:top w:val="none" w:sz="0" w:space="0" w:color="auto"/>
                <w:left w:val="none" w:sz="0" w:space="0" w:color="auto"/>
                <w:bottom w:val="none" w:sz="0" w:space="0" w:color="auto"/>
                <w:right w:val="none" w:sz="0" w:space="0" w:color="auto"/>
              </w:divBdr>
            </w:div>
            <w:div w:id="2097432036">
              <w:marLeft w:val="0"/>
              <w:marRight w:val="0"/>
              <w:marTop w:val="0"/>
              <w:marBottom w:val="0"/>
              <w:divBdr>
                <w:top w:val="none" w:sz="0" w:space="0" w:color="auto"/>
                <w:left w:val="none" w:sz="0" w:space="0" w:color="auto"/>
                <w:bottom w:val="none" w:sz="0" w:space="0" w:color="auto"/>
                <w:right w:val="none" w:sz="0" w:space="0" w:color="auto"/>
              </w:divBdr>
            </w:div>
            <w:div w:id="210275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5914026">
      <w:bodyDiv w:val="1"/>
      <w:marLeft w:val="0"/>
      <w:marRight w:val="0"/>
      <w:marTop w:val="0"/>
      <w:marBottom w:val="0"/>
      <w:divBdr>
        <w:top w:val="none" w:sz="0" w:space="0" w:color="auto"/>
        <w:left w:val="none" w:sz="0" w:space="0" w:color="auto"/>
        <w:bottom w:val="none" w:sz="0" w:space="0" w:color="auto"/>
        <w:right w:val="none" w:sz="0" w:space="0" w:color="auto"/>
      </w:divBdr>
      <w:divsChild>
        <w:div w:id="1877499085">
          <w:marLeft w:val="480"/>
          <w:marRight w:val="0"/>
          <w:marTop w:val="0"/>
          <w:marBottom w:val="0"/>
          <w:divBdr>
            <w:top w:val="none" w:sz="0" w:space="0" w:color="auto"/>
            <w:left w:val="none" w:sz="0" w:space="0" w:color="auto"/>
            <w:bottom w:val="none" w:sz="0" w:space="0" w:color="auto"/>
            <w:right w:val="none" w:sz="0" w:space="0" w:color="auto"/>
          </w:divBdr>
          <w:divsChild>
            <w:div w:id="1314138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084623">
      <w:bodyDiv w:val="1"/>
      <w:marLeft w:val="0"/>
      <w:marRight w:val="0"/>
      <w:marTop w:val="0"/>
      <w:marBottom w:val="0"/>
      <w:divBdr>
        <w:top w:val="none" w:sz="0" w:space="0" w:color="auto"/>
        <w:left w:val="none" w:sz="0" w:space="0" w:color="auto"/>
        <w:bottom w:val="none" w:sz="0" w:space="0" w:color="auto"/>
        <w:right w:val="none" w:sz="0" w:space="0" w:color="auto"/>
      </w:divBdr>
      <w:divsChild>
        <w:div w:id="1391542722">
          <w:marLeft w:val="480"/>
          <w:marRight w:val="0"/>
          <w:marTop w:val="0"/>
          <w:marBottom w:val="0"/>
          <w:divBdr>
            <w:top w:val="none" w:sz="0" w:space="0" w:color="auto"/>
            <w:left w:val="none" w:sz="0" w:space="0" w:color="auto"/>
            <w:bottom w:val="none" w:sz="0" w:space="0" w:color="auto"/>
            <w:right w:val="none" w:sz="0" w:space="0" w:color="auto"/>
          </w:divBdr>
          <w:divsChild>
            <w:div w:id="534847399">
              <w:marLeft w:val="0"/>
              <w:marRight w:val="0"/>
              <w:marTop w:val="0"/>
              <w:marBottom w:val="0"/>
              <w:divBdr>
                <w:top w:val="none" w:sz="0" w:space="0" w:color="auto"/>
                <w:left w:val="none" w:sz="0" w:space="0" w:color="auto"/>
                <w:bottom w:val="none" w:sz="0" w:space="0" w:color="auto"/>
                <w:right w:val="none" w:sz="0" w:space="0" w:color="auto"/>
              </w:divBdr>
            </w:div>
            <w:div w:id="157870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662750">
      <w:bodyDiv w:val="1"/>
      <w:marLeft w:val="0"/>
      <w:marRight w:val="0"/>
      <w:marTop w:val="0"/>
      <w:marBottom w:val="0"/>
      <w:divBdr>
        <w:top w:val="none" w:sz="0" w:space="0" w:color="auto"/>
        <w:left w:val="none" w:sz="0" w:space="0" w:color="auto"/>
        <w:bottom w:val="none" w:sz="0" w:space="0" w:color="auto"/>
        <w:right w:val="none" w:sz="0" w:space="0" w:color="auto"/>
      </w:divBdr>
      <w:divsChild>
        <w:div w:id="2083016334">
          <w:marLeft w:val="480"/>
          <w:marRight w:val="0"/>
          <w:marTop w:val="0"/>
          <w:marBottom w:val="0"/>
          <w:divBdr>
            <w:top w:val="none" w:sz="0" w:space="0" w:color="auto"/>
            <w:left w:val="none" w:sz="0" w:space="0" w:color="auto"/>
            <w:bottom w:val="none" w:sz="0" w:space="0" w:color="auto"/>
            <w:right w:val="none" w:sz="0" w:space="0" w:color="auto"/>
          </w:divBdr>
          <w:divsChild>
            <w:div w:id="122987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88798">
      <w:bodyDiv w:val="1"/>
      <w:marLeft w:val="0"/>
      <w:marRight w:val="0"/>
      <w:marTop w:val="0"/>
      <w:marBottom w:val="0"/>
      <w:divBdr>
        <w:top w:val="none" w:sz="0" w:space="0" w:color="auto"/>
        <w:left w:val="none" w:sz="0" w:space="0" w:color="auto"/>
        <w:bottom w:val="none" w:sz="0" w:space="0" w:color="auto"/>
        <w:right w:val="none" w:sz="0" w:space="0" w:color="auto"/>
      </w:divBdr>
    </w:div>
    <w:div w:id="1051806762">
      <w:bodyDiv w:val="1"/>
      <w:marLeft w:val="0"/>
      <w:marRight w:val="0"/>
      <w:marTop w:val="0"/>
      <w:marBottom w:val="0"/>
      <w:divBdr>
        <w:top w:val="none" w:sz="0" w:space="0" w:color="auto"/>
        <w:left w:val="none" w:sz="0" w:space="0" w:color="auto"/>
        <w:bottom w:val="none" w:sz="0" w:space="0" w:color="auto"/>
        <w:right w:val="none" w:sz="0" w:space="0" w:color="auto"/>
      </w:divBdr>
      <w:divsChild>
        <w:div w:id="519011879">
          <w:marLeft w:val="480"/>
          <w:marRight w:val="0"/>
          <w:marTop w:val="0"/>
          <w:marBottom w:val="0"/>
          <w:divBdr>
            <w:top w:val="none" w:sz="0" w:space="0" w:color="auto"/>
            <w:left w:val="none" w:sz="0" w:space="0" w:color="auto"/>
            <w:bottom w:val="none" w:sz="0" w:space="0" w:color="auto"/>
            <w:right w:val="none" w:sz="0" w:space="0" w:color="auto"/>
          </w:divBdr>
          <w:divsChild>
            <w:div w:id="1617563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488002">
      <w:bodyDiv w:val="1"/>
      <w:marLeft w:val="0"/>
      <w:marRight w:val="0"/>
      <w:marTop w:val="0"/>
      <w:marBottom w:val="0"/>
      <w:divBdr>
        <w:top w:val="none" w:sz="0" w:space="0" w:color="auto"/>
        <w:left w:val="none" w:sz="0" w:space="0" w:color="auto"/>
        <w:bottom w:val="none" w:sz="0" w:space="0" w:color="auto"/>
        <w:right w:val="none" w:sz="0" w:space="0" w:color="auto"/>
      </w:divBdr>
      <w:divsChild>
        <w:div w:id="1843231808">
          <w:marLeft w:val="480"/>
          <w:marRight w:val="0"/>
          <w:marTop w:val="0"/>
          <w:marBottom w:val="0"/>
          <w:divBdr>
            <w:top w:val="none" w:sz="0" w:space="0" w:color="auto"/>
            <w:left w:val="none" w:sz="0" w:space="0" w:color="auto"/>
            <w:bottom w:val="none" w:sz="0" w:space="0" w:color="auto"/>
            <w:right w:val="none" w:sz="0" w:space="0" w:color="auto"/>
          </w:divBdr>
          <w:divsChild>
            <w:div w:id="1313679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300109">
      <w:bodyDiv w:val="1"/>
      <w:marLeft w:val="0"/>
      <w:marRight w:val="0"/>
      <w:marTop w:val="0"/>
      <w:marBottom w:val="0"/>
      <w:divBdr>
        <w:top w:val="none" w:sz="0" w:space="0" w:color="auto"/>
        <w:left w:val="none" w:sz="0" w:space="0" w:color="auto"/>
        <w:bottom w:val="none" w:sz="0" w:space="0" w:color="auto"/>
        <w:right w:val="none" w:sz="0" w:space="0" w:color="auto"/>
      </w:divBdr>
      <w:divsChild>
        <w:div w:id="1433475175">
          <w:marLeft w:val="480"/>
          <w:marRight w:val="0"/>
          <w:marTop w:val="0"/>
          <w:marBottom w:val="0"/>
          <w:divBdr>
            <w:top w:val="none" w:sz="0" w:space="0" w:color="auto"/>
            <w:left w:val="none" w:sz="0" w:space="0" w:color="auto"/>
            <w:bottom w:val="none" w:sz="0" w:space="0" w:color="auto"/>
            <w:right w:val="none" w:sz="0" w:space="0" w:color="auto"/>
          </w:divBdr>
          <w:divsChild>
            <w:div w:id="1018694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590217">
      <w:bodyDiv w:val="1"/>
      <w:marLeft w:val="0"/>
      <w:marRight w:val="0"/>
      <w:marTop w:val="0"/>
      <w:marBottom w:val="0"/>
      <w:divBdr>
        <w:top w:val="none" w:sz="0" w:space="0" w:color="auto"/>
        <w:left w:val="none" w:sz="0" w:space="0" w:color="auto"/>
        <w:bottom w:val="none" w:sz="0" w:space="0" w:color="auto"/>
        <w:right w:val="none" w:sz="0" w:space="0" w:color="auto"/>
      </w:divBdr>
    </w:div>
    <w:div w:id="1178930271">
      <w:bodyDiv w:val="1"/>
      <w:marLeft w:val="0"/>
      <w:marRight w:val="0"/>
      <w:marTop w:val="0"/>
      <w:marBottom w:val="0"/>
      <w:divBdr>
        <w:top w:val="none" w:sz="0" w:space="0" w:color="auto"/>
        <w:left w:val="none" w:sz="0" w:space="0" w:color="auto"/>
        <w:bottom w:val="none" w:sz="0" w:space="0" w:color="auto"/>
        <w:right w:val="none" w:sz="0" w:space="0" w:color="auto"/>
      </w:divBdr>
      <w:divsChild>
        <w:div w:id="298536554">
          <w:marLeft w:val="480"/>
          <w:marRight w:val="0"/>
          <w:marTop w:val="0"/>
          <w:marBottom w:val="0"/>
          <w:divBdr>
            <w:top w:val="none" w:sz="0" w:space="0" w:color="auto"/>
            <w:left w:val="none" w:sz="0" w:space="0" w:color="auto"/>
            <w:bottom w:val="none" w:sz="0" w:space="0" w:color="auto"/>
            <w:right w:val="none" w:sz="0" w:space="0" w:color="auto"/>
          </w:divBdr>
          <w:divsChild>
            <w:div w:id="131394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254492">
      <w:bodyDiv w:val="1"/>
      <w:marLeft w:val="0"/>
      <w:marRight w:val="0"/>
      <w:marTop w:val="0"/>
      <w:marBottom w:val="0"/>
      <w:divBdr>
        <w:top w:val="none" w:sz="0" w:space="0" w:color="auto"/>
        <w:left w:val="none" w:sz="0" w:space="0" w:color="auto"/>
        <w:bottom w:val="none" w:sz="0" w:space="0" w:color="auto"/>
        <w:right w:val="none" w:sz="0" w:space="0" w:color="auto"/>
      </w:divBdr>
      <w:divsChild>
        <w:div w:id="1255824442">
          <w:marLeft w:val="480"/>
          <w:marRight w:val="0"/>
          <w:marTop w:val="0"/>
          <w:marBottom w:val="0"/>
          <w:divBdr>
            <w:top w:val="none" w:sz="0" w:space="0" w:color="auto"/>
            <w:left w:val="none" w:sz="0" w:space="0" w:color="auto"/>
            <w:bottom w:val="none" w:sz="0" w:space="0" w:color="auto"/>
            <w:right w:val="none" w:sz="0" w:space="0" w:color="auto"/>
          </w:divBdr>
          <w:divsChild>
            <w:div w:id="106898466">
              <w:marLeft w:val="0"/>
              <w:marRight w:val="0"/>
              <w:marTop w:val="0"/>
              <w:marBottom w:val="0"/>
              <w:divBdr>
                <w:top w:val="none" w:sz="0" w:space="0" w:color="auto"/>
                <w:left w:val="none" w:sz="0" w:space="0" w:color="auto"/>
                <w:bottom w:val="none" w:sz="0" w:space="0" w:color="auto"/>
                <w:right w:val="none" w:sz="0" w:space="0" w:color="auto"/>
              </w:divBdr>
            </w:div>
            <w:div w:id="126824414">
              <w:marLeft w:val="0"/>
              <w:marRight w:val="0"/>
              <w:marTop w:val="0"/>
              <w:marBottom w:val="0"/>
              <w:divBdr>
                <w:top w:val="none" w:sz="0" w:space="0" w:color="auto"/>
                <w:left w:val="none" w:sz="0" w:space="0" w:color="auto"/>
                <w:bottom w:val="none" w:sz="0" w:space="0" w:color="auto"/>
                <w:right w:val="none" w:sz="0" w:space="0" w:color="auto"/>
              </w:divBdr>
            </w:div>
            <w:div w:id="256527167">
              <w:marLeft w:val="0"/>
              <w:marRight w:val="0"/>
              <w:marTop w:val="0"/>
              <w:marBottom w:val="0"/>
              <w:divBdr>
                <w:top w:val="none" w:sz="0" w:space="0" w:color="auto"/>
                <w:left w:val="none" w:sz="0" w:space="0" w:color="auto"/>
                <w:bottom w:val="none" w:sz="0" w:space="0" w:color="auto"/>
                <w:right w:val="none" w:sz="0" w:space="0" w:color="auto"/>
              </w:divBdr>
            </w:div>
            <w:div w:id="293143413">
              <w:marLeft w:val="0"/>
              <w:marRight w:val="0"/>
              <w:marTop w:val="0"/>
              <w:marBottom w:val="0"/>
              <w:divBdr>
                <w:top w:val="none" w:sz="0" w:space="0" w:color="auto"/>
                <w:left w:val="none" w:sz="0" w:space="0" w:color="auto"/>
                <w:bottom w:val="none" w:sz="0" w:space="0" w:color="auto"/>
                <w:right w:val="none" w:sz="0" w:space="0" w:color="auto"/>
              </w:divBdr>
            </w:div>
            <w:div w:id="341931527">
              <w:marLeft w:val="0"/>
              <w:marRight w:val="0"/>
              <w:marTop w:val="0"/>
              <w:marBottom w:val="0"/>
              <w:divBdr>
                <w:top w:val="none" w:sz="0" w:space="0" w:color="auto"/>
                <w:left w:val="none" w:sz="0" w:space="0" w:color="auto"/>
                <w:bottom w:val="none" w:sz="0" w:space="0" w:color="auto"/>
                <w:right w:val="none" w:sz="0" w:space="0" w:color="auto"/>
              </w:divBdr>
            </w:div>
            <w:div w:id="386298046">
              <w:marLeft w:val="0"/>
              <w:marRight w:val="0"/>
              <w:marTop w:val="0"/>
              <w:marBottom w:val="0"/>
              <w:divBdr>
                <w:top w:val="none" w:sz="0" w:space="0" w:color="auto"/>
                <w:left w:val="none" w:sz="0" w:space="0" w:color="auto"/>
                <w:bottom w:val="none" w:sz="0" w:space="0" w:color="auto"/>
                <w:right w:val="none" w:sz="0" w:space="0" w:color="auto"/>
              </w:divBdr>
            </w:div>
            <w:div w:id="407920944">
              <w:marLeft w:val="0"/>
              <w:marRight w:val="0"/>
              <w:marTop w:val="0"/>
              <w:marBottom w:val="0"/>
              <w:divBdr>
                <w:top w:val="none" w:sz="0" w:space="0" w:color="auto"/>
                <w:left w:val="none" w:sz="0" w:space="0" w:color="auto"/>
                <w:bottom w:val="none" w:sz="0" w:space="0" w:color="auto"/>
                <w:right w:val="none" w:sz="0" w:space="0" w:color="auto"/>
              </w:divBdr>
            </w:div>
            <w:div w:id="481390789">
              <w:marLeft w:val="0"/>
              <w:marRight w:val="0"/>
              <w:marTop w:val="0"/>
              <w:marBottom w:val="0"/>
              <w:divBdr>
                <w:top w:val="none" w:sz="0" w:space="0" w:color="auto"/>
                <w:left w:val="none" w:sz="0" w:space="0" w:color="auto"/>
                <w:bottom w:val="none" w:sz="0" w:space="0" w:color="auto"/>
                <w:right w:val="none" w:sz="0" w:space="0" w:color="auto"/>
              </w:divBdr>
            </w:div>
            <w:div w:id="546338926">
              <w:marLeft w:val="0"/>
              <w:marRight w:val="0"/>
              <w:marTop w:val="0"/>
              <w:marBottom w:val="0"/>
              <w:divBdr>
                <w:top w:val="none" w:sz="0" w:space="0" w:color="auto"/>
                <w:left w:val="none" w:sz="0" w:space="0" w:color="auto"/>
                <w:bottom w:val="none" w:sz="0" w:space="0" w:color="auto"/>
                <w:right w:val="none" w:sz="0" w:space="0" w:color="auto"/>
              </w:divBdr>
            </w:div>
            <w:div w:id="562763870">
              <w:marLeft w:val="0"/>
              <w:marRight w:val="0"/>
              <w:marTop w:val="0"/>
              <w:marBottom w:val="0"/>
              <w:divBdr>
                <w:top w:val="none" w:sz="0" w:space="0" w:color="auto"/>
                <w:left w:val="none" w:sz="0" w:space="0" w:color="auto"/>
                <w:bottom w:val="none" w:sz="0" w:space="0" w:color="auto"/>
                <w:right w:val="none" w:sz="0" w:space="0" w:color="auto"/>
              </w:divBdr>
            </w:div>
            <w:div w:id="576668532">
              <w:marLeft w:val="0"/>
              <w:marRight w:val="0"/>
              <w:marTop w:val="0"/>
              <w:marBottom w:val="0"/>
              <w:divBdr>
                <w:top w:val="none" w:sz="0" w:space="0" w:color="auto"/>
                <w:left w:val="none" w:sz="0" w:space="0" w:color="auto"/>
                <w:bottom w:val="none" w:sz="0" w:space="0" w:color="auto"/>
                <w:right w:val="none" w:sz="0" w:space="0" w:color="auto"/>
              </w:divBdr>
            </w:div>
            <w:div w:id="591667092">
              <w:marLeft w:val="0"/>
              <w:marRight w:val="0"/>
              <w:marTop w:val="0"/>
              <w:marBottom w:val="0"/>
              <w:divBdr>
                <w:top w:val="none" w:sz="0" w:space="0" w:color="auto"/>
                <w:left w:val="none" w:sz="0" w:space="0" w:color="auto"/>
                <w:bottom w:val="none" w:sz="0" w:space="0" w:color="auto"/>
                <w:right w:val="none" w:sz="0" w:space="0" w:color="auto"/>
              </w:divBdr>
            </w:div>
            <w:div w:id="647244566">
              <w:marLeft w:val="0"/>
              <w:marRight w:val="0"/>
              <w:marTop w:val="0"/>
              <w:marBottom w:val="0"/>
              <w:divBdr>
                <w:top w:val="none" w:sz="0" w:space="0" w:color="auto"/>
                <w:left w:val="none" w:sz="0" w:space="0" w:color="auto"/>
                <w:bottom w:val="none" w:sz="0" w:space="0" w:color="auto"/>
                <w:right w:val="none" w:sz="0" w:space="0" w:color="auto"/>
              </w:divBdr>
            </w:div>
            <w:div w:id="723061534">
              <w:marLeft w:val="0"/>
              <w:marRight w:val="0"/>
              <w:marTop w:val="0"/>
              <w:marBottom w:val="0"/>
              <w:divBdr>
                <w:top w:val="none" w:sz="0" w:space="0" w:color="auto"/>
                <w:left w:val="none" w:sz="0" w:space="0" w:color="auto"/>
                <w:bottom w:val="none" w:sz="0" w:space="0" w:color="auto"/>
                <w:right w:val="none" w:sz="0" w:space="0" w:color="auto"/>
              </w:divBdr>
            </w:div>
            <w:div w:id="739256414">
              <w:marLeft w:val="0"/>
              <w:marRight w:val="0"/>
              <w:marTop w:val="0"/>
              <w:marBottom w:val="0"/>
              <w:divBdr>
                <w:top w:val="none" w:sz="0" w:space="0" w:color="auto"/>
                <w:left w:val="none" w:sz="0" w:space="0" w:color="auto"/>
                <w:bottom w:val="none" w:sz="0" w:space="0" w:color="auto"/>
                <w:right w:val="none" w:sz="0" w:space="0" w:color="auto"/>
              </w:divBdr>
            </w:div>
            <w:div w:id="770205424">
              <w:marLeft w:val="0"/>
              <w:marRight w:val="0"/>
              <w:marTop w:val="0"/>
              <w:marBottom w:val="0"/>
              <w:divBdr>
                <w:top w:val="none" w:sz="0" w:space="0" w:color="auto"/>
                <w:left w:val="none" w:sz="0" w:space="0" w:color="auto"/>
                <w:bottom w:val="none" w:sz="0" w:space="0" w:color="auto"/>
                <w:right w:val="none" w:sz="0" w:space="0" w:color="auto"/>
              </w:divBdr>
            </w:div>
            <w:div w:id="802314126">
              <w:marLeft w:val="0"/>
              <w:marRight w:val="0"/>
              <w:marTop w:val="0"/>
              <w:marBottom w:val="0"/>
              <w:divBdr>
                <w:top w:val="none" w:sz="0" w:space="0" w:color="auto"/>
                <w:left w:val="none" w:sz="0" w:space="0" w:color="auto"/>
                <w:bottom w:val="none" w:sz="0" w:space="0" w:color="auto"/>
                <w:right w:val="none" w:sz="0" w:space="0" w:color="auto"/>
              </w:divBdr>
            </w:div>
            <w:div w:id="928002729">
              <w:marLeft w:val="0"/>
              <w:marRight w:val="0"/>
              <w:marTop w:val="0"/>
              <w:marBottom w:val="0"/>
              <w:divBdr>
                <w:top w:val="none" w:sz="0" w:space="0" w:color="auto"/>
                <w:left w:val="none" w:sz="0" w:space="0" w:color="auto"/>
                <w:bottom w:val="none" w:sz="0" w:space="0" w:color="auto"/>
                <w:right w:val="none" w:sz="0" w:space="0" w:color="auto"/>
              </w:divBdr>
            </w:div>
            <w:div w:id="959797726">
              <w:marLeft w:val="0"/>
              <w:marRight w:val="0"/>
              <w:marTop w:val="0"/>
              <w:marBottom w:val="0"/>
              <w:divBdr>
                <w:top w:val="none" w:sz="0" w:space="0" w:color="auto"/>
                <w:left w:val="none" w:sz="0" w:space="0" w:color="auto"/>
                <w:bottom w:val="none" w:sz="0" w:space="0" w:color="auto"/>
                <w:right w:val="none" w:sz="0" w:space="0" w:color="auto"/>
              </w:divBdr>
            </w:div>
            <w:div w:id="996305712">
              <w:marLeft w:val="0"/>
              <w:marRight w:val="0"/>
              <w:marTop w:val="0"/>
              <w:marBottom w:val="0"/>
              <w:divBdr>
                <w:top w:val="none" w:sz="0" w:space="0" w:color="auto"/>
                <w:left w:val="none" w:sz="0" w:space="0" w:color="auto"/>
                <w:bottom w:val="none" w:sz="0" w:space="0" w:color="auto"/>
                <w:right w:val="none" w:sz="0" w:space="0" w:color="auto"/>
              </w:divBdr>
            </w:div>
            <w:div w:id="1073238039">
              <w:marLeft w:val="0"/>
              <w:marRight w:val="0"/>
              <w:marTop w:val="0"/>
              <w:marBottom w:val="0"/>
              <w:divBdr>
                <w:top w:val="none" w:sz="0" w:space="0" w:color="auto"/>
                <w:left w:val="none" w:sz="0" w:space="0" w:color="auto"/>
                <w:bottom w:val="none" w:sz="0" w:space="0" w:color="auto"/>
                <w:right w:val="none" w:sz="0" w:space="0" w:color="auto"/>
              </w:divBdr>
            </w:div>
            <w:div w:id="1159882970">
              <w:marLeft w:val="0"/>
              <w:marRight w:val="0"/>
              <w:marTop w:val="0"/>
              <w:marBottom w:val="0"/>
              <w:divBdr>
                <w:top w:val="none" w:sz="0" w:space="0" w:color="auto"/>
                <w:left w:val="none" w:sz="0" w:space="0" w:color="auto"/>
                <w:bottom w:val="none" w:sz="0" w:space="0" w:color="auto"/>
                <w:right w:val="none" w:sz="0" w:space="0" w:color="auto"/>
              </w:divBdr>
            </w:div>
            <w:div w:id="1231846660">
              <w:marLeft w:val="0"/>
              <w:marRight w:val="0"/>
              <w:marTop w:val="0"/>
              <w:marBottom w:val="0"/>
              <w:divBdr>
                <w:top w:val="none" w:sz="0" w:space="0" w:color="auto"/>
                <w:left w:val="none" w:sz="0" w:space="0" w:color="auto"/>
                <w:bottom w:val="none" w:sz="0" w:space="0" w:color="auto"/>
                <w:right w:val="none" w:sz="0" w:space="0" w:color="auto"/>
              </w:divBdr>
            </w:div>
            <w:div w:id="1262227239">
              <w:marLeft w:val="0"/>
              <w:marRight w:val="0"/>
              <w:marTop w:val="0"/>
              <w:marBottom w:val="0"/>
              <w:divBdr>
                <w:top w:val="none" w:sz="0" w:space="0" w:color="auto"/>
                <w:left w:val="none" w:sz="0" w:space="0" w:color="auto"/>
                <w:bottom w:val="none" w:sz="0" w:space="0" w:color="auto"/>
                <w:right w:val="none" w:sz="0" w:space="0" w:color="auto"/>
              </w:divBdr>
            </w:div>
            <w:div w:id="1294484438">
              <w:marLeft w:val="0"/>
              <w:marRight w:val="0"/>
              <w:marTop w:val="0"/>
              <w:marBottom w:val="0"/>
              <w:divBdr>
                <w:top w:val="none" w:sz="0" w:space="0" w:color="auto"/>
                <w:left w:val="none" w:sz="0" w:space="0" w:color="auto"/>
                <w:bottom w:val="none" w:sz="0" w:space="0" w:color="auto"/>
                <w:right w:val="none" w:sz="0" w:space="0" w:color="auto"/>
              </w:divBdr>
            </w:div>
            <w:div w:id="1303538443">
              <w:marLeft w:val="0"/>
              <w:marRight w:val="0"/>
              <w:marTop w:val="0"/>
              <w:marBottom w:val="0"/>
              <w:divBdr>
                <w:top w:val="none" w:sz="0" w:space="0" w:color="auto"/>
                <w:left w:val="none" w:sz="0" w:space="0" w:color="auto"/>
                <w:bottom w:val="none" w:sz="0" w:space="0" w:color="auto"/>
                <w:right w:val="none" w:sz="0" w:space="0" w:color="auto"/>
              </w:divBdr>
            </w:div>
            <w:div w:id="1309047379">
              <w:marLeft w:val="0"/>
              <w:marRight w:val="0"/>
              <w:marTop w:val="0"/>
              <w:marBottom w:val="0"/>
              <w:divBdr>
                <w:top w:val="none" w:sz="0" w:space="0" w:color="auto"/>
                <w:left w:val="none" w:sz="0" w:space="0" w:color="auto"/>
                <w:bottom w:val="none" w:sz="0" w:space="0" w:color="auto"/>
                <w:right w:val="none" w:sz="0" w:space="0" w:color="auto"/>
              </w:divBdr>
            </w:div>
            <w:div w:id="1406606516">
              <w:marLeft w:val="0"/>
              <w:marRight w:val="0"/>
              <w:marTop w:val="0"/>
              <w:marBottom w:val="0"/>
              <w:divBdr>
                <w:top w:val="none" w:sz="0" w:space="0" w:color="auto"/>
                <w:left w:val="none" w:sz="0" w:space="0" w:color="auto"/>
                <w:bottom w:val="none" w:sz="0" w:space="0" w:color="auto"/>
                <w:right w:val="none" w:sz="0" w:space="0" w:color="auto"/>
              </w:divBdr>
            </w:div>
            <w:div w:id="1449930426">
              <w:marLeft w:val="0"/>
              <w:marRight w:val="0"/>
              <w:marTop w:val="0"/>
              <w:marBottom w:val="0"/>
              <w:divBdr>
                <w:top w:val="none" w:sz="0" w:space="0" w:color="auto"/>
                <w:left w:val="none" w:sz="0" w:space="0" w:color="auto"/>
                <w:bottom w:val="none" w:sz="0" w:space="0" w:color="auto"/>
                <w:right w:val="none" w:sz="0" w:space="0" w:color="auto"/>
              </w:divBdr>
            </w:div>
            <w:div w:id="1484661602">
              <w:marLeft w:val="0"/>
              <w:marRight w:val="0"/>
              <w:marTop w:val="0"/>
              <w:marBottom w:val="0"/>
              <w:divBdr>
                <w:top w:val="none" w:sz="0" w:space="0" w:color="auto"/>
                <w:left w:val="none" w:sz="0" w:space="0" w:color="auto"/>
                <w:bottom w:val="none" w:sz="0" w:space="0" w:color="auto"/>
                <w:right w:val="none" w:sz="0" w:space="0" w:color="auto"/>
              </w:divBdr>
            </w:div>
            <w:div w:id="1489051329">
              <w:marLeft w:val="0"/>
              <w:marRight w:val="0"/>
              <w:marTop w:val="0"/>
              <w:marBottom w:val="0"/>
              <w:divBdr>
                <w:top w:val="none" w:sz="0" w:space="0" w:color="auto"/>
                <w:left w:val="none" w:sz="0" w:space="0" w:color="auto"/>
                <w:bottom w:val="none" w:sz="0" w:space="0" w:color="auto"/>
                <w:right w:val="none" w:sz="0" w:space="0" w:color="auto"/>
              </w:divBdr>
            </w:div>
            <w:div w:id="1537892586">
              <w:marLeft w:val="0"/>
              <w:marRight w:val="0"/>
              <w:marTop w:val="0"/>
              <w:marBottom w:val="0"/>
              <w:divBdr>
                <w:top w:val="none" w:sz="0" w:space="0" w:color="auto"/>
                <w:left w:val="none" w:sz="0" w:space="0" w:color="auto"/>
                <w:bottom w:val="none" w:sz="0" w:space="0" w:color="auto"/>
                <w:right w:val="none" w:sz="0" w:space="0" w:color="auto"/>
              </w:divBdr>
            </w:div>
            <w:div w:id="1594312756">
              <w:marLeft w:val="0"/>
              <w:marRight w:val="0"/>
              <w:marTop w:val="0"/>
              <w:marBottom w:val="0"/>
              <w:divBdr>
                <w:top w:val="none" w:sz="0" w:space="0" w:color="auto"/>
                <w:left w:val="none" w:sz="0" w:space="0" w:color="auto"/>
                <w:bottom w:val="none" w:sz="0" w:space="0" w:color="auto"/>
                <w:right w:val="none" w:sz="0" w:space="0" w:color="auto"/>
              </w:divBdr>
            </w:div>
            <w:div w:id="1734696299">
              <w:marLeft w:val="0"/>
              <w:marRight w:val="0"/>
              <w:marTop w:val="0"/>
              <w:marBottom w:val="0"/>
              <w:divBdr>
                <w:top w:val="none" w:sz="0" w:space="0" w:color="auto"/>
                <w:left w:val="none" w:sz="0" w:space="0" w:color="auto"/>
                <w:bottom w:val="none" w:sz="0" w:space="0" w:color="auto"/>
                <w:right w:val="none" w:sz="0" w:space="0" w:color="auto"/>
              </w:divBdr>
            </w:div>
            <w:div w:id="1799175968">
              <w:marLeft w:val="0"/>
              <w:marRight w:val="0"/>
              <w:marTop w:val="0"/>
              <w:marBottom w:val="0"/>
              <w:divBdr>
                <w:top w:val="none" w:sz="0" w:space="0" w:color="auto"/>
                <w:left w:val="none" w:sz="0" w:space="0" w:color="auto"/>
                <w:bottom w:val="none" w:sz="0" w:space="0" w:color="auto"/>
                <w:right w:val="none" w:sz="0" w:space="0" w:color="auto"/>
              </w:divBdr>
            </w:div>
            <w:div w:id="1815491306">
              <w:marLeft w:val="0"/>
              <w:marRight w:val="0"/>
              <w:marTop w:val="0"/>
              <w:marBottom w:val="0"/>
              <w:divBdr>
                <w:top w:val="none" w:sz="0" w:space="0" w:color="auto"/>
                <w:left w:val="none" w:sz="0" w:space="0" w:color="auto"/>
                <w:bottom w:val="none" w:sz="0" w:space="0" w:color="auto"/>
                <w:right w:val="none" w:sz="0" w:space="0" w:color="auto"/>
              </w:divBdr>
            </w:div>
            <w:div w:id="1843662644">
              <w:marLeft w:val="0"/>
              <w:marRight w:val="0"/>
              <w:marTop w:val="0"/>
              <w:marBottom w:val="0"/>
              <w:divBdr>
                <w:top w:val="none" w:sz="0" w:space="0" w:color="auto"/>
                <w:left w:val="none" w:sz="0" w:space="0" w:color="auto"/>
                <w:bottom w:val="none" w:sz="0" w:space="0" w:color="auto"/>
                <w:right w:val="none" w:sz="0" w:space="0" w:color="auto"/>
              </w:divBdr>
            </w:div>
            <w:div w:id="1905529690">
              <w:marLeft w:val="0"/>
              <w:marRight w:val="0"/>
              <w:marTop w:val="0"/>
              <w:marBottom w:val="0"/>
              <w:divBdr>
                <w:top w:val="none" w:sz="0" w:space="0" w:color="auto"/>
                <w:left w:val="none" w:sz="0" w:space="0" w:color="auto"/>
                <w:bottom w:val="none" w:sz="0" w:space="0" w:color="auto"/>
                <w:right w:val="none" w:sz="0" w:space="0" w:color="auto"/>
              </w:divBdr>
            </w:div>
            <w:div w:id="2012680494">
              <w:marLeft w:val="0"/>
              <w:marRight w:val="0"/>
              <w:marTop w:val="0"/>
              <w:marBottom w:val="0"/>
              <w:divBdr>
                <w:top w:val="none" w:sz="0" w:space="0" w:color="auto"/>
                <w:left w:val="none" w:sz="0" w:space="0" w:color="auto"/>
                <w:bottom w:val="none" w:sz="0" w:space="0" w:color="auto"/>
                <w:right w:val="none" w:sz="0" w:space="0" w:color="auto"/>
              </w:divBdr>
            </w:div>
            <w:div w:id="2079933951">
              <w:marLeft w:val="0"/>
              <w:marRight w:val="0"/>
              <w:marTop w:val="0"/>
              <w:marBottom w:val="0"/>
              <w:divBdr>
                <w:top w:val="none" w:sz="0" w:space="0" w:color="auto"/>
                <w:left w:val="none" w:sz="0" w:space="0" w:color="auto"/>
                <w:bottom w:val="none" w:sz="0" w:space="0" w:color="auto"/>
                <w:right w:val="none" w:sz="0" w:space="0" w:color="auto"/>
              </w:divBdr>
            </w:div>
            <w:div w:id="2125269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803337">
      <w:bodyDiv w:val="1"/>
      <w:marLeft w:val="0"/>
      <w:marRight w:val="0"/>
      <w:marTop w:val="0"/>
      <w:marBottom w:val="0"/>
      <w:divBdr>
        <w:top w:val="none" w:sz="0" w:space="0" w:color="auto"/>
        <w:left w:val="none" w:sz="0" w:space="0" w:color="auto"/>
        <w:bottom w:val="none" w:sz="0" w:space="0" w:color="auto"/>
        <w:right w:val="none" w:sz="0" w:space="0" w:color="auto"/>
      </w:divBdr>
      <w:divsChild>
        <w:div w:id="1197236209">
          <w:marLeft w:val="480"/>
          <w:marRight w:val="0"/>
          <w:marTop w:val="0"/>
          <w:marBottom w:val="0"/>
          <w:divBdr>
            <w:top w:val="none" w:sz="0" w:space="0" w:color="auto"/>
            <w:left w:val="none" w:sz="0" w:space="0" w:color="auto"/>
            <w:bottom w:val="none" w:sz="0" w:space="0" w:color="auto"/>
            <w:right w:val="none" w:sz="0" w:space="0" w:color="auto"/>
          </w:divBdr>
          <w:divsChild>
            <w:div w:id="101641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186862">
      <w:bodyDiv w:val="1"/>
      <w:marLeft w:val="0"/>
      <w:marRight w:val="0"/>
      <w:marTop w:val="0"/>
      <w:marBottom w:val="0"/>
      <w:divBdr>
        <w:top w:val="none" w:sz="0" w:space="0" w:color="auto"/>
        <w:left w:val="none" w:sz="0" w:space="0" w:color="auto"/>
        <w:bottom w:val="none" w:sz="0" w:space="0" w:color="auto"/>
        <w:right w:val="none" w:sz="0" w:space="0" w:color="auto"/>
      </w:divBdr>
      <w:divsChild>
        <w:div w:id="665598003">
          <w:marLeft w:val="0"/>
          <w:marRight w:val="0"/>
          <w:marTop w:val="0"/>
          <w:marBottom w:val="0"/>
          <w:divBdr>
            <w:top w:val="none" w:sz="0" w:space="0" w:color="auto"/>
            <w:left w:val="none" w:sz="0" w:space="0" w:color="auto"/>
            <w:bottom w:val="none" w:sz="0" w:space="0" w:color="auto"/>
            <w:right w:val="none" w:sz="0" w:space="0" w:color="auto"/>
          </w:divBdr>
        </w:div>
        <w:div w:id="1641304394">
          <w:marLeft w:val="0"/>
          <w:marRight w:val="0"/>
          <w:marTop w:val="0"/>
          <w:marBottom w:val="0"/>
          <w:divBdr>
            <w:top w:val="none" w:sz="0" w:space="0" w:color="auto"/>
            <w:left w:val="none" w:sz="0" w:space="0" w:color="auto"/>
            <w:bottom w:val="none" w:sz="0" w:space="0" w:color="auto"/>
            <w:right w:val="none" w:sz="0" w:space="0" w:color="auto"/>
          </w:divBdr>
        </w:div>
      </w:divsChild>
    </w:div>
    <w:div w:id="1240359448">
      <w:bodyDiv w:val="1"/>
      <w:marLeft w:val="0"/>
      <w:marRight w:val="0"/>
      <w:marTop w:val="0"/>
      <w:marBottom w:val="0"/>
      <w:divBdr>
        <w:top w:val="none" w:sz="0" w:space="0" w:color="auto"/>
        <w:left w:val="none" w:sz="0" w:space="0" w:color="auto"/>
        <w:bottom w:val="none" w:sz="0" w:space="0" w:color="auto"/>
        <w:right w:val="none" w:sz="0" w:space="0" w:color="auto"/>
      </w:divBdr>
      <w:divsChild>
        <w:div w:id="37903892">
          <w:marLeft w:val="480"/>
          <w:marRight w:val="0"/>
          <w:marTop w:val="0"/>
          <w:marBottom w:val="0"/>
          <w:divBdr>
            <w:top w:val="none" w:sz="0" w:space="0" w:color="auto"/>
            <w:left w:val="none" w:sz="0" w:space="0" w:color="auto"/>
            <w:bottom w:val="none" w:sz="0" w:space="0" w:color="auto"/>
            <w:right w:val="none" w:sz="0" w:space="0" w:color="auto"/>
          </w:divBdr>
          <w:divsChild>
            <w:div w:id="7544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769788">
      <w:bodyDiv w:val="1"/>
      <w:marLeft w:val="0"/>
      <w:marRight w:val="0"/>
      <w:marTop w:val="0"/>
      <w:marBottom w:val="0"/>
      <w:divBdr>
        <w:top w:val="none" w:sz="0" w:space="0" w:color="auto"/>
        <w:left w:val="none" w:sz="0" w:space="0" w:color="auto"/>
        <w:bottom w:val="none" w:sz="0" w:space="0" w:color="auto"/>
        <w:right w:val="none" w:sz="0" w:space="0" w:color="auto"/>
      </w:divBdr>
      <w:divsChild>
        <w:div w:id="78840720">
          <w:marLeft w:val="0"/>
          <w:marRight w:val="0"/>
          <w:marTop w:val="0"/>
          <w:marBottom w:val="0"/>
          <w:divBdr>
            <w:top w:val="none" w:sz="0" w:space="0" w:color="auto"/>
            <w:left w:val="none" w:sz="0" w:space="0" w:color="auto"/>
            <w:bottom w:val="none" w:sz="0" w:space="0" w:color="auto"/>
            <w:right w:val="none" w:sz="0" w:space="0" w:color="auto"/>
          </w:divBdr>
          <w:divsChild>
            <w:div w:id="110783906">
              <w:marLeft w:val="0"/>
              <w:marRight w:val="0"/>
              <w:marTop w:val="0"/>
              <w:marBottom w:val="0"/>
              <w:divBdr>
                <w:top w:val="none" w:sz="0" w:space="0" w:color="auto"/>
                <w:left w:val="none" w:sz="0" w:space="0" w:color="auto"/>
                <w:bottom w:val="none" w:sz="0" w:space="0" w:color="auto"/>
                <w:right w:val="none" w:sz="0" w:space="0" w:color="auto"/>
              </w:divBdr>
              <w:divsChild>
                <w:div w:id="72552322">
                  <w:marLeft w:val="0"/>
                  <w:marRight w:val="0"/>
                  <w:marTop w:val="0"/>
                  <w:marBottom w:val="0"/>
                  <w:divBdr>
                    <w:top w:val="none" w:sz="0" w:space="0" w:color="auto"/>
                    <w:left w:val="none" w:sz="0" w:space="0" w:color="auto"/>
                    <w:bottom w:val="none" w:sz="0" w:space="0" w:color="auto"/>
                    <w:right w:val="none" w:sz="0" w:space="0" w:color="auto"/>
                  </w:divBdr>
                </w:div>
                <w:div w:id="138503769">
                  <w:marLeft w:val="0"/>
                  <w:marRight w:val="0"/>
                  <w:marTop w:val="0"/>
                  <w:marBottom w:val="0"/>
                  <w:divBdr>
                    <w:top w:val="none" w:sz="0" w:space="0" w:color="auto"/>
                    <w:left w:val="none" w:sz="0" w:space="0" w:color="auto"/>
                    <w:bottom w:val="none" w:sz="0" w:space="0" w:color="auto"/>
                    <w:right w:val="none" w:sz="0" w:space="0" w:color="auto"/>
                  </w:divBdr>
                  <w:divsChild>
                    <w:div w:id="1456867188">
                      <w:marLeft w:val="0"/>
                      <w:marRight w:val="0"/>
                      <w:marTop w:val="0"/>
                      <w:marBottom w:val="0"/>
                      <w:divBdr>
                        <w:top w:val="none" w:sz="0" w:space="0" w:color="auto"/>
                        <w:left w:val="none" w:sz="0" w:space="0" w:color="auto"/>
                        <w:bottom w:val="none" w:sz="0" w:space="0" w:color="auto"/>
                        <w:right w:val="none" w:sz="0" w:space="0" w:color="auto"/>
                      </w:divBdr>
                    </w:div>
                  </w:divsChild>
                </w:div>
                <w:div w:id="267592017">
                  <w:marLeft w:val="0"/>
                  <w:marRight w:val="0"/>
                  <w:marTop w:val="0"/>
                  <w:marBottom w:val="0"/>
                  <w:divBdr>
                    <w:top w:val="none" w:sz="0" w:space="0" w:color="auto"/>
                    <w:left w:val="none" w:sz="0" w:space="0" w:color="auto"/>
                    <w:bottom w:val="none" w:sz="0" w:space="0" w:color="auto"/>
                    <w:right w:val="none" w:sz="0" w:space="0" w:color="auto"/>
                  </w:divBdr>
                </w:div>
                <w:div w:id="335545637">
                  <w:marLeft w:val="0"/>
                  <w:marRight w:val="0"/>
                  <w:marTop w:val="0"/>
                  <w:marBottom w:val="0"/>
                  <w:divBdr>
                    <w:top w:val="none" w:sz="0" w:space="0" w:color="auto"/>
                    <w:left w:val="none" w:sz="0" w:space="0" w:color="auto"/>
                    <w:bottom w:val="none" w:sz="0" w:space="0" w:color="auto"/>
                    <w:right w:val="none" w:sz="0" w:space="0" w:color="auto"/>
                  </w:divBdr>
                  <w:divsChild>
                    <w:div w:id="206331644">
                      <w:marLeft w:val="0"/>
                      <w:marRight w:val="0"/>
                      <w:marTop w:val="0"/>
                      <w:marBottom w:val="0"/>
                      <w:divBdr>
                        <w:top w:val="none" w:sz="0" w:space="0" w:color="auto"/>
                        <w:left w:val="none" w:sz="0" w:space="0" w:color="auto"/>
                        <w:bottom w:val="none" w:sz="0" w:space="0" w:color="auto"/>
                        <w:right w:val="none" w:sz="0" w:space="0" w:color="auto"/>
                      </w:divBdr>
                    </w:div>
                  </w:divsChild>
                </w:div>
                <w:div w:id="438643235">
                  <w:marLeft w:val="0"/>
                  <w:marRight w:val="0"/>
                  <w:marTop w:val="0"/>
                  <w:marBottom w:val="0"/>
                  <w:divBdr>
                    <w:top w:val="none" w:sz="0" w:space="0" w:color="auto"/>
                    <w:left w:val="none" w:sz="0" w:space="0" w:color="auto"/>
                    <w:bottom w:val="none" w:sz="0" w:space="0" w:color="auto"/>
                    <w:right w:val="none" w:sz="0" w:space="0" w:color="auto"/>
                  </w:divBdr>
                </w:div>
                <w:div w:id="468330431">
                  <w:marLeft w:val="0"/>
                  <w:marRight w:val="0"/>
                  <w:marTop w:val="0"/>
                  <w:marBottom w:val="0"/>
                  <w:divBdr>
                    <w:top w:val="none" w:sz="0" w:space="0" w:color="auto"/>
                    <w:left w:val="none" w:sz="0" w:space="0" w:color="auto"/>
                    <w:bottom w:val="none" w:sz="0" w:space="0" w:color="auto"/>
                    <w:right w:val="none" w:sz="0" w:space="0" w:color="auto"/>
                  </w:divBdr>
                </w:div>
                <w:div w:id="488907541">
                  <w:marLeft w:val="0"/>
                  <w:marRight w:val="0"/>
                  <w:marTop w:val="0"/>
                  <w:marBottom w:val="0"/>
                  <w:divBdr>
                    <w:top w:val="none" w:sz="0" w:space="0" w:color="auto"/>
                    <w:left w:val="none" w:sz="0" w:space="0" w:color="auto"/>
                    <w:bottom w:val="none" w:sz="0" w:space="0" w:color="auto"/>
                    <w:right w:val="none" w:sz="0" w:space="0" w:color="auto"/>
                  </w:divBdr>
                  <w:divsChild>
                    <w:div w:id="1676883776">
                      <w:marLeft w:val="0"/>
                      <w:marRight w:val="0"/>
                      <w:marTop w:val="0"/>
                      <w:marBottom w:val="0"/>
                      <w:divBdr>
                        <w:top w:val="none" w:sz="0" w:space="0" w:color="auto"/>
                        <w:left w:val="none" w:sz="0" w:space="0" w:color="auto"/>
                        <w:bottom w:val="none" w:sz="0" w:space="0" w:color="auto"/>
                        <w:right w:val="none" w:sz="0" w:space="0" w:color="auto"/>
                      </w:divBdr>
                    </w:div>
                  </w:divsChild>
                </w:div>
                <w:div w:id="490675698">
                  <w:marLeft w:val="0"/>
                  <w:marRight w:val="0"/>
                  <w:marTop w:val="0"/>
                  <w:marBottom w:val="0"/>
                  <w:divBdr>
                    <w:top w:val="none" w:sz="0" w:space="0" w:color="auto"/>
                    <w:left w:val="none" w:sz="0" w:space="0" w:color="auto"/>
                    <w:bottom w:val="none" w:sz="0" w:space="0" w:color="auto"/>
                    <w:right w:val="none" w:sz="0" w:space="0" w:color="auto"/>
                  </w:divBdr>
                  <w:divsChild>
                    <w:div w:id="217397333">
                      <w:marLeft w:val="0"/>
                      <w:marRight w:val="0"/>
                      <w:marTop w:val="0"/>
                      <w:marBottom w:val="0"/>
                      <w:divBdr>
                        <w:top w:val="none" w:sz="0" w:space="0" w:color="auto"/>
                        <w:left w:val="none" w:sz="0" w:space="0" w:color="auto"/>
                        <w:bottom w:val="none" w:sz="0" w:space="0" w:color="auto"/>
                        <w:right w:val="none" w:sz="0" w:space="0" w:color="auto"/>
                      </w:divBdr>
                    </w:div>
                  </w:divsChild>
                </w:div>
                <w:div w:id="541138020">
                  <w:marLeft w:val="0"/>
                  <w:marRight w:val="0"/>
                  <w:marTop w:val="0"/>
                  <w:marBottom w:val="0"/>
                  <w:divBdr>
                    <w:top w:val="none" w:sz="0" w:space="0" w:color="auto"/>
                    <w:left w:val="none" w:sz="0" w:space="0" w:color="auto"/>
                    <w:bottom w:val="none" w:sz="0" w:space="0" w:color="auto"/>
                    <w:right w:val="none" w:sz="0" w:space="0" w:color="auto"/>
                  </w:divBdr>
                  <w:divsChild>
                    <w:div w:id="183371310">
                      <w:marLeft w:val="0"/>
                      <w:marRight w:val="0"/>
                      <w:marTop w:val="0"/>
                      <w:marBottom w:val="0"/>
                      <w:divBdr>
                        <w:top w:val="none" w:sz="0" w:space="0" w:color="auto"/>
                        <w:left w:val="none" w:sz="0" w:space="0" w:color="auto"/>
                        <w:bottom w:val="none" w:sz="0" w:space="0" w:color="auto"/>
                        <w:right w:val="none" w:sz="0" w:space="0" w:color="auto"/>
                      </w:divBdr>
                    </w:div>
                  </w:divsChild>
                </w:div>
                <w:div w:id="659037228">
                  <w:marLeft w:val="0"/>
                  <w:marRight w:val="0"/>
                  <w:marTop w:val="0"/>
                  <w:marBottom w:val="0"/>
                  <w:divBdr>
                    <w:top w:val="none" w:sz="0" w:space="0" w:color="auto"/>
                    <w:left w:val="none" w:sz="0" w:space="0" w:color="auto"/>
                    <w:bottom w:val="none" w:sz="0" w:space="0" w:color="auto"/>
                    <w:right w:val="none" w:sz="0" w:space="0" w:color="auto"/>
                  </w:divBdr>
                </w:div>
                <w:div w:id="735856112">
                  <w:marLeft w:val="0"/>
                  <w:marRight w:val="0"/>
                  <w:marTop w:val="0"/>
                  <w:marBottom w:val="0"/>
                  <w:divBdr>
                    <w:top w:val="none" w:sz="0" w:space="0" w:color="auto"/>
                    <w:left w:val="none" w:sz="0" w:space="0" w:color="auto"/>
                    <w:bottom w:val="none" w:sz="0" w:space="0" w:color="auto"/>
                    <w:right w:val="none" w:sz="0" w:space="0" w:color="auto"/>
                  </w:divBdr>
                </w:div>
                <w:div w:id="887373675">
                  <w:marLeft w:val="0"/>
                  <w:marRight w:val="0"/>
                  <w:marTop w:val="0"/>
                  <w:marBottom w:val="0"/>
                  <w:divBdr>
                    <w:top w:val="none" w:sz="0" w:space="0" w:color="auto"/>
                    <w:left w:val="none" w:sz="0" w:space="0" w:color="auto"/>
                    <w:bottom w:val="none" w:sz="0" w:space="0" w:color="auto"/>
                    <w:right w:val="none" w:sz="0" w:space="0" w:color="auto"/>
                  </w:divBdr>
                </w:div>
                <w:div w:id="915669974">
                  <w:marLeft w:val="0"/>
                  <w:marRight w:val="0"/>
                  <w:marTop w:val="0"/>
                  <w:marBottom w:val="0"/>
                  <w:divBdr>
                    <w:top w:val="none" w:sz="0" w:space="0" w:color="auto"/>
                    <w:left w:val="none" w:sz="0" w:space="0" w:color="auto"/>
                    <w:bottom w:val="none" w:sz="0" w:space="0" w:color="auto"/>
                    <w:right w:val="none" w:sz="0" w:space="0" w:color="auto"/>
                  </w:divBdr>
                  <w:divsChild>
                    <w:div w:id="1562256675">
                      <w:marLeft w:val="0"/>
                      <w:marRight w:val="0"/>
                      <w:marTop w:val="0"/>
                      <w:marBottom w:val="0"/>
                      <w:divBdr>
                        <w:top w:val="none" w:sz="0" w:space="0" w:color="auto"/>
                        <w:left w:val="none" w:sz="0" w:space="0" w:color="auto"/>
                        <w:bottom w:val="none" w:sz="0" w:space="0" w:color="auto"/>
                        <w:right w:val="none" w:sz="0" w:space="0" w:color="auto"/>
                      </w:divBdr>
                    </w:div>
                  </w:divsChild>
                </w:div>
                <w:div w:id="938372654">
                  <w:marLeft w:val="0"/>
                  <w:marRight w:val="0"/>
                  <w:marTop w:val="0"/>
                  <w:marBottom w:val="0"/>
                  <w:divBdr>
                    <w:top w:val="none" w:sz="0" w:space="0" w:color="auto"/>
                    <w:left w:val="none" w:sz="0" w:space="0" w:color="auto"/>
                    <w:bottom w:val="none" w:sz="0" w:space="0" w:color="auto"/>
                    <w:right w:val="none" w:sz="0" w:space="0" w:color="auto"/>
                  </w:divBdr>
                </w:div>
                <w:div w:id="944340163">
                  <w:marLeft w:val="0"/>
                  <w:marRight w:val="0"/>
                  <w:marTop w:val="0"/>
                  <w:marBottom w:val="0"/>
                  <w:divBdr>
                    <w:top w:val="none" w:sz="0" w:space="0" w:color="auto"/>
                    <w:left w:val="none" w:sz="0" w:space="0" w:color="auto"/>
                    <w:bottom w:val="none" w:sz="0" w:space="0" w:color="auto"/>
                    <w:right w:val="none" w:sz="0" w:space="0" w:color="auto"/>
                  </w:divBdr>
                  <w:divsChild>
                    <w:div w:id="1931625094">
                      <w:marLeft w:val="0"/>
                      <w:marRight w:val="0"/>
                      <w:marTop w:val="0"/>
                      <w:marBottom w:val="0"/>
                      <w:divBdr>
                        <w:top w:val="none" w:sz="0" w:space="0" w:color="auto"/>
                        <w:left w:val="none" w:sz="0" w:space="0" w:color="auto"/>
                        <w:bottom w:val="none" w:sz="0" w:space="0" w:color="auto"/>
                        <w:right w:val="none" w:sz="0" w:space="0" w:color="auto"/>
                      </w:divBdr>
                    </w:div>
                  </w:divsChild>
                </w:div>
                <w:div w:id="987200136">
                  <w:marLeft w:val="0"/>
                  <w:marRight w:val="0"/>
                  <w:marTop w:val="0"/>
                  <w:marBottom w:val="0"/>
                  <w:divBdr>
                    <w:top w:val="none" w:sz="0" w:space="0" w:color="auto"/>
                    <w:left w:val="none" w:sz="0" w:space="0" w:color="auto"/>
                    <w:bottom w:val="none" w:sz="0" w:space="0" w:color="auto"/>
                    <w:right w:val="none" w:sz="0" w:space="0" w:color="auto"/>
                  </w:divBdr>
                  <w:divsChild>
                    <w:div w:id="109710972">
                      <w:marLeft w:val="0"/>
                      <w:marRight w:val="0"/>
                      <w:marTop w:val="0"/>
                      <w:marBottom w:val="0"/>
                      <w:divBdr>
                        <w:top w:val="none" w:sz="0" w:space="0" w:color="auto"/>
                        <w:left w:val="none" w:sz="0" w:space="0" w:color="auto"/>
                        <w:bottom w:val="none" w:sz="0" w:space="0" w:color="auto"/>
                        <w:right w:val="none" w:sz="0" w:space="0" w:color="auto"/>
                      </w:divBdr>
                    </w:div>
                  </w:divsChild>
                </w:div>
                <w:div w:id="1037659296">
                  <w:marLeft w:val="0"/>
                  <w:marRight w:val="0"/>
                  <w:marTop w:val="0"/>
                  <w:marBottom w:val="0"/>
                  <w:divBdr>
                    <w:top w:val="none" w:sz="0" w:space="0" w:color="auto"/>
                    <w:left w:val="none" w:sz="0" w:space="0" w:color="auto"/>
                    <w:bottom w:val="none" w:sz="0" w:space="0" w:color="auto"/>
                    <w:right w:val="none" w:sz="0" w:space="0" w:color="auto"/>
                  </w:divBdr>
                </w:div>
                <w:div w:id="1047799400">
                  <w:marLeft w:val="0"/>
                  <w:marRight w:val="0"/>
                  <w:marTop w:val="0"/>
                  <w:marBottom w:val="0"/>
                  <w:divBdr>
                    <w:top w:val="none" w:sz="0" w:space="0" w:color="auto"/>
                    <w:left w:val="none" w:sz="0" w:space="0" w:color="auto"/>
                    <w:bottom w:val="none" w:sz="0" w:space="0" w:color="auto"/>
                    <w:right w:val="none" w:sz="0" w:space="0" w:color="auto"/>
                  </w:divBdr>
                </w:div>
                <w:div w:id="1091396481">
                  <w:marLeft w:val="0"/>
                  <w:marRight w:val="0"/>
                  <w:marTop w:val="0"/>
                  <w:marBottom w:val="0"/>
                  <w:divBdr>
                    <w:top w:val="none" w:sz="0" w:space="0" w:color="auto"/>
                    <w:left w:val="none" w:sz="0" w:space="0" w:color="auto"/>
                    <w:bottom w:val="none" w:sz="0" w:space="0" w:color="auto"/>
                    <w:right w:val="none" w:sz="0" w:space="0" w:color="auto"/>
                  </w:divBdr>
                  <w:divsChild>
                    <w:div w:id="752361913">
                      <w:marLeft w:val="0"/>
                      <w:marRight w:val="0"/>
                      <w:marTop w:val="0"/>
                      <w:marBottom w:val="0"/>
                      <w:divBdr>
                        <w:top w:val="none" w:sz="0" w:space="0" w:color="auto"/>
                        <w:left w:val="none" w:sz="0" w:space="0" w:color="auto"/>
                        <w:bottom w:val="none" w:sz="0" w:space="0" w:color="auto"/>
                        <w:right w:val="none" w:sz="0" w:space="0" w:color="auto"/>
                      </w:divBdr>
                    </w:div>
                  </w:divsChild>
                </w:div>
                <w:div w:id="1218585742">
                  <w:marLeft w:val="0"/>
                  <w:marRight w:val="0"/>
                  <w:marTop w:val="0"/>
                  <w:marBottom w:val="0"/>
                  <w:divBdr>
                    <w:top w:val="none" w:sz="0" w:space="0" w:color="auto"/>
                    <w:left w:val="none" w:sz="0" w:space="0" w:color="auto"/>
                    <w:bottom w:val="none" w:sz="0" w:space="0" w:color="auto"/>
                    <w:right w:val="none" w:sz="0" w:space="0" w:color="auto"/>
                  </w:divBdr>
                </w:div>
                <w:div w:id="1277568038">
                  <w:marLeft w:val="0"/>
                  <w:marRight w:val="0"/>
                  <w:marTop w:val="0"/>
                  <w:marBottom w:val="0"/>
                  <w:divBdr>
                    <w:top w:val="none" w:sz="0" w:space="0" w:color="auto"/>
                    <w:left w:val="none" w:sz="0" w:space="0" w:color="auto"/>
                    <w:bottom w:val="none" w:sz="0" w:space="0" w:color="auto"/>
                    <w:right w:val="none" w:sz="0" w:space="0" w:color="auto"/>
                  </w:divBdr>
                </w:div>
                <w:div w:id="1403210233">
                  <w:marLeft w:val="0"/>
                  <w:marRight w:val="0"/>
                  <w:marTop w:val="0"/>
                  <w:marBottom w:val="0"/>
                  <w:divBdr>
                    <w:top w:val="none" w:sz="0" w:space="0" w:color="auto"/>
                    <w:left w:val="none" w:sz="0" w:space="0" w:color="auto"/>
                    <w:bottom w:val="none" w:sz="0" w:space="0" w:color="auto"/>
                    <w:right w:val="none" w:sz="0" w:space="0" w:color="auto"/>
                  </w:divBdr>
                  <w:divsChild>
                    <w:div w:id="539706819">
                      <w:marLeft w:val="0"/>
                      <w:marRight w:val="0"/>
                      <w:marTop w:val="0"/>
                      <w:marBottom w:val="0"/>
                      <w:divBdr>
                        <w:top w:val="none" w:sz="0" w:space="0" w:color="auto"/>
                        <w:left w:val="none" w:sz="0" w:space="0" w:color="auto"/>
                        <w:bottom w:val="none" w:sz="0" w:space="0" w:color="auto"/>
                        <w:right w:val="none" w:sz="0" w:space="0" w:color="auto"/>
                      </w:divBdr>
                    </w:div>
                  </w:divsChild>
                </w:div>
                <w:div w:id="1472211779">
                  <w:marLeft w:val="0"/>
                  <w:marRight w:val="0"/>
                  <w:marTop w:val="0"/>
                  <w:marBottom w:val="0"/>
                  <w:divBdr>
                    <w:top w:val="none" w:sz="0" w:space="0" w:color="auto"/>
                    <w:left w:val="none" w:sz="0" w:space="0" w:color="auto"/>
                    <w:bottom w:val="none" w:sz="0" w:space="0" w:color="auto"/>
                    <w:right w:val="none" w:sz="0" w:space="0" w:color="auto"/>
                  </w:divBdr>
                  <w:divsChild>
                    <w:div w:id="1911109621">
                      <w:marLeft w:val="0"/>
                      <w:marRight w:val="0"/>
                      <w:marTop w:val="0"/>
                      <w:marBottom w:val="0"/>
                      <w:divBdr>
                        <w:top w:val="none" w:sz="0" w:space="0" w:color="auto"/>
                        <w:left w:val="none" w:sz="0" w:space="0" w:color="auto"/>
                        <w:bottom w:val="none" w:sz="0" w:space="0" w:color="auto"/>
                        <w:right w:val="none" w:sz="0" w:space="0" w:color="auto"/>
                      </w:divBdr>
                    </w:div>
                  </w:divsChild>
                </w:div>
                <w:div w:id="1486125715">
                  <w:marLeft w:val="0"/>
                  <w:marRight w:val="0"/>
                  <w:marTop w:val="0"/>
                  <w:marBottom w:val="0"/>
                  <w:divBdr>
                    <w:top w:val="none" w:sz="0" w:space="0" w:color="auto"/>
                    <w:left w:val="none" w:sz="0" w:space="0" w:color="auto"/>
                    <w:bottom w:val="none" w:sz="0" w:space="0" w:color="auto"/>
                    <w:right w:val="none" w:sz="0" w:space="0" w:color="auto"/>
                  </w:divBdr>
                </w:div>
                <w:div w:id="1505628996">
                  <w:marLeft w:val="0"/>
                  <w:marRight w:val="0"/>
                  <w:marTop w:val="0"/>
                  <w:marBottom w:val="0"/>
                  <w:divBdr>
                    <w:top w:val="none" w:sz="0" w:space="0" w:color="auto"/>
                    <w:left w:val="none" w:sz="0" w:space="0" w:color="auto"/>
                    <w:bottom w:val="none" w:sz="0" w:space="0" w:color="auto"/>
                    <w:right w:val="none" w:sz="0" w:space="0" w:color="auto"/>
                  </w:divBdr>
                </w:div>
                <w:div w:id="1506701299">
                  <w:marLeft w:val="0"/>
                  <w:marRight w:val="0"/>
                  <w:marTop w:val="0"/>
                  <w:marBottom w:val="0"/>
                  <w:divBdr>
                    <w:top w:val="none" w:sz="0" w:space="0" w:color="auto"/>
                    <w:left w:val="none" w:sz="0" w:space="0" w:color="auto"/>
                    <w:bottom w:val="none" w:sz="0" w:space="0" w:color="auto"/>
                    <w:right w:val="none" w:sz="0" w:space="0" w:color="auto"/>
                  </w:divBdr>
                  <w:divsChild>
                    <w:div w:id="907567697">
                      <w:marLeft w:val="0"/>
                      <w:marRight w:val="0"/>
                      <w:marTop w:val="0"/>
                      <w:marBottom w:val="0"/>
                      <w:divBdr>
                        <w:top w:val="none" w:sz="0" w:space="0" w:color="auto"/>
                        <w:left w:val="none" w:sz="0" w:space="0" w:color="auto"/>
                        <w:bottom w:val="none" w:sz="0" w:space="0" w:color="auto"/>
                        <w:right w:val="none" w:sz="0" w:space="0" w:color="auto"/>
                      </w:divBdr>
                    </w:div>
                  </w:divsChild>
                </w:div>
                <w:div w:id="1514605573">
                  <w:marLeft w:val="0"/>
                  <w:marRight w:val="0"/>
                  <w:marTop w:val="0"/>
                  <w:marBottom w:val="0"/>
                  <w:divBdr>
                    <w:top w:val="none" w:sz="0" w:space="0" w:color="auto"/>
                    <w:left w:val="none" w:sz="0" w:space="0" w:color="auto"/>
                    <w:bottom w:val="none" w:sz="0" w:space="0" w:color="auto"/>
                    <w:right w:val="none" w:sz="0" w:space="0" w:color="auto"/>
                  </w:divBdr>
                </w:div>
                <w:div w:id="1542134775">
                  <w:marLeft w:val="0"/>
                  <w:marRight w:val="0"/>
                  <w:marTop w:val="0"/>
                  <w:marBottom w:val="0"/>
                  <w:divBdr>
                    <w:top w:val="none" w:sz="0" w:space="0" w:color="auto"/>
                    <w:left w:val="none" w:sz="0" w:space="0" w:color="auto"/>
                    <w:bottom w:val="none" w:sz="0" w:space="0" w:color="auto"/>
                    <w:right w:val="none" w:sz="0" w:space="0" w:color="auto"/>
                  </w:divBdr>
                </w:div>
                <w:div w:id="1651061765">
                  <w:marLeft w:val="0"/>
                  <w:marRight w:val="0"/>
                  <w:marTop w:val="0"/>
                  <w:marBottom w:val="0"/>
                  <w:divBdr>
                    <w:top w:val="none" w:sz="0" w:space="0" w:color="auto"/>
                    <w:left w:val="none" w:sz="0" w:space="0" w:color="auto"/>
                    <w:bottom w:val="none" w:sz="0" w:space="0" w:color="auto"/>
                    <w:right w:val="none" w:sz="0" w:space="0" w:color="auto"/>
                  </w:divBdr>
                </w:div>
                <w:div w:id="1698895676">
                  <w:marLeft w:val="0"/>
                  <w:marRight w:val="0"/>
                  <w:marTop w:val="0"/>
                  <w:marBottom w:val="0"/>
                  <w:divBdr>
                    <w:top w:val="none" w:sz="0" w:space="0" w:color="auto"/>
                    <w:left w:val="none" w:sz="0" w:space="0" w:color="auto"/>
                    <w:bottom w:val="none" w:sz="0" w:space="0" w:color="auto"/>
                    <w:right w:val="none" w:sz="0" w:space="0" w:color="auto"/>
                  </w:divBdr>
                </w:div>
                <w:div w:id="1708330805">
                  <w:marLeft w:val="0"/>
                  <w:marRight w:val="0"/>
                  <w:marTop w:val="0"/>
                  <w:marBottom w:val="0"/>
                  <w:divBdr>
                    <w:top w:val="none" w:sz="0" w:space="0" w:color="auto"/>
                    <w:left w:val="none" w:sz="0" w:space="0" w:color="auto"/>
                    <w:bottom w:val="none" w:sz="0" w:space="0" w:color="auto"/>
                    <w:right w:val="none" w:sz="0" w:space="0" w:color="auto"/>
                  </w:divBdr>
                </w:div>
                <w:div w:id="1723866902">
                  <w:marLeft w:val="0"/>
                  <w:marRight w:val="0"/>
                  <w:marTop w:val="0"/>
                  <w:marBottom w:val="0"/>
                  <w:divBdr>
                    <w:top w:val="none" w:sz="0" w:space="0" w:color="auto"/>
                    <w:left w:val="none" w:sz="0" w:space="0" w:color="auto"/>
                    <w:bottom w:val="none" w:sz="0" w:space="0" w:color="auto"/>
                    <w:right w:val="none" w:sz="0" w:space="0" w:color="auto"/>
                  </w:divBdr>
                </w:div>
                <w:div w:id="1745757342">
                  <w:marLeft w:val="0"/>
                  <w:marRight w:val="0"/>
                  <w:marTop w:val="0"/>
                  <w:marBottom w:val="0"/>
                  <w:divBdr>
                    <w:top w:val="none" w:sz="0" w:space="0" w:color="auto"/>
                    <w:left w:val="none" w:sz="0" w:space="0" w:color="auto"/>
                    <w:bottom w:val="none" w:sz="0" w:space="0" w:color="auto"/>
                    <w:right w:val="none" w:sz="0" w:space="0" w:color="auto"/>
                  </w:divBdr>
                  <w:divsChild>
                    <w:div w:id="1780224761">
                      <w:marLeft w:val="0"/>
                      <w:marRight w:val="0"/>
                      <w:marTop w:val="0"/>
                      <w:marBottom w:val="0"/>
                      <w:divBdr>
                        <w:top w:val="none" w:sz="0" w:space="0" w:color="auto"/>
                        <w:left w:val="none" w:sz="0" w:space="0" w:color="auto"/>
                        <w:bottom w:val="none" w:sz="0" w:space="0" w:color="auto"/>
                        <w:right w:val="none" w:sz="0" w:space="0" w:color="auto"/>
                      </w:divBdr>
                    </w:div>
                  </w:divsChild>
                </w:div>
                <w:div w:id="1756854629">
                  <w:marLeft w:val="0"/>
                  <w:marRight w:val="0"/>
                  <w:marTop w:val="0"/>
                  <w:marBottom w:val="0"/>
                  <w:divBdr>
                    <w:top w:val="none" w:sz="0" w:space="0" w:color="auto"/>
                    <w:left w:val="none" w:sz="0" w:space="0" w:color="auto"/>
                    <w:bottom w:val="none" w:sz="0" w:space="0" w:color="auto"/>
                    <w:right w:val="none" w:sz="0" w:space="0" w:color="auto"/>
                  </w:divBdr>
                </w:div>
                <w:div w:id="1786191208">
                  <w:marLeft w:val="0"/>
                  <w:marRight w:val="0"/>
                  <w:marTop w:val="0"/>
                  <w:marBottom w:val="0"/>
                  <w:divBdr>
                    <w:top w:val="none" w:sz="0" w:space="0" w:color="auto"/>
                    <w:left w:val="none" w:sz="0" w:space="0" w:color="auto"/>
                    <w:bottom w:val="none" w:sz="0" w:space="0" w:color="auto"/>
                    <w:right w:val="none" w:sz="0" w:space="0" w:color="auto"/>
                  </w:divBdr>
                </w:div>
                <w:div w:id="1795177955">
                  <w:marLeft w:val="0"/>
                  <w:marRight w:val="0"/>
                  <w:marTop w:val="0"/>
                  <w:marBottom w:val="0"/>
                  <w:divBdr>
                    <w:top w:val="none" w:sz="0" w:space="0" w:color="auto"/>
                    <w:left w:val="none" w:sz="0" w:space="0" w:color="auto"/>
                    <w:bottom w:val="none" w:sz="0" w:space="0" w:color="auto"/>
                    <w:right w:val="none" w:sz="0" w:space="0" w:color="auto"/>
                  </w:divBdr>
                </w:div>
                <w:div w:id="1855223991">
                  <w:marLeft w:val="0"/>
                  <w:marRight w:val="0"/>
                  <w:marTop w:val="0"/>
                  <w:marBottom w:val="0"/>
                  <w:divBdr>
                    <w:top w:val="none" w:sz="0" w:space="0" w:color="auto"/>
                    <w:left w:val="none" w:sz="0" w:space="0" w:color="auto"/>
                    <w:bottom w:val="none" w:sz="0" w:space="0" w:color="auto"/>
                    <w:right w:val="none" w:sz="0" w:space="0" w:color="auto"/>
                  </w:divBdr>
                </w:div>
                <w:div w:id="1868639188">
                  <w:marLeft w:val="0"/>
                  <w:marRight w:val="0"/>
                  <w:marTop w:val="0"/>
                  <w:marBottom w:val="0"/>
                  <w:divBdr>
                    <w:top w:val="none" w:sz="0" w:space="0" w:color="auto"/>
                    <w:left w:val="none" w:sz="0" w:space="0" w:color="auto"/>
                    <w:bottom w:val="none" w:sz="0" w:space="0" w:color="auto"/>
                    <w:right w:val="none" w:sz="0" w:space="0" w:color="auto"/>
                  </w:divBdr>
                  <w:divsChild>
                    <w:div w:id="637272120">
                      <w:marLeft w:val="0"/>
                      <w:marRight w:val="0"/>
                      <w:marTop w:val="0"/>
                      <w:marBottom w:val="0"/>
                      <w:divBdr>
                        <w:top w:val="none" w:sz="0" w:space="0" w:color="auto"/>
                        <w:left w:val="none" w:sz="0" w:space="0" w:color="auto"/>
                        <w:bottom w:val="none" w:sz="0" w:space="0" w:color="auto"/>
                        <w:right w:val="none" w:sz="0" w:space="0" w:color="auto"/>
                      </w:divBdr>
                    </w:div>
                  </w:divsChild>
                </w:div>
                <w:div w:id="1945383382">
                  <w:marLeft w:val="0"/>
                  <w:marRight w:val="0"/>
                  <w:marTop w:val="0"/>
                  <w:marBottom w:val="0"/>
                  <w:divBdr>
                    <w:top w:val="none" w:sz="0" w:space="0" w:color="auto"/>
                    <w:left w:val="none" w:sz="0" w:space="0" w:color="auto"/>
                    <w:bottom w:val="none" w:sz="0" w:space="0" w:color="auto"/>
                    <w:right w:val="none" w:sz="0" w:space="0" w:color="auto"/>
                  </w:divBdr>
                </w:div>
                <w:div w:id="2040469758">
                  <w:marLeft w:val="0"/>
                  <w:marRight w:val="0"/>
                  <w:marTop w:val="0"/>
                  <w:marBottom w:val="0"/>
                  <w:divBdr>
                    <w:top w:val="none" w:sz="0" w:space="0" w:color="auto"/>
                    <w:left w:val="none" w:sz="0" w:space="0" w:color="auto"/>
                    <w:bottom w:val="none" w:sz="0" w:space="0" w:color="auto"/>
                    <w:right w:val="none" w:sz="0" w:space="0" w:color="auto"/>
                  </w:divBdr>
                </w:div>
                <w:div w:id="2089769612">
                  <w:marLeft w:val="0"/>
                  <w:marRight w:val="0"/>
                  <w:marTop w:val="0"/>
                  <w:marBottom w:val="0"/>
                  <w:divBdr>
                    <w:top w:val="none" w:sz="0" w:space="0" w:color="auto"/>
                    <w:left w:val="none" w:sz="0" w:space="0" w:color="auto"/>
                    <w:bottom w:val="none" w:sz="0" w:space="0" w:color="auto"/>
                    <w:right w:val="none" w:sz="0" w:space="0" w:color="auto"/>
                  </w:divBdr>
                </w:div>
                <w:div w:id="210275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852515">
          <w:marLeft w:val="0"/>
          <w:marRight w:val="0"/>
          <w:marTop w:val="0"/>
          <w:marBottom w:val="0"/>
          <w:divBdr>
            <w:top w:val="single" w:sz="6" w:space="4" w:color="0C1F30"/>
            <w:left w:val="none" w:sz="0" w:space="4" w:color="0C1F30"/>
            <w:bottom w:val="none" w:sz="0" w:space="4" w:color="0C1F30"/>
            <w:right w:val="none" w:sz="0" w:space="4" w:color="0C1F30"/>
          </w:divBdr>
        </w:div>
      </w:divsChild>
    </w:div>
    <w:div w:id="1313826373">
      <w:bodyDiv w:val="1"/>
      <w:marLeft w:val="0"/>
      <w:marRight w:val="0"/>
      <w:marTop w:val="0"/>
      <w:marBottom w:val="0"/>
      <w:divBdr>
        <w:top w:val="none" w:sz="0" w:space="0" w:color="auto"/>
        <w:left w:val="none" w:sz="0" w:space="0" w:color="auto"/>
        <w:bottom w:val="none" w:sz="0" w:space="0" w:color="auto"/>
        <w:right w:val="none" w:sz="0" w:space="0" w:color="auto"/>
      </w:divBdr>
    </w:div>
    <w:div w:id="1372682746">
      <w:bodyDiv w:val="1"/>
      <w:marLeft w:val="0"/>
      <w:marRight w:val="0"/>
      <w:marTop w:val="0"/>
      <w:marBottom w:val="0"/>
      <w:divBdr>
        <w:top w:val="none" w:sz="0" w:space="0" w:color="auto"/>
        <w:left w:val="none" w:sz="0" w:space="0" w:color="auto"/>
        <w:bottom w:val="none" w:sz="0" w:space="0" w:color="auto"/>
        <w:right w:val="none" w:sz="0" w:space="0" w:color="auto"/>
      </w:divBdr>
      <w:divsChild>
        <w:div w:id="2029283914">
          <w:marLeft w:val="480"/>
          <w:marRight w:val="0"/>
          <w:marTop w:val="0"/>
          <w:marBottom w:val="0"/>
          <w:divBdr>
            <w:top w:val="none" w:sz="0" w:space="0" w:color="auto"/>
            <w:left w:val="none" w:sz="0" w:space="0" w:color="auto"/>
            <w:bottom w:val="none" w:sz="0" w:space="0" w:color="auto"/>
            <w:right w:val="none" w:sz="0" w:space="0" w:color="auto"/>
          </w:divBdr>
          <w:divsChild>
            <w:div w:id="96319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377404">
      <w:bodyDiv w:val="1"/>
      <w:marLeft w:val="0"/>
      <w:marRight w:val="0"/>
      <w:marTop w:val="0"/>
      <w:marBottom w:val="0"/>
      <w:divBdr>
        <w:top w:val="none" w:sz="0" w:space="0" w:color="auto"/>
        <w:left w:val="none" w:sz="0" w:space="0" w:color="auto"/>
        <w:bottom w:val="none" w:sz="0" w:space="0" w:color="auto"/>
        <w:right w:val="none" w:sz="0" w:space="0" w:color="auto"/>
      </w:divBdr>
      <w:divsChild>
        <w:div w:id="501505933">
          <w:marLeft w:val="480"/>
          <w:marRight w:val="0"/>
          <w:marTop w:val="0"/>
          <w:marBottom w:val="0"/>
          <w:divBdr>
            <w:top w:val="none" w:sz="0" w:space="0" w:color="auto"/>
            <w:left w:val="none" w:sz="0" w:space="0" w:color="auto"/>
            <w:bottom w:val="none" w:sz="0" w:space="0" w:color="auto"/>
            <w:right w:val="none" w:sz="0" w:space="0" w:color="auto"/>
          </w:divBdr>
          <w:divsChild>
            <w:div w:id="166967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9225090">
      <w:bodyDiv w:val="1"/>
      <w:marLeft w:val="0"/>
      <w:marRight w:val="0"/>
      <w:marTop w:val="0"/>
      <w:marBottom w:val="0"/>
      <w:divBdr>
        <w:top w:val="none" w:sz="0" w:space="0" w:color="auto"/>
        <w:left w:val="none" w:sz="0" w:space="0" w:color="auto"/>
        <w:bottom w:val="none" w:sz="0" w:space="0" w:color="auto"/>
        <w:right w:val="none" w:sz="0" w:space="0" w:color="auto"/>
      </w:divBdr>
    </w:div>
    <w:div w:id="1494679799">
      <w:bodyDiv w:val="1"/>
      <w:marLeft w:val="0"/>
      <w:marRight w:val="0"/>
      <w:marTop w:val="0"/>
      <w:marBottom w:val="0"/>
      <w:divBdr>
        <w:top w:val="none" w:sz="0" w:space="0" w:color="auto"/>
        <w:left w:val="none" w:sz="0" w:space="0" w:color="auto"/>
        <w:bottom w:val="none" w:sz="0" w:space="0" w:color="auto"/>
        <w:right w:val="none" w:sz="0" w:space="0" w:color="auto"/>
      </w:divBdr>
      <w:divsChild>
        <w:div w:id="327364991">
          <w:marLeft w:val="480"/>
          <w:marRight w:val="0"/>
          <w:marTop w:val="0"/>
          <w:marBottom w:val="0"/>
          <w:divBdr>
            <w:top w:val="none" w:sz="0" w:space="0" w:color="auto"/>
            <w:left w:val="none" w:sz="0" w:space="0" w:color="auto"/>
            <w:bottom w:val="none" w:sz="0" w:space="0" w:color="auto"/>
            <w:right w:val="none" w:sz="0" w:space="0" w:color="auto"/>
          </w:divBdr>
          <w:divsChild>
            <w:div w:id="190837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594749">
      <w:bodyDiv w:val="1"/>
      <w:marLeft w:val="0"/>
      <w:marRight w:val="0"/>
      <w:marTop w:val="0"/>
      <w:marBottom w:val="0"/>
      <w:divBdr>
        <w:top w:val="none" w:sz="0" w:space="0" w:color="auto"/>
        <w:left w:val="none" w:sz="0" w:space="0" w:color="auto"/>
        <w:bottom w:val="none" w:sz="0" w:space="0" w:color="auto"/>
        <w:right w:val="none" w:sz="0" w:space="0" w:color="auto"/>
      </w:divBdr>
      <w:divsChild>
        <w:div w:id="1564027072">
          <w:marLeft w:val="480"/>
          <w:marRight w:val="0"/>
          <w:marTop w:val="0"/>
          <w:marBottom w:val="0"/>
          <w:divBdr>
            <w:top w:val="none" w:sz="0" w:space="0" w:color="auto"/>
            <w:left w:val="none" w:sz="0" w:space="0" w:color="auto"/>
            <w:bottom w:val="none" w:sz="0" w:space="0" w:color="auto"/>
            <w:right w:val="none" w:sz="0" w:space="0" w:color="auto"/>
          </w:divBdr>
          <w:divsChild>
            <w:div w:id="1117024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980443">
      <w:bodyDiv w:val="1"/>
      <w:marLeft w:val="0"/>
      <w:marRight w:val="0"/>
      <w:marTop w:val="0"/>
      <w:marBottom w:val="0"/>
      <w:divBdr>
        <w:top w:val="none" w:sz="0" w:space="0" w:color="auto"/>
        <w:left w:val="none" w:sz="0" w:space="0" w:color="auto"/>
        <w:bottom w:val="none" w:sz="0" w:space="0" w:color="auto"/>
        <w:right w:val="none" w:sz="0" w:space="0" w:color="auto"/>
      </w:divBdr>
    </w:div>
    <w:div w:id="1737825417">
      <w:bodyDiv w:val="1"/>
      <w:marLeft w:val="0"/>
      <w:marRight w:val="0"/>
      <w:marTop w:val="0"/>
      <w:marBottom w:val="0"/>
      <w:divBdr>
        <w:top w:val="none" w:sz="0" w:space="0" w:color="auto"/>
        <w:left w:val="none" w:sz="0" w:space="0" w:color="auto"/>
        <w:bottom w:val="none" w:sz="0" w:space="0" w:color="auto"/>
        <w:right w:val="none" w:sz="0" w:space="0" w:color="auto"/>
      </w:divBdr>
      <w:divsChild>
        <w:div w:id="173344374">
          <w:marLeft w:val="480"/>
          <w:marRight w:val="0"/>
          <w:marTop w:val="0"/>
          <w:marBottom w:val="0"/>
          <w:divBdr>
            <w:top w:val="none" w:sz="0" w:space="0" w:color="auto"/>
            <w:left w:val="none" w:sz="0" w:space="0" w:color="auto"/>
            <w:bottom w:val="none" w:sz="0" w:space="0" w:color="auto"/>
            <w:right w:val="none" w:sz="0" w:space="0" w:color="auto"/>
          </w:divBdr>
          <w:divsChild>
            <w:div w:id="41086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293739">
      <w:bodyDiv w:val="1"/>
      <w:marLeft w:val="0"/>
      <w:marRight w:val="0"/>
      <w:marTop w:val="0"/>
      <w:marBottom w:val="0"/>
      <w:divBdr>
        <w:top w:val="none" w:sz="0" w:space="0" w:color="auto"/>
        <w:left w:val="none" w:sz="0" w:space="0" w:color="auto"/>
        <w:bottom w:val="none" w:sz="0" w:space="0" w:color="auto"/>
        <w:right w:val="none" w:sz="0" w:space="0" w:color="auto"/>
      </w:divBdr>
    </w:div>
    <w:div w:id="1790120007">
      <w:bodyDiv w:val="1"/>
      <w:marLeft w:val="0"/>
      <w:marRight w:val="0"/>
      <w:marTop w:val="0"/>
      <w:marBottom w:val="0"/>
      <w:divBdr>
        <w:top w:val="none" w:sz="0" w:space="0" w:color="auto"/>
        <w:left w:val="none" w:sz="0" w:space="0" w:color="auto"/>
        <w:bottom w:val="none" w:sz="0" w:space="0" w:color="auto"/>
        <w:right w:val="none" w:sz="0" w:space="0" w:color="auto"/>
      </w:divBdr>
      <w:divsChild>
        <w:div w:id="962734836">
          <w:marLeft w:val="480"/>
          <w:marRight w:val="0"/>
          <w:marTop w:val="0"/>
          <w:marBottom w:val="0"/>
          <w:divBdr>
            <w:top w:val="none" w:sz="0" w:space="0" w:color="auto"/>
            <w:left w:val="none" w:sz="0" w:space="0" w:color="auto"/>
            <w:bottom w:val="none" w:sz="0" w:space="0" w:color="auto"/>
            <w:right w:val="none" w:sz="0" w:space="0" w:color="auto"/>
          </w:divBdr>
          <w:divsChild>
            <w:div w:id="25722099">
              <w:marLeft w:val="0"/>
              <w:marRight w:val="0"/>
              <w:marTop w:val="0"/>
              <w:marBottom w:val="0"/>
              <w:divBdr>
                <w:top w:val="none" w:sz="0" w:space="0" w:color="auto"/>
                <w:left w:val="none" w:sz="0" w:space="0" w:color="auto"/>
                <w:bottom w:val="none" w:sz="0" w:space="0" w:color="auto"/>
                <w:right w:val="none" w:sz="0" w:space="0" w:color="auto"/>
              </w:divBdr>
            </w:div>
            <w:div w:id="59181776">
              <w:marLeft w:val="0"/>
              <w:marRight w:val="0"/>
              <w:marTop w:val="0"/>
              <w:marBottom w:val="0"/>
              <w:divBdr>
                <w:top w:val="none" w:sz="0" w:space="0" w:color="auto"/>
                <w:left w:val="none" w:sz="0" w:space="0" w:color="auto"/>
                <w:bottom w:val="none" w:sz="0" w:space="0" w:color="auto"/>
                <w:right w:val="none" w:sz="0" w:space="0" w:color="auto"/>
              </w:divBdr>
            </w:div>
            <w:div w:id="132218174">
              <w:marLeft w:val="0"/>
              <w:marRight w:val="0"/>
              <w:marTop w:val="0"/>
              <w:marBottom w:val="0"/>
              <w:divBdr>
                <w:top w:val="none" w:sz="0" w:space="0" w:color="auto"/>
                <w:left w:val="none" w:sz="0" w:space="0" w:color="auto"/>
                <w:bottom w:val="none" w:sz="0" w:space="0" w:color="auto"/>
                <w:right w:val="none" w:sz="0" w:space="0" w:color="auto"/>
              </w:divBdr>
            </w:div>
            <w:div w:id="154957197">
              <w:marLeft w:val="0"/>
              <w:marRight w:val="0"/>
              <w:marTop w:val="0"/>
              <w:marBottom w:val="0"/>
              <w:divBdr>
                <w:top w:val="none" w:sz="0" w:space="0" w:color="auto"/>
                <w:left w:val="none" w:sz="0" w:space="0" w:color="auto"/>
                <w:bottom w:val="none" w:sz="0" w:space="0" w:color="auto"/>
                <w:right w:val="none" w:sz="0" w:space="0" w:color="auto"/>
              </w:divBdr>
            </w:div>
            <w:div w:id="160197831">
              <w:marLeft w:val="0"/>
              <w:marRight w:val="0"/>
              <w:marTop w:val="0"/>
              <w:marBottom w:val="0"/>
              <w:divBdr>
                <w:top w:val="none" w:sz="0" w:space="0" w:color="auto"/>
                <w:left w:val="none" w:sz="0" w:space="0" w:color="auto"/>
                <w:bottom w:val="none" w:sz="0" w:space="0" w:color="auto"/>
                <w:right w:val="none" w:sz="0" w:space="0" w:color="auto"/>
              </w:divBdr>
            </w:div>
            <w:div w:id="165949807">
              <w:marLeft w:val="0"/>
              <w:marRight w:val="0"/>
              <w:marTop w:val="0"/>
              <w:marBottom w:val="0"/>
              <w:divBdr>
                <w:top w:val="none" w:sz="0" w:space="0" w:color="auto"/>
                <w:left w:val="none" w:sz="0" w:space="0" w:color="auto"/>
                <w:bottom w:val="none" w:sz="0" w:space="0" w:color="auto"/>
                <w:right w:val="none" w:sz="0" w:space="0" w:color="auto"/>
              </w:divBdr>
            </w:div>
            <w:div w:id="200678939">
              <w:marLeft w:val="0"/>
              <w:marRight w:val="0"/>
              <w:marTop w:val="0"/>
              <w:marBottom w:val="0"/>
              <w:divBdr>
                <w:top w:val="none" w:sz="0" w:space="0" w:color="auto"/>
                <w:left w:val="none" w:sz="0" w:space="0" w:color="auto"/>
                <w:bottom w:val="none" w:sz="0" w:space="0" w:color="auto"/>
                <w:right w:val="none" w:sz="0" w:space="0" w:color="auto"/>
              </w:divBdr>
            </w:div>
            <w:div w:id="270628025">
              <w:marLeft w:val="0"/>
              <w:marRight w:val="0"/>
              <w:marTop w:val="0"/>
              <w:marBottom w:val="0"/>
              <w:divBdr>
                <w:top w:val="none" w:sz="0" w:space="0" w:color="auto"/>
                <w:left w:val="none" w:sz="0" w:space="0" w:color="auto"/>
                <w:bottom w:val="none" w:sz="0" w:space="0" w:color="auto"/>
                <w:right w:val="none" w:sz="0" w:space="0" w:color="auto"/>
              </w:divBdr>
            </w:div>
            <w:div w:id="280966515">
              <w:marLeft w:val="0"/>
              <w:marRight w:val="0"/>
              <w:marTop w:val="0"/>
              <w:marBottom w:val="0"/>
              <w:divBdr>
                <w:top w:val="none" w:sz="0" w:space="0" w:color="auto"/>
                <w:left w:val="none" w:sz="0" w:space="0" w:color="auto"/>
                <w:bottom w:val="none" w:sz="0" w:space="0" w:color="auto"/>
                <w:right w:val="none" w:sz="0" w:space="0" w:color="auto"/>
              </w:divBdr>
            </w:div>
            <w:div w:id="317684896">
              <w:marLeft w:val="0"/>
              <w:marRight w:val="0"/>
              <w:marTop w:val="0"/>
              <w:marBottom w:val="0"/>
              <w:divBdr>
                <w:top w:val="none" w:sz="0" w:space="0" w:color="auto"/>
                <w:left w:val="none" w:sz="0" w:space="0" w:color="auto"/>
                <w:bottom w:val="none" w:sz="0" w:space="0" w:color="auto"/>
                <w:right w:val="none" w:sz="0" w:space="0" w:color="auto"/>
              </w:divBdr>
            </w:div>
            <w:div w:id="364142287">
              <w:marLeft w:val="0"/>
              <w:marRight w:val="0"/>
              <w:marTop w:val="0"/>
              <w:marBottom w:val="0"/>
              <w:divBdr>
                <w:top w:val="none" w:sz="0" w:space="0" w:color="auto"/>
                <w:left w:val="none" w:sz="0" w:space="0" w:color="auto"/>
                <w:bottom w:val="none" w:sz="0" w:space="0" w:color="auto"/>
                <w:right w:val="none" w:sz="0" w:space="0" w:color="auto"/>
              </w:divBdr>
            </w:div>
            <w:div w:id="391782161">
              <w:marLeft w:val="0"/>
              <w:marRight w:val="0"/>
              <w:marTop w:val="0"/>
              <w:marBottom w:val="0"/>
              <w:divBdr>
                <w:top w:val="none" w:sz="0" w:space="0" w:color="auto"/>
                <w:left w:val="none" w:sz="0" w:space="0" w:color="auto"/>
                <w:bottom w:val="none" w:sz="0" w:space="0" w:color="auto"/>
                <w:right w:val="none" w:sz="0" w:space="0" w:color="auto"/>
              </w:divBdr>
            </w:div>
            <w:div w:id="481234662">
              <w:marLeft w:val="0"/>
              <w:marRight w:val="0"/>
              <w:marTop w:val="0"/>
              <w:marBottom w:val="0"/>
              <w:divBdr>
                <w:top w:val="none" w:sz="0" w:space="0" w:color="auto"/>
                <w:left w:val="none" w:sz="0" w:space="0" w:color="auto"/>
                <w:bottom w:val="none" w:sz="0" w:space="0" w:color="auto"/>
                <w:right w:val="none" w:sz="0" w:space="0" w:color="auto"/>
              </w:divBdr>
            </w:div>
            <w:div w:id="491335364">
              <w:marLeft w:val="0"/>
              <w:marRight w:val="0"/>
              <w:marTop w:val="0"/>
              <w:marBottom w:val="0"/>
              <w:divBdr>
                <w:top w:val="none" w:sz="0" w:space="0" w:color="auto"/>
                <w:left w:val="none" w:sz="0" w:space="0" w:color="auto"/>
                <w:bottom w:val="none" w:sz="0" w:space="0" w:color="auto"/>
                <w:right w:val="none" w:sz="0" w:space="0" w:color="auto"/>
              </w:divBdr>
            </w:div>
            <w:div w:id="532035291">
              <w:marLeft w:val="0"/>
              <w:marRight w:val="0"/>
              <w:marTop w:val="0"/>
              <w:marBottom w:val="0"/>
              <w:divBdr>
                <w:top w:val="none" w:sz="0" w:space="0" w:color="auto"/>
                <w:left w:val="none" w:sz="0" w:space="0" w:color="auto"/>
                <w:bottom w:val="none" w:sz="0" w:space="0" w:color="auto"/>
                <w:right w:val="none" w:sz="0" w:space="0" w:color="auto"/>
              </w:divBdr>
            </w:div>
            <w:div w:id="625966740">
              <w:marLeft w:val="0"/>
              <w:marRight w:val="0"/>
              <w:marTop w:val="0"/>
              <w:marBottom w:val="0"/>
              <w:divBdr>
                <w:top w:val="none" w:sz="0" w:space="0" w:color="auto"/>
                <w:left w:val="none" w:sz="0" w:space="0" w:color="auto"/>
                <w:bottom w:val="none" w:sz="0" w:space="0" w:color="auto"/>
                <w:right w:val="none" w:sz="0" w:space="0" w:color="auto"/>
              </w:divBdr>
            </w:div>
            <w:div w:id="665136775">
              <w:marLeft w:val="0"/>
              <w:marRight w:val="0"/>
              <w:marTop w:val="0"/>
              <w:marBottom w:val="0"/>
              <w:divBdr>
                <w:top w:val="none" w:sz="0" w:space="0" w:color="auto"/>
                <w:left w:val="none" w:sz="0" w:space="0" w:color="auto"/>
                <w:bottom w:val="none" w:sz="0" w:space="0" w:color="auto"/>
                <w:right w:val="none" w:sz="0" w:space="0" w:color="auto"/>
              </w:divBdr>
            </w:div>
            <w:div w:id="667907659">
              <w:marLeft w:val="0"/>
              <w:marRight w:val="0"/>
              <w:marTop w:val="0"/>
              <w:marBottom w:val="0"/>
              <w:divBdr>
                <w:top w:val="none" w:sz="0" w:space="0" w:color="auto"/>
                <w:left w:val="none" w:sz="0" w:space="0" w:color="auto"/>
                <w:bottom w:val="none" w:sz="0" w:space="0" w:color="auto"/>
                <w:right w:val="none" w:sz="0" w:space="0" w:color="auto"/>
              </w:divBdr>
            </w:div>
            <w:div w:id="674110251">
              <w:marLeft w:val="0"/>
              <w:marRight w:val="0"/>
              <w:marTop w:val="0"/>
              <w:marBottom w:val="0"/>
              <w:divBdr>
                <w:top w:val="none" w:sz="0" w:space="0" w:color="auto"/>
                <w:left w:val="none" w:sz="0" w:space="0" w:color="auto"/>
                <w:bottom w:val="none" w:sz="0" w:space="0" w:color="auto"/>
                <w:right w:val="none" w:sz="0" w:space="0" w:color="auto"/>
              </w:divBdr>
            </w:div>
            <w:div w:id="682168512">
              <w:marLeft w:val="0"/>
              <w:marRight w:val="0"/>
              <w:marTop w:val="0"/>
              <w:marBottom w:val="0"/>
              <w:divBdr>
                <w:top w:val="none" w:sz="0" w:space="0" w:color="auto"/>
                <w:left w:val="none" w:sz="0" w:space="0" w:color="auto"/>
                <w:bottom w:val="none" w:sz="0" w:space="0" w:color="auto"/>
                <w:right w:val="none" w:sz="0" w:space="0" w:color="auto"/>
              </w:divBdr>
            </w:div>
            <w:div w:id="727457109">
              <w:marLeft w:val="0"/>
              <w:marRight w:val="0"/>
              <w:marTop w:val="0"/>
              <w:marBottom w:val="0"/>
              <w:divBdr>
                <w:top w:val="none" w:sz="0" w:space="0" w:color="auto"/>
                <w:left w:val="none" w:sz="0" w:space="0" w:color="auto"/>
                <w:bottom w:val="none" w:sz="0" w:space="0" w:color="auto"/>
                <w:right w:val="none" w:sz="0" w:space="0" w:color="auto"/>
              </w:divBdr>
            </w:div>
            <w:div w:id="760369444">
              <w:marLeft w:val="0"/>
              <w:marRight w:val="0"/>
              <w:marTop w:val="0"/>
              <w:marBottom w:val="0"/>
              <w:divBdr>
                <w:top w:val="none" w:sz="0" w:space="0" w:color="auto"/>
                <w:left w:val="none" w:sz="0" w:space="0" w:color="auto"/>
                <w:bottom w:val="none" w:sz="0" w:space="0" w:color="auto"/>
                <w:right w:val="none" w:sz="0" w:space="0" w:color="auto"/>
              </w:divBdr>
            </w:div>
            <w:div w:id="765688761">
              <w:marLeft w:val="0"/>
              <w:marRight w:val="0"/>
              <w:marTop w:val="0"/>
              <w:marBottom w:val="0"/>
              <w:divBdr>
                <w:top w:val="none" w:sz="0" w:space="0" w:color="auto"/>
                <w:left w:val="none" w:sz="0" w:space="0" w:color="auto"/>
                <w:bottom w:val="none" w:sz="0" w:space="0" w:color="auto"/>
                <w:right w:val="none" w:sz="0" w:space="0" w:color="auto"/>
              </w:divBdr>
            </w:div>
            <w:div w:id="869953736">
              <w:marLeft w:val="0"/>
              <w:marRight w:val="0"/>
              <w:marTop w:val="0"/>
              <w:marBottom w:val="0"/>
              <w:divBdr>
                <w:top w:val="none" w:sz="0" w:space="0" w:color="auto"/>
                <w:left w:val="none" w:sz="0" w:space="0" w:color="auto"/>
                <w:bottom w:val="none" w:sz="0" w:space="0" w:color="auto"/>
                <w:right w:val="none" w:sz="0" w:space="0" w:color="auto"/>
              </w:divBdr>
            </w:div>
            <w:div w:id="870336549">
              <w:marLeft w:val="0"/>
              <w:marRight w:val="0"/>
              <w:marTop w:val="0"/>
              <w:marBottom w:val="0"/>
              <w:divBdr>
                <w:top w:val="none" w:sz="0" w:space="0" w:color="auto"/>
                <w:left w:val="none" w:sz="0" w:space="0" w:color="auto"/>
                <w:bottom w:val="none" w:sz="0" w:space="0" w:color="auto"/>
                <w:right w:val="none" w:sz="0" w:space="0" w:color="auto"/>
              </w:divBdr>
            </w:div>
            <w:div w:id="886069601">
              <w:marLeft w:val="0"/>
              <w:marRight w:val="0"/>
              <w:marTop w:val="0"/>
              <w:marBottom w:val="0"/>
              <w:divBdr>
                <w:top w:val="none" w:sz="0" w:space="0" w:color="auto"/>
                <w:left w:val="none" w:sz="0" w:space="0" w:color="auto"/>
                <w:bottom w:val="none" w:sz="0" w:space="0" w:color="auto"/>
                <w:right w:val="none" w:sz="0" w:space="0" w:color="auto"/>
              </w:divBdr>
            </w:div>
            <w:div w:id="894319673">
              <w:marLeft w:val="0"/>
              <w:marRight w:val="0"/>
              <w:marTop w:val="0"/>
              <w:marBottom w:val="0"/>
              <w:divBdr>
                <w:top w:val="none" w:sz="0" w:space="0" w:color="auto"/>
                <w:left w:val="none" w:sz="0" w:space="0" w:color="auto"/>
                <w:bottom w:val="none" w:sz="0" w:space="0" w:color="auto"/>
                <w:right w:val="none" w:sz="0" w:space="0" w:color="auto"/>
              </w:divBdr>
            </w:div>
            <w:div w:id="943075890">
              <w:marLeft w:val="0"/>
              <w:marRight w:val="0"/>
              <w:marTop w:val="0"/>
              <w:marBottom w:val="0"/>
              <w:divBdr>
                <w:top w:val="none" w:sz="0" w:space="0" w:color="auto"/>
                <w:left w:val="none" w:sz="0" w:space="0" w:color="auto"/>
                <w:bottom w:val="none" w:sz="0" w:space="0" w:color="auto"/>
                <w:right w:val="none" w:sz="0" w:space="0" w:color="auto"/>
              </w:divBdr>
            </w:div>
            <w:div w:id="948009411">
              <w:marLeft w:val="0"/>
              <w:marRight w:val="0"/>
              <w:marTop w:val="0"/>
              <w:marBottom w:val="0"/>
              <w:divBdr>
                <w:top w:val="none" w:sz="0" w:space="0" w:color="auto"/>
                <w:left w:val="none" w:sz="0" w:space="0" w:color="auto"/>
                <w:bottom w:val="none" w:sz="0" w:space="0" w:color="auto"/>
                <w:right w:val="none" w:sz="0" w:space="0" w:color="auto"/>
              </w:divBdr>
            </w:div>
            <w:div w:id="1006829751">
              <w:marLeft w:val="0"/>
              <w:marRight w:val="0"/>
              <w:marTop w:val="0"/>
              <w:marBottom w:val="0"/>
              <w:divBdr>
                <w:top w:val="none" w:sz="0" w:space="0" w:color="auto"/>
                <w:left w:val="none" w:sz="0" w:space="0" w:color="auto"/>
                <w:bottom w:val="none" w:sz="0" w:space="0" w:color="auto"/>
                <w:right w:val="none" w:sz="0" w:space="0" w:color="auto"/>
              </w:divBdr>
            </w:div>
            <w:div w:id="1016420454">
              <w:marLeft w:val="0"/>
              <w:marRight w:val="0"/>
              <w:marTop w:val="0"/>
              <w:marBottom w:val="0"/>
              <w:divBdr>
                <w:top w:val="none" w:sz="0" w:space="0" w:color="auto"/>
                <w:left w:val="none" w:sz="0" w:space="0" w:color="auto"/>
                <w:bottom w:val="none" w:sz="0" w:space="0" w:color="auto"/>
                <w:right w:val="none" w:sz="0" w:space="0" w:color="auto"/>
              </w:divBdr>
            </w:div>
            <w:div w:id="1030256778">
              <w:marLeft w:val="0"/>
              <w:marRight w:val="0"/>
              <w:marTop w:val="0"/>
              <w:marBottom w:val="0"/>
              <w:divBdr>
                <w:top w:val="none" w:sz="0" w:space="0" w:color="auto"/>
                <w:left w:val="none" w:sz="0" w:space="0" w:color="auto"/>
                <w:bottom w:val="none" w:sz="0" w:space="0" w:color="auto"/>
                <w:right w:val="none" w:sz="0" w:space="0" w:color="auto"/>
              </w:divBdr>
            </w:div>
            <w:div w:id="1030571406">
              <w:marLeft w:val="0"/>
              <w:marRight w:val="0"/>
              <w:marTop w:val="0"/>
              <w:marBottom w:val="0"/>
              <w:divBdr>
                <w:top w:val="none" w:sz="0" w:space="0" w:color="auto"/>
                <w:left w:val="none" w:sz="0" w:space="0" w:color="auto"/>
                <w:bottom w:val="none" w:sz="0" w:space="0" w:color="auto"/>
                <w:right w:val="none" w:sz="0" w:space="0" w:color="auto"/>
              </w:divBdr>
            </w:div>
            <w:div w:id="1052115165">
              <w:marLeft w:val="0"/>
              <w:marRight w:val="0"/>
              <w:marTop w:val="0"/>
              <w:marBottom w:val="0"/>
              <w:divBdr>
                <w:top w:val="none" w:sz="0" w:space="0" w:color="auto"/>
                <w:left w:val="none" w:sz="0" w:space="0" w:color="auto"/>
                <w:bottom w:val="none" w:sz="0" w:space="0" w:color="auto"/>
                <w:right w:val="none" w:sz="0" w:space="0" w:color="auto"/>
              </w:divBdr>
            </w:div>
            <w:div w:id="1085300660">
              <w:marLeft w:val="0"/>
              <w:marRight w:val="0"/>
              <w:marTop w:val="0"/>
              <w:marBottom w:val="0"/>
              <w:divBdr>
                <w:top w:val="none" w:sz="0" w:space="0" w:color="auto"/>
                <w:left w:val="none" w:sz="0" w:space="0" w:color="auto"/>
                <w:bottom w:val="none" w:sz="0" w:space="0" w:color="auto"/>
                <w:right w:val="none" w:sz="0" w:space="0" w:color="auto"/>
              </w:divBdr>
            </w:div>
            <w:div w:id="1096680466">
              <w:marLeft w:val="0"/>
              <w:marRight w:val="0"/>
              <w:marTop w:val="0"/>
              <w:marBottom w:val="0"/>
              <w:divBdr>
                <w:top w:val="none" w:sz="0" w:space="0" w:color="auto"/>
                <w:left w:val="none" w:sz="0" w:space="0" w:color="auto"/>
                <w:bottom w:val="none" w:sz="0" w:space="0" w:color="auto"/>
                <w:right w:val="none" w:sz="0" w:space="0" w:color="auto"/>
              </w:divBdr>
            </w:div>
            <w:div w:id="1132288196">
              <w:marLeft w:val="0"/>
              <w:marRight w:val="0"/>
              <w:marTop w:val="0"/>
              <w:marBottom w:val="0"/>
              <w:divBdr>
                <w:top w:val="none" w:sz="0" w:space="0" w:color="auto"/>
                <w:left w:val="none" w:sz="0" w:space="0" w:color="auto"/>
                <w:bottom w:val="none" w:sz="0" w:space="0" w:color="auto"/>
                <w:right w:val="none" w:sz="0" w:space="0" w:color="auto"/>
              </w:divBdr>
            </w:div>
            <w:div w:id="1134252610">
              <w:marLeft w:val="0"/>
              <w:marRight w:val="0"/>
              <w:marTop w:val="0"/>
              <w:marBottom w:val="0"/>
              <w:divBdr>
                <w:top w:val="none" w:sz="0" w:space="0" w:color="auto"/>
                <w:left w:val="none" w:sz="0" w:space="0" w:color="auto"/>
                <w:bottom w:val="none" w:sz="0" w:space="0" w:color="auto"/>
                <w:right w:val="none" w:sz="0" w:space="0" w:color="auto"/>
              </w:divBdr>
            </w:div>
            <w:div w:id="1136989831">
              <w:marLeft w:val="0"/>
              <w:marRight w:val="0"/>
              <w:marTop w:val="0"/>
              <w:marBottom w:val="0"/>
              <w:divBdr>
                <w:top w:val="none" w:sz="0" w:space="0" w:color="auto"/>
                <w:left w:val="none" w:sz="0" w:space="0" w:color="auto"/>
                <w:bottom w:val="none" w:sz="0" w:space="0" w:color="auto"/>
                <w:right w:val="none" w:sz="0" w:space="0" w:color="auto"/>
              </w:divBdr>
            </w:div>
            <w:div w:id="1245384253">
              <w:marLeft w:val="0"/>
              <w:marRight w:val="0"/>
              <w:marTop w:val="0"/>
              <w:marBottom w:val="0"/>
              <w:divBdr>
                <w:top w:val="none" w:sz="0" w:space="0" w:color="auto"/>
                <w:left w:val="none" w:sz="0" w:space="0" w:color="auto"/>
                <w:bottom w:val="none" w:sz="0" w:space="0" w:color="auto"/>
                <w:right w:val="none" w:sz="0" w:space="0" w:color="auto"/>
              </w:divBdr>
            </w:div>
            <w:div w:id="1247376292">
              <w:marLeft w:val="0"/>
              <w:marRight w:val="0"/>
              <w:marTop w:val="0"/>
              <w:marBottom w:val="0"/>
              <w:divBdr>
                <w:top w:val="none" w:sz="0" w:space="0" w:color="auto"/>
                <w:left w:val="none" w:sz="0" w:space="0" w:color="auto"/>
                <w:bottom w:val="none" w:sz="0" w:space="0" w:color="auto"/>
                <w:right w:val="none" w:sz="0" w:space="0" w:color="auto"/>
              </w:divBdr>
            </w:div>
            <w:div w:id="1278219919">
              <w:marLeft w:val="0"/>
              <w:marRight w:val="0"/>
              <w:marTop w:val="0"/>
              <w:marBottom w:val="0"/>
              <w:divBdr>
                <w:top w:val="none" w:sz="0" w:space="0" w:color="auto"/>
                <w:left w:val="none" w:sz="0" w:space="0" w:color="auto"/>
                <w:bottom w:val="none" w:sz="0" w:space="0" w:color="auto"/>
                <w:right w:val="none" w:sz="0" w:space="0" w:color="auto"/>
              </w:divBdr>
            </w:div>
            <w:div w:id="1284386550">
              <w:marLeft w:val="0"/>
              <w:marRight w:val="0"/>
              <w:marTop w:val="0"/>
              <w:marBottom w:val="0"/>
              <w:divBdr>
                <w:top w:val="none" w:sz="0" w:space="0" w:color="auto"/>
                <w:left w:val="none" w:sz="0" w:space="0" w:color="auto"/>
                <w:bottom w:val="none" w:sz="0" w:space="0" w:color="auto"/>
                <w:right w:val="none" w:sz="0" w:space="0" w:color="auto"/>
              </w:divBdr>
            </w:div>
            <w:div w:id="1306928290">
              <w:marLeft w:val="0"/>
              <w:marRight w:val="0"/>
              <w:marTop w:val="0"/>
              <w:marBottom w:val="0"/>
              <w:divBdr>
                <w:top w:val="none" w:sz="0" w:space="0" w:color="auto"/>
                <w:left w:val="none" w:sz="0" w:space="0" w:color="auto"/>
                <w:bottom w:val="none" w:sz="0" w:space="0" w:color="auto"/>
                <w:right w:val="none" w:sz="0" w:space="0" w:color="auto"/>
              </w:divBdr>
            </w:div>
            <w:div w:id="1327247233">
              <w:marLeft w:val="0"/>
              <w:marRight w:val="0"/>
              <w:marTop w:val="0"/>
              <w:marBottom w:val="0"/>
              <w:divBdr>
                <w:top w:val="none" w:sz="0" w:space="0" w:color="auto"/>
                <w:left w:val="none" w:sz="0" w:space="0" w:color="auto"/>
                <w:bottom w:val="none" w:sz="0" w:space="0" w:color="auto"/>
                <w:right w:val="none" w:sz="0" w:space="0" w:color="auto"/>
              </w:divBdr>
            </w:div>
            <w:div w:id="1331983931">
              <w:marLeft w:val="0"/>
              <w:marRight w:val="0"/>
              <w:marTop w:val="0"/>
              <w:marBottom w:val="0"/>
              <w:divBdr>
                <w:top w:val="none" w:sz="0" w:space="0" w:color="auto"/>
                <w:left w:val="none" w:sz="0" w:space="0" w:color="auto"/>
                <w:bottom w:val="none" w:sz="0" w:space="0" w:color="auto"/>
                <w:right w:val="none" w:sz="0" w:space="0" w:color="auto"/>
              </w:divBdr>
            </w:div>
            <w:div w:id="1360397808">
              <w:marLeft w:val="0"/>
              <w:marRight w:val="0"/>
              <w:marTop w:val="0"/>
              <w:marBottom w:val="0"/>
              <w:divBdr>
                <w:top w:val="none" w:sz="0" w:space="0" w:color="auto"/>
                <w:left w:val="none" w:sz="0" w:space="0" w:color="auto"/>
                <w:bottom w:val="none" w:sz="0" w:space="0" w:color="auto"/>
                <w:right w:val="none" w:sz="0" w:space="0" w:color="auto"/>
              </w:divBdr>
            </w:div>
            <w:div w:id="1365986755">
              <w:marLeft w:val="0"/>
              <w:marRight w:val="0"/>
              <w:marTop w:val="0"/>
              <w:marBottom w:val="0"/>
              <w:divBdr>
                <w:top w:val="none" w:sz="0" w:space="0" w:color="auto"/>
                <w:left w:val="none" w:sz="0" w:space="0" w:color="auto"/>
                <w:bottom w:val="none" w:sz="0" w:space="0" w:color="auto"/>
                <w:right w:val="none" w:sz="0" w:space="0" w:color="auto"/>
              </w:divBdr>
            </w:div>
            <w:div w:id="1384452602">
              <w:marLeft w:val="0"/>
              <w:marRight w:val="0"/>
              <w:marTop w:val="0"/>
              <w:marBottom w:val="0"/>
              <w:divBdr>
                <w:top w:val="none" w:sz="0" w:space="0" w:color="auto"/>
                <w:left w:val="none" w:sz="0" w:space="0" w:color="auto"/>
                <w:bottom w:val="none" w:sz="0" w:space="0" w:color="auto"/>
                <w:right w:val="none" w:sz="0" w:space="0" w:color="auto"/>
              </w:divBdr>
            </w:div>
            <w:div w:id="1387484498">
              <w:marLeft w:val="0"/>
              <w:marRight w:val="0"/>
              <w:marTop w:val="0"/>
              <w:marBottom w:val="0"/>
              <w:divBdr>
                <w:top w:val="none" w:sz="0" w:space="0" w:color="auto"/>
                <w:left w:val="none" w:sz="0" w:space="0" w:color="auto"/>
                <w:bottom w:val="none" w:sz="0" w:space="0" w:color="auto"/>
                <w:right w:val="none" w:sz="0" w:space="0" w:color="auto"/>
              </w:divBdr>
            </w:div>
            <w:div w:id="1442148878">
              <w:marLeft w:val="0"/>
              <w:marRight w:val="0"/>
              <w:marTop w:val="0"/>
              <w:marBottom w:val="0"/>
              <w:divBdr>
                <w:top w:val="none" w:sz="0" w:space="0" w:color="auto"/>
                <w:left w:val="none" w:sz="0" w:space="0" w:color="auto"/>
                <w:bottom w:val="none" w:sz="0" w:space="0" w:color="auto"/>
                <w:right w:val="none" w:sz="0" w:space="0" w:color="auto"/>
              </w:divBdr>
            </w:div>
            <w:div w:id="1447381992">
              <w:marLeft w:val="0"/>
              <w:marRight w:val="0"/>
              <w:marTop w:val="0"/>
              <w:marBottom w:val="0"/>
              <w:divBdr>
                <w:top w:val="none" w:sz="0" w:space="0" w:color="auto"/>
                <w:left w:val="none" w:sz="0" w:space="0" w:color="auto"/>
                <w:bottom w:val="none" w:sz="0" w:space="0" w:color="auto"/>
                <w:right w:val="none" w:sz="0" w:space="0" w:color="auto"/>
              </w:divBdr>
            </w:div>
            <w:div w:id="1463426065">
              <w:marLeft w:val="0"/>
              <w:marRight w:val="0"/>
              <w:marTop w:val="0"/>
              <w:marBottom w:val="0"/>
              <w:divBdr>
                <w:top w:val="none" w:sz="0" w:space="0" w:color="auto"/>
                <w:left w:val="none" w:sz="0" w:space="0" w:color="auto"/>
                <w:bottom w:val="none" w:sz="0" w:space="0" w:color="auto"/>
                <w:right w:val="none" w:sz="0" w:space="0" w:color="auto"/>
              </w:divBdr>
            </w:div>
            <w:div w:id="1481001218">
              <w:marLeft w:val="0"/>
              <w:marRight w:val="0"/>
              <w:marTop w:val="0"/>
              <w:marBottom w:val="0"/>
              <w:divBdr>
                <w:top w:val="none" w:sz="0" w:space="0" w:color="auto"/>
                <w:left w:val="none" w:sz="0" w:space="0" w:color="auto"/>
                <w:bottom w:val="none" w:sz="0" w:space="0" w:color="auto"/>
                <w:right w:val="none" w:sz="0" w:space="0" w:color="auto"/>
              </w:divBdr>
            </w:div>
            <w:div w:id="1498493105">
              <w:marLeft w:val="0"/>
              <w:marRight w:val="0"/>
              <w:marTop w:val="0"/>
              <w:marBottom w:val="0"/>
              <w:divBdr>
                <w:top w:val="none" w:sz="0" w:space="0" w:color="auto"/>
                <w:left w:val="none" w:sz="0" w:space="0" w:color="auto"/>
                <w:bottom w:val="none" w:sz="0" w:space="0" w:color="auto"/>
                <w:right w:val="none" w:sz="0" w:space="0" w:color="auto"/>
              </w:divBdr>
            </w:div>
            <w:div w:id="1578586709">
              <w:marLeft w:val="0"/>
              <w:marRight w:val="0"/>
              <w:marTop w:val="0"/>
              <w:marBottom w:val="0"/>
              <w:divBdr>
                <w:top w:val="none" w:sz="0" w:space="0" w:color="auto"/>
                <w:left w:val="none" w:sz="0" w:space="0" w:color="auto"/>
                <w:bottom w:val="none" w:sz="0" w:space="0" w:color="auto"/>
                <w:right w:val="none" w:sz="0" w:space="0" w:color="auto"/>
              </w:divBdr>
            </w:div>
            <w:div w:id="1581215349">
              <w:marLeft w:val="0"/>
              <w:marRight w:val="0"/>
              <w:marTop w:val="0"/>
              <w:marBottom w:val="0"/>
              <w:divBdr>
                <w:top w:val="none" w:sz="0" w:space="0" w:color="auto"/>
                <w:left w:val="none" w:sz="0" w:space="0" w:color="auto"/>
                <w:bottom w:val="none" w:sz="0" w:space="0" w:color="auto"/>
                <w:right w:val="none" w:sz="0" w:space="0" w:color="auto"/>
              </w:divBdr>
            </w:div>
            <w:div w:id="1619146841">
              <w:marLeft w:val="0"/>
              <w:marRight w:val="0"/>
              <w:marTop w:val="0"/>
              <w:marBottom w:val="0"/>
              <w:divBdr>
                <w:top w:val="none" w:sz="0" w:space="0" w:color="auto"/>
                <w:left w:val="none" w:sz="0" w:space="0" w:color="auto"/>
                <w:bottom w:val="none" w:sz="0" w:space="0" w:color="auto"/>
                <w:right w:val="none" w:sz="0" w:space="0" w:color="auto"/>
              </w:divBdr>
            </w:div>
            <w:div w:id="1643775447">
              <w:marLeft w:val="0"/>
              <w:marRight w:val="0"/>
              <w:marTop w:val="0"/>
              <w:marBottom w:val="0"/>
              <w:divBdr>
                <w:top w:val="none" w:sz="0" w:space="0" w:color="auto"/>
                <w:left w:val="none" w:sz="0" w:space="0" w:color="auto"/>
                <w:bottom w:val="none" w:sz="0" w:space="0" w:color="auto"/>
                <w:right w:val="none" w:sz="0" w:space="0" w:color="auto"/>
              </w:divBdr>
            </w:div>
            <w:div w:id="1657303281">
              <w:marLeft w:val="0"/>
              <w:marRight w:val="0"/>
              <w:marTop w:val="0"/>
              <w:marBottom w:val="0"/>
              <w:divBdr>
                <w:top w:val="none" w:sz="0" w:space="0" w:color="auto"/>
                <w:left w:val="none" w:sz="0" w:space="0" w:color="auto"/>
                <w:bottom w:val="none" w:sz="0" w:space="0" w:color="auto"/>
                <w:right w:val="none" w:sz="0" w:space="0" w:color="auto"/>
              </w:divBdr>
            </w:div>
            <w:div w:id="1695157130">
              <w:marLeft w:val="0"/>
              <w:marRight w:val="0"/>
              <w:marTop w:val="0"/>
              <w:marBottom w:val="0"/>
              <w:divBdr>
                <w:top w:val="none" w:sz="0" w:space="0" w:color="auto"/>
                <w:left w:val="none" w:sz="0" w:space="0" w:color="auto"/>
                <w:bottom w:val="none" w:sz="0" w:space="0" w:color="auto"/>
                <w:right w:val="none" w:sz="0" w:space="0" w:color="auto"/>
              </w:divBdr>
            </w:div>
            <w:div w:id="1721710855">
              <w:marLeft w:val="0"/>
              <w:marRight w:val="0"/>
              <w:marTop w:val="0"/>
              <w:marBottom w:val="0"/>
              <w:divBdr>
                <w:top w:val="none" w:sz="0" w:space="0" w:color="auto"/>
                <w:left w:val="none" w:sz="0" w:space="0" w:color="auto"/>
                <w:bottom w:val="none" w:sz="0" w:space="0" w:color="auto"/>
                <w:right w:val="none" w:sz="0" w:space="0" w:color="auto"/>
              </w:divBdr>
            </w:div>
            <w:div w:id="1756900418">
              <w:marLeft w:val="0"/>
              <w:marRight w:val="0"/>
              <w:marTop w:val="0"/>
              <w:marBottom w:val="0"/>
              <w:divBdr>
                <w:top w:val="none" w:sz="0" w:space="0" w:color="auto"/>
                <w:left w:val="none" w:sz="0" w:space="0" w:color="auto"/>
                <w:bottom w:val="none" w:sz="0" w:space="0" w:color="auto"/>
                <w:right w:val="none" w:sz="0" w:space="0" w:color="auto"/>
              </w:divBdr>
            </w:div>
            <w:div w:id="1766732156">
              <w:marLeft w:val="0"/>
              <w:marRight w:val="0"/>
              <w:marTop w:val="0"/>
              <w:marBottom w:val="0"/>
              <w:divBdr>
                <w:top w:val="none" w:sz="0" w:space="0" w:color="auto"/>
                <w:left w:val="none" w:sz="0" w:space="0" w:color="auto"/>
                <w:bottom w:val="none" w:sz="0" w:space="0" w:color="auto"/>
                <w:right w:val="none" w:sz="0" w:space="0" w:color="auto"/>
              </w:divBdr>
            </w:div>
            <w:div w:id="1804083249">
              <w:marLeft w:val="0"/>
              <w:marRight w:val="0"/>
              <w:marTop w:val="0"/>
              <w:marBottom w:val="0"/>
              <w:divBdr>
                <w:top w:val="none" w:sz="0" w:space="0" w:color="auto"/>
                <w:left w:val="none" w:sz="0" w:space="0" w:color="auto"/>
                <w:bottom w:val="none" w:sz="0" w:space="0" w:color="auto"/>
                <w:right w:val="none" w:sz="0" w:space="0" w:color="auto"/>
              </w:divBdr>
            </w:div>
            <w:div w:id="1807383337">
              <w:marLeft w:val="0"/>
              <w:marRight w:val="0"/>
              <w:marTop w:val="0"/>
              <w:marBottom w:val="0"/>
              <w:divBdr>
                <w:top w:val="none" w:sz="0" w:space="0" w:color="auto"/>
                <w:left w:val="none" w:sz="0" w:space="0" w:color="auto"/>
                <w:bottom w:val="none" w:sz="0" w:space="0" w:color="auto"/>
                <w:right w:val="none" w:sz="0" w:space="0" w:color="auto"/>
              </w:divBdr>
            </w:div>
            <w:div w:id="1816988684">
              <w:marLeft w:val="0"/>
              <w:marRight w:val="0"/>
              <w:marTop w:val="0"/>
              <w:marBottom w:val="0"/>
              <w:divBdr>
                <w:top w:val="none" w:sz="0" w:space="0" w:color="auto"/>
                <w:left w:val="none" w:sz="0" w:space="0" w:color="auto"/>
                <w:bottom w:val="none" w:sz="0" w:space="0" w:color="auto"/>
                <w:right w:val="none" w:sz="0" w:space="0" w:color="auto"/>
              </w:divBdr>
            </w:div>
            <w:div w:id="1822767280">
              <w:marLeft w:val="0"/>
              <w:marRight w:val="0"/>
              <w:marTop w:val="0"/>
              <w:marBottom w:val="0"/>
              <w:divBdr>
                <w:top w:val="none" w:sz="0" w:space="0" w:color="auto"/>
                <w:left w:val="none" w:sz="0" w:space="0" w:color="auto"/>
                <w:bottom w:val="none" w:sz="0" w:space="0" w:color="auto"/>
                <w:right w:val="none" w:sz="0" w:space="0" w:color="auto"/>
              </w:divBdr>
            </w:div>
            <w:div w:id="1872498300">
              <w:marLeft w:val="0"/>
              <w:marRight w:val="0"/>
              <w:marTop w:val="0"/>
              <w:marBottom w:val="0"/>
              <w:divBdr>
                <w:top w:val="none" w:sz="0" w:space="0" w:color="auto"/>
                <w:left w:val="none" w:sz="0" w:space="0" w:color="auto"/>
                <w:bottom w:val="none" w:sz="0" w:space="0" w:color="auto"/>
                <w:right w:val="none" w:sz="0" w:space="0" w:color="auto"/>
              </w:divBdr>
            </w:div>
            <w:div w:id="1929608793">
              <w:marLeft w:val="0"/>
              <w:marRight w:val="0"/>
              <w:marTop w:val="0"/>
              <w:marBottom w:val="0"/>
              <w:divBdr>
                <w:top w:val="none" w:sz="0" w:space="0" w:color="auto"/>
                <w:left w:val="none" w:sz="0" w:space="0" w:color="auto"/>
                <w:bottom w:val="none" w:sz="0" w:space="0" w:color="auto"/>
                <w:right w:val="none" w:sz="0" w:space="0" w:color="auto"/>
              </w:divBdr>
            </w:div>
            <w:div w:id="1939828478">
              <w:marLeft w:val="0"/>
              <w:marRight w:val="0"/>
              <w:marTop w:val="0"/>
              <w:marBottom w:val="0"/>
              <w:divBdr>
                <w:top w:val="none" w:sz="0" w:space="0" w:color="auto"/>
                <w:left w:val="none" w:sz="0" w:space="0" w:color="auto"/>
                <w:bottom w:val="none" w:sz="0" w:space="0" w:color="auto"/>
                <w:right w:val="none" w:sz="0" w:space="0" w:color="auto"/>
              </w:divBdr>
            </w:div>
            <w:div w:id="1951471242">
              <w:marLeft w:val="0"/>
              <w:marRight w:val="0"/>
              <w:marTop w:val="0"/>
              <w:marBottom w:val="0"/>
              <w:divBdr>
                <w:top w:val="none" w:sz="0" w:space="0" w:color="auto"/>
                <w:left w:val="none" w:sz="0" w:space="0" w:color="auto"/>
                <w:bottom w:val="none" w:sz="0" w:space="0" w:color="auto"/>
                <w:right w:val="none" w:sz="0" w:space="0" w:color="auto"/>
              </w:divBdr>
            </w:div>
            <w:div w:id="1975862957">
              <w:marLeft w:val="0"/>
              <w:marRight w:val="0"/>
              <w:marTop w:val="0"/>
              <w:marBottom w:val="0"/>
              <w:divBdr>
                <w:top w:val="none" w:sz="0" w:space="0" w:color="auto"/>
                <w:left w:val="none" w:sz="0" w:space="0" w:color="auto"/>
                <w:bottom w:val="none" w:sz="0" w:space="0" w:color="auto"/>
                <w:right w:val="none" w:sz="0" w:space="0" w:color="auto"/>
              </w:divBdr>
            </w:div>
            <w:div w:id="1995522608">
              <w:marLeft w:val="0"/>
              <w:marRight w:val="0"/>
              <w:marTop w:val="0"/>
              <w:marBottom w:val="0"/>
              <w:divBdr>
                <w:top w:val="none" w:sz="0" w:space="0" w:color="auto"/>
                <w:left w:val="none" w:sz="0" w:space="0" w:color="auto"/>
                <w:bottom w:val="none" w:sz="0" w:space="0" w:color="auto"/>
                <w:right w:val="none" w:sz="0" w:space="0" w:color="auto"/>
              </w:divBdr>
            </w:div>
            <w:div w:id="1996376292">
              <w:marLeft w:val="0"/>
              <w:marRight w:val="0"/>
              <w:marTop w:val="0"/>
              <w:marBottom w:val="0"/>
              <w:divBdr>
                <w:top w:val="none" w:sz="0" w:space="0" w:color="auto"/>
                <w:left w:val="none" w:sz="0" w:space="0" w:color="auto"/>
                <w:bottom w:val="none" w:sz="0" w:space="0" w:color="auto"/>
                <w:right w:val="none" w:sz="0" w:space="0" w:color="auto"/>
              </w:divBdr>
            </w:div>
            <w:div w:id="1999115191">
              <w:marLeft w:val="0"/>
              <w:marRight w:val="0"/>
              <w:marTop w:val="0"/>
              <w:marBottom w:val="0"/>
              <w:divBdr>
                <w:top w:val="none" w:sz="0" w:space="0" w:color="auto"/>
                <w:left w:val="none" w:sz="0" w:space="0" w:color="auto"/>
                <w:bottom w:val="none" w:sz="0" w:space="0" w:color="auto"/>
                <w:right w:val="none" w:sz="0" w:space="0" w:color="auto"/>
              </w:divBdr>
            </w:div>
            <w:div w:id="2030982563">
              <w:marLeft w:val="0"/>
              <w:marRight w:val="0"/>
              <w:marTop w:val="0"/>
              <w:marBottom w:val="0"/>
              <w:divBdr>
                <w:top w:val="none" w:sz="0" w:space="0" w:color="auto"/>
                <w:left w:val="none" w:sz="0" w:space="0" w:color="auto"/>
                <w:bottom w:val="none" w:sz="0" w:space="0" w:color="auto"/>
                <w:right w:val="none" w:sz="0" w:space="0" w:color="auto"/>
              </w:divBdr>
            </w:div>
            <w:div w:id="2063286299">
              <w:marLeft w:val="0"/>
              <w:marRight w:val="0"/>
              <w:marTop w:val="0"/>
              <w:marBottom w:val="0"/>
              <w:divBdr>
                <w:top w:val="none" w:sz="0" w:space="0" w:color="auto"/>
                <w:left w:val="none" w:sz="0" w:space="0" w:color="auto"/>
                <w:bottom w:val="none" w:sz="0" w:space="0" w:color="auto"/>
                <w:right w:val="none" w:sz="0" w:space="0" w:color="auto"/>
              </w:divBdr>
            </w:div>
            <w:div w:id="2103989163">
              <w:marLeft w:val="0"/>
              <w:marRight w:val="0"/>
              <w:marTop w:val="0"/>
              <w:marBottom w:val="0"/>
              <w:divBdr>
                <w:top w:val="none" w:sz="0" w:space="0" w:color="auto"/>
                <w:left w:val="none" w:sz="0" w:space="0" w:color="auto"/>
                <w:bottom w:val="none" w:sz="0" w:space="0" w:color="auto"/>
                <w:right w:val="none" w:sz="0" w:space="0" w:color="auto"/>
              </w:divBdr>
            </w:div>
            <w:div w:id="2141722834">
              <w:marLeft w:val="0"/>
              <w:marRight w:val="0"/>
              <w:marTop w:val="0"/>
              <w:marBottom w:val="0"/>
              <w:divBdr>
                <w:top w:val="none" w:sz="0" w:space="0" w:color="auto"/>
                <w:left w:val="none" w:sz="0" w:space="0" w:color="auto"/>
                <w:bottom w:val="none" w:sz="0" w:space="0" w:color="auto"/>
                <w:right w:val="none" w:sz="0" w:space="0" w:color="auto"/>
              </w:divBdr>
            </w:div>
            <w:div w:id="2141916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137039">
      <w:bodyDiv w:val="1"/>
      <w:marLeft w:val="0"/>
      <w:marRight w:val="0"/>
      <w:marTop w:val="0"/>
      <w:marBottom w:val="0"/>
      <w:divBdr>
        <w:top w:val="none" w:sz="0" w:space="0" w:color="auto"/>
        <w:left w:val="none" w:sz="0" w:space="0" w:color="auto"/>
        <w:bottom w:val="none" w:sz="0" w:space="0" w:color="auto"/>
        <w:right w:val="none" w:sz="0" w:space="0" w:color="auto"/>
      </w:divBdr>
    </w:div>
    <w:div w:id="1804500893">
      <w:bodyDiv w:val="1"/>
      <w:marLeft w:val="0"/>
      <w:marRight w:val="0"/>
      <w:marTop w:val="0"/>
      <w:marBottom w:val="0"/>
      <w:divBdr>
        <w:top w:val="none" w:sz="0" w:space="0" w:color="auto"/>
        <w:left w:val="none" w:sz="0" w:space="0" w:color="auto"/>
        <w:bottom w:val="none" w:sz="0" w:space="0" w:color="auto"/>
        <w:right w:val="none" w:sz="0" w:space="0" w:color="auto"/>
      </w:divBdr>
      <w:divsChild>
        <w:div w:id="384452863">
          <w:marLeft w:val="480"/>
          <w:marRight w:val="0"/>
          <w:marTop w:val="0"/>
          <w:marBottom w:val="0"/>
          <w:divBdr>
            <w:top w:val="none" w:sz="0" w:space="0" w:color="auto"/>
            <w:left w:val="none" w:sz="0" w:space="0" w:color="auto"/>
            <w:bottom w:val="none" w:sz="0" w:space="0" w:color="auto"/>
            <w:right w:val="none" w:sz="0" w:space="0" w:color="auto"/>
          </w:divBdr>
          <w:divsChild>
            <w:div w:id="18024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546804">
      <w:bodyDiv w:val="1"/>
      <w:marLeft w:val="0"/>
      <w:marRight w:val="0"/>
      <w:marTop w:val="0"/>
      <w:marBottom w:val="0"/>
      <w:divBdr>
        <w:top w:val="none" w:sz="0" w:space="0" w:color="auto"/>
        <w:left w:val="none" w:sz="0" w:space="0" w:color="auto"/>
        <w:bottom w:val="none" w:sz="0" w:space="0" w:color="auto"/>
        <w:right w:val="none" w:sz="0" w:space="0" w:color="auto"/>
      </w:divBdr>
      <w:divsChild>
        <w:div w:id="1377774868">
          <w:marLeft w:val="480"/>
          <w:marRight w:val="0"/>
          <w:marTop w:val="0"/>
          <w:marBottom w:val="0"/>
          <w:divBdr>
            <w:top w:val="none" w:sz="0" w:space="0" w:color="auto"/>
            <w:left w:val="none" w:sz="0" w:space="0" w:color="auto"/>
            <w:bottom w:val="none" w:sz="0" w:space="0" w:color="auto"/>
            <w:right w:val="none" w:sz="0" w:space="0" w:color="auto"/>
          </w:divBdr>
          <w:divsChild>
            <w:div w:id="1884512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387696">
      <w:bodyDiv w:val="1"/>
      <w:marLeft w:val="0"/>
      <w:marRight w:val="0"/>
      <w:marTop w:val="0"/>
      <w:marBottom w:val="0"/>
      <w:divBdr>
        <w:top w:val="none" w:sz="0" w:space="0" w:color="auto"/>
        <w:left w:val="none" w:sz="0" w:space="0" w:color="auto"/>
        <w:bottom w:val="none" w:sz="0" w:space="0" w:color="auto"/>
        <w:right w:val="none" w:sz="0" w:space="0" w:color="auto"/>
      </w:divBdr>
      <w:divsChild>
        <w:div w:id="715810459">
          <w:marLeft w:val="480"/>
          <w:marRight w:val="0"/>
          <w:marTop w:val="0"/>
          <w:marBottom w:val="0"/>
          <w:divBdr>
            <w:top w:val="none" w:sz="0" w:space="0" w:color="auto"/>
            <w:left w:val="none" w:sz="0" w:space="0" w:color="auto"/>
            <w:bottom w:val="none" w:sz="0" w:space="0" w:color="auto"/>
            <w:right w:val="none" w:sz="0" w:space="0" w:color="auto"/>
          </w:divBdr>
          <w:divsChild>
            <w:div w:id="50698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494126">
      <w:bodyDiv w:val="1"/>
      <w:marLeft w:val="0"/>
      <w:marRight w:val="0"/>
      <w:marTop w:val="0"/>
      <w:marBottom w:val="0"/>
      <w:divBdr>
        <w:top w:val="none" w:sz="0" w:space="0" w:color="auto"/>
        <w:left w:val="none" w:sz="0" w:space="0" w:color="auto"/>
        <w:bottom w:val="none" w:sz="0" w:space="0" w:color="auto"/>
        <w:right w:val="none" w:sz="0" w:space="0" w:color="auto"/>
      </w:divBdr>
      <w:divsChild>
        <w:div w:id="971178154">
          <w:marLeft w:val="480"/>
          <w:marRight w:val="0"/>
          <w:marTop w:val="0"/>
          <w:marBottom w:val="0"/>
          <w:divBdr>
            <w:top w:val="none" w:sz="0" w:space="0" w:color="auto"/>
            <w:left w:val="none" w:sz="0" w:space="0" w:color="auto"/>
            <w:bottom w:val="none" w:sz="0" w:space="0" w:color="auto"/>
            <w:right w:val="none" w:sz="0" w:space="0" w:color="auto"/>
          </w:divBdr>
          <w:divsChild>
            <w:div w:id="173461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263165">
      <w:bodyDiv w:val="1"/>
      <w:marLeft w:val="0"/>
      <w:marRight w:val="0"/>
      <w:marTop w:val="0"/>
      <w:marBottom w:val="0"/>
      <w:divBdr>
        <w:top w:val="none" w:sz="0" w:space="0" w:color="auto"/>
        <w:left w:val="none" w:sz="0" w:space="0" w:color="auto"/>
        <w:bottom w:val="none" w:sz="0" w:space="0" w:color="auto"/>
        <w:right w:val="none" w:sz="0" w:space="0" w:color="auto"/>
      </w:divBdr>
      <w:divsChild>
        <w:div w:id="487136725">
          <w:marLeft w:val="480"/>
          <w:marRight w:val="0"/>
          <w:marTop w:val="0"/>
          <w:marBottom w:val="0"/>
          <w:divBdr>
            <w:top w:val="none" w:sz="0" w:space="0" w:color="auto"/>
            <w:left w:val="none" w:sz="0" w:space="0" w:color="auto"/>
            <w:bottom w:val="none" w:sz="0" w:space="0" w:color="auto"/>
            <w:right w:val="none" w:sz="0" w:space="0" w:color="auto"/>
          </w:divBdr>
          <w:divsChild>
            <w:div w:id="51989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180583">
      <w:bodyDiv w:val="1"/>
      <w:marLeft w:val="0"/>
      <w:marRight w:val="0"/>
      <w:marTop w:val="0"/>
      <w:marBottom w:val="0"/>
      <w:divBdr>
        <w:top w:val="none" w:sz="0" w:space="0" w:color="auto"/>
        <w:left w:val="none" w:sz="0" w:space="0" w:color="auto"/>
        <w:bottom w:val="none" w:sz="0" w:space="0" w:color="auto"/>
        <w:right w:val="none" w:sz="0" w:space="0" w:color="auto"/>
      </w:divBdr>
    </w:div>
    <w:div w:id="1982154015">
      <w:bodyDiv w:val="1"/>
      <w:marLeft w:val="0"/>
      <w:marRight w:val="0"/>
      <w:marTop w:val="0"/>
      <w:marBottom w:val="0"/>
      <w:divBdr>
        <w:top w:val="none" w:sz="0" w:space="0" w:color="auto"/>
        <w:left w:val="none" w:sz="0" w:space="0" w:color="auto"/>
        <w:bottom w:val="none" w:sz="0" w:space="0" w:color="auto"/>
        <w:right w:val="none" w:sz="0" w:space="0" w:color="auto"/>
      </w:divBdr>
      <w:divsChild>
        <w:div w:id="1124036235">
          <w:marLeft w:val="480"/>
          <w:marRight w:val="0"/>
          <w:marTop w:val="0"/>
          <w:marBottom w:val="0"/>
          <w:divBdr>
            <w:top w:val="none" w:sz="0" w:space="0" w:color="auto"/>
            <w:left w:val="none" w:sz="0" w:space="0" w:color="auto"/>
            <w:bottom w:val="none" w:sz="0" w:space="0" w:color="auto"/>
            <w:right w:val="none" w:sz="0" w:space="0" w:color="auto"/>
          </w:divBdr>
          <w:divsChild>
            <w:div w:id="7105177">
              <w:marLeft w:val="0"/>
              <w:marRight w:val="0"/>
              <w:marTop w:val="0"/>
              <w:marBottom w:val="0"/>
              <w:divBdr>
                <w:top w:val="none" w:sz="0" w:space="0" w:color="auto"/>
                <w:left w:val="none" w:sz="0" w:space="0" w:color="auto"/>
                <w:bottom w:val="none" w:sz="0" w:space="0" w:color="auto"/>
                <w:right w:val="none" w:sz="0" w:space="0" w:color="auto"/>
              </w:divBdr>
            </w:div>
            <w:div w:id="12146370">
              <w:marLeft w:val="0"/>
              <w:marRight w:val="0"/>
              <w:marTop w:val="0"/>
              <w:marBottom w:val="0"/>
              <w:divBdr>
                <w:top w:val="none" w:sz="0" w:space="0" w:color="auto"/>
                <w:left w:val="none" w:sz="0" w:space="0" w:color="auto"/>
                <w:bottom w:val="none" w:sz="0" w:space="0" w:color="auto"/>
                <w:right w:val="none" w:sz="0" w:space="0" w:color="auto"/>
              </w:divBdr>
            </w:div>
            <w:div w:id="21134390">
              <w:marLeft w:val="0"/>
              <w:marRight w:val="0"/>
              <w:marTop w:val="0"/>
              <w:marBottom w:val="0"/>
              <w:divBdr>
                <w:top w:val="none" w:sz="0" w:space="0" w:color="auto"/>
                <w:left w:val="none" w:sz="0" w:space="0" w:color="auto"/>
                <w:bottom w:val="none" w:sz="0" w:space="0" w:color="auto"/>
                <w:right w:val="none" w:sz="0" w:space="0" w:color="auto"/>
              </w:divBdr>
            </w:div>
            <w:div w:id="66420031">
              <w:marLeft w:val="0"/>
              <w:marRight w:val="0"/>
              <w:marTop w:val="0"/>
              <w:marBottom w:val="0"/>
              <w:divBdr>
                <w:top w:val="none" w:sz="0" w:space="0" w:color="auto"/>
                <w:left w:val="none" w:sz="0" w:space="0" w:color="auto"/>
                <w:bottom w:val="none" w:sz="0" w:space="0" w:color="auto"/>
                <w:right w:val="none" w:sz="0" w:space="0" w:color="auto"/>
              </w:divBdr>
            </w:div>
            <w:div w:id="91127175">
              <w:marLeft w:val="0"/>
              <w:marRight w:val="0"/>
              <w:marTop w:val="0"/>
              <w:marBottom w:val="0"/>
              <w:divBdr>
                <w:top w:val="none" w:sz="0" w:space="0" w:color="auto"/>
                <w:left w:val="none" w:sz="0" w:space="0" w:color="auto"/>
                <w:bottom w:val="none" w:sz="0" w:space="0" w:color="auto"/>
                <w:right w:val="none" w:sz="0" w:space="0" w:color="auto"/>
              </w:divBdr>
            </w:div>
            <w:div w:id="132524343">
              <w:marLeft w:val="0"/>
              <w:marRight w:val="0"/>
              <w:marTop w:val="0"/>
              <w:marBottom w:val="0"/>
              <w:divBdr>
                <w:top w:val="none" w:sz="0" w:space="0" w:color="auto"/>
                <w:left w:val="none" w:sz="0" w:space="0" w:color="auto"/>
                <w:bottom w:val="none" w:sz="0" w:space="0" w:color="auto"/>
                <w:right w:val="none" w:sz="0" w:space="0" w:color="auto"/>
              </w:divBdr>
            </w:div>
            <w:div w:id="148906979">
              <w:marLeft w:val="0"/>
              <w:marRight w:val="0"/>
              <w:marTop w:val="0"/>
              <w:marBottom w:val="0"/>
              <w:divBdr>
                <w:top w:val="none" w:sz="0" w:space="0" w:color="auto"/>
                <w:left w:val="none" w:sz="0" w:space="0" w:color="auto"/>
                <w:bottom w:val="none" w:sz="0" w:space="0" w:color="auto"/>
                <w:right w:val="none" w:sz="0" w:space="0" w:color="auto"/>
              </w:divBdr>
            </w:div>
            <w:div w:id="245306433">
              <w:marLeft w:val="0"/>
              <w:marRight w:val="0"/>
              <w:marTop w:val="0"/>
              <w:marBottom w:val="0"/>
              <w:divBdr>
                <w:top w:val="none" w:sz="0" w:space="0" w:color="auto"/>
                <w:left w:val="none" w:sz="0" w:space="0" w:color="auto"/>
                <w:bottom w:val="none" w:sz="0" w:space="0" w:color="auto"/>
                <w:right w:val="none" w:sz="0" w:space="0" w:color="auto"/>
              </w:divBdr>
            </w:div>
            <w:div w:id="264971024">
              <w:marLeft w:val="0"/>
              <w:marRight w:val="0"/>
              <w:marTop w:val="0"/>
              <w:marBottom w:val="0"/>
              <w:divBdr>
                <w:top w:val="none" w:sz="0" w:space="0" w:color="auto"/>
                <w:left w:val="none" w:sz="0" w:space="0" w:color="auto"/>
                <w:bottom w:val="none" w:sz="0" w:space="0" w:color="auto"/>
                <w:right w:val="none" w:sz="0" w:space="0" w:color="auto"/>
              </w:divBdr>
            </w:div>
            <w:div w:id="275721286">
              <w:marLeft w:val="0"/>
              <w:marRight w:val="0"/>
              <w:marTop w:val="0"/>
              <w:marBottom w:val="0"/>
              <w:divBdr>
                <w:top w:val="none" w:sz="0" w:space="0" w:color="auto"/>
                <w:left w:val="none" w:sz="0" w:space="0" w:color="auto"/>
                <w:bottom w:val="none" w:sz="0" w:space="0" w:color="auto"/>
                <w:right w:val="none" w:sz="0" w:space="0" w:color="auto"/>
              </w:divBdr>
            </w:div>
            <w:div w:id="359287037">
              <w:marLeft w:val="0"/>
              <w:marRight w:val="0"/>
              <w:marTop w:val="0"/>
              <w:marBottom w:val="0"/>
              <w:divBdr>
                <w:top w:val="none" w:sz="0" w:space="0" w:color="auto"/>
                <w:left w:val="none" w:sz="0" w:space="0" w:color="auto"/>
                <w:bottom w:val="none" w:sz="0" w:space="0" w:color="auto"/>
                <w:right w:val="none" w:sz="0" w:space="0" w:color="auto"/>
              </w:divBdr>
            </w:div>
            <w:div w:id="372463424">
              <w:marLeft w:val="0"/>
              <w:marRight w:val="0"/>
              <w:marTop w:val="0"/>
              <w:marBottom w:val="0"/>
              <w:divBdr>
                <w:top w:val="none" w:sz="0" w:space="0" w:color="auto"/>
                <w:left w:val="none" w:sz="0" w:space="0" w:color="auto"/>
                <w:bottom w:val="none" w:sz="0" w:space="0" w:color="auto"/>
                <w:right w:val="none" w:sz="0" w:space="0" w:color="auto"/>
              </w:divBdr>
            </w:div>
            <w:div w:id="474224148">
              <w:marLeft w:val="0"/>
              <w:marRight w:val="0"/>
              <w:marTop w:val="0"/>
              <w:marBottom w:val="0"/>
              <w:divBdr>
                <w:top w:val="none" w:sz="0" w:space="0" w:color="auto"/>
                <w:left w:val="none" w:sz="0" w:space="0" w:color="auto"/>
                <w:bottom w:val="none" w:sz="0" w:space="0" w:color="auto"/>
                <w:right w:val="none" w:sz="0" w:space="0" w:color="auto"/>
              </w:divBdr>
            </w:div>
            <w:div w:id="477192666">
              <w:marLeft w:val="0"/>
              <w:marRight w:val="0"/>
              <w:marTop w:val="0"/>
              <w:marBottom w:val="0"/>
              <w:divBdr>
                <w:top w:val="none" w:sz="0" w:space="0" w:color="auto"/>
                <w:left w:val="none" w:sz="0" w:space="0" w:color="auto"/>
                <w:bottom w:val="none" w:sz="0" w:space="0" w:color="auto"/>
                <w:right w:val="none" w:sz="0" w:space="0" w:color="auto"/>
              </w:divBdr>
            </w:div>
            <w:div w:id="559294347">
              <w:marLeft w:val="0"/>
              <w:marRight w:val="0"/>
              <w:marTop w:val="0"/>
              <w:marBottom w:val="0"/>
              <w:divBdr>
                <w:top w:val="none" w:sz="0" w:space="0" w:color="auto"/>
                <w:left w:val="none" w:sz="0" w:space="0" w:color="auto"/>
                <w:bottom w:val="none" w:sz="0" w:space="0" w:color="auto"/>
                <w:right w:val="none" w:sz="0" w:space="0" w:color="auto"/>
              </w:divBdr>
            </w:div>
            <w:div w:id="579674596">
              <w:marLeft w:val="0"/>
              <w:marRight w:val="0"/>
              <w:marTop w:val="0"/>
              <w:marBottom w:val="0"/>
              <w:divBdr>
                <w:top w:val="none" w:sz="0" w:space="0" w:color="auto"/>
                <w:left w:val="none" w:sz="0" w:space="0" w:color="auto"/>
                <w:bottom w:val="none" w:sz="0" w:space="0" w:color="auto"/>
                <w:right w:val="none" w:sz="0" w:space="0" w:color="auto"/>
              </w:divBdr>
            </w:div>
            <w:div w:id="630981558">
              <w:marLeft w:val="0"/>
              <w:marRight w:val="0"/>
              <w:marTop w:val="0"/>
              <w:marBottom w:val="0"/>
              <w:divBdr>
                <w:top w:val="none" w:sz="0" w:space="0" w:color="auto"/>
                <w:left w:val="none" w:sz="0" w:space="0" w:color="auto"/>
                <w:bottom w:val="none" w:sz="0" w:space="0" w:color="auto"/>
                <w:right w:val="none" w:sz="0" w:space="0" w:color="auto"/>
              </w:divBdr>
            </w:div>
            <w:div w:id="830875604">
              <w:marLeft w:val="0"/>
              <w:marRight w:val="0"/>
              <w:marTop w:val="0"/>
              <w:marBottom w:val="0"/>
              <w:divBdr>
                <w:top w:val="none" w:sz="0" w:space="0" w:color="auto"/>
                <w:left w:val="none" w:sz="0" w:space="0" w:color="auto"/>
                <w:bottom w:val="none" w:sz="0" w:space="0" w:color="auto"/>
                <w:right w:val="none" w:sz="0" w:space="0" w:color="auto"/>
              </w:divBdr>
            </w:div>
            <w:div w:id="867987148">
              <w:marLeft w:val="0"/>
              <w:marRight w:val="0"/>
              <w:marTop w:val="0"/>
              <w:marBottom w:val="0"/>
              <w:divBdr>
                <w:top w:val="none" w:sz="0" w:space="0" w:color="auto"/>
                <w:left w:val="none" w:sz="0" w:space="0" w:color="auto"/>
                <w:bottom w:val="none" w:sz="0" w:space="0" w:color="auto"/>
                <w:right w:val="none" w:sz="0" w:space="0" w:color="auto"/>
              </w:divBdr>
            </w:div>
            <w:div w:id="905455871">
              <w:marLeft w:val="0"/>
              <w:marRight w:val="0"/>
              <w:marTop w:val="0"/>
              <w:marBottom w:val="0"/>
              <w:divBdr>
                <w:top w:val="none" w:sz="0" w:space="0" w:color="auto"/>
                <w:left w:val="none" w:sz="0" w:space="0" w:color="auto"/>
                <w:bottom w:val="none" w:sz="0" w:space="0" w:color="auto"/>
                <w:right w:val="none" w:sz="0" w:space="0" w:color="auto"/>
              </w:divBdr>
            </w:div>
            <w:div w:id="977759790">
              <w:marLeft w:val="0"/>
              <w:marRight w:val="0"/>
              <w:marTop w:val="0"/>
              <w:marBottom w:val="0"/>
              <w:divBdr>
                <w:top w:val="none" w:sz="0" w:space="0" w:color="auto"/>
                <w:left w:val="none" w:sz="0" w:space="0" w:color="auto"/>
                <w:bottom w:val="none" w:sz="0" w:space="0" w:color="auto"/>
                <w:right w:val="none" w:sz="0" w:space="0" w:color="auto"/>
              </w:divBdr>
            </w:div>
            <w:div w:id="1013067709">
              <w:marLeft w:val="0"/>
              <w:marRight w:val="0"/>
              <w:marTop w:val="0"/>
              <w:marBottom w:val="0"/>
              <w:divBdr>
                <w:top w:val="none" w:sz="0" w:space="0" w:color="auto"/>
                <w:left w:val="none" w:sz="0" w:space="0" w:color="auto"/>
                <w:bottom w:val="none" w:sz="0" w:space="0" w:color="auto"/>
                <w:right w:val="none" w:sz="0" w:space="0" w:color="auto"/>
              </w:divBdr>
            </w:div>
            <w:div w:id="1025983047">
              <w:marLeft w:val="0"/>
              <w:marRight w:val="0"/>
              <w:marTop w:val="0"/>
              <w:marBottom w:val="0"/>
              <w:divBdr>
                <w:top w:val="none" w:sz="0" w:space="0" w:color="auto"/>
                <w:left w:val="none" w:sz="0" w:space="0" w:color="auto"/>
                <w:bottom w:val="none" w:sz="0" w:space="0" w:color="auto"/>
                <w:right w:val="none" w:sz="0" w:space="0" w:color="auto"/>
              </w:divBdr>
            </w:div>
            <w:div w:id="1061446803">
              <w:marLeft w:val="0"/>
              <w:marRight w:val="0"/>
              <w:marTop w:val="0"/>
              <w:marBottom w:val="0"/>
              <w:divBdr>
                <w:top w:val="none" w:sz="0" w:space="0" w:color="auto"/>
                <w:left w:val="none" w:sz="0" w:space="0" w:color="auto"/>
                <w:bottom w:val="none" w:sz="0" w:space="0" w:color="auto"/>
                <w:right w:val="none" w:sz="0" w:space="0" w:color="auto"/>
              </w:divBdr>
            </w:div>
            <w:div w:id="1095322340">
              <w:marLeft w:val="0"/>
              <w:marRight w:val="0"/>
              <w:marTop w:val="0"/>
              <w:marBottom w:val="0"/>
              <w:divBdr>
                <w:top w:val="none" w:sz="0" w:space="0" w:color="auto"/>
                <w:left w:val="none" w:sz="0" w:space="0" w:color="auto"/>
                <w:bottom w:val="none" w:sz="0" w:space="0" w:color="auto"/>
                <w:right w:val="none" w:sz="0" w:space="0" w:color="auto"/>
              </w:divBdr>
            </w:div>
            <w:div w:id="1123157882">
              <w:marLeft w:val="0"/>
              <w:marRight w:val="0"/>
              <w:marTop w:val="0"/>
              <w:marBottom w:val="0"/>
              <w:divBdr>
                <w:top w:val="none" w:sz="0" w:space="0" w:color="auto"/>
                <w:left w:val="none" w:sz="0" w:space="0" w:color="auto"/>
                <w:bottom w:val="none" w:sz="0" w:space="0" w:color="auto"/>
                <w:right w:val="none" w:sz="0" w:space="0" w:color="auto"/>
              </w:divBdr>
            </w:div>
            <w:div w:id="1352755688">
              <w:marLeft w:val="0"/>
              <w:marRight w:val="0"/>
              <w:marTop w:val="0"/>
              <w:marBottom w:val="0"/>
              <w:divBdr>
                <w:top w:val="none" w:sz="0" w:space="0" w:color="auto"/>
                <w:left w:val="none" w:sz="0" w:space="0" w:color="auto"/>
                <w:bottom w:val="none" w:sz="0" w:space="0" w:color="auto"/>
                <w:right w:val="none" w:sz="0" w:space="0" w:color="auto"/>
              </w:divBdr>
            </w:div>
            <w:div w:id="1405689110">
              <w:marLeft w:val="0"/>
              <w:marRight w:val="0"/>
              <w:marTop w:val="0"/>
              <w:marBottom w:val="0"/>
              <w:divBdr>
                <w:top w:val="none" w:sz="0" w:space="0" w:color="auto"/>
                <w:left w:val="none" w:sz="0" w:space="0" w:color="auto"/>
                <w:bottom w:val="none" w:sz="0" w:space="0" w:color="auto"/>
                <w:right w:val="none" w:sz="0" w:space="0" w:color="auto"/>
              </w:divBdr>
            </w:div>
            <w:div w:id="1441990146">
              <w:marLeft w:val="0"/>
              <w:marRight w:val="0"/>
              <w:marTop w:val="0"/>
              <w:marBottom w:val="0"/>
              <w:divBdr>
                <w:top w:val="none" w:sz="0" w:space="0" w:color="auto"/>
                <w:left w:val="none" w:sz="0" w:space="0" w:color="auto"/>
                <w:bottom w:val="none" w:sz="0" w:space="0" w:color="auto"/>
                <w:right w:val="none" w:sz="0" w:space="0" w:color="auto"/>
              </w:divBdr>
            </w:div>
            <w:div w:id="1474365684">
              <w:marLeft w:val="0"/>
              <w:marRight w:val="0"/>
              <w:marTop w:val="0"/>
              <w:marBottom w:val="0"/>
              <w:divBdr>
                <w:top w:val="none" w:sz="0" w:space="0" w:color="auto"/>
                <w:left w:val="none" w:sz="0" w:space="0" w:color="auto"/>
                <w:bottom w:val="none" w:sz="0" w:space="0" w:color="auto"/>
                <w:right w:val="none" w:sz="0" w:space="0" w:color="auto"/>
              </w:divBdr>
            </w:div>
            <w:div w:id="1579054565">
              <w:marLeft w:val="0"/>
              <w:marRight w:val="0"/>
              <w:marTop w:val="0"/>
              <w:marBottom w:val="0"/>
              <w:divBdr>
                <w:top w:val="none" w:sz="0" w:space="0" w:color="auto"/>
                <w:left w:val="none" w:sz="0" w:space="0" w:color="auto"/>
                <w:bottom w:val="none" w:sz="0" w:space="0" w:color="auto"/>
                <w:right w:val="none" w:sz="0" w:space="0" w:color="auto"/>
              </w:divBdr>
            </w:div>
            <w:div w:id="1616056166">
              <w:marLeft w:val="0"/>
              <w:marRight w:val="0"/>
              <w:marTop w:val="0"/>
              <w:marBottom w:val="0"/>
              <w:divBdr>
                <w:top w:val="none" w:sz="0" w:space="0" w:color="auto"/>
                <w:left w:val="none" w:sz="0" w:space="0" w:color="auto"/>
                <w:bottom w:val="none" w:sz="0" w:space="0" w:color="auto"/>
                <w:right w:val="none" w:sz="0" w:space="0" w:color="auto"/>
              </w:divBdr>
            </w:div>
            <w:div w:id="1662154718">
              <w:marLeft w:val="0"/>
              <w:marRight w:val="0"/>
              <w:marTop w:val="0"/>
              <w:marBottom w:val="0"/>
              <w:divBdr>
                <w:top w:val="none" w:sz="0" w:space="0" w:color="auto"/>
                <w:left w:val="none" w:sz="0" w:space="0" w:color="auto"/>
                <w:bottom w:val="none" w:sz="0" w:space="0" w:color="auto"/>
                <w:right w:val="none" w:sz="0" w:space="0" w:color="auto"/>
              </w:divBdr>
            </w:div>
            <w:div w:id="1759250519">
              <w:marLeft w:val="0"/>
              <w:marRight w:val="0"/>
              <w:marTop w:val="0"/>
              <w:marBottom w:val="0"/>
              <w:divBdr>
                <w:top w:val="none" w:sz="0" w:space="0" w:color="auto"/>
                <w:left w:val="none" w:sz="0" w:space="0" w:color="auto"/>
                <w:bottom w:val="none" w:sz="0" w:space="0" w:color="auto"/>
                <w:right w:val="none" w:sz="0" w:space="0" w:color="auto"/>
              </w:divBdr>
            </w:div>
            <w:div w:id="1885361528">
              <w:marLeft w:val="0"/>
              <w:marRight w:val="0"/>
              <w:marTop w:val="0"/>
              <w:marBottom w:val="0"/>
              <w:divBdr>
                <w:top w:val="none" w:sz="0" w:space="0" w:color="auto"/>
                <w:left w:val="none" w:sz="0" w:space="0" w:color="auto"/>
                <w:bottom w:val="none" w:sz="0" w:space="0" w:color="auto"/>
                <w:right w:val="none" w:sz="0" w:space="0" w:color="auto"/>
              </w:divBdr>
            </w:div>
            <w:div w:id="1904678419">
              <w:marLeft w:val="0"/>
              <w:marRight w:val="0"/>
              <w:marTop w:val="0"/>
              <w:marBottom w:val="0"/>
              <w:divBdr>
                <w:top w:val="none" w:sz="0" w:space="0" w:color="auto"/>
                <w:left w:val="none" w:sz="0" w:space="0" w:color="auto"/>
                <w:bottom w:val="none" w:sz="0" w:space="0" w:color="auto"/>
                <w:right w:val="none" w:sz="0" w:space="0" w:color="auto"/>
              </w:divBdr>
            </w:div>
            <w:div w:id="1910841874">
              <w:marLeft w:val="0"/>
              <w:marRight w:val="0"/>
              <w:marTop w:val="0"/>
              <w:marBottom w:val="0"/>
              <w:divBdr>
                <w:top w:val="none" w:sz="0" w:space="0" w:color="auto"/>
                <w:left w:val="none" w:sz="0" w:space="0" w:color="auto"/>
                <w:bottom w:val="none" w:sz="0" w:space="0" w:color="auto"/>
                <w:right w:val="none" w:sz="0" w:space="0" w:color="auto"/>
              </w:divBdr>
            </w:div>
            <w:div w:id="1926331286">
              <w:marLeft w:val="0"/>
              <w:marRight w:val="0"/>
              <w:marTop w:val="0"/>
              <w:marBottom w:val="0"/>
              <w:divBdr>
                <w:top w:val="none" w:sz="0" w:space="0" w:color="auto"/>
                <w:left w:val="none" w:sz="0" w:space="0" w:color="auto"/>
                <w:bottom w:val="none" w:sz="0" w:space="0" w:color="auto"/>
                <w:right w:val="none" w:sz="0" w:space="0" w:color="auto"/>
              </w:divBdr>
            </w:div>
            <w:div w:id="1928540649">
              <w:marLeft w:val="0"/>
              <w:marRight w:val="0"/>
              <w:marTop w:val="0"/>
              <w:marBottom w:val="0"/>
              <w:divBdr>
                <w:top w:val="none" w:sz="0" w:space="0" w:color="auto"/>
                <w:left w:val="none" w:sz="0" w:space="0" w:color="auto"/>
                <w:bottom w:val="none" w:sz="0" w:space="0" w:color="auto"/>
                <w:right w:val="none" w:sz="0" w:space="0" w:color="auto"/>
              </w:divBdr>
            </w:div>
            <w:div w:id="1933658841">
              <w:marLeft w:val="0"/>
              <w:marRight w:val="0"/>
              <w:marTop w:val="0"/>
              <w:marBottom w:val="0"/>
              <w:divBdr>
                <w:top w:val="none" w:sz="0" w:space="0" w:color="auto"/>
                <w:left w:val="none" w:sz="0" w:space="0" w:color="auto"/>
                <w:bottom w:val="none" w:sz="0" w:space="0" w:color="auto"/>
                <w:right w:val="none" w:sz="0" w:space="0" w:color="auto"/>
              </w:divBdr>
            </w:div>
            <w:div w:id="205246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2736911">
      <w:bodyDiv w:val="1"/>
      <w:marLeft w:val="0"/>
      <w:marRight w:val="0"/>
      <w:marTop w:val="0"/>
      <w:marBottom w:val="0"/>
      <w:divBdr>
        <w:top w:val="none" w:sz="0" w:space="0" w:color="auto"/>
        <w:left w:val="none" w:sz="0" w:space="0" w:color="auto"/>
        <w:bottom w:val="none" w:sz="0" w:space="0" w:color="auto"/>
        <w:right w:val="none" w:sz="0" w:space="0" w:color="auto"/>
      </w:divBdr>
      <w:divsChild>
        <w:div w:id="1773627009">
          <w:marLeft w:val="480"/>
          <w:marRight w:val="0"/>
          <w:marTop w:val="0"/>
          <w:marBottom w:val="0"/>
          <w:divBdr>
            <w:top w:val="none" w:sz="0" w:space="0" w:color="auto"/>
            <w:left w:val="none" w:sz="0" w:space="0" w:color="auto"/>
            <w:bottom w:val="none" w:sz="0" w:space="0" w:color="auto"/>
            <w:right w:val="none" w:sz="0" w:space="0" w:color="auto"/>
          </w:divBdr>
          <w:divsChild>
            <w:div w:id="124152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027801">
      <w:bodyDiv w:val="1"/>
      <w:marLeft w:val="0"/>
      <w:marRight w:val="0"/>
      <w:marTop w:val="0"/>
      <w:marBottom w:val="0"/>
      <w:divBdr>
        <w:top w:val="none" w:sz="0" w:space="0" w:color="auto"/>
        <w:left w:val="none" w:sz="0" w:space="0" w:color="auto"/>
        <w:bottom w:val="none" w:sz="0" w:space="0" w:color="auto"/>
        <w:right w:val="none" w:sz="0" w:space="0" w:color="auto"/>
      </w:divBdr>
      <w:divsChild>
        <w:div w:id="1435437750">
          <w:marLeft w:val="480"/>
          <w:marRight w:val="0"/>
          <w:marTop w:val="0"/>
          <w:marBottom w:val="0"/>
          <w:divBdr>
            <w:top w:val="none" w:sz="0" w:space="0" w:color="auto"/>
            <w:left w:val="none" w:sz="0" w:space="0" w:color="auto"/>
            <w:bottom w:val="none" w:sz="0" w:space="0" w:color="auto"/>
            <w:right w:val="none" w:sz="0" w:space="0" w:color="auto"/>
          </w:divBdr>
          <w:divsChild>
            <w:div w:id="197329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341445">
      <w:bodyDiv w:val="1"/>
      <w:marLeft w:val="0"/>
      <w:marRight w:val="0"/>
      <w:marTop w:val="0"/>
      <w:marBottom w:val="0"/>
      <w:divBdr>
        <w:top w:val="none" w:sz="0" w:space="0" w:color="auto"/>
        <w:left w:val="none" w:sz="0" w:space="0" w:color="auto"/>
        <w:bottom w:val="none" w:sz="0" w:space="0" w:color="auto"/>
        <w:right w:val="none" w:sz="0" w:space="0" w:color="auto"/>
      </w:divBdr>
      <w:divsChild>
        <w:div w:id="1542787460">
          <w:marLeft w:val="480"/>
          <w:marRight w:val="0"/>
          <w:marTop w:val="0"/>
          <w:marBottom w:val="0"/>
          <w:divBdr>
            <w:top w:val="none" w:sz="0" w:space="0" w:color="auto"/>
            <w:left w:val="none" w:sz="0" w:space="0" w:color="auto"/>
            <w:bottom w:val="none" w:sz="0" w:space="0" w:color="auto"/>
            <w:right w:val="none" w:sz="0" w:space="0" w:color="auto"/>
          </w:divBdr>
          <w:divsChild>
            <w:div w:id="3670053">
              <w:marLeft w:val="0"/>
              <w:marRight w:val="0"/>
              <w:marTop w:val="0"/>
              <w:marBottom w:val="0"/>
              <w:divBdr>
                <w:top w:val="none" w:sz="0" w:space="0" w:color="auto"/>
                <w:left w:val="none" w:sz="0" w:space="0" w:color="auto"/>
                <w:bottom w:val="none" w:sz="0" w:space="0" w:color="auto"/>
                <w:right w:val="none" w:sz="0" w:space="0" w:color="auto"/>
              </w:divBdr>
            </w:div>
            <w:div w:id="58020106">
              <w:marLeft w:val="0"/>
              <w:marRight w:val="0"/>
              <w:marTop w:val="0"/>
              <w:marBottom w:val="0"/>
              <w:divBdr>
                <w:top w:val="none" w:sz="0" w:space="0" w:color="auto"/>
                <w:left w:val="none" w:sz="0" w:space="0" w:color="auto"/>
                <w:bottom w:val="none" w:sz="0" w:space="0" w:color="auto"/>
                <w:right w:val="none" w:sz="0" w:space="0" w:color="auto"/>
              </w:divBdr>
            </w:div>
            <w:div w:id="71899295">
              <w:marLeft w:val="0"/>
              <w:marRight w:val="0"/>
              <w:marTop w:val="0"/>
              <w:marBottom w:val="0"/>
              <w:divBdr>
                <w:top w:val="none" w:sz="0" w:space="0" w:color="auto"/>
                <w:left w:val="none" w:sz="0" w:space="0" w:color="auto"/>
                <w:bottom w:val="none" w:sz="0" w:space="0" w:color="auto"/>
                <w:right w:val="none" w:sz="0" w:space="0" w:color="auto"/>
              </w:divBdr>
            </w:div>
            <w:div w:id="75396663">
              <w:marLeft w:val="0"/>
              <w:marRight w:val="0"/>
              <w:marTop w:val="0"/>
              <w:marBottom w:val="0"/>
              <w:divBdr>
                <w:top w:val="none" w:sz="0" w:space="0" w:color="auto"/>
                <w:left w:val="none" w:sz="0" w:space="0" w:color="auto"/>
                <w:bottom w:val="none" w:sz="0" w:space="0" w:color="auto"/>
                <w:right w:val="none" w:sz="0" w:space="0" w:color="auto"/>
              </w:divBdr>
            </w:div>
            <w:div w:id="96563552">
              <w:marLeft w:val="0"/>
              <w:marRight w:val="0"/>
              <w:marTop w:val="0"/>
              <w:marBottom w:val="0"/>
              <w:divBdr>
                <w:top w:val="none" w:sz="0" w:space="0" w:color="auto"/>
                <w:left w:val="none" w:sz="0" w:space="0" w:color="auto"/>
                <w:bottom w:val="none" w:sz="0" w:space="0" w:color="auto"/>
                <w:right w:val="none" w:sz="0" w:space="0" w:color="auto"/>
              </w:divBdr>
            </w:div>
            <w:div w:id="101653430">
              <w:marLeft w:val="0"/>
              <w:marRight w:val="0"/>
              <w:marTop w:val="0"/>
              <w:marBottom w:val="0"/>
              <w:divBdr>
                <w:top w:val="none" w:sz="0" w:space="0" w:color="auto"/>
                <w:left w:val="none" w:sz="0" w:space="0" w:color="auto"/>
                <w:bottom w:val="none" w:sz="0" w:space="0" w:color="auto"/>
                <w:right w:val="none" w:sz="0" w:space="0" w:color="auto"/>
              </w:divBdr>
            </w:div>
            <w:div w:id="111629583">
              <w:marLeft w:val="0"/>
              <w:marRight w:val="0"/>
              <w:marTop w:val="0"/>
              <w:marBottom w:val="0"/>
              <w:divBdr>
                <w:top w:val="none" w:sz="0" w:space="0" w:color="auto"/>
                <w:left w:val="none" w:sz="0" w:space="0" w:color="auto"/>
                <w:bottom w:val="none" w:sz="0" w:space="0" w:color="auto"/>
                <w:right w:val="none" w:sz="0" w:space="0" w:color="auto"/>
              </w:divBdr>
            </w:div>
            <w:div w:id="120196847">
              <w:marLeft w:val="0"/>
              <w:marRight w:val="0"/>
              <w:marTop w:val="0"/>
              <w:marBottom w:val="0"/>
              <w:divBdr>
                <w:top w:val="none" w:sz="0" w:space="0" w:color="auto"/>
                <w:left w:val="none" w:sz="0" w:space="0" w:color="auto"/>
                <w:bottom w:val="none" w:sz="0" w:space="0" w:color="auto"/>
                <w:right w:val="none" w:sz="0" w:space="0" w:color="auto"/>
              </w:divBdr>
            </w:div>
            <w:div w:id="126970102">
              <w:marLeft w:val="0"/>
              <w:marRight w:val="0"/>
              <w:marTop w:val="0"/>
              <w:marBottom w:val="0"/>
              <w:divBdr>
                <w:top w:val="none" w:sz="0" w:space="0" w:color="auto"/>
                <w:left w:val="none" w:sz="0" w:space="0" w:color="auto"/>
                <w:bottom w:val="none" w:sz="0" w:space="0" w:color="auto"/>
                <w:right w:val="none" w:sz="0" w:space="0" w:color="auto"/>
              </w:divBdr>
            </w:div>
            <w:div w:id="156583061">
              <w:marLeft w:val="0"/>
              <w:marRight w:val="0"/>
              <w:marTop w:val="0"/>
              <w:marBottom w:val="0"/>
              <w:divBdr>
                <w:top w:val="none" w:sz="0" w:space="0" w:color="auto"/>
                <w:left w:val="none" w:sz="0" w:space="0" w:color="auto"/>
                <w:bottom w:val="none" w:sz="0" w:space="0" w:color="auto"/>
                <w:right w:val="none" w:sz="0" w:space="0" w:color="auto"/>
              </w:divBdr>
            </w:div>
            <w:div w:id="157381655">
              <w:marLeft w:val="0"/>
              <w:marRight w:val="0"/>
              <w:marTop w:val="0"/>
              <w:marBottom w:val="0"/>
              <w:divBdr>
                <w:top w:val="none" w:sz="0" w:space="0" w:color="auto"/>
                <w:left w:val="none" w:sz="0" w:space="0" w:color="auto"/>
                <w:bottom w:val="none" w:sz="0" w:space="0" w:color="auto"/>
                <w:right w:val="none" w:sz="0" w:space="0" w:color="auto"/>
              </w:divBdr>
            </w:div>
            <w:div w:id="173036453">
              <w:marLeft w:val="0"/>
              <w:marRight w:val="0"/>
              <w:marTop w:val="0"/>
              <w:marBottom w:val="0"/>
              <w:divBdr>
                <w:top w:val="none" w:sz="0" w:space="0" w:color="auto"/>
                <w:left w:val="none" w:sz="0" w:space="0" w:color="auto"/>
                <w:bottom w:val="none" w:sz="0" w:space="0" w:color="auto"/>
                <w:right w:val="none" w:sz="0" w:space="0" w:color="auto"/>
              </w:divBdr>
            </w:div>
            <w:div w:id="192961340">
              <w:marLeft w:val="0"/>
              <w:marRight w:val="0"/>
              <w:marTop w:val="0"/>
              <w:marBottom w:val="0"/>
              <w:divBdr>
                <w:top w:val="none" w:sz="0" w:space="0" w:color="auto"/>
                <w:left w:val="none" w:sz="0" w:space="0" w:color="auto"/>
                <w:bottom w:val="none" w:sz="0" w:space="0" w:color="auto"/>
                <w:right w:val="none" w:sz="0" w:space="0" w:color="auto"/>
              </w:divBdr>
            </w:div>
            <w:div w:id="220601312">
              <w:marLeft w:val="0"/>
              <w:marRight w:val="0"/>
              <w:marTop w:val="0"/>
              <w:marBottom w:val="0"/>
              <w:divBdr>
                <w:top w:val="none" w:sz="0" w:space="0" w:color="auto"/>
                <w:left w:val="none" w:sz="0" w:space="0" w:color="auto"/>
                <w:bottom w:val="none" w:sz="0" w:space="0" w:color="auto"/>
                <w:right w:val="none" w:sz="0" w:space="0" w:color="auto"/>
              </w:divBdr>
            </w:div>
            <w:div w:id="310330060">
              <w:marLeft w:val="0"/>
              <w:marRight w:val="0"/>
              <w:marTop w:val="0"/>
              <w:marBottom w:val="0"/>
              <w:divBdr>
                <w:top w:val="none" w:sz="0" w:space="0" w:color="auto"/>
                <w:left w:val="none" w:sz="0" w:space="0" w:color="auto"/>
                <w:bottom w:val="none" w:sz="0" w:space="0" w:color="auto"/>
                <w:right w:val="none" w:sz="0" w:space="0" w:color="auto"/>
              </w:divBdr>
            </w:div>
            <w:div w:id="320083589">
              <w:marLeft w:val="0"/>
              <w:marRight w:val="0"/>
              <w:marTop w:val="0"/>
              <w:marBottom w:val="0"/>
              <w:divBdr>
                <w:top w:val="none" w:sz="0" w:space="0" w:color="auto"/>
                <w:left w:val="none" w:sz="0" w:space="0" w:color="auto"/>
                <w:bottom w:val="none" w:sz="0" w:space="0" w:color="auto"/>
                <w:right w:val="none" w:sz="0" w:space="0" w:color="auto"/>
              </w:divBdr>
            </w:div>
            <w:div w:id="326443953">
              <w:marLeft w:val="0"/>
              <w:marRight w:val="0"/>
              <w:marTop w:val="0"/>
              <w:marBottom w:val="0"/>
              <w:divBdr>
                <w:top w:val="none" w:sz="0" w:space="0" w:color="auto"/>
                <w:left w:val="none" w:sz="0" w:space="0" w:color="auto"/>
                <w:bottom w:val="none" w:sz="0" w:space="0" w:color="auto"/>
                <w:right w:val="none" w:sz="0" w:space="0" w:color="auto"/>
              </w:divBdr>
            </w:div>
            <w:div w:id="329715592">
              <w:marLeft w:val="0"/>
              <w:marRight w:val="0"/>
              <w:marTop w:val="0"/>
              <w:marBottom w:val="0"/>
              <w:divBdr>
                <w:top w:val="none" w:sz="0" w:space="0" w:color="auto"/>
                <w:left w:val="none" w:sz="0" w:space="0" w:color="auto"/>
                <w:bottom w:val="none" w:sz="0" w:space="0" w:color="auto"/>
                <w:right w:val="none" w:sz="0" w:space="0" w:color="auto"/>
              </w:divBdr>
            </w:div>
            <w:div w:id="334848173">
              <w:marLeft w:val="0"/>
              <w:marRight w:val="0"/>
              <w:marTop w:val="0"/>
              <w:marBottom w:val="0"/>
              <w:divBdr>
                <w:top w:val="none" w:sz="0" w:space="0" w:color="auto"/>
                <w:left w:val="none" w:sz="0" w:space="0" w:color="auto"/>
                <w:bottom w:val="none" w:sz="0" w:space="0" w:color="auto"/>
                <w:right w:val="none" w:sz="0" w:space="0" w:color="auto"/>
              </w:divBdr>
            </w:div>
            <w:div w:id="345987611">
              <w:marLeft w:val="0"/>
              <w:marRight w:val="0"/>
              <w:marTop w:val="0"/>
              <w:marBottom w:val="0"/>
              <w:divBdr>
                <w:top w:val="none" w:sz="0" w:space="0" w:color="auto"/>
                <w:left w:val="none" w:sz="0" w:space="0" w:color="auto"/>
                <w:bottom w:val="none" w:sz="0" w:space="0" w:color="auto"/>
                <w:right w:val="none" w:sz="0" w:space="0" w:color="auto"/>
              </w:divBdr>
            </w:div>
            <w:div w:id="394084932">
              <w:marLeft w:val="0"/>
              <w:marRight w:val="0"/>
              <w:marTop w:val="0"/>
              <w:marBottom w:val="0"/>
              <w:divBdr>
                <w:top w:val="none" w:sz="0" w:space="0" w:color="auto"/>
                <w:left w:val="none" w:sz="0" w:space="0" w:color="auto"/>
                <w:bottom w:val="none" w:sz="0" w:space="0" w:color="auto"/>
                <w:right w:val="none" w:sz="0" w:space="0" w:color="auto"/>
              </w:divBdr>
            </w:div>
            <w:div w:id="405497147">
              <w:marLeft w:val="0"/>
              <w:marRight w:val="0"/>
              <w:marTop w:val="0"/>
              <w:marBottom w:val="0"/>
              <w:divBdr>
                <w:top w:val="none" w:sz="0" w:space="0" w:color="auto"/>
                <w:left w:val="none" w:sz="0" w:space="0" w:color="auto"/>
                <w:bottom w:val="none" w:sz="0" w:space="0" w:color="auto"/>
                <w:right w:val="none" w:sz="0" w:space="0" w:color="auto"/>
              </w:divBdr>
            </w:div>
            <w:div w:id="405497456">
              <w:marLeft w:val="0"/>
              <w:marRight w:val="0"/>
              <w:marTop w:val="0"/>
              <w:marBottom w:val="0"/>
              <w:divBdr>
                <w:top w:val="none" w:sz="0" w:space="0" w:color="auto"/>
                <w:left w:val="none" w:sz="0" w:space="0" w:color="auto"/>
                <w:bottom w:val="none" w:sz="0" w:space="0" w:color="auto"/>
                <w:right w:val="none" w:sz="0" w:space="0" w:color="auto"/>
              </w:divBdr>
            </w:div>
            <w:div w:id="416942151">
              <w:marLeft w:val="0"/>
              <w:marRight w:val="0"/>
              <w:marTop w:val="0"/>
              <w:marBottom w:val="0"/>
              <w:divBdr>
                <w:top w:val="none" w:sz="0" w:space="0" w:color="auto"/>
                <w:left w:val="none" w:sz="0" w:space="0" w:color="auto"/>
                <w:bottom w:val="none" w:sz="0" w:space="0" w:color="auto"/>
                <w:right w:val="none" w:sz="0" w:space="0" w:color="auto"/>
              </w:divBdr>
            </w:div>
            <w:div w:id="438568108">
              <w:marLeft w:val="0"/>
              <w:marRight w:val="0"/>
              <w:marTop w:val="0"/>
              <w:marBottom w:val="0"/>
              <w:divBdr>
                <w:top w:val="none" w:sz="0" w:space="0" w:color="auto"/>
                <w:left w:val="none" w:sz="0" w:space="0" w:color="auto"/>
                <w:bottom w:val="none" w:sz="0" w:space="0" w:color="auto"/>
                <w:right w:val="none" w:sz="0" w:space="0" w:color="auto"/>
              </w:divBdr>
            </w:div>
            <w:div w:id="460732170">
              <w:marLeft w:val="0"/>
              <w:marRight w:val="0"/>
              <w:marTop w:val="0"/>
              <w:marBottom w:val="0"/>
              <w:divBdr>
                <w:top w:val="none" w:sz="0" w:space="0" w:color="auto"/>
                <w:left w:val="none" w:sz="0" w:space="0" w:color="auto"/>
                <w:bottom w:val="none" w:sz="0" w:space="0" w:color="auto"/>
                <w:right w:val="none" w:sz="0" w:space="0" w:color="auto"/>
              </w:divBdr>
            </w:div>
            <w:div w:id="482816355">
              <w:marLeft w:val="0"/>
              <w:marRight w:val="0"/>
              <w:marTop w:val="0"/>
              <w:marBottom w:val="0"/>
              <w:divBdr>
                <w:top w:val="none" w:sz="0" w:space="0" w:color="auto"/>
                <w:left w:val="none" w:sz="0" w:space="0" w:color="auto"/>
                <w:bottom w:val="none" w:sz="0" w:space="0" w:color="auto"/>
                <w:right w:val="none" w:sz="0" w:space="0" w:color="auto"/>
              </w:divBdr>
            </w:div>
            <w:div w:id="498810129">
              <w:marLeft w:val="0"/>
              <w:marRight w:val="0"/>
              <w:marTop w:val="0"/>
              <w:marBottom w:val="0"/>
              <w:divBdr>
                <w:top w:val="none" w:sz="0" w:space="0" w:color="auto"/>
                <w:left w:val="none" w:sz="0" w:space="0" w:color="auto"/>
                <w:bottom w:val="none" w:sz="0" w:space="0" w:color="auto"/>
                <w:right w:val="none" w:sz="0" w:space="0" w:color="auto"/>
              </w:divBdr>
            </w:div>
            <w:div w:id="565457209">
              <w:marLeft w:val="0"/>
              <w:marRight w:val="0"/>
              <w:marTop w:val="0"/>
              <w:marBottom w:val="0"/>
              <w:divBdr>
                <w:top w:val="none" w:sz="0" w:space="0" w:color="auto"/>
                <w:left w:val="none" w:sz="0" w:space="0" w:color="auto"/>
                <w:bottom w:val="none" w:sz="0" w:space="0" w:color="auto"/>
                <w:right w:val="none" w:sz="0" w:space="0" w:color="auto"/>
              </w:divBdr>
            </w:div>
            <w:div w:id="581908920">
              <w:marLeft w:val="0"/>
              <w:marRight w:val="0"/>
              <w:marTop w:val="0"/>
              <w:marBottom w:val="0"/>
              <w:divBdr>
                <w:top w:val="none" w:sz="0" w:space="0" w:color="auto"/>
                <w:left w:val="none" w:sz="0" w:space="0" w:color="auto"/>
                <w:bottom w:val="none" w:sz="0" w:space="0" w:color="auto"/>
                <w:right w:val="none" w:sz="0" w:space="0" w:color="auto"/>
              </w:divBdr>
            </w:div>
            <w:div w:id="591351733">
              <w:marLeft w:val="0"/>
              <w:marRight w:val="0"/>
              <w:marTop w:val="0"/>
              <w:marBottom w:val="0"/>
              <w:divBdr>
                <w:top w:val="none" w:sz="0" w:space="0" w:color="auto"/>
                <w:left w:val="none" w:sz="0" w:space="0" w:color="auto"/>
                <w:bottom w:val="none" w:sz="0" w:space="0" w:color="auto"/>
                <w:right w:val="none" w:sz="0" w:space="0" w:color="auto"/>
              </w:divBdr>
            </w:div>
            <w:div w:id="593511099">
              <w:marLeft w:val="0"/>
              <w:marRight w:val="0"/>
              <w:marTop w:val="0"/>
              <w:marBottom w:val="0"/>
              <w:divBdr>
                <w:top w:val="none" w:sz="0" w:space="0" w:color="auto"/>
                <w:left w:val="none" w:sz="0" w:space="0" w:color="auto"/>
                <w:bottom w:val="none" w:sz="0" w:space="0" w:color="auto"/>
                <w:right w:val="none" w:sz="0" w:space="0" w:color="auto"/>
              </w:divBdr>
            </w:div>
            <w:div w:id="612593061">
              <w:marLeft w:val="0"/>
              <w:marRight w:val="0"/>
              <w:marTop w:val="0"/>
              <w:marBottom w:val="0"/>
              <w:divBdr>
                <w:top w:val="none" w:sz="0" w:space="0" w:color="auto"/>
                <w:left w:val="none" w:sz="0" w:space="0" w:color="auto"/>
                <w:bottom w:val="none" w:sz="0" w:space="0" w:color="auto"/>
                <w:right w:val="none" w:sz="0" w:space="0" w:color="auto"/>
              </w:divBdr>
            </w:div>
            <w:div w:id="629481092">
              <w:marLeft w:val="0"/>
              <w:marRight w:val="0"/>
              <w:marTop w:val="0"/>
              <w:marBottom w:val="0"/>
              <w:divBdr>
                <w:top w:val="none" w:sz="0" w:space="0" w:color="auto"/>
                <w:left w:val="none" w:sz="0" w:space="0" w:color="auto"/>
                <w:bottom w:val="none" w:sz="0" w:space="0" w:color="auto"/>
                <w:right w:val="none" w:sz="0" w:space="0" w:color="auto"/>
              </w:divBdr>
            </w:div>
            <w:div w:id="629629910">
              <w:marLeft w:val="0"/>
              <w:marRight w:val="0"/>
              <w:marTop w:val="0"/>
              <w:marBottom w:val="0"/>
              <w:divBdr>
                <w:top w:val="none" w:sz="0" w:space="0" w:color="auto"/>
                <w:left w:val="none" w:sz="0" w:space="0" w:color="auto"/>
                <w:bottom w:val="none" w:sz="0" w:space="0" w:color="auto"/>
                <w:right w:val="none" w:sz="0" w:space="0" w:color="auto"/>
              </w:divBdr>
            </w:div>
            <w:div w:id="728528541">
              <w:marLeft w:val="0"/>
              <w:marRight w:val="0"/>
              <w:marTop w:val="0"/>
              <w:marBottom w:val="0"/>
              <w:divBdr>
                <w:top w:val="none" w:sz="0" w:space="0" w:color="auto"/>
                <w:left w:val="none" w:sz="0" w:space="0" w:color="auto"/>
                <w:bottom w:val="none" w:sz="0" w:space="0" w:color="auto"/>
                <w:right w:val="none" w:sz="0" w:space="0" w:color="auto"/>
              </w:divBdr>
            </w:div>
            <w:div w:id="811605767">
              <w:marLeft w:val="0"/>
              <w:marRight w:val="0"/>
              <w:marTop w:val="0"/>
              <w:marBottom w:val="0"/>
              <w:divBdr>
                <w:top w:val="none" w:sz="0" w:space="0" w:color="auto"/>
                <w:left w:val="none" w:sz="0" w:space="0" w:color="auto"/>
                <w:bottom w:val="none" w:sz="0" w:space="0" w:color="auto"/>
                <w:right w:val="none" w:sz="0" w:space="0" w:color="auto"/>
              </w:divBdr>
            </w:div>
            <w:div w:id="860437567">
              <w:marLeft w:val="0"/>
              <w:marRight w:val="0"/>
              <w:marTop w:val="0"/>
              <w:marBottom w:val="0"/>
              <w:divBdr>
                <w:top w:val="none" w:sz="0" w:space="0" w:color="auto"/>
                <w:left w:val="none" w:sz="0" w:space="0" w:color="auto"/>
                <w:bottom w:val="none" w:sz="0" w:space="0" w:color="auto"/>
                <w:right w:val="none" w:sz="0" w:space="0" w:color="auto"/>
              </w:divBdr>
            </w:div>
            <w:div w:id="875194784">
              <w:marLeft w:val="0"/>
              <w:marRight w:val="0"/>
              <w:marTop w:val="0"/>
              <w:marBottom w:val="0"/>
              <w:divBdr>
                <w:top w:val="none" w:sz="0" w:space="0" w:color="auto"/>
                <w:left w:val="none" w:sz="0" w:space="0" w:color="auto"/>
                <w:bottom w:val="none" w:sz="0" w:space="0" w:color="auto"/>
                <w:right w:val="none" w:sz="0" w:space="0" w:color="auto"/>
              </w:divBdr>
            </w:div>
            <w:div w:id="880243921">
              <w:marLeft w:val="0"/>
              <w:marRight w:val="0"/>
              <w:marTop w:val="0"/>
              <w:marBottom w:val="0"/>
              <w:divBdr>
                <w:top w:val="none" w:sz="0" w:space="0" w:color="auto"/>
                <w:left w:val="none" w:sz="0" w:space="0" w:color="auto"/>
                <w:bottom w:val="none" w:sz="0" w:space="0" w:color="auto"/>
                <w:right w:val="none" w:sz="0" w:space="0" w:color="auto"/>
              </w:divBdr>
            </w:div>
            <w:div w:id="885874050">
              <w:marLeft w:val="0"/>
              <w:marRight w:val="0"/>
              <w:marTop w:val="0"/>
              <w:marBottom w:val="0"/>
              <w:divBdr>
                <w:top w:val="none" w:sz="0" w:space="0" w:color="auto"/>
                <w:left w:val="none" w:sz="0" w:space="0" w:color="auto"/>
                <w:bottom w:val="none" w:sz="0" w:space="0" w:color="auto"/>
                <w:right w:val="none" w:sz="0" w:space="0" w:color="auto"/>
              </w:divBdr>
            </w:div>
            <w:div w:id="903031938">
              <w:marLeft w:val="0"/>
              <w:marRight w:val="0"/>
              <w:marTop w:val="0"/>
              <w:marBottom w:val="0"/>
              <w:divBdr>
                <w:top w:val="none" w:sz="0" w:space="0" w:color="auto"/>
                <w:left w:val="none" w:sz="0" w:space="0" w:color="auto"/>
                <w:bottom w:val="none" w:sz="0" w:space="0" w:color="auto"/>
                <w:right w:val="none" w:sz="0" w:space="0" w:color="auto"/>
              </w:divBdr>
            </w:div>
            <w:div w:id="945578475">
              <w:marLeft w:val="0"/>
              <w:marRight w:val="0"/>
              <w:marTop w:val="0"/>
              <w:marBottom w:val="0"/>
              <w:divBdr>
                <w:top w:val="none" w:sz="0" w:space="0" w:color="auto"/>
                <w:left w:val="none" w:sz="0" w:space="0" w:color="auto"/>
                <w:bottom w:val="none" w:sz="0" w:space="0" w:color="auto"/>
                <w:right w:val="none" w:sz="0" w:space="0" w:color="auto"/>
              </w:divBdr>
            </w:div>
            <w:div w:id="979070325">
              <w:marLeft w:val="0"/>
              <w:marRight w:val="0"/>
              <w:marTop w:val="0"/>
              <w:marBottom w:val="0"/>
              <w:divBdr>
                <w:top w:val="none" w:sz="0" w:space="0" w:color="auto"/>
                <w:left w:val="none" w:sz="0" w:space="0" w:color="auto"/>
                <w:bottom w:val="none" w:sz="0" w:space="0" w:color="auto"/>
                <w:right w:val="none" w:sz="0" w:space="0" w:color="auto"/>
              </w:divBdr>
            </w:div>
            <w:div w:id="981957628">
              <w:marLeft w:val="0"/>
              <w:marRight w:val="0"/>
              <w:marTop w:val="0"/>
              <w:marBottom w:val="0"/>
              <w:divBdr>
                <w:top w:val="none" w:sz="0" w:space="0" w:color="auto"/>
                <w:left w:val="none" w:sz="0" w:space="0" w:color="auto"/>
                <w:bottom w:val="none" w:sz="0" w:space="0" w:color="auto"/>
                <w:right w:val="none" w:sz="0" w:space="0" w:color="auto"/>
              </w:divBdr>
            </w:div>
            <w:div w:id="991560555">
              <w:marLeft w:val="0"/>
              <w:marRight w:val="0"/>
              <w:marTop w:val="0"/>
              <w:marBottom w:val="0"/>
              <w:divBdr>
                <w:top w:val="none" w:sz="0" w:space="0" w:color="auto"/>
                <w:left w:val="none" w:sz="0" w:space="0" w:color="auto"/>
                <w:bottom w:val="none" w:sz="0" w:space="0" w:color="auto"/>
                <w:right w:val="none" w:sz="0" w:space="0" w:color="auto"/>
              </w:divBdr>
            </w:div>
            <w:div w:id="1066495080">
              <w:marLeft w:val="0"/>
              <w:marRight w:val="0"/>
              <w:marTop w:val="0"/>
              <w:marBottom w:val="0"/>
              <w:divBdr>
                <w:top w:val="none" w:sz="0" w:space="0" w:color="auto"/>
                <w:left w:val="none" w:sz="0" w:space="0" w:color="auto"/>
                <w:bottom w:val="none" w:sz="0" w:space="0" w:color="auto"/>
                <w:right w:val="none" w:sz="0" w:space="0" w:color="auto"/>
              </w:divBdr>
            </w:div>
            <w:div w:id="1073893934">
              <w:marLeft w:val="0"/>
              <w:marRight w:val="0"/>
              <w:marTop w:val="0"/>
              <w:marBottom w:val="0"/>
              <w:divBdr>
                <w:top w:val="none" w:sz="0" w:space="0" w:color="auto"/>
                <w:left w:val="none" w:sz="0" w:space="0" w:color="auto"/>
                <w:bottom w:val="none" w:sz="0" w:space="0" w:color="auto"/>
                <w:right w:val="none" w:sz="0" w:space="0" w:color="auto"/>
              </w:divBdr>
            </w:div>
            <w:div w:id="1105419635">
              <w:marLeft w:val="0"/>
              <w:marRight w:val="0"/>
              <w:marTop w:val="0"/>
              <w:marBottom w:val="0"/>
              <w:divBdr>
                <w:top w:val="none" w:sz="0" w:space="0" w:color="auto"/>
                <w:left w:val="none" w:sz="0" w:space="0" w:color="auto"/>
                <w:bottom w:val="none" w:sz="0" w:space="0" w:color="auto"/>
                <w:right w:val="none" w:sz="0" w:space="0" w:color="auto"/>
              </w:divBdr>
            </w:div>
            <w:div w:id="1125149687">
              <w:marLeft w:val="0"/>
              <w:marRight w:val="0"/>
              <w:marTop w:val="0"/>
              <w:marBottom w:val="0"/>
              <w:divBdr>
                <w:top w:val="none" w:sz="0" w:space="0" w:color="auto"/>
                <w:left w:val="none" w:sz="0" w:space="0" w:color="auto"/>
                <w:bottom w:val="none" w:sz="0" w:space="0" w:color="auto"/>
                <w:right w:val="none" w:sz="0" w:space="0" w:color="auto"/>
              </w:divBdr>
            </w:div>
            <w:div w:id="1126393587">
              <w:marLeft w:val="0"/>
              <w:marRight w:val="0"/>
              <w:marTop w:val="0"/>
              <w:marBottom w:val="0"/>
              <w:divBdr>
                <w:top w:val="none" w:sz="0" w:space="0" w:color="auto"/>
                <w:left w:val="none" w:sz="0" w:space="0" w:color="auto"/>
                <w:bottom w:val="none" w:sz="0" w:space="0" w:color="auto"/>
                <w:right w:val="none" w:sz="0" w:space="0" w:color="auto"/>
              </w:divBdr>
            </w:div>
            <w:div w:id="1165586972">
              <w:marLeft w:val="0"/>
              <w:marRight w:val="0"/>
              <w:marTop w:val="0"/>
              <w:marBottom w:val="0"/>
              <w:divBdr>
                <w:top w:val="none" w:sz="0" w:space="0" w:color="auto"/>
                <w:left w:val="none" w:sz="0" w:space="0" w:color="auto"/>
                <w:bottom w:val="none" w:sz="0" w:space="0" w:color="auto"/>
                <w:right w:val="none" w:sz="0" w:space="0" w:color="auto"/>
              </w:divBdr>
            </w:div>
            <w:div w:id="1172718099">
              <w:marLeft w:val="0"/>
              <w:marRight w:val="0"/>
              <w:marTop w:val="0"/>
              <w:marBottom w:val="0"/>
              <w:divBdr>
                <w:top w:val="none" w:sz="0" w:space="0" w:color="auto"/>
                <w:left w:val="none" w:sz="0" w:space="0" w:color="auto"/>
                <w:bottom w:val="none" w:sz="0" w:space="0" w:color="auto"/>
                <w:right w:val="none" w:sz="0" w:space="0" w:color="auto"/>
              </w:divBdr>
            </w:div>
            <w:div w:id="1181314763">
              <w:marLeft w:val="0"/>
              <w:marRight w:val="0"/>
              <w:marTop w:val="0"/>
              <w:marBottom w:val="0"/>
              <w:divBdr>
                <w:top w:val="none" w:sz="0" w:space="0" w:color="auto"/>
                <w:left w:val="none" w:sz="0" w:space="0" w:color="auto"/>
                <w:bottom w:val="none" w:sz="0" w:space="0" w:color="auto"/>
                <w:right w:val="none" w:sz="0" w:space="0" w:color="auto"/>
              </w:divBdr>
            </w:div>
            <w:div w:id="1182206445">
              <w:marLeft w:val="0"/>
              <w:marRight w:val="0"/>
              <w:marTop w:val="0"/>
              <w:marBottom w:val="0"/>
              <w:divBdr>
                <w:top w:val="none" w:sz="0" w:space="0" w:color="auto"/>
                <w:left w:val="none" w:sz="0" w:space="0" w:color="auto"/>
                <w:bottom w:val="none" w:sz="0" w:space="0" w:color="auto"/>
                <w:right w:val="none" w:sz="0" w:space="0" w:color="auto"/>
              </w:divBdr>
            </w:div>
            <w:div w:id="1241717390">
              <w:marLeft w:val="0"/>
              <w:marRight w:val="0"/>
              <w:marTop w:val="0"/>
              <w:marBottom w:val="0"/>
              <w:divBdr>
                <w:top w:val="none" w:sz="0" w:space="0" w:color="auto"/>
                <w:left w:val="none" w:sz="0" w:space="0" w:color="auto"/>
                <w:bottom w:val="none" w:sz="0" w:space="0" w:color="auto"/>
                <w:right w:val="none" w:sz="0" w:space="0" w:color="auto"/>
              </w:divBdr>
            </w:div>
            <w:div w:id="1253930993">
              <w:marLeft w:val="0"/>
              <w:marRight w:val="0"/>
              <w:marTop w:val="0"/>
              <w:marBottom w:val="0"/>
              <w:divBdr>
                <w:top w:val="none" w:sz="0" w:space="0" w:color="auto"/>
                <w:left w:val="none" w:sz="0" w:space="0" w:color="auto"/>
                <w:bottom w:val="none" w:sz="0" w:space="0" w:color="auto"/>
                <w:right w:val="none" w:sz="0" w:space="0" w:color="auto"/>
              </w:divBdr>
            </w:div>
            <w:div w:id="1268081636">
              <w:marLeft w:val="0"/>
              <w:marRight w:val="0"/>
              <w:marTop w:val="0"/>
              <w:marBottom w:val="0"/>
              <w:divBdr>
                <w:top w:val="none" w:sz="0" w:space="0" w:color="auto"/>
                <w:left w:val="none" w:sz="0" w:space="0" w:color="auto"/>
                <w:bottom w:val="none" w:sz="0" w:space="0" w:color="auto"/>
                <w:right w:val="none" w:sz="0" w:space="0" w:color="auto"/>
              </w:divBdr>
            </w:div>
            <w:div w:id="1304653802">
              <w:marLeft w:val="0"/>
              <w:marRight w:val="0"/>
              <w:marTop w:val="0"/>
              <w:marBottom w:val="0"/>
              <w:divBdr>
                <w:top w:val="none" w:sz="0" w:space="0" w:color="auto"/>
                <w:left w:val="none" w:sz="0" w:space="0" w:color="auto"/>
                <w:bottom w:val="none" w:sz="0" w:space="0" w:color="auto"/>
                <w:right w:val="none" w:sz="0" w:space="0" w:color="auto"/>
              </w:divBdr>
            </w:div>
            <w:div w:id="1306931574">
              <w:marLeft w:val="0"/>
              <w:marRight w:val="0"/>
              <w:marTop w:val="0"/>
              <w:marBottom w:val="0"/>
              <w:divBdr>
                <w:top w:val="none" w:sz="0" w:space="0" w:color="auto"/>
                <w:left w:val="none" w:sz="0" w:space="0" w:color="auto"/>
                <w:bottom w:val="none" w:sz="0" w:space="0" w:color="auto"/>
                <w:right w:val="none" w:sz="0" w:space="0" w:color="auto"/>
              </w:divBdr>
            </w:div>
            <w:div w:id="1307585174">
              <w:marLeft w:val="0"/>
              <w:marRight w:val="0"/>
              <w:marTop w:val="0"/>
              <w:marBottom w:val="0"/>
              <w:divBdr>
                <w:top w:val="none" w:sz="0" w:space="0" w:color="auto"/>
                <w:left w:val="none" w:sz="0" w:space="0" w:color="auto"/>
                <w:bottom w:val="none" w:sz="0" w:space="0" w:color="auto"/>
                <w:right w:val="none" w:sz="0" w:space="0" w:color="auto"/>
              </w:divBdr>
            </w:div>
            <w:div w:id="1323851696">
              <w:marLeft w:val="0"/>
              <w:marRight w:val="0"/>
              <w:marTop w:val="0"/>
              <w:marBottom w:val="0"/>
              <w:divBdr>
                <w:top w:val="none" w:sz="0" w:space="0" w:color="auto"/>
                <w:left w:val="none" w:sz="0" w:space="0" w:color="auto"/>
                <w:bottom w:val="none" w:sz="0" w:space="0" w:color="auto"/>
                <w:right w:val="none" w:sz="0" w:space="0" w:color="auto"/>
              </w:divBdr>
            </w:div>
            <w:div w:id="1376808743">
              <w:marLeft w:val="0"/>
              <w:marRight w:val="0"/>
              <w:marTop w:val="0"/>
              <w:marBottom w:val="0"/>
              <w:divBdr>
                <w:top w:val="none" w:sz="0" w:space="0" w:color="auto"/>
                <w:left w:val="none" w:sz="0" w:space="0" w:color="auto"/>
                <w:bottom w:val="none" w:sz="0" w:space="0" w:color="auto"/>
                <w:right w:val="none" w:sz="0" w:space="0" w:color="auto"/>
              </w:divBdr>
            </w:div>
            <w:div w:id="1399087499">
              <w:marLeft w:val="0"/>
              <w:marRight w:val="0"/>
              <w:marTop w:val="0"/>
              <w:marBottom w:val="0"/>
              <w:divBdr>
                <w:top w:val="none" w:sz="0" w:space="0" w:color="auto"/>
                <w:left w:val="none" w:sz="0" w:space="0" w:color="auto"/>
                <w:bottom w:val="none" w:sz="0" w:space="0" w:color="auto"/>
                <w:right w:val="none" w:sz="0" w:space="0" w:color="auto"/>
              </w:divBdr>
            </w:div>
            <w:div w:id="1402094458">
              <w:marLeft w:val="0"/>
              <w:marRight w:val="0"/>
              <w:marTop w:val="0"/>
              <w:marBottom w:val="0"/>
              <w:divBdr>
                <w:top w:val="none" w:sz="0" w:space="0" w:color="auto"/>
                <w:left w:val="none" w:sz="0" w:space="0" w:color="auto"/>
                <w:bottom w:val="none" w:sz="0" w:space="0" w:color="auto"/>
                <w:right w:val="none" w:sz="0" w:space="0" w:color="auto"/>
              </w:divBdr>
            </w:div>
            <w:div w:id="1435007442">
              <w:marLeft w:val="0"/>
              <w:marRight w:val="0"/>
              <w:marTop w:val="0"/>
              <w:marBottom w:val="0"/>
              <w:divBdr>
                <w:top w:val="none" w:sz="0" w:space="0" w:color="auto"/>
                <w:left w:val="none" w:sz="0" w:space="0" w:color="auto"/>
                <w:bottom w:val="none" w:sz="0" w:space="0" w:color="auto"/>
                <w:right w:val="none" w:sz="0" w:space="0" w:color="auto"/>
              </w:divBdr>
            </w:div>
            <w:div w:id="1462071436">
              <w:marLeft w:val="0"/>
              <w:marRight w:val="0"/>
              <w:marTop w:val="0"/>
              <w:marBottom w:val="0"/>
              <w:divBdr>
                <w:top w:val="none" w:sz="0" w:space="0" w:color="auto"/>
                <w:left w:val="none" w:sz="0" w:space="0" w:color="auto"/>
                <w:bottom w:val="none" w:sz="0" w:space="0" w:color="auto"/>
                <w:right w:val="none" w:sz="0" w:space="0" w:color="auto"/>
              </w:divBdr>
            </w:div>
            <w:div w:id="1462380708">
              <w:marLeft w:val="0"/>
              <w:marRight w:val="0"/>
              <w:marTop w:val="0"/>
              <w:marBottom w:val="0"/>
              <w:divBdr>
                <w:top w:val="none" w:sz="0" w:space="0" w:color="auto"/>
                <w:left w:val="none" w:sz="0" w:space="0" w:color="auto"/>
                <w:bottom w:val="none" w:sz="0" w:space="0" w:color="auto"/>
                <w:right w:val="none" w:sz="0" w:space="0" w:color="auto"/>
              </w:divBdr>
            </w:div>
            <w:div w:id="1465345629">
              <w:marLeft w:val="0"/>
              <w:marRight w:val="0"/>
              <w:marTop w:val="0"/>
              <w:marBottom w:val="0"/>
              <w:divBdr>
                <w:top w:val="none" w:sz="0" w:space="0" w:color="auto"/>
                <w:left w:val="none" w:sz="0" w:space="0" w:color="auto"/>
                <w:bottom w:val="none" w:sz="0" w:space="0" w:color="auto"/>
                <w:right w:val="none" w:sz="0" w:space="0" w:color="auto"/>
              </w:divBdr>
            </w:div>
            <w:div w:id="1481070633">
              <w:marLeft w:val="0"/>
              <w:marRight w:val="0"/>
              <w:marTop w:val="0"/>
              <w:marBottom w:val="0"/>
              <w:divBdr>
                <w:top w:val="none" w:sz="0" w:space="0" w:color="auto"/>
                <w:left w:val="none" w:sz="0" w:space="0" w:color="auto"/>
                <w:bottom w:val="none" w:sz="0" w:space="0" w:color="auto"/>
                <w:right w:val="none" w:sz="0" w:space="0" w:color="auto"/>
              </w:divBdr>
            </w:div>
            <w:div w:id="1494636862">
              <w:marLeft w:val="0"/>
              <w:marRight w:val="0"/>
              <w:marTop w:val="0"/>
              <w:marBottom w:val="0"/>
              <w:divBdr>
                <w:top w:val="none" w:sz="0" w:space="0" w:color="auto"/>
                <w:left w:val="none" w:sz="0" w:space="0" w:color="auto"/>
                <w:bottom w:val="none" w:sz="0" w:space="0" w:color="auto"/>
                <w:right w:val="none" w:sz="0" w:space="0" w:color="auto"/>
              </w:divBdr>
            </w:div>
            <w:div w:id="1522471728">
              <w:marLeft w:val="0"/>
              <w:marRight w:val="0"/>
              <w:marTop w:val="0"/>
              <w:marBottom w:val="0"/>
              <w:divBdr>
                <w:top w:val="none" w:sz="0" w:space="0" w:color="auto"/>
                <w:left w:val="none" w:sz="0" w:space="0" w:color="auto"/>
                <w:bottom w:val="none" w:sz="0" w:space="0" w:color="auto"/>
                <w:right w:val="none" w:sz="0" w:space="0" w:color="auto"/>
              </w:divBdr>
            </w:div>
            <w:div w:id="1548420586">
              <w:marLeft w:val="0"/>
              <w:marRight w:val="0"/>
              <w:marTop w:val="0"/>
              <w:marBottom w:val="0"/>
              <w:divBdr>
                <w:top w:val="none" w:sz="0" w:space="0" w:color="auto"/>
                <w:left w:val="none" w:sz="0" w:space="0" w:color="auto"/>
                <w:bottom w:val="none" w:sz="0" w:space="0" w:color="auto"/>
                <w:right w:val="none" w:sz="0" w:space="0" w:color="auto"/>
              </w:divBdr>
            </w:div>
            <w:div w:id="1565413940">
              <w:marLeft w:val="0"/>
              <w:marRight w:val="0"/>
              <w:marTop w:val="0"/>
              <w:marBottom w:val="0"/>
              <w:divBdr>
                <w:top w:val="none" w:sz="0" w:space="0" w:color="auto"/>
                <w:left w:val="none" w:sz="0" w:space="0" w:color="auto"/>
                <w:bottom w:val="none" w:sz="0" w:space="0" w:color="auto"/>
                <w:right w:val="none" w:sz="0" w:space="0" w:color="auto"/>
              </w:divBdr>
            </w:div>
            <w:div w:id="1579707049">
              <w:marLeft w:val="0"/>
              <w:marRight w:val="0"/>
              <w:marTop w:val="0"/>
              <w:marBottom w:val="0"/>
              <w:divBdr>
                <w:top w:val="none" w:sz="0" w:space="0" w:color="auto"/>
                <w:left w:val="none" w:sz="0" w:space="0" w:color="auto"/>
                <w:bottom w:val="none" w:sz="0" w:space="0" w:color="auto"/>
                <w:right w:val="none" w:sz="0" w:space="0" w:color="auto"/>
              </w:divBdr>
            </w:div>
            <w:div w:id="1616012808">
              <w:marLeft w:val="0"/>
              <w:marRight w:val="0"/>
              <w:marTop w:val="0"/>
              <w:marBottom w:val="0"/>
              <w:divBdr>
                <w:top w:val="none" w:sz="0" w:space="0" w:color="auto"/>
                <w:left w:val="none" w:sz="0" w:space="0" w:color="auto"/>
                <w:bottom w:val="none" w:sz="0" w:space="0" w:color="auto"/>
                <w:right w:val="none" w:sz="0" w:space="0" w:color="auto"/>
              </w:divBdr>
            </w:div>
            <w:div w:id="1643777462">
              <w:marLeft w:val="0"/>
              <w:marRight w:val="0"/>
              <w:marTop w:val="0"/>
              <w:marBottom w:val="0"/>
              <w:divBdr>
                <w:top w:val="none" w:sz="0" w:space="0" w:color="auto"/>
                <w:left w:val="none" w:sz="0" w:space="0" w:color="auto"/>
                <w:bottom w:val="none" w:sz="0" w:space="0" w:color="auto"/>
                <w:right w:val="none" w:sz="0" w:space="0" w:color="auto"/>
              </w:divBdr>
            </w:div>
            <w:div w:id="1668939909">
              <w:marLeft w:val="0"/>
              <w:marRight w:val="0"/>
              <w:marTop w:val="0"/>
              <w:marBottom w:val="0"/>
              <w:divBdr>
                <w:top w:val="none" w:sz="0" w:space="0" w:color="auto"/>
                <w:left w:val="none" w:sz="0" w:space="0" w:color="auto"/>
                <w:bottom w:val="none" w:sz="0" w:space="0" w:color="auto"/>
                <w:right w:val="none" w:sz="0" w:space="0" w:color="auto"/>
              </w:divBdr>
            </w:div>
            <w:div w:id="1730423704">
              <w:marLeft w:val="0"/>
              <w:marRight w:val="0"/>
              <w:marTop w:val="0"/>
              <w:marBottom w:val="0"/>
              <w:divBdr>
                <w:top w:val="none" w:sz="0" w:space="0" w:color="auto"/>
                <w:left w:val="none" w:sz="0" w:space="0" w:color="auto"/>
                <w:bottom w:val="none" w:sz="0" w:space="0" w:color="auto"/>
                <w:right w:val="none" w:sz="0" w:space="0" w:color="auto"/>
              </w:divBdr>
            </w:div>
            <w:div w:id="1739671110">
              <w:marLeft w:val="0"/>
              <w:marRight w:val="0"/>
              <w:marTop w:val="0"/>
              <w:marBottom w:val="0"/>
              <w:divBdr>
                <w:top w:val="none" w:sz="0" w:space="0" w:color="auto"/>
                <w:left w:val="none" w:sz="0" w:space="0" w:color="auto"/>
                <w:bottom w:val="none" w:sz="0" w:space="0" w:color="auto"/>
                <w:right w:val="none" w:sz="0" w:space="0" w:color="auto"/>
              </w:divBdr>
            </w:div>
            <w:div w:id="1752503496">
              <w:marLeft w:val="0"/>
              <w:marRight w:val="0"/>
              <w:marTop w:val="0"/>
              <w:marBottom w:val="0"/>
              <w:divBdr>
                <w:top w:val="none" w:sz="0" w:space="0" w:color="auto"/>
                <w:left w:val="none" w:sz="0" w:space="0" w:color="auto"/>
                <w:bottom w:val="none" w:sz="0" w:space="0" w:color="auto"/>
                <w:right w:val="none" w:sz="0" w:space="0" w:color="auto"/>
              </w:divBdr>
            </w:div>
            <w:div w:id="1753816365">
              <w:marLeft w:val="0"/>
              <w:marRight w:val="0"/>
              <w:marTop w:val="0"/>
              <w:marBottom w:val="0"/>
              <w:divBdr>
                <w:top w:val="none" w:sz="0" w:space="0" w:color="auto"/>
                <w:left w:val="none" w:sz="0" w:space="0" w:color="auto"/>
                <w:bottom w:val="none" w:sz="0" w:space="0" w:color="auto"/>
                <w:right w:val="none" w:sz="0" w:space="0" w:color="auto"/>
              </w:divBdr>
            </w:div>
            <w:div w:id="1784571705">
              <w:marLeft w:val="0"/>
              <w:marRight w:val="0"/>
              <w:marTop w:val="0"/>
              <w:marBottom w:val="0"/>
              <w:divBdr>
                <w:top w:val="none" w:sz="0" w:space="0" w:color="auto"/>
                <w:left w:val="none" w:sz="0" w:space="0" w:color="auto"/>
                <w:bottom w:val="none" w:sz="0" w:space="0" w:color="auto"/>
                <w:right w:val="none" w:sz="0" w:space="0" w:color="auto"/>
              </w:divBdr>
            </w:div>
            <w:div w:id="1828742313">
              <w:marLeft w:val="0"/>
              <w:marRight w:val="0"/>
              <w:marTop w:val="0"/>
              <w:marBottom w:val="0"/>
              <w:divBdr>
                <w:top w:val="none" w:sz="0" w:space="0" w:color="auto"/>
                <w:left w:val="none" w:sz="0" w:space="0" w:color="auto"/>
                <w:bottom w:val="none" w:sz="0" w:space="0" w:color="auto"/>
                <w:right w:val="none" w:sz="0" w:space="0" w:color="auto"/>
              </w:divBdr>
            </w:div>
            <w:div w:id="1852601590">
              <w:marLeft w:val="0"/>
              <w:marRight w:val="0"/>
              <w:marTop w:val="0"/>
              <w:marBottom w:val="0"/>
              <w:divBdr>
                <w:top w:val="none" w:sz="0" w:space="0" w:color="auto"/>
                <w:left w:val="none" w:sz="0" w:space="0" w:color="auto"/>
                <w:bottom w:val="none" w:sz="0" w:space="0" w:color="auto"/>
                <w:right w:val="none" w:sz="0" w:space="0" w:color="auto"/>
              </w:divBdr>
            </w:div>
            <w:div w:id="1868372472">
              <w:marLeft w:val="0"/>
              <w:marRight w:val="0"/>
              <w:marTop w:val="0"/>
              <w:marBottom w:val="0"/>
              <w:divBdr>
                <w:top w:val="none" w:sz="0" w:space="0" w:color="auto"/>
                <w:left w:val="none" w:sz="0" w:space="0" w:color="auto"/>
                <w:bottom w:val="none" w:sz="0" w:space="0" w:color="auto"/>
                <w:right w:val="none" w:sz="0" w:space="0" w:color="auto"/>
              </w:divBdr>
            </w:div>
            <w:div w:id="1930308954">
              <w:marLeft w:val="0"/>
              <w:marRight w:val="0"/>
              <w:marTop w:val="0"/>
              <w:marBottom w:val="0"/>
              <w:divBdr>
                <w:top w:val="none" w:sz="0" w:space="0" w:color="auto"/>
                <w:left w:val="none" w:sz="0" w:space="0" w:color="auto"/>
                <w:bottom w:val="none" w:sz="0" w:space="0" w:color="auto"/>
                <w:right w:val="none" w:sz="0" w:space="0" w:color="auto"/>
              </w:divBdr>
            </w:div>
            <w:div w:id="2024551616">
              <w:marLeft w:val="0"/>
              <w:marRight w:val="0"/>
              <w:marTop w:val="0"/>
              <w:marBottom w:val="0"/>
              <w:divBdr>
                <w:top w:val="none" w:sz="0" w:space="0" w:color="auto"/>
                <w:left w:val="none" w:sz="0" w:space="0" w:color="auto"/>
                <w:bottom w:val="none" w:sz="0" w:space="0" w:color="auto"/>
                <w:right w:val="none" w:sz="0" w:space="0" w:color="auto"/>
              </w:divBdr>
            </w:div>
            <w:div w:id="2087721767">
              <w:marLeft w:val="0"/>
              <w:marRight w:val="0"/>
              <w:marTop w:val="0"/>
              <w:marBottom w:val="0"/>
              <w:divBdr>
                <w:top w:val="none" w:sz="0" w:space="0" w:color="auto"/>
                <w:left w:val="none" w:sz="0" w:space="0" w:color="auto"/>
                <w:bottom w:val="none" w:sz="0" w:space="0" w:color="auto"/>
                <w:right w:val="none" w:sz="0" w:space="0" w:color="auto"/>
              </w:divBdr>
            </w:div>
            <w:div w:id="2091000733">
              <w:marLeft w:val="0"/>
              <w:marRight w:val="0"/>
              <w:marTop w:val="0"/>
              <w:marBottom w:val="0"/>
              <w:divBdr>
                <w:top w:val="none" w:sz="0" w:space="0" w:color="auto"/>
                <w:left w:val="none" w:sz="0" w:space="0" w:color="auto"/>
                <w:bottom w:val="none" w:sz="0" w:space="0" w:color="auto"/>
                <w:right w:val="none" w:sz="0" w:space="0" w:color="auto"/>
              </w:divBdr>
            </w:div>
            <w:div w:id="2110154349">
              <w:marLeft w:val="0"/>
              <w:marRight w:val="0"/>
              <w:marTop w:val="0"/>
              <w:marBottom w:val="0"/>
              <w:divBdr>
                <w:top w:val="none" w:sz="0" w:space="0" w:color="auto"/>
                <w:left w:val="none" w:sz="0" w:space="0" w:color="auto"/>
                <w:bottom w:val="none" w:sz="0" w:space="0" w:color="auto"/>
                <w:right w:val="none" w:sz="0" w:space="0" w:color="auto"/>
              </w:divBdr>
            </w:div>
            <w:div w:id="21153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446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177/0022343308100715" TargetMode="External"/><Relationship Id="rId117" Type="http://schemas.openxmlformats.org/officeDocument/2006/relationships/hyperlink" Target="https://doi.org/10.1002/jrsm.1211" TargetMode="External"/><Relationship Id="rId21" Type="http://schemas.openxmlformats.org/officeDocument/2006/relationships/hyperlink" Target="https://doi.org/10.1093/oep/gpf064" TargetMode="External"/><Relationship Id="rId42" Type="http://schemas.openxmlformats.org/officeDocument/2006/relationships/hyperlink" Target="https://doi.org/10.1177/073889420302000202" TargetMode="External"/><Relationship Id="rId47" Type="http://schemas.openxmlformats.org/officeDocument/2006/relationships/hyperlink" Target="https://doi.org/10.1177/0022343305054089" TargetMode="External"/><Relationship Id="rId63" Type="http://schemas.openxmlformats.org/officeDocument/2006/relationships/hyperlink" Target="https://doi.org/10.1007/s10584-014-1266-1" TargetMode="External"/><Relationship Id="rId68" Type="http://schemas.openxmlformats.org/officeDocument/2006/relationships/hyperlink" Target="https://doi.org/10.1016/j.gloenvcha.2017.04.008" TargetMode="External"/><Relationship Id="rId84" Type="http://schemas.openxmlformats.org/officeDocument/2006/relationships/hyperlink" Target="https://doi.org/10.1177/0022343311426165" TargetMode="External"/><Relationship Id="rId89" Type="http://schemas.openxmlformats.org/officeDocument/2006/relationships/hyperlink" Target="https://doi.org/10.1017/CBO9780511818462" TargetMode="External"/><Relationship Id="rId112" Type="http://schemas.openxmlformats.org/officeDocument/2006/relationships/hyperlink" Target="https://doi.org/10.1016/S0014-2921(01)00125-8" TargetMode="External"/><Relationship Id="rId16" Type="http://schemas.openxmlformats.org/officeDocument/2006/relationships/hyperlink" Target="https://doi.org/10.1177/0022343309340500" TargetMode="External"/><Relationship Id="rId107" Type="http://schemas.openxmlformats.org/officeDocument/2006/relationships/hyperlink" Target="https://doi.org/10.1177/0022343311427754" TargetMode="External"/><Relationship Id="rId11" Type="http://schemas.openxmlformats.org/officeDocument/2006/relationships/footer" Target="footer1.xml"/><Relationship Id="rId32" Type="http://schemas.openxmlformats.org/officeDocument/2006/relationships/hyperlink" Target="https://doi.org/10.1177/0022343309350015" TargetMode="External"/><Relationship Id="rId37" Type="http://schemas.openxmlformats.org/officeDocument/2006/relationships/hyperlink" Target="https://doi.org/10.1080/00220388.2010.506911" TargetMode="External"/><Relationship Id="rId53" Type="http://schemas.openxmlformats.org/officeDocument/2006/relationships/hyperlink" Target="https://doi.org/10.1177/0022343309340500" TargetMode="External"/><Relationship Id="rId58" Type="http://schemas.openxmlformats.org/officeDocument/2006/relationships/hyperlink" Target="https://doi.org/10.1080/01431161003674592" TargetMode="External"/><Relationship Id="rId74" Type="http://schemas.openxmlformats.org/officeDocument/2006/relationships/hyperlink" Target="https://doi.org/10.1007/s10584-011-0045-5" TargetMode="External"/><Relationship Id="rId79" Type="http://schemas.openxmlformats.org/officeDocument/2006/relationships/hyperlink" Target="https://doi.org/10.1177/0022343311431288" TargetMode="External"/><Relationship Id="rId102" Type="http://schemas.openxmlformats.org/officeDocument/2006/relationships/hyperlink" Target="https://doi.org/10.1177/2053168018818232" TargetMode="External"/><Relationship Id="rId123" Type="http://schemas.openxmlformats.org/officeDocument/2006/relationships/hyperlink" Target="https://doi.org/10.1080/13698240903403915" TargetMode="External"/><Relationship Id="rId5" Type="http://schemas.openxmlformats.org/officeDocument/2006/relationships/webSettings" Target="webSettings.xml"/><Relationship Id="rId90" Type="http://schemas.openxmlformats.org/officeDocument/2006/relationships/hyperlink" Target="https://doi.org/10.1073/pnas.1421533112" TargetMode="External"/><Relationship Id="rId95" Type="http://schemas.openxmlformats.org/officeDocument/2006/relationships/hyperlink" Target="https://doi.org/10.1177/0022002708327644" TargetMode="External"/><Relationship Id="rId22" Type="http://schemas.openxmlformats.org/officeDocument/2006/relationships/hyperlink" Target="https://doi.org/10.1177/0022002702046001002" TargetMode="External"/><Relationship Id="rId27" Type="http://schemas.openxmlformats.org/officeDocument/2006/relationships/hyperlink" Target="https://doi.org/10.1177/0022002712439496" TargetMode="External"/><Relationship Id="rId43" Type="http://schemas.openxmlformats.org/officeDocument/2006/relationships/hyperlink" Target="https://doi.org/10.1007/s40641-017-0079-5" TargetMode="External"/><Relationship Id="rId48" Type="http://schemas.openxmlformats.org/officeDocument/2006/relationships/hyperlink" Target="https://doi.org/10.1177/0022343312437773" TargetMode="External"/><Relationship Id="rId64" Type="http://schemas.openxmlformats.org/officeDocument/2006/relationships/hyperlink" Target="https://doi.org/10.1073/pnas.0907998106" TargetMode="External"/><Relationship Id="rId69" Type="http://schemas.openxmlformats.org/officeDocument/2006/relationships/hyperlink" Target="https://doi.org/10.1257/jel.52.3.740" TargetMode="External"/><Relationship Id="rId113" Type="http://schemas.openxmlformats.org/officeDocument/2006/relationships/hyperlink" Target="https://doi.org/10.1016/j.polgeo.2014.10.004" TargetMode="External"/><Relationship Id="rId118" Type="http://schemas.openxmlformats.org/officeDocument/2006/relationships/hyperlink" Target="https://doi.org/10.1080/00031305.1995.10476125" TargetMode="External"/><Relationship Id="rId80" Type="http://schemas.openxmlformats.org/officeDocument/2006/relationships/hyperlink" Target="https://doi.org/10.1177/0022343398035003007" TargetMode="External"/><Relationship Id="rId85" Type="http://schemas.openxmlformats.org/officeDocument/2006/relationships/hyperlink" Target="https://doi.org/10.1007/s10584-013-0868-3" TargetMode="External"/><Relationship Id="rId12" Type="http://schemas.openxmlformats.org/officeDocument/2006/relationships/chart" Target="charts/chart1.xml"/><Relationship Id="rId17" Type="http://schemas.openxmlformats.org/officeDocument/2006/relationships/hyperlink" Target="https://doi.org/10.1257/aer.20150774" TargetMode="External"/><Relationship Id="rId33" Type="http://schemas.openxmlformats.org/officeDocument/2006/relationships/hyperlink" Target="https://doi.org/10.1177/0022002708327644" TargetMode="External"/><Relationship Id="rId38" Type="http://schemas.openxmlformats.org/officeDocument/2006/relationships/hyperlink" Target="https://doi.org/10.1177/0022343311427754" TargetMode="External"/><Relationship Id="rId59" Type="http://schemas.openxmlformats.org/officeDocument/2006/relationships/hyperlink" Target="https://doi.org/10.1126/science.1154539" TargetMode="External"/><Relationship Id="rId103" Type="http://schemas.openxmlformats.org/officeDocument/2006/relationships/hyperlink" Target="https://doi.org/10.1177/0022343307087169" TargetMode="External"/><Relationship Id="rId108" Type="http://schemas.openxmlformats.org/officeDocument/2006/relationships/hyperlink" Target="https://doi.org/10.1016/j.polgeo.2007.06.005" TargetMode="External"/><Relationship Id="rId124" Type="http://schemas.openxmlformats.org/officeDocument/2006/relationships/hyperlink" Target="https://doi.org/10.2166/wp.2003.0002" TargetMode="External"/><Relationship Id="rId54" Type="http://schemas.openxmlformats.org/officeDocument/2006/relationships/hyperlink" Target="https://doi.org/10.1016/j.euras.2017.12.006" TargetMode="External"/><Relationship Id="rId70" Type="http://schemas.openxmlformats.org/officeDocument/2006/relationships/hyperlink" Target="https://doi.org/10.1016/j.ejpoleco.2005.06.003" TargetMode="External"/><Relationship Id="rId75" Type="http://schemas.openxmlformats.org/officeDocument/2006/relationships/hyperlink" Target="https://doi.org/10.1515/peps-2015-0022" TargetMode="External"/><Relationship Id="rId91" Type="http://schemas.openxmlformats.org/officeDocument/2006/relationships/hyperlink" Target="https://doi.org/10.1080/10042857.2018.1460957" TargetMode="External"/><Relationship Id="rId96" Type="http://schemas.openxmlformats.org/officeDocument/2006/relationships/hyperlink" Target="https://doi.org/10.1177/0022002705277548"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doi.org/10.1177/0022343302039004002" TargetMode="External"/><Relationship Id="rId28" Type="http://schemas.openxmlformats.org/officeDocument/2006/relationships/hyperlink" Target="https://doi.org/10.1080/03050620600596421" TargetMode="External"/><Relationship Id="rId49" Type="http://schemas.openxmlformats.org/officeDocument/2006/relationships/hyperlink" Target="https://doi.org/10.1016/S0305-750X(01)00066-3" TargetMode="External"/><Relationship Id="rId114" Type="http://schemas.openxmlformats.org/officeDocument/2006/relationships/hyperlink" Target="https://doi.org/10.1126/science.1221339" TargetMode="External"/><Relationship Id="rId119" Type="http://schemas.openxmlformats.org/officeDocument/2006/relationships/hyperlink" Target="https://doi.org/10.1177/0022343311425842" TargetMode="External"/><Relationship Id="rId44" Type="http://schemas.openxmlformats.org/officeDocument/2006/relationships/hyperlink" Target="https://doi.org/10.1177/0022343311425842" TargetMode="External"/><Relationship Id="rId60" Type="http://schemas.openxmlformats.org/officeDocument/2006/relationships/hyperlink" Target="https://doi.org/10.1515/peps-2016-0034" TargetMode="External"/><Relationship Id="rId65" Type="http://schemas.openxmlformats.org/officeDocument/2006/relationships/hyperlink" Target="https://doi.org/10.1093/oep/gpn029" TargetMode="External"/><Relationship Id="rId81" Type="http://schemas.openxmlformats.org/officeDocument/2006/relationships/hyperlink" Target="https://doi.org/10.1175/WCAS-D-13-00059.1" TargetMode="External"/><Relationship Id="rId86" Type="http://schemas.openxmlformats.org/officeDocument/2006/relationships/hyperlink" Target="https://doi.org/10.1126/science.1235367" TargetMode="External"/><Relationship Id="rId13" Type="http://schemas.openxmlformats.org/officeDocument/2006/relationships/image" Target="media/image4.png"/><Relationship Id="rId18" Type="http://schemas.openxmlformats.org/officeDocument/2006/relationships/hyperlink" Target="https://doi.org/10.1007/s11111-007-0053-6" TargetMode="External"/><Relationship Id="rId39" Type="http://schemas.openxmlformats.org/officeDocument/2006/relationships/hyperlink" Target="https://doi.org/10.1016/j.polgeo.2007.06.005" TargetMode="External"/><Relationship Id="rId109" Type="http://schemas.openxmlformats.org/officeDocument/2006/relationships/hyperlink" Target="https://doi.org/10.2166/wp.2011.097" TargetMode="External"/><Relationship Id="rId34" Type="http://schemas.openxmlformats.org/officeDocument/2006/relationships/hyperlink" Target="https://doi.org/10.1177/0022002705277548" TargetMode="External"/><Relationship Id="rId50" Type="http://schemas.openxmlformats.org/officeDocument/2006/relationships/hyperlink" Target="https://doi.org/10.1038/s41558-018-0068-2" TargetMode="External"/><Relationship Id="rId55" Type="http://schemas.openxmlformats.org/officeDocument/2006/relationships/hyperlink" Target="https://doi.org/10.1093/fpa/orw002" TargetMode="External"/><Relationship Id="rId76" Type="http://schemas.openxmlformats.org/officeDocument/2006/relationships/hyperlink" Target="https://doi.org/10.1177/0022343302039005007" TargetMode="External"/><Relationship Id="rId97" Type="http://schemas.openxmlformats.org/officeDocument/2006/relationships/hyperlink" Target="https://doi.org/10.1057/9781137073723_3" TargetMode="External"/><Relationship Id="rId104" Type="http://schemas.openxmlformats.org/officeDocument/2006/relationships/hyperlink" Target="https://doi.org/10.1017/CBO9781316423936" TargetMode="External"/><Relationship Id="rId120" Type="http://schemas.openxmlformats.org/officeDocument/2006/relationships/hyperlink" Target="https://doi.org/10.1016/j.worlddev.2015.10.011" TargetMode="External"/><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doi.org/10.1017/S0003055403000534" TargetMode="External"/><Relationship Id="rId92" Type="http://schemas.openxmlformats.org/officeDocument/2006/relationships/hyperlink" Target="https://doi.org/10.1177/0022343313493455" TargetMode="External"/><Relationship Id="rId2" Type="http://schemas.openxmlformats.org/officeDocument/2006/relationships/numbering" Target="numbering.xml"/><Relationship Id="rId29" Type="http://schemas.openxmlformats.org/officeDocument/2006/relationships/hyperlink" Target="https://doi.org/10.1016/j.polgeo.2010.10.005" TargetMode="External"/><Relationship Id="rId24" Type="http://schemas.openxmlformats.org/officeDocument/2006/relationships/hyperlink" Target="https://doi.org/10.1080/07388940701468468" TargetMode="External"/><Relationship Id="rId40" Type="http://schemas.openxmlformats.org/officeDocument/2006/relationships/hyperlink" Target="https://doi.org/10.1007/s10584-010-9884-8" TargetMode="External"/><Relationship Id="rId45" Type="http://schemas.openxmlformats.org/officeDocument/2006/relationships/hyperlink" Target="https://doi.org/10.1162/ISEC_a_00065" TargetMode="External"/><Relationship Id="rId66" Type="http://schemas.openxmlformats.org/officeDocument/2006/relationships/hyperlink" Target="https://doi.org/10.1016/j.exis.2014.07.006" TargetMode="External"/><Relationship Id="rId87" Type="http://schemas.openxmlformats.org/officeDocument/2006/relationships/hyperlink" Target="https://doi.org/10.1177/0022002705277545" TargetMode="External"/><Relationship Id="rId110" Type="http://schemas.openxmlformats.org/officeDocument/2006/relationships/hyperlink" Target="https://doi.org/10.1016/j.jdeveco.2006.01.008" TargetMode="External"/><Relationship Id="rId115" Type="http://schemas.openxmlformats.org/officeDocument/2006/relationships/hyperlink" Target="https://doi.org/10.1073/pnas.1601611113" TargetMode="External"/><Relationship Id="rId61" Type="http://schemas.openxmlformats.org/officeDocument/2006/relationships/hyperlink" Target="https://doi.org/10.1088/1748-9326/10/12/125015" TargetMode="External"/><Relationship Id="rId82" Type="http://schemas.openxmlformats.org/officeDocument/2006/relationships/hyperlink" Target="https://doi.org/10.4324/9781315070766" TargetMode="External"/><Relationship Id="rId19" Type="http://schemas.openxmlformats.org/officeDocument/2006/relationships/hyperlink" Target="https://doi.org/10.1016/j.gloenvcha.2013.11.018" TargetMode="External"/><Relationship Id="rId14" Type="http://schemas.openxmlformats.org/officeDocument/2006/relationships/hyperlink" Target="https://doi.org/10.1007/s13412-015-0252-x" TargetMode="External"/><Relationship Id="rId30" Type="http://schemas.openxmlformats.org/officeDocument/2006/relationships/hyperlink" Target="https://doi.org/10.1177/0022343398035003003" TargetMode="External"/><Relationship Id="rId35" Type="http://schemas.openxmlformats.org/officeDocument/2006/relationships/hyperlink" Target="https://doi.org/10.1093/oep/gpt037" TargetMode="External"/><Relationship Id="rId56" Type="http://schemas.openxmlformats.org/officeDocument/2006/relationships/hyperlink" Target="https://doi.org/10.1177/0022343308096158" TargetMode="External"/><Relationship Id="rId77" Type="http://schemas.openxmlformats.org/officeDocument/2006/relationships/hyperlink" Target="https://doi.org/10.1177/0022343305049666" TargetMode="External"/><Relationship Id="rId100" Type="http://schemas.openxmlformats.org/officeDocument/2006/relationships/hyperlink" Target="https://doi.org/10.4119/unibi/ijcv.113" TargetMode="External"/><Relationship Id="rId105" Type="http://schemas.openxmlformats.org/officeDocument/2006/relationships/hyperlink" Target="https://doi.org/10.1177/0022343398035003002" TargetMode="External"/><Relationship Id="rId12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doi.org/10.1088/1748-9326/10/6/060201" TargetMode="External"/><Relationship Id="rId72" Type="http://schemas.openxmlformats.org/officeDocument/2006/relationships/hyperlink" Target="https://doi.org/10.1073/pnas.1002632107" TargetMode="External"/><Relationship Id="rId93" Type="http://schemas.openxmlformats.org/officeDocument/2006/relationships/hyperlink" Target="https://doi.org/10.1016/j.gloenvcha.2014.02.006" TargetMode="External"/><Relationship Id="rId98" Type="http://schemas.openxmlformats.org/officeDocument/2006/relationships/hyperlink" Target="https://doi.org/10.1111/j.1468-0297.2006.01045.x" TargetMode="External"/><Relationship Id="rId121" Type="http://schemas.openxmlformats.org/officeDocument/2006/relationships/hyperlink" Target="https://doi.org/10.1073/pnas.1607542113" TargetMode="External"/><Relationship Id="rId3" Type="http://schemas.openxmlformats.org/officeDocument/2006/relationships/styles" Target="styles.xml"/><Relationship Id="rId25" Type="http://schemas.openxmlformats.org/officeDocument/2006/relationships/hyperlink" Target="https://doi.org/10.1177/0022002705277544" TargetMode="External"/><Relationship Id="rId46" Type="http://schemas.openxmlformats.org/officeDocument/2006/relationships/hyperlink" Target="https://doi.org/10.1016/S0962-6298(00)00038-X" TargetMode="External"/><Relationship Id="rId67" Type="http://schemas.openxmlformats.org/officeDocument/2006/relationships/hyperlink" Target="https://doi.org/10.1080/07388940701468468" TargetMode="External"/><Relationship Id="rId116" Type="http://schemas.openxmlformats.org/officeDocument/2006/relationships/hyperlink" Target="https://doi.org/10.1016/j.gloenvcha.2014.01.008" TargetMode="External"/><Relationship Id="rId20" Type="http://schemas.openxmlformats.org/officeDocument/2006/relationships/hyperlink" Target="https://doi.org/10.1016/j.polgeo.2012.11.001" TargetMode="External"/><Relationship Id="rId41" Type="http://schemas.openxmlformats.org/officeDocument/2006/relationships/hyperlink" Target="https://doi.org/10.1177/0022343311411743" TargetMode="External"/><Relationship Id="rId62" Type="http://schemas.openxmlformats.org/officeDocument/2006/relationships/hyperlink" Target="https://doi.org/10.1016/j.polgeo.2005.01.006" TargetMode="External"/><Relationship Id="rId83" Type="http://schemas.openxmlformats.org/officeDocument/2006/relationships/hyperlink" Target="https://doi.org/10.1177/0022343398035003003" TargetMode="External"/><Relationship Id="rId88" Type="http://schemas.openxmlformats.org/officeDocument/2006/relationships/hyperlink" Target="https://doi.org/10.1002/wcc.456" TargetMode="External"/><Relationship Id="rId111" Type="http://schemas.openxmlformats.org/officeDocument/2006/relationships/hyperlink" Target="https://doi.org/10.1016/j.gloenvcha.2012.04.002" TargetMode="External"/><Relationship Id="rId15" Type="http://schemas.openxmlformats.org/officeDocument/2006/relationships/hyperlink" Target="https://doi.org/10.1016/j.jeem.2017.06.002" TargetMode="External"/><Relationship Id="rId36" Type="http://schemas.openxmlformats.org/officeDocument/2006/relationships/hyperlink" Target="https://doi.org/10.1016/j.polgeo.2007.06.001" TargetMode="External"/><Relationship Id="rId57" Type="http://schemas.openxmlformats.org/officeDocument/2006/relationships/hyperlink" Target="https://doi.org/10.1007/s11162-011-9232-5" TargetMode="External"/><Relationship Id="rId106" Type="http://schemas.openxmlformats.org/officeDocument/2006/relationships/hyperlink" Target="https://doi.org/10.1037/0021-9010.90.1.175" TargetMode="External"/><Relationship Id="rId10" Type="http://schemas.openxmlformats.org/officeDocument/2006/relationships/image" Target="media/image3.png"/><Relationship Id="rId31" Type="http://schemas.openxmlformats.org/officeDocument/2006/relationships/hyperlink" Target="https://doi.org/10.1177/0022002705277545" TargetMode="External"/><Relationship Id="rId52" Type="http://schemas.openxmlformats.org/officeDocument/2006/relationships/hyperlink" Target="https://doi.org/10.1016/j.jeem.2017.06.002" TargetMode="External"/><Relationship Id="rId73" Type="http://schemas.openxmlformats.org/officeDocument/2006/relationships/hyperlink" Target="https://doi.org/10.1016/j.polgeo.2012.08.004" TargetMode="External"/><Relationship Id="rId78" Type="http://schemas.openxmlformats.org/officeDocument/2006/relationships/hyperlink" Target="https://doi.org/10.1016/j.polgeo.2010.10.005" TargetMode="External"/><Relationship Id="rId94" Type="http://schemas.openxmlformats.org/officeDocument/2006/relationships/hyperlink" Target="https://doi.org/10.1016/j.eneco.2013.09.029" TargetMode="External"/><Relationship Id="rId99" Type="http://schemas.openxmlformats.org/officeDocument/2006/relationships/hyperlink" Target="https://doi.org/10.1023/A:1026570529614" TargetMode="External"/><Relationship Id="rId101" Type="http://schemas.openxmlformats.org/officeDocument/2006/relationships/hyperlink" Target="https://doi.org/10.1146/annurev-resource-091912-151910" TargetMode="External"/><Relationship Id="rId122" Type="http://schemas.openxmlformats.org/officeDocument/2006/relationships/hyperlink" Target="https://doi.org/10.1016/j.polgeo.2014.10.003" TargetMode="Externa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ser\Documents\PhD\CONFLICTS\1chapter\Meta-analysis%20data\Samples\Main\new%20_sample\sample_by_study.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baseline="0">
                <a:solidFill>
                  <a:srgbClr val="333333"/>
                </a:solidFill>
                <a:latin typeface="Calibri Light"/>
                <a:ea typeface="Calibri Light"/>
                <a:cs typeface="Calibri Light"/>
              </a:defRPr>
            </a:pPr>
            <a:r>
              <a:rPr lang="en-GB" sz="1200"/>
              <a:t>Sample selection by study</a:t>
            </a:r>
          </a:p>
        </c:rich>
      </c:tx>
      <c:overlay val="0"/>
      <c:spPr>
        <a:noFill/>
        <a:ln>
          <a:noFill/>
        </a:ln>
        <a:effectLst/>
      </c:spPr>
      <c:txPr>
        <a:bodyPr rot="0" spcFirstLastPara="1" vertOverflow="ellipsis" vert="horz" wrap="square" anchor="ctr" anchorCtr="1"/>
        <a:lstStyle/>
        <a:p>
          <a:pPr>
            <a:defRPr sz="1200" b="0" i="0" u="none" strike="noStrike" kern="1200" baseline="0">
              <a:solidFill>
                <a:srgbClr val="333333"/>
              </a:solidFill>
              <a:latin typeface="Calibri Light"/>
              <a:ea typeface="Calibri Light"/>
              <a:cs typeface="Calibri Light"/>
            </a:defRPr>
          </a:pPr>
          <a:endParaRPr lang="it-IT"/>
        </a:p>
      </c:txPr>
    </c:title>
    <c:autoTitleDeleted val="0"/>
    <c:plotArea>
      <c:layout/>
      <c:barChart>
        <c:barDir val="col"/>
        <c:grouping val="clustered"/>
        <c:varyColors val="0"/>
        <c:ser>
          <c:idx val="0"/>
          <c:order val="0"/>
          <c:tx>
            <c:strRef>
              <c:f>Sheet1!$E$1</c:f>
              <c:strCache>
                <c:ptCount val="1"/>
                <c:pt idx="0">
                  <c:v>Global</c:v>
                </c:pt>
              </c:strCache>
            </c:strRef>
          </c:tx>
          <c:spPr>
            <a:solidFill>
              <a:schemeClr val="accent3">
                <a:shade val="58000"/>
              </a:schemeClr>
            </a:solidFill>
            <a:ln>
              <a:noFill/>
            </a:ln>
            <a:effectLst/>
          </c:spPr>
          <c:invertIfNegative val="0"/>
          <c:val>
            <c:numRef>
              <c:f>Sheet1!$E$43</c:f>
              <c:numCache>
                <c:formatCode>General</c:formatCode>
                <c:ptCount val="1"/>
                <c:pt idx="0">
                  <c:v>27</c:v>
                </c:pt>
              </c:numCache>
            </c:numRef>
          </c:val>
          <c:extLst xmlns:c16r2="http://schemas.microsoft.com/office/drawing/2015/06/chart">
            <c:ext xmlns:c16="http://schemas.microsoft.com/office/drawing/2014/chart" uri="{C3380CC4-5D6E-409C-BE32-E72D297353CC}">
              <c16:uniqueId val="{00000000-93E0-4896-B8EF-2B125CA4F042}"/>
            </c:ext>
          </c:extLst>
        </c:ser>
        <c:ser>
          <c:idx val="1"/>
          <c:order val="1"/>
          <c:tx>
            <c:strRef>
              <c:f>Sheet1!$B$1</c:f>
              <c:strCache>
                <c:ptCount val="1"/>
                <c:pt idx="0">
                  <c:v>Regional</c:v>
                </c:pt>
              </c:strCache>
            </c:strRef>
          </c:tx>
          <c:spPr>
            <a:solidFill>
              <a:schemeClr val="accent3">
                <a:shade val="86000"/>
              </a:schemeClr>
            </a:solidFill>
            <a:ln>
              <a:noFill/>
            </a:ln>
            <a:effectLst/>
          </c:spPr>
          <c:invertIfNegative val="0"/>
          <c:val>
            <c:numRef>
              <c:f>Sheet1!$B$43</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1-93E0-4896-B8EF-2B125CA4F042}"/>
            </c:ext>
          </c:extLst>
        </c:ser>
        <c:ser>
          <c:idx val="2"/>
          <c:order val="2"/>
          <c:tx>
            <c:strRef>
              <c:f>Sheet1!$D$1</c:f>
              <c:strCache>
                <c:ptCount val="1"/>
                <c:pt idx="0">
                  <c:v>National</c:v>
                </c:pt>
              </c:strCache>
            </c:strRef>
          </c:tx>
          <c:spPr>
            <a:solidFill>
              <a:schemeClr val="accent3">
                <a:tint val="86000"/>
              </a:schemeClr>
            </a:solidFill>
            <a:ln>
              <a:noFill/>
            </a:ln>
            <a:effectLst/>
          </c:spPr>
          <c:invertIfNegative val="0"/>
          <c:val>
            <c:numRef>
              <c:f>Sheet1!$D$43</c:f>
              <c:numCache>
                <c:formatCode>General</c:formatCode>
                <c:ptCount val="1"/>
                <c:pt idx="0">
                  <c:v>4</c:v>
                </c:pt>
              </c:numCache>
            </c:numRef>
          </c:val>
          <c:extLst xmlns:c16r2="http://schemas.microsoft.com/office/drawing/2015/06/chart">
            <c:ext xmlns:c16="http://schemas.microsoft.com/office/drawing/2014/chart" uri="{C3380CC4-5D6E-409C-BE32-E72D297353CC}">
              <c16:uniqueId val="{00000002-93E0-4896-B8EF-2B125CA4F042}"/>
            </c:ext>
          </c:extLst>
        </c:ser>
        <c:ser>
          <c:idx val="3"/>
          <c:order val="3"/>
          <c:tx>
            <c:strRef>
              <c:f>Sheet1!$C$1</c:f>
              <c:strCache>
                <c:ptCount val="1"/>
                <c:pt idx="0">
                  <c:v>Africa</c:v>
                </c:pt>
              </c:strCache>
            </c:strRef>
          </c:tx>
          <c:spPr>
            <a:solidFill>
              <a:schemeClr val="accent3">
                <a:tint val="58000"/>
              </a:schemeClr>
            </a:solidFill>
            <a:ln>
              <a:noFill/>
            </a:ln>
            <a:effectLst/>
          </c:spPr>
          <c:invertIfNegative val="0"/>
          <c:val>
            <c:numRef>
              <c:f>Sheet1!$C$43</c:f>
              <c:numCache>
                <c:formatCode>General</c:formatCode>
                <c:ptCount val="1"/>
                <c:pt idx="0">
                  <c:v>12</c:v>
                </c:pt>
              </c:numCache>
            </c:numRef>
          </c:val>
          <c:extLst xmlns:c16r2="http://schemas.microsoft.com/office/drawing/2015/06/chart">
            <c:ext xmlns:c16="http://schemas.microsoft.com/office/drawing/2014/chart" uri="{C3380CC4-5D6E-409C-BE32-E72D297353CC}">
              <c16:uniqueId val="{00000003-93E0-4896-B8EF-2B125CA4F042}"/>
            </c:ext>
          </c:extLst>
        </c:ser>
        <c:dLbls>
          <c:showLegendKey val="0"/>
          <c:showVal val="0"/>
          <c:showCatName val="0"/>
          <c:showSerName val="0"/>
          <c:showPercent val="0"/>
          <c:showBubbleSize val="0"/>
        </c:dLbls>
        <c:gapWidth val="483"/>
        <c:overlap val="-7"/>
        <c:axId val="1092327232"/>
        <c:axId val="1092328864"/>
      </c:barChart>
      <c:catAx>
        <c:axId val="1092327232"/>
        <c:scaling>
          <c:orientation val="minMax"/>
        </c:scaling>
        <c:delete val="1"/>
        <c:axPos val="b"/>
        <c:title>
          <c:tx>
            <c:rich>
              <a:bodyPr rot="0" spcFirstLastPara="1" vertOverflow="ellipsis" vert="horz" wrap="square" anchor="ctr" anchorCtr="1"/>
              <a:lstStyle/>
              <a:p>
                <a:pPr>
                  <a:defRPr sz="1000" b="0" i="0" u="none" strike="noStrike" kern="1200" baseline="0">
                    <a:solidFill>
                      <a:srgbClr val="333333"/>
                    </a:solidFill>
                    <a:latin typeface="Calibri"/>
                    <a:ea typeface="Calibri"/>
                    <a:cs typeface="Calibri"/>
                  </a:defRPr>
                </a:pPr>
                <a:r>
                  <a:rPr lang="en-GB"/>
                  <a:t>study sample </a:t>
                </a:r>
              </a:p>
            </c:rich>
          </c:tx>
          <c:overlay val="0"/>
          <c:spPr>
            <a:noFill/>
            <a:ln>
              <a:noFill/>
            </a:ln>
            <a:effectLst/>
          </c:spPr>
          <c:txPr>
            <a:bodyPr rot="0" spcFirstLastPara="1" vertOverflow="ellipsis" vert="horz" wrap="square" anchor="ctr" anchorCtr="1"/>
            <a:lstStyle/>
            <a:p>
              <a:pPr>
                <a:defRPr sz="1000" b="0" i="0" u="none" strike="noStrike" kern="1200" baseline="0">
                  <a:solidFill>
                    <a:srgbClr val="333333"/>
                  </a:solidFill>
                  <a:latin typeface="Calibri"/>
                  <a:ea typeface="Calibri"/>
                  <a:cs typeface="Calibri"/>
                </a:defRPr>
              </a:pPr>
              <a:endParaRPr lang="it-IT"/>
            </a:p>
          </c:txPr>
        </c:title>
        <c:majorTickMark val="out"/>
        <c:minorTickMark val="none"/>
        <c:tickLblPos val="nextTo"/>
        <c:crossAx val="1092328864"/>
        <c:crosses val="autoZero"/>
        <c:auto val="1"/>
        <c:lblAlgn val="ctr"/>
        <c:lblOffset val="100"/>
        <c:noMultiLvlLbl val="0"/>
      </c:catAx>
      <c:valAx>
        <c:axId val="1092328864"/>
        <c:scaling>
          <c:orientation val="minMax"/>
        </c:scaling>
        <c:delete val="0"/>
        <c:axPos val="l"/>
        <c:majorGridlines>
          <c:spPr>
            <a:ln w="9525" cap="flat" cmpd="sng" algn="ctr">
              <a:solidFill>
                <a:schemeClr val="tx1">
                  <a:lumMod val="15000"/>
                  <a:lumOff val="85000"/>
                </a:schemeClr>
              </a:solidFill>
              <a:prstDash val="solid"/>
              <a:round/>
            </a:ln>
            <a:effectLst/>
          </c:spPr>
        </c:majorGridlines>
        <c:title>
          <c:tx>
            <c:rich>
              <a:bodyPr rot="-5400000" spcFirstLastPara="1" vertOverflow="ellipsis" vert="horz" wrap="square" anchor="ctr" anchorCtr="1"/>
              <a:lstStyle/>
              <a:p>
                <a:pPr>
                  <a:defRPr sz="1000" b="0" i="0" u="none" strike="noStrike" kern="1200" baseline="0">
                    <a:solidFill>
                      <a:srgbClr val="333333"/>
                    </a:solidFill>
                    <a:latin typeface="Calibri"/>
                    <a:ea typeface="Calibri"/>
                    <a:cs typeface="Calibri"/>
                  </a:defRPr>
                </a:pPr>
                <a:r>
                  <a:rPr lang="en-GB"/>
                  <a:t>Frequency</a:t>
                </a:r>
              </a:p>
            </c:rich>
          </c:tx>
          <c:overlay val="0"/>
          <c:spPr>
            <a:noFill/>
            <a:ln>
              <a:noFill/>
            </a:ln>
            <a:effectLst/>
          </c:spPr>
          <c:txPr>
            <a:bodyPr rot="-5400000" spcFirstLastPara="1" vertOverflow="ellipsis" vert="horz" wrap="square" anchor="ctr" anchorCtr="1"/>
            <a:lstStyle/>
            <a:p>
              <a:pPr>
                <a:defRPr sz="1000" b="0" i="0" u="none" strike="noStrike" kern="1200" baseline="0">
                  <a:solidFill>
                    <a:srgbClr val="333333"/>
                  </a:solidFill>
                  <a:latin typeface="Calibri"/>
                  <a:ea typeface="Calibri"/>
                  <a:cs typeface="Calibri"/>
                </a:defRPr>
              </a:pPr>
              <a:endParaRPr lang="it-IT"/>
            </a:p>
          </c:txPr>
        </c:title>
        <c:numFmt formatCode="General" sourceLinked="1"/>
        <c:majorTickMark val="none"/>
        <c:minorTickMark val="none"/>
        <c:tickLblPos val="nextTo"/>
        <c:spPr>
          <a:noFill/>
          <a:ln w="6350" cap="flat" cmpd="sng" algn="ctr">
            <a:noFill/>
            <a:prstDash val="solid"/>
            <a:round/>
          </a:ln>
          <a:effectLst/>
        </c:spPr>
        <c:txPr>
          <a:bodyPr rot="0" spcFirstLastPara="1" vertOverflow="ellipsis" wrap="square" anchor="ctr" anchorCtr="1"/>
          <a:lstStyle/>
          <a:p>
            <a:pPr>
              <a:defRPr sz="900" b="0" i="0" u="none" strike="noStrike" kern="1200" baseline="0">
                <a:solidFill>
                  <a:srgbClr val="333333"/>
                </a:solidFill>
                <a:latin typeface="Calibri"/>
                <a:ea typeface="Calibri"/>
                <a:cs typeface="Calibri"/>
              </a:defRPr>
            </a:pPr>
            <a:endParaRPr lang="it-IT"/>
          </a:p>
        </c:txPr>
        <c:crossAx val="1092327232"/>
        <c:crosses val="autoZero"/>
        <c:crossBetween val="between"/>
      </c:valAx>
      <c:spPr>
        <a:noFill/>
        <a:ln w="25400">
          <a:noFill/>
        </a:ln>
        <a:effectLst/>
      </c:spPr>
    </c:plotArea>
    <c:legend>
      <c:legendPos val="r"/>
      <c:layout>
        <c:manualLayout>
          <c:xMode val="edge"/>
          <c:yMode val="edge"/>
          <c:x val="0.84206332646355053"/>
          <c:y val="0.58121233209187639"/>
          <c:w val="0.13624133803358263"/>
          <c:h val="0.34848598098723749"/>
        </c:manualLayout>
      </c:layout>
      <c:overlay val="0"/>
      <c:spPr>
        <a:noFill/>
        <a:ln>
          <a:noFill/>
        </a:ln>
        <a:effectLst/>
      </c:spPr>
      <c:txPr>
        <a:bodyPr rot="0" spcFirstLastPara="1" vertOverflow="ellipsis" vert="horz" wrap="square" anchor="ctr" anchorCtr="1"/>
        <a:lstStyle/>
        <a:p>
          <a:pPr>
            <a:defRPr sz="825" b="0" i="0" u="none" strike="noStrike" kern="1200" baseline="0">
              <a:solidFill>
                <a:srgbClr val="333333"/>
              </a:solidFill>
              <a:latin typeface="Calibri"/>
              <a:ea typeface="Calibri"/>
              <a:cs typeface="Calibri"/>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sz="1000" b="0" i="0" u="none" strike="noStrike" baseline="0">
          <a:solidFill>
            <a:srgbClr val="000000"/>
          </a:solidFill>
          <a:latin typeface="Calibri"/>
          <a:ea typeface="Calibri"/>
          <a:cs typeface="Calibri"/>
        </a:defRPr>
      </a:pPr>
      <a:endParaRPr lang="it-IT"/>
    </a:p>
  </c:txPr>
  <c:externalData r:id="rId4">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7846E7-F3B3-40E8-8D4C-F832E22E2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8918</TotalTime>
  <Pages>42</Pages>
  <Words>16366</Words>
  <Characters>93292</Characters>
  <Application>Microsoft Office Word</Application>
  <DocSecurity>0</DocSecurity>
  <Lines>777</Lines>
  <Paragraphs>218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109440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Vesco</dc:creator>
  <cp:keywords/>
  <dc:description/>
  <cp:lastModifiedBy>Enrica De Cian</cp:lastModifiedBy>
  <cp:revision>21</cp:revision>
  <cp:lastPrinted>2019-06-07T17:25:00Z</cp:lastPrinted>
  <dcterms:created xsi:type="dcterms:W3CDTF">2019-03-23T21:25:00Z</dcterms:created>
  <dcterms:modified xsi:type="dcterms:W3CDTF">2024-11-29T08:33:00Z</dcterms:modified>
</cp:coreProperties>
</file>