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53DEDD" w14:textId="77777777" w:rsidR="00414630" w:rsidRPr="008E5B32" w:rsidRDefault="00414630" w:rsidP="00740395">
      <w:pPr>
        <w:pStyle w:val="Title"/>
        <w:spacing w:before="240" w:line="276" w:lineRule="auto"/>
        <w:jc w:val="center"/>
        <w:rPr>
          <w:b/>
          <w:sz w:val="32"/>
          <w:szCs w:val="32"/>
          <w:lang w:val="en-GB"/>
        </w:rPr>
      </w:pPr>
      <w:r w:rsidRPr="008E5B32">
        <w:rPr>
          <w:b/>
          <w:sz w:val="32"/>
          <w:szCs w:val="32"/>
          <w:lang w:val="en-GB"/>
        </w:rPr>
        <w:t xml:space="preserve">Making use of available and </w:t>
      </w:r>
      <w:r w:rsidR="00344E43" w:rsidRPr="008E5B32">
        <w:rPr>
          <w:b/>
          <w:sz w:val="32"/>
          <w:szCs w:val="32"/>
          <w:lang w:val="en-GB"/>
        </w:rPr>
        <w:t xml:space="preserve">emerging </w:t>
      </w:r>
      <w:r w:rsidRPr="008E5B32">
        <w:rPr>
          <w:b/>
          <w:sz w:val="32"/>
          <w:szCs w:val="32"/>
          <w:lang w:val="en-GB"/>
        </w:rPr>
        <w:t xml:space="preserve">data to predict the hazards of engineered nanomaterials by means of </w:t>
      </w:r>
      <w:r w:rsidRPr="008E5B32">
        <w:rPr>
          <w:b/>
          <w:i/>
          <w:sz w:val="32"/>
          <w:szCs w:val="32"/>
          <w:lang w:val="en-GB"/>
        </w:rPr>
        <w:t>in silico</w:t>
      </w:r>
      <w:r w:rsidRPr="008E5B32">
        <w:rPr>
          <w:b/>
          <w:sz w:val="32"/>
          <w:szCs w:val="32"/>
          <w:lang w:val="en-GB"/>
        </w:rPr>
        <w:t xml:space="preserve"> tools: a critical review</w:t>
      </w:r>
    </w:p>
    <w:p w14:paraId="0B99C158" w14:textId="10C16BD9" w:rsidR="00414630" w:rsidRPr="008E5B32" w:rsidRDefault="00414630" w:rsidP="00740395">
      <w:pPr>
        <w:pStyle w:val="BodyText"/>
        <w:spacing w:before="240" w:line="276" w:lineRule="auto"/>
        <w:jc w:val="center"/>
        <w:outlineLvl w:val="0"/>
        <w:rPr>
          <w:lang w:val="en-GB"/>
        </w:rPr>
      </w:pPr>
      <w:r w:rsidRPr="008E5B32">
        <w:rPr>
          <w:rFonts w:ascii="Times New Roman" w:hAnsi="Times New Roman" w:cs="Times New Roman"/>
          <w:b/>
          <w:lang w:val="en-GB"/>
        </w:rPr>
        <w:t>G. Basei</w:t>
      </w:r>
      <w:r w:rsidR="00427642" w:rsidRPr="008E5B32">
        <w:rPr>
          <w:rFonts w:ascii="Times New Roman" w:hAnsi="Times New Roman" w:cs="Times New Roman"/>
          <w:b/>
          <w:lang w:val="en-GB"/>
        </w:rPr>
        <w:t>*</w:t>
      </w:r>
      <w:r w:rsidRPr="008E5B32">
        <w:rPr>
          <w:rFonts w:ascii="Times New Roman" w:hAnsi="Times New Roman" w:cs="Times New Roman"/>
          <w:b/>
          <w:vertAlign w:val="superscript"/>
          <w:lang w:val="en-GB"/>
        </w:rPr>
        <w:t>1</w:t>
      </w:r>
      <w:r w:rsidR="00427642" w:rsidRPr="008E5B32">
        <w:rPr>
          <w:rFonts w:ascii="Times New Roman" w:hAnsi="Times New Roman" w:cs="Times New Roman"/>
          <w:b/>
          <w:vertAlign w:val="superscript"/>
          <w:lang w:val="en-GB"/>
        </w:rPr>
        <w:t>,2</w:t>
      </w:r>
      <w:r w:rsidRPr="008E5B32">
        <w:rPr>
          <w:rFonts w:ascii="Times New Roman" w:hAnsi="Times New Roman" w:cs="Times New Roman"/>
          <w:b/>
          <w:lang w:val="en-GB"/>
        </w:rPr>
        <w:t>, D. Hristozov</w:t>
      </w:r>
      <w:r w:rsidR="00427642" w:rsidRPr="008E5B32">
        <w:rPr>
          <w:rFonts w:ascii="Times New Roman" w:hAnsi="Times New Roman" w:cs="Times New Roman"/>
          <w:b/>
          <w:lang w:val="en-GB"/>
        </w:rPr>
        <w:t>*</w:t>
      </w:r>
      <w:r w:rsidRPr="008E5B32">
        <w:rPr>
          <w:rFonts w:ascii="Times New Roman" w:hAnsi="Times New Roman" w:cs="Times New Roman"/>
          <w:b/>
          <w:vertAlign w:val="superscript"/>
          <w:lang w:val="en-GB"/>
        </w:rPr>
        <w:t>2</w:t>
      </w:r>
      <w:r w:rsidRPr="008E5B32">
        <w:rPr>
          <w:rFonts w:ascii="Times New Roman" w:hAnsi="Times New Roman" w:cs="Times New Roman"/>
          <w:b/>
          <w:lang w:val="en-GB"/>
        </w:rPr>
        <w:t xml:space="preserve">, </w:t>
      </w:r>
      <w:r w:rsidR="00353D95" w:rsidRPr="008E5B32">
        <w:rPr>
          <w:rFonts w:ascii="Times New Roman" w:hAnsi="Times New Roman" w:cs="Times New Roman"/>
          <w:b/>
          <w:lang w:val="en-GB"/>
        </w:rPr>
        <w:t>L. Lamon</w:t>
      </w:r>
      <w:r w:rsidR="00353D95" w:rsidRPr="008E5B32">
        <w:rPr>
          <w:rFonts w:ascii="Times New Roman" w:hAnsi="Times New Roman" w:cs="Times New Roman"/>
          <w:b/>
          <w:vertAlign w:val="superscript"/>
          <w:lang w:val="en-GB"/>
        </w:rPr>
        <w:t>2</w:t>
      </w:r>
      <w:r w:rsidR="00353D95" w:rsidRPr="008E5B32">
        <w:rPr>
          <w:rFonts w:ascii="Times New Roman" w:hAnsi="Times New Roman" w:cs="Times New Roman"/>
          <w:b/>
          <w:lang w:val="en-GB"/>
        </w:rPr>
        <w:t xml:space="preserve">, </w:t>
      </w:r>
      <w:r w:rsidR="00265FB5" w:rsidRPr="008E5B32">
        <w:rPr>
          <w:rFonts w:ascii="Times New Roman" w:hAnsi="Times New Roman" w:cs="Times New Roman"/>
          <w:b/>
          <w:lang w:val="en-GB"/>
        </w:rPr>
        <w:t>A. Zabeo</w:t>
      </w:r>
      <w:r w:rsidR="00265FB5" w:rsidRPr="008E5B32">
        <w:rPr>
          <w:rFonts w:ascii="Times New Roman" w:hAnsi="Times New Roman" w:cs="Times New Roman"/>
          <w:b/>
          <w:vertAlign w:val="superscript"/>
          <w:lang w:val="en-GB"/>
        </w:rPr>
        <w:t>2</w:t>
      </w:r>
      <w:r w:rsidR="00265FB5" w:rsidRPr="008E5B32">
        <w:rPr>
          <w:rFonts w:ascii="Times New Roman" w:hAnsi="Times New Roman" w:cs="Times New Roman"/>
          <w:b/>
          <w:lang w:val="en-GB"/>
        </w:rPr>
        <w:t xml:space="preserve">, </w:t>
      </w:r>
      <w:r w:rsidRPr="008E5B32">
        <w:rPr>
          <w:rFonts w:ascii="Times New Roman" w:hAnsi="Times New Roman" w:cs="Times New Roman"/>
          <w:b/>
          <w:lang w:val="en-GB"/>
        </w:rPr>
        <w:t>N. Jeliazkova</w:t>
      </w:r>
      <w:r w:rsidRPr="008E5B32">
        <w:rPr>
          <w:rFonts w:ascii="Times New Roman" w:hAnsi="Times New Roman" w:cs="Times New Roman"/>
          <w:b/>
          <w:vertAlign w:val="superscript"/>
          <w:lang w:val="en-GB"/>
        </w:rPr>
        <w:t>3</w:t>
      </w:r>
      <w:r w:rsidRPr="008E5B32">
        <w:rPr>
          <w:rFonts w:ascii="Times New Roman" w:hAnsi="Times New Roman" w:cs="Times New Roman"/>
          <w:b/>
          <w:lang w:val="en-GB"/>
        </w:rPr>
        <w:t>, G. Tsiliki</w:t>
      </w:r>
      <w:r w:rsidRPr="008E5B32">
        <w:rPr>
          <w:rFonts w:ascii="Times New Roman" w:hAnsi="Times New Roman" w:cs="Times New Roman"/>
          <w:b/>
          <w:vertAlign w:val="superscript"/>
          <w:lang w:val="en-GB"/>
        </w:rPr>
        <w:t>4</w:t>
      </w:r>
      <w:r w:rsidRPr="008E5B32">
        <w:rPr>
          <w:rFonts w:ascii="Times New Roman" w:hAnsi="Times New Roman" w:cs="Times New Roman"/>
          <w:b/>
          <w:lang w:val="en-GB"/>
        </w:rPr>
        <w:t>, A. Marcomini</w:t>
      </w:r>
      <w:r w:rsidRPr="008E5B32">
        <w:rPr>
          <w:rFonts w:ascii="Times New Roman" w:hAnsi="Times New Roman" w:cs="Times New Roman"/>
          <w:b/>
          <w:vertAlign w:val="superscript"/>
          <w:lang w:val="en-GB"/>
        </w:rPr>
        <w:t>1</w:t>
      </w:r>
      <w:r w:rsidRPr="008E5B32">
        <w:rPr>
          <w:rFonts w:ascii="Times New Roman" w:hAnsi="Times New Roman" w:cs="Times New Roman"/>
          <w:b/>
          <w:lang w:val="en-GB"/>
        </w:rPr>
        <w:t>, and A. Torsello</w:t>
      </w:r>
      <w:r w:rsidRPr="008E5B32">
        <w:rPr>
          <w:rFonts w:ascii="Times New Roman" w:hAnsi="Times New Roman" w:cs="Times New Roman"/>
          <w:b/>
          <w:vertAlign w:val="superscript"/>
          <w:lang w:val="en-GB"/>
        </w:rPr>
        <w:t>1</w:t>
      </w:r>
    </w:p>
    <w:p w14:paraId="2BF0B5AB" w14:textId="156FB2D2" w:rsidR="003D5646" w:rsidRPr="008E5B32" w:rsidRDefault="00414630" w:rsidP="003D5646">
      <w:pPr>
        <w:jc w:val="left"/>
        <w:rPr>
          <w:b/>
          <w:vertAlign w:val="superscript"/>
          <w:lang w:val="en-GB"/>
        </w:rPr>
      </w:pPr>
      <w:r w:rsidRPr="008E5B32">
        <w:rPr>
          <w:b/>
          <w:vertAlign w:val="superscript"/>
          <w:lang w:val="en-GB"/>
        </w:rPr>
        <w:t>1</w:t>
      </w:r>
      <w:r w:rsidRPr="008E5B32">
        <w:rPr>
          <w:lang w:val="en-GB"/>
        </w:rPr>
        <w:t xml:space="preserve"> </w:t>
      </w:r>
      <w:r w:rsidR="00427642" w:rsidRPr="008E5B32">
        <w:rPr>
          <w:lang w:val="en-GB"/>
        </w:rPr>
        <w:t xml:space="preserve">DAIS - </w:t>
      </w:r>
      <w:r w:rsidR="00CB544E" w:rsidRPr="008E5B32">
        <w:rPr>
          <w:lang w:val="en-GB"/>
        </w:rPr>
        <w:t xml:space="preserve">Department of Environmental Sciences, Informatics and Statistics, </w:t>
      </w:r>
      <w:r w:rsidRPr="008E5B32">
        <w:rPr>
          <w:lang w:val="en-GB"/>
        </w:rPr>
        <w:t>Ca’ Foscari University of Venice,</w:t>
      </w:r>
      <w:r w:rsidR="00CB544E" w:rsidRPr="008E5B32">
        <w:rPr>
          <w:lang w:val="en-GB"/>
        </w:rPr>
        <w:t xml:space="preserve"> </w:t>
      </w:r>
      <w:r w:rsidR="00427642" w:rsidRPr="008E5B32">
        <w:rPr>
          <w:lang w:val="en-GB"/>
        </w:rPr>
        <w:t>Via Torino 155, 30170 Mestre (VE)</w:t>
      </w:r>
      <w:r w:rsidRPr="008E5B32">
        <w:rPr>
          <w:lang w:val="en-GB"/>
        </w:rPr>
        <w:t>, Italy</w:t>
      </w:r>
      <w:r w:rsidR="003D5646" w:rsidRPr="008E5B32">
        <w:rPr>
          <w:lang w:val="en-GB"/>
        </w:rPr>
        <w:t>.</w:t>
      </w:r>
    </w:p>
    <w:p w14:paraId="1F264DAC" w14:textId="5B4973EA" w:rsidR="00CB544E" w:rsidRPr="008E5B32" w:rsidRDefault="00414630" w:rsidP="003D5646">
      <w:pPr>
        <w:jc w:val="left"/>
      </w:pPr>
      <w:r w:rsidRPr="008E5B32">
        <w:rPr>
          <w:vertAlign w:val="superscript"/>
        </w:rPr>
        <w:t>2</w:t>
      </w:r>
      <w:r w:rsidRPr="008E5B32">
        <w:t xml:space="preserve"> Greendecision Srl., </w:t>
      </w:r>
      <w:r w:rsidR="00CB544E" w:rsidRPr="008E5B32">
        <w:t xml:space="preserve">Via delle </w:t>
      </w:r>
      <w:r w:rsidR="00B76805" w:rsidRPr="008E5B32">
        <w:t>I</w:t>
      </w:r>
      <w:r w:rsidR="00CB544E" w:rsidRPr="008E5B32">
        <w:t>ndustrie 21/8, 30175 Marghera (VE), Italy</w:t>
      </w:r>
      <w:r w:rsidR="003D5646" w:rsidRPr="008E5B32">
        <w:t>.</w:t>
      </w:r>
    </w:p>
    <w:p w14:paraId="6C47DCA5" w14:textId="758D8B6A" w:rsidR="00CB544E" w:rsidRPr="008E5B32" w:rsidRDefault="00414630" w:rsidP="00CB544E">
      <w:pPr>
        <w:ind w:left="720" w:hanging="720"/>
        <w:jc w:val="left"/>
      </w:pPr>
      <w:r w:rsidRPr="008E5B32">
        <w:rPr>
          <w:vertAlign w:val="superscript"/>
        </w:rPr>
        <w:t>3</w:t>
      </w:r>
      <w:r w:rsidRPr="008E5B32">
        <w:t xml:space="preserve"> Ideaconsult Ltd.,</w:t>
      </w:r>
      <w:r w:rsidR="000350D8" w:rsidRPr="008E5B32">
        <w:t xml:space="preserve"> 4 A. Kanchev Str., 1000 Sofia,</w:t>
      </w:r>
      <w:r w:rsidRPr="008E5B32">
        <w:t xml:space="preserve"> Bulgaria</w:t>
      </w:r>
      <w:r w:rsidR="003D5646" w:rsidRPr="008E5B32">
        <w:t>.</w:t>
      </w:r>
    </w:p>
    <w:p w14:paraId="249B0697" w14:textId="1CD3AA01" w:rsidR="00414630" w:rsidRPr="008E5B32" w:rsidRDefault="00414630" w:rsidP="008F71A7">
      <w:pPr>
        <w:jc w:val="left"/>
        <w:rPr>
          <w:lang w:val="en-GB"/>
        </w:rPr>
      </w:pPr>
      <w:r w:rsidRPr="008E5B32">
        <w:rPr>
          <w:vertAlign w:val="superscript"/>
          <w:lang w:val="en-GB"/>
        </w:rPr>
        <w:t>4</w:t>
      </w:r>
      <w:r w:rsidRPr="008E5B32">
        <w:rPr>
          <w:lang w:val="en-GB"/>
        </w:rPr>
        <w:t xml:space="preserve"> ATHENA Research and Innovation Centre, </w:t>
      </w:r>
      <w:r w:rsidR="00B76805" w:rsidRPr="008E5B32">
        <w:rPr>
          <w:lang w:val="en-GB"/>
        </w:rPr>
        <w:t>Artemidos 6 &amp; Epidavrou, Marousi, 15125 Athens,</w:t>
      </w:r>
      <w:r w:rsidR="008F71A7" w:rsidRPr="008E5B32">
        <w:rPr>
          <w:lang w:val="en-GB"/>
        </w:rPr>
        <w:t xml:space="preserve"> </w:t>
      </w:r>
      <w:r w:rsidR="00B76805" w:rsidRPr="008E5B32">
        <w:rPr>
          <w:lang w:val="en-GB"/>
        </w:rPr>
        <w:t>Greece.</w:t>
      </w:r>
    </w:p>
    <w:p w14:paraId="72706556" w14:textId="0B5E8E5D" w:rsidR="00427642" w:rsidRPr="008E5B32" w:rsidRDefault="00427642" w:rsidP="00427642">
      <w:pPr>
        <w:ind w:left="720" w:hanging="720"/>
        <w:jc w:val="left"/>
        <w:rPr>
          <w:lang w:val="en-GB"/>
        </w:rPr>
      </w:pPr>
      <w:r w:rsidRPr="008E5B32">
        <w:rPr>
          <w:lang w:val="en-GB"/>
        </w:rPr>
        <w:t>* Corresponding author.</w:t>
      </w:r>
    </w:p>
    <w:p w14:paraId="458841F4" w14:textId="0D651DC8" w:rsidR="00427642" w:rsidRPr="008E5B32" w:rsidRDefault="00427642" w:rsidP="00427642">
      <w:pPr>
        <w:ind w:left="720" w:hanging="720"/>
        <w:jc w:val="left"/>
        <w:rPr>
          <w:lang w:val="en-US"/>
        </w:rPr>
      </w:pPr>
      <w:r w:rsidRPr="008E5B32">
        <w:rPr>
          <w:lang w:val="en-US"/>
        </w:rPr>
        <w:t>E-mail: gianpietro.basei@unive.it, danail.hristozov@greendecision.eu</w:t>
      </w:r>
    </w:p>
    <w:p w14:paraId="6A589C7B" w14:textId="342E53F1" w:rsidR="00414630" w:rsidRPr="008E5B32" w:rsidRDefault="00A55A87" w:rsidP="00413282">
      <w:pPr>
        <w:rPr>
          <w:color w:val="000000" w:themeColor="text1"/>
          <w:lang w:val="en-GB"/>
        </w:rPr>
      </w:pPr>
      <w:r w:rsidRPr="008E5B32">
        <w:rPr>
          <w:b/>
          <w:lang w:val="en-GB"/>
        </w:rPr>
        <w:t>Abstract</w:t>
      </w:r>
      <w:r w:rsidRPr="008E5B32">
        <w:rPr>
          <w:lang w:val="en-GB"/>
        </w:rPr>
        <w:t xml:space="preserve">: </w:t>
      </w:r>
      <w:r w:rsidR="00414630" w:rsidRPr="008E5B32">
        <w:rPr>
          <w:lang w:val="en-GB"/>
        </w:rPr>
        <w:t>The heterogeneity of</w:t>
      </w:r>
      <w:r w:rsidR="008C7652" w:rsidRPr="008E5B32">
        <w:rPr>
          <w:lang w:val="en-GB"/>
        </w:rPr>
        <w:t xml:space="preserve"> en</w:t>
      </w:r>
      <w:r w:rsidR="00377869" w:rsidRPr="008E5B32">
        <w:rPr>
          <w:lang w:val="en-GB"/>
        </w:rPr>
        <w:t>gineered</w:t>
      </w:r>
      <w:r w:rsidR="00414630" w:rsidRPr="008E5B32">
        <w:rPr>
          <w:lang w:val="en-GB"/>
        </w:rPr>
        <w:t xml:space="preserve"> nanomaterials (NMs), with respect to physicochemical properties and </w:t>
      </w:r>
      <w:r w:rsidR="00414630" w:rsidRPr="008E5B32">
        <w:rPr>
          <w:color w:val="000000" w:themeColor="text1"/>
          <w:lang w:val="en-GB"/>
        </w:rPr>
        <w:t xml:space="preserve">observed (eco)toxicological effects, </w:t>
      </w:r>
      <w:r w:rsidR="00263EEC" w:rsidRPr="008E5B32">
        <w:rPr>
          <w:color w:val="000000" w:themeColor="text1"/>
          <w:lang w:val="en-GB"/>
        </w:rPr>
        <w:t>makes</w:t>
      </w:r>
      <w:r w:rsidR="00414630" w:rsidRPr="008E5B32">
        <w:rPr>
          <w:color w:val="000000" w:themeColor="text1"/>
          <w:lang w:val="en-GB"/>
        </w:rPr>
        <w:t xml:space="preserve"> their case-by-case</w:t>
      </w:r>
      <w:r w:rsidR="001D58F7" w:rsidRPr="008E5B32">
        <w:rPr>
          <w:color w:val="000000" w:themeColor="text1"/>
          <w:lang w:val="en-GB"/>
        </w:rPr>
        <w:t xml:space="preserve"> </w:t>
      </w:r>
      <w:r w:rsidR="003F71DE" w:rsidRPr="008E5B32">
        <w:rPr>
          <w:color w:val="000000" w:themeColor="text1"/>
          <w:lang w:val="en-GB"/>
        </w:rPr>
        <w:t xml:space="preserve">testing </w:t>
      </w:r>
      <w:r w:rsidR="001D58F7" w:rsidRPr="008E5B32">
        <w:rPr>
          <w:color w:val="000000" w:themeColor="text1"/>
          <w:lang w:val="en-GB"/>
        </w:rPr>
        <w:t>for</w:t>
      </w:r>
      <w:r w:rsidR="00414630" w:rsidRPr="008E5B32">
        <w:rPr>
          <w:color w:val="000000" w:themeColor="text1"/>
          <w:lang w:val="en-GB"/>
        </w:rPr>
        <w:t xml:space="preserve"> </w:t>
      </w:r>
      <w:r w:rsidR="002E2411" w:rsidRPr="008E5B32">
        <w:rPr>
          <w:color w:val="000000" w:themeColor="text1"/>
          <w:lang w:val="en-GB"/>
        </w:rPr>
        <w:t>Risk Assessment</w:t>
      </w:r>
      <w:r w:rsidR="00414630" w:rsidRPr="008E5B32">
        <w:rPr>
          <w:color w:val="000000" w:themeColor="text1"/>
          <w:lang w:val="en-GB"/>
        </w:rPr>
        <w:t xml:space="preserve"> unsustainable in terms of costs, time, and number of </w:t>
      </w:r>
      <w:r w:rsidR="00263EEC" w:rsidRPr="008E5B32">
        <w:rPr>
          <w:color w:val="000000" w:themeColor="text1"/>
          <w:lang w:val="en-GB"/>
        </w:rPr>
        <w:t xml:space="preserve">test </w:t>
      </w:r>
      <w:r w:rsidR="00414630" w:rsidRPr="008E5B32">
        <w:rPr>
          <w:color w:val="000000" w:themeColor="text1"/>
          <w:lang w:val="en-GB"/>
        </w:rPr>
        <w:t>animals</w:t>
      </w:r>
      <w:r w:rsidR="00CD3966" w:rsidRPr="008E5B32">
        <w:rPr>
          <w:color w:val="000000" w:themeColor="text1"/>
          <w:lang w:val="en-GB"/>
        </w:rPr>
        <w:t xml:space="preserve">. This has required the </w:t>
      </w:r>
      <w:r w:rsidR="00CD3966" w:rsidRPr="008E5B32">
        <w:rPr>
          <w:color w:val="000000" w:themeColor="text1"/>
          <w:lang w:val="en-US"/>
        </w:rPr>
        <w:t>development of</w:t>
      </w:r>
      <w:r w:rsidR="00CD3966" w:rsidRPr="008E5B32">
        <w:rPr>
          <w:color w:val="000000" w:themeColor="text1"/>
          <w:lang w:val="en-GB"/>
        </w:rPr>
        <w:t xml:space="preserve"> Integrated Approaches to Testing and Assessment (IATA) in compliance with the 3R (Replacement, Reduction, and Refinement) principles of reducing animal testing to assist industries and regulators in decision making related to the safety of NMs. The</w:t>
      </w:r>
      <w:r w:rsidR="00C07E84" w:rsidRPr="008E5B32">
        <w:rPr>
          <w:color w:val="000000" w:themeColor="text1"/>
          <w:lang w:val="en-GB"/>
        </w:rPr>
        <w:t xml:space="preserve"> </w:t>
      </w:r>
      <w:r w:rsidR="006773A8" w:rsidRPr="008E5B32">
        <w:rPr>
          <w:color w:val="000000" w:themeColor="text1"/>
          <w:lang w:val="en-GB"/>
        </w:rPr>
        <w:t xml:space="preserve">application </w:t>
      </w:r>
      <w:r w:rsidR="00C07E84" w:rsidRPr="008E5B32">
        <w:rPr>
          <w:color w:val="000000" w:themeColor="text1"/>
          <w:lang w:val="en-GB"/>
        </w:rPr>
        <w:t xml:space="preserve">of </w:t>
      </w:r>
      <w:r w:rsidR="00CD3966" w:rsidRPr="008E5B32">
        <w:rPr>
          <w:color w:val="000000" w:themeColor="text1"/>
          <w:lang w:val="en-GB"/>
        </w:rPr>
        <w:t xml:space="preserve">non-testing </w:t>
      </w:r>
      <w:r w:rsidR="00C07E84" w:rsidRPr="008E5B32">
        <w:rPr>
          <w:i/>
          <w:color w:val="000000" w:themeColor="text1"/>
          <w:lang w:val="en-GB"/>
        </w:rPr>
        <w:t>i</w:t>
      </w:r>
      <w:r w:rsidR="00414630" w:rsidRPr="008E5B32">
        <w:rPr>
          <w:i/>
          <w:color w:val="000000" w:themeColor="text1"/>
          <w:lang w:val="en-GB"/>
        </w:rPr>
        <w:t>n silico</w:t>
      </w:r>
      <w:r w:rsidR="00414630" w:rsidRPr="008E5B32">
        <w:rPr>
          <w:color w:val="000000" w:themeColor="text1"/>
          <w:lang w:val="en-GB"/>
        </w:rPr>
        <w:t xml:space="preserve"> </w:t>
      </w:r>
      <w:r w:rsidR="00CD3966" w:rsidRPr="008E5B32">
        <w:rPr>
          <w:color w:val="000000" w:themeColor="text1"/>
          <w:lang w:val="en-GB"/>
        </w:rPr>
        <w:t>methods</w:t>
      </w:r>
      <w:r w:rsidR="00C07E84" w:rsidRPr="008E5B32">
        <w:rPr>
          <w:color w:val="000000" w:themeColor="text1"/>
          <w:lang w:val="en-GB"/>
        </w:rPr>
        <w:t xml:space="preserve"> such as </w:t>
      </w:r>
      <w:r w:rsidR="006E5599" w:rsidRPr="008E5B32">
        <w:rPr>
          <w:color w:val="000000" w:themeColor="text1"/>
          <w:lang w:val="en-GB"/>
        </w:rPr>
        <w:t>(Q</w:t>
      </w:r>
      <w:r w:rsidR="00263EEC" w:rsidRPr="008E5B32">
        <w:rPr>
          <w:color w:val="000000" w:themeColor="text1"/>
          <w:lang w:val="en-GB"/>
        </w:rPr>
        <w:t>ua</w:t>
      </w:r>
      <w:r w:rsidR="006E5599" w:rsidRPr="008E5B32">
        <w:rPr>
          <w:color w:val="000000" w:themeColor="text1"/>
          <w:lang w:val="en-GB"/>
        </w:rPr>
        <w:t>ntita</w:t>
      </w:r>
      <w:r w:rsidR="00263EEC" w:rsidRPr="008E5B32">
        <w:rPr>
          <w:color w:val="000000" w:themeColor="text1"/>
          <w:lang w:val="en-GB"/>
        </w:rPr>
        <w:t>tive</w:t>
      </w:r>
      <w:r w:rsidR="006E5599" w:rsidRPr="008E5B32">
        <w:rPr>
          <w:color w:val="000000" w:themeColor="text1"/>
          <w:lang w:val="en-GB"/>
        </w:rPr>
        <w:t>)</w:t>
      </w:r>
      <w:r w:rsidR="00263EEC" w:rsidRPr="008E5B32">
        <w:rPr>
          <w:color w:val="000000" w:themeColor="text1"/>
          <w:lang w:val="en-GB"/>
        </w:rPr>
        <w:t xml:space="preserve"> </w:t>
      </w:r>
      <w:r w:rsidR="006E5599" w:rsidRPr="008E5B32">
        <w:rPr>
          <w:color w:val="000000" w:themeColor="text1"/>
          <w:lang w:val="en-GB"/>
        </w:rPr>
        <w:t>S</w:t>
      </w:r>
      <w:r w:rsidR="00263EEC" w:rsidRPr="008E5B32">
        <w:rPr>
          <w:color w:val="000000" w:themeColor="text1"/>
          <w:lang w:val="en-GB"/>
        </w:rPr>
        <w:t>tructure-</w:t>
      </w:r>
      <w:r w:rsidR="006E5599" w:rsidRPr="008E5B32">
        <w:rPr>
          <w:color w:val="000000" w:themeColor="text1"/>
          <w:lang w:val="en-GB"/>
        </w:rPr>
        <w:t>A</w:t>
      </w:r>
      <w:r w:rsidR="00263EEC" w:rsidRPr="008E5B32">
        <w:rPr>
          <w:color w:val="000000" w:themeColor="text1"/>
          <w:lang w:val="en-GB"/>
        </w:rPr>
        <w:t xml:space="preserve">ctivity </w:t>
      </w:r>
      <w:r w:rsidR="006E5599" w:rsidRPr="008E5B32">
        <w:rPr>
          <w:color w:val="000000" w:themeColor="text1"/>
          <w:lang w:val="en-GB"/>
        </w:rPr>
        <w:t>R</w:t>
      </w:r>
      <w:r w:rsidR="00263EEC" w:rsidRPr="008E5B32">
        <w:rPr>
          <w:color w:val="000000" w:themeColor="text1"/>
          <w:lang w:val="en-GB"/>
        </w:rPr>
        <w:t xml:space="preserve">elationships </w:t>
      </w:r>
      <w:r w:rsidR="006E5599" w:rsidRPr="008E5B32">
        <w:rPr>
          <w:color w:val="000000" w:themeColor="text1"/>
          <w:lang w:val="en-GB"/>
        </w:rPr>
        <w:t>(</w:t>
      </w:r>
      <w:r w:rsidR="00263EEC" w:rsidRPr="008E5B32">
        <w:rPr>
          <w:color w:val="000000" w:themeColor="text1"/>
          <w:lang w:val="en-GB"/>
        </w:rPr>
        <w:t>(Q</w:t>
      </w:r>
      <w:r w:rsidR="006E5599" w:rsidRPr="008E5B32">
        <w:rPr>
          <w:color w:val="000000" w:themeColor="text1"/>
          <w:lang w:val="en-GB"/>
        </w:rPr>
        <w:t>)</w:t>
      </w:r>
      <w:r w:rsidR="00263EEC" w:rsidRPr="008E5B32">
        <w:rPr>
          <w:color w:val="000000" w:themeColor="text1"/>
          <w:lang w:val="en-GB"/>
        </w:rPr>
        <w:t xml:space="preserve">SARs) </w:t>
      </w:r>
      <w:r w:rsidR="00C07E84" w:rsidRPr="008E5B32">
        <w:rPr>
          <w:color w:val="000000" w:themeColor="text1"/>
          <w:lang w:val="en-GB"/>
        </w:rPr>
        <w:t xml:space="preserve">and </w:t>
      </w:r>
      <w:r w:rsidR="00976FA6" w:rsidRPr="008E5B32">
        <w:rPr>
          <w:color w:val="000000" w:themeColor="text1"/>
          <w:lang w:val="en-GB"/>
        </w:rPr>
        <w:t xml:space="preserve">Grouping </w:t>
      </w:r>
      <w:r w:rsidR="00F8689A" w:rsidRPr="008E5B32">
        <w:rPr>
          <w:color w:val="000000" w:themeColor="text1"/>
          <w:lang w:val="en-GB"/>
        </w:rPr>
        <w:t>for</w:t>
      </w:r>
      <w:r w:rsidR="00976FA6" w:rsidRPr="008E5B32">
        <w:rPr>
          <w:color w:val="000000" w:themeColor="text1"/>
          <w:lang w:val="en-GB"/>
        </w:rPr>
        <w:t xml:space="preserve"> Read-Across </w:t>
      </w:r>
      <w:r w:rsidR="00CD3966" w:rsidRPr="008E5B32">
        <w:rPr>
          <w:color w:val="000000" w:themeColor="text1"/>
          <w:lang w:val="en-GB"/>
        </w:rPr>
        <w:t xml:space="preserve">is </w:t>
      </w:r>
      <w:r w:rsidR="006773A8" w:rsidRPr="008E5B32">
        <w:rPr>
          <w:color w:val="000000" w:themeColor="text1"/>
          <w:lang w:val="en-GB"/>
        </w:rPr>
        <w:t>fundamental to</w:t>
      </w:r>
      <w:r w:rsidR="00CD3966" w:rsidRPr="008E5B32">
        <w:rPr>
          <w:color w:val="000000" w:themeColor="text1"/>
          <w:lang w:val="en-GB"/>
        </w:rPr>
        <w:t xml:space="preserve"> IATA</w:t>
      </w:r>
      <w:r w:rsidR="00263EEC" w:rsidRPr="008E5B32">
        <w:rPr>
          <w:color w:val="000000" w:themeColor="text1"/>
          <w:lang w:val="en-GB"/>
        </w:rPr>
        <w:t>.</w:t>
      </w:r>
      <w:r w:rsidR="00263EEC" w:rsidRPr="008E5B32">
        <w:rPr>
          <w:color w:val="FF0000"/>
          <w:lang w:val="en-GB"/>
        </w:rPr>
        <w:t xml:space="preserve"> </w:t>
      </w:r>
      <w:r w:rsidR="00CD3966" w:rsidRPr="008E5B32">
        <w:rPr>
          <w:lang w:val="en-GB"/>
        </w:rPr>
        <w:t xml:space="preserve">Therefore, </w:t>
      </w:r>
      <w:r w:rsidR="006773A8" w:rsidRPr="008E5B32">
        <w:rPr>
          <w:lang w:val="en-GB"/>
        </w:rPr>
        <w:t>the goal of</w:t>
      </w:r>
      <w:r w:rsidR="00CD3966" w:rsidRPr="008E5B32">
        <w:rPr>
          <w:lang w:val="en-GB"/>
        </w:rPr>
        <w:t xml:space="preserve"> </w:t>
      </w:r>
      <w:r w:rsidR="00414630" w:rsidRPr="008E5B32">
        <w:rPr>
          <w:lang w:val="en-GB"/>
        </w:rPr>
        <w:t>this manuscript</w:t>
      </w:r>
      <w:r w:rsidR="006773A8" w:rsidRPr="008E5B32">
        <w:rPr>
          <w:lang w:val="en-GB"/>
        </w:rPr>
        <w:t xml:space="preserve"> is to critically review the available</w:t>
      </w:r>
      <w:r w:rsidR="00414630" w:rsidRPr="008E5B32">
        <w:rPr>
          <w:lang w:val="en-GB"/>
        </w:rPr>
        <w:t xml:space="preserve"> </w:t>
      </w:r>
      <w:r w:rsidR="003E5AAF" w:rsidRPr="008E5B32">
        <w:rPr>
          <w:i/>
          <w:lang w:val="en-GB"/>
        </w:rPr>
        <w:t xml:space="preserve">in silico </w:t>
      </w:r>
      <w:r w:rsidR="00263EEC" w:rsidRPr="008E5B32">
        <w:rPr>
          <w:lang w:val="en-GB"/>
        </w:rPr>
        <w:t>methods</w:t>
      </w:r>
      <w:r w:rsidR="003E5AAF" w:rsidRPr="008E5B32">
        <w:rPr>
          <w:i/>
          <w:lang w:val="en-GB"/>
        </w:rPr>
        <w:t xml:space="preserve"> </w:t>
      </w:r>
      <w:r w:rsidR="003E5AAF" w:rsidRPr="008E5B32">
        <w:rPr>
          <w:lang w:val="en-GB"/>
        </w:rPr>
        <w:t xml:space="preserve">to predict </w:t>
      </w:r>
      <w:r w:rsidR="00263EEC" w:rsidRPr="008E5B32">
        <w:rPr>
          <w:lang w:val="en-GB"/>
        </w:rPr>
        <w:t>the hazard</w:t>
      </w:r>
      <w:r w:rsidR="00864ECC" w:rsidRPr="008E5B32">
        <w:rPr>
          <w:lang w:val="en-GB"/>
        </w:rPr>
        <w:t>s for human health</w:t>
      </w:r>
      <w:r w:rsidR="003E5AAF" w:rsidRPr="008E5B32">
        <w:rPr>
          <w:lang w:val="en-GB"/>
        </w:rPr>
        <w:t xml:space="preserve"> </w:t>
      </w:r>
      <w:r w:rsidR="00263EEC" w:rsidRPr="008E5B32">
        <w:rPr>
          <w:lang w:val="en-GB"/>
        </w:rPr>
        <w:t>posed by</w:t>
      </w:r>
      <w:r w:rsidR="003E5AAF" w:rsidRPr="008E5B32">
        <w:rPr>
          <w:lang w:val="en-GB"/>
        </w:rPr>
        <w:t xml:space="preserve"> NMs </w:t>
      </w:r>
      <w:r w:rsidR="00F51DD9" w:rsidRPr="008E5B32">
        <w:rPr>
          <w:lang w:val="en-GB"/>
        </w:rPr>
        <w:t xml:space="preserve">by </w:t>
      </w:r>
      <w:r w:rsidR="00263EEC" w:rsidRPr="008E5B32">
        <w:rPr>
          <w:lang w:val="en-GB"/>
        </w:rPr>
        <w:t xml:space="preserve">applying </w:t>
      </w:r>
      <w:r w:rsidR="00F51DD9" w:rsidRPr="008E5B32">
        <w:rPr>
          <w:lang w:val="en-GB"/>
        </w:rPr>
        <w:t xml:space="preserve">the OECD </w:t>
      </w:r>
      <w:r w:rsidR="006E5599" w:rsidRPr="008E5B32">
        <w:rPr>
          <w:lang w:val="en-GB"/>
        </w:rPr>
        <w:t>(</w:t>
      </w:r>
      <w:r w:rsidR="00F51DD9" w:rsidRPr="008E5B32">
        <w:rPr>
          <w:lang w:val="en-GB"/>
        </w:rPr>
        <w:t>Q</w:t>
      </w:r>
      <w:r w:rsidR="006E5599" w:rsidRPr="008E5B32">
        <w:rPr>
          <w:lang w:val="en-GB"/>
        </w:rPr>
        <w:t>)</w:t>
      </w:r>
      <w:r w:rsidR="00F51DD9" w:rsidRPr="008E5B32">
        <w:rPr>
          <w:lang w:val="en-GB"/>
        </w:rPr>
        <w:t>SAR model validation principles</w:t>
      </w:r>
      <w:r w:rsidR="006A7F14" w:rsidRPr="008E5B32">
        <w:rPr>
          <w:lang w:val="en-GB"/>
        </w:rPr>
        <w:t xml:space="preserve">. </w:t>
      </w:r>
      <w:r w:rsidR="00187F36" w:rsidRPr="008E5B32">
        <w:rPr>
          <w:lang w:val="en-GB"/>
        </w:rPr>
        <w:t xml:space="preserve">Moreover, we </w:t>
      </w:r>
      <w:r w:rsidR="00D36696" w:rsidRPr="008E5B32">
        <w:rPr>
          <w:lang w:val="en-GB"/>
        </w:rPr>
        <w:t xml:space="preserve">provide an overview on the existing databases, highlighting the importance of data curation. </w:t>
      </w:r>
      <w:r w:rsidR="006A7F14" w:rsidRPr="008E5B32">
        <w:rPr>
          <w:lang w:val="en-GB"/>
        </w:rPr>
        <w:t xml:space="preserve">We find that </w:t>
      </w:r>
      <w:r w:rsidR="003F71DE" w:rsidRPr="008E5B32">
        <w:rPr>
          <w:lang w:val="en-GB"/>
        </w:rPr>
        <w:t>available</w:t>
      </w:r>
      <w:r w:rsidR="006A7F14" w:rsidRPr="008E5B32">
        <w:rPr>
          <w:lang w:val="en-GB"/>
        </w:rPr>
        <w:t xml:space="preserve"> </w:t>
      </w:r>
      <w:r w:rsidR="006773A8" w:rsidRPr="008E5B32">
        <w:rPr>
          <w:lang w:val="en-GB"/>
        </w:rPr>
        <w:t>approaches</w:t>
      </w:r>
      <w:r w:rsidR="00D92257" w:rsidRPr="008E5B32">
        <w:rPr>
          <w:lang w:val="en-GB"/>
        </w:rPr>
        <w:t xml:space="preserve"> </w:t>
      </w:r>
      <w:r w:rsidR="006A7F14" w:rsidRPr="008E5B32">
        <w:rPr>
          <w:lang w:val="en-GB"/>
        </w:rPr>
        <w:t xml:space="preserve">are applied mainly </w:t>
      </w:r>
      <w:r w:rsidR="00971DCB" w:rsidRPr="008E5B32">
        <w:rPr>
          <w:lang w:val="en-GB"/>
        </w:rPr>
        <w:t xml:space="preserve">to </w:t>
      </w:r>
      <w:r w:rsidR="006A7F14" w:rsidRPr="008E5B32">
        <w:rPr>
          <w:lang w:val="en-GB"/>
        </w:rPr>
        <w:t xml:space="preserve">predicting </w:t>
      </w:r>
      <w:r w:rsidR="006A7F14" w:rsidRPr="008E5B32">
        <w:rPr>
          <w:i/>
          <w:lang w:val="en-GB"/>
        </w:rPr>
        <w:t>in vitro</w:t>
      </w:r>
      <w:r w:rsidR="006A7F14" w:rsidRPr="008E5B32">
        <w:rPr>
          <w:lang w:val="en-GB"/>
        </w:rPr>
        <w:t xml:space="preserve"> endpoints, and that most of the models do not build on</w:t>
      </w:r>
      <w:r w:rsidR="00D36696" w:rsidRPr="008E5B32">
        <w:rPr>
          <w:lang w:val="en-GB"/>
        </w:rPr>
        <w:t xml:space="preserve"> such</w:t>
      </w:r>
      <w:r w:rsidR="006A7F14" w:rsidRPr="008E5B32">
        <w:rPr>
          <w:lang w:val="en-GB"/>
        </w:rPr>
        <w:t xml:space="preserve"> internationally recognised databases, but on in-house data</w:t>
      </w:r>
      <w:r w:rsidR="00971DCB" w:rsidRPr="008E5B32">
        <w:rPr>
          <w:lang w:val="en-GB"/>
        </w:rPr>
        <w:t>sets</w:t>
      </w:r>
      <w:r w:rsidR="00EC7EA9" w:rsidRPr="008E5B32">
        <w:rPr>
          <w:lang w:val="en-GB"/>
        </w:rPr>
        <w:t xml:space="preserve"> or on data retrieved from </w:t>
      </w:r>
      <w:r w:rsidR="00CF3EB4" w:rsidRPr="008E5B32">
        <w:rPr>
          <w:lang w:val="en-GB"/>
        </w:rPr>
        <w:t>the literature</w:t>
      </w:r>
      <w:r w:rsidR="006A7F14" w:rsidRPr="008E5B32">
        <w:rPr>
          <w:lang w:val="en-GB"/>
        </w:rPr>
        <w:t>.</w:t>
      </w:r>
      <w:r w:rsidR="00154932" w:rsidRPr="008E5B32">
        <w:rPr>
          <w:lang w:val="en-GB"/>
        </w:rPr>
        <w:t xml:space="preserve"> </w:t>
      </w:r>
      <w:r w:rsidR="00C7405C" w:rsidRPr="008E5B32">
        <w:rPr>
          <w:lang w:val="en-GB"/>
        </w:rPr>
        <w:t xml:space="preserve">Our analysis </w:t>
      </w:r>
      <w:r w:rsidR="00447E55" w:rsidRPr="008E5B32">
        <w:rPr>
          <w:lang w:val="en-GB"/>
        </w:rPr>
        <w:t xml:space="preserve">shows that more efforts are needed to properly </w:t>
      </w:r>
      <w:r w:rsidR="00361BAD" w:rsidRPr="008E5B32">
        <w:rPr>
          <w:lang w:val="en-GB"/>
        </w:rPr>
        <w:t xml:space="preserve">develop and </w:t>
      </w:r>
      <w:r w:rsidR="00447E55" w:rsidRPr="008E5B32">
        <w:rPr>
          <w:lang w:val="en-GB"/>
        </w:rPr>
        <w:t xml:space="preserve">validate </w:t>
      </w:r>
      <w:r w:rsidR="00447E55" w:rsidRPr="008E5B32">
        <w:rPr>
          <w:i/>
          <w:lang w:val="en-GB"/>
        </w:rPr>
        <w:t xml:space="preserve">in silico </w:t>
      </w:r>
      <w:r w:rsidR="00447E55" w:rsidRPr="008E5B32">
        <w:rPr>
          <w:lang w:val="en-GB"/>
        </w:rPr>
        <w:t>models for hazard prediction</w:t>
      </w:r>
      <w:r w:rsidR="00361BAD" w:rsidRPr="008E5B32">
        <w:rPr>
          <w:lang w:val="en-GB"/>
        </w:rPr>
        <w:t xml:space="preserve"> as alternatives to </w:t>
      </w:r>
      <w:r w:rsidR="00361BAD" w:rsidRPr="008E5B32">
        <w:rPr>
          <w:i/>
          <w:lang w:val="en-GB"/>
        </w:rPr>
        <w:t>in vivo</w:t>
      </w:r>
      <w:r w:rsidR="00361BAD" w:rsidRPr="008E5B32">
        <w:rPr>
          <w:lang w:val="en-GB"/>
        </w:rPr>
        <w:t xml:space="preserve"> tests</w:t>
      </w:r>
      <w:r w:rsidR="00C26318" w:rsidRPr="008E5B32">
        <w:rPr>
          <w:lang w:val="en-GB"/>
        </w:rPr>
        <w:t>.</w:t>
      </w:r>
      <w:r w:rsidR="006C66F6" w:rsidRPr="008E5B32">
        <w:rPr>
          <w:lang w:val="en-GB"/>
        </w:rPr>
        <w:t xml:space="preserve"> </w:t>
      </w:r>
      <w:r w:rsidR="00E6466C" w:rsidRPr="008E5B32">
        <w:rPr>
          <w:lang w:val="en-GB"/>
        </w:rPr>
        <w:t>Moreover,</w:t>
      </w:r>
      <w:r w:rsidR="00413282" w:rsidRPr="008E5B32">
        <w:rPr>
          <w:lang w:val="en-GB"/>
        </w:rPr>
        <w:t xml:space="preserve"> </w:t>
      </w:r>
      <w:r w:rsidR="0021176C" w:rsidRPr="008E5B32">
        <w:rPr>
          <w:lang w:val="en-GB"/>
        </w:rPr>
        <w:t xml:space="preserve">the Applicability Domain (highlighting the chemical space where such models were trained and hence provide more reliable results) of such models is not always assessed, and </w:t>
      </w:r>
      <w:r w:rsidR="00971DCB" w:rsidRPr="008E5B32">
        <w:rPr>
          <w:lang w:val="en-GB"/>
        </w:rPr>
        <w:t xml:space="preserve">the </w:t>
      </w:r>
      <w:r w:rsidR="00E6466C" w:rsidRPr="008E5B32">
        <w:rPr>
          <w:lang w:val="en-GB"/>
        </w:rPr>
        <w:t>uncertain</w:t>
      </w:r>
      <w:r w:rsidR="004B5D59" w:rsidRPr="008E5B32">
        <w:rPr>
          <w:lang w:val="en-GB"/>
        </w:rPr>
        <w:t xml:space="preserve">ty </w:t>
      </w:r>
      <w:r w:rsidR="0007781D" w:rsidRPr="008E5B32">
        <w:rPr>
          <w:lang w:val="en-GB"/>
        </w:rPr>
        <w:t>a</w:t>
      </w:r>
      <w:r w:rsidR="004B5D59" w:rsidRPr="008E5B32">
        <w:rPr>
          <w:lang w:val="en-GB"/>
        </w:rPr>
        <w:t xml:space="preserve">nd sensitivity </w:t>
      </w:r>
      <w:r w:rsidR="00AB5EA4" w:rsidRPr="008E5B32">
        <w:rPr>
          <w:lang w:val="en-GB"/>
        </w:rPr>
        <w:t xml:space="preserve">of the </w:t>
      </w:r>
      <w:r w:rsidR="00DC01B5" w:rsidRPr="008E5B32">
        <w:rPr>
          <w:lang w:val="en-GB"/>
        </w:rPr>
        <w:t>current methods</w:t>
      </w:r>
      <w:r w:rsidR="00971DCB" w:rsidRPr="008E5B32">
        <w:rPr>
          <w:lang w:val="en-GB"/>
        </w:rPr>
        <w:t xml:space="preserve"> </w:t>
      </w:r>
      <w:r w:rsidR="00413282" w:rsidRPr="008E5B32">
        <w:rPr>
          <w:lang w:val="en-GB"/>
        </w:rPr>
        <w:t>are</w:t>
      </w:r>
      <w:r w:rsidR="00971DCB" w:rsidRPr="008E5B32">
        <w:rPr>
          <w:lang w:val="en-GB"/>
        </w:rPr>
        <w:t xml:space="preserve"> not sufficiently </w:t>
      </w:r>
      <w:r w:rsidR="00413282" w:rsidRPr="008E5B32">
        <w:rPr>
          <w:lang w:val="en-GB"/>
        </w:rPr>
        <w:t>evaluated</w:t>
      </w:r>
      <w:r w:rsidR="00AB5EA4" w:rsidRPr="008E5B32">
        <w:rPr>
          <w:lang w:val="en-GB"/>
        </w:rPr>
        <w:t>.</w:t>
      </w:r>
      <w:r w:rsidR="00447E55" w:rsidRPr="008E5B32">
        <w:rPr>
          <w:lang w:val="en-GB"/>
        </w:rPr>
        <w:t xml:space="preserve"> </w:t>
      </w:r>
      <w:r w:rsidR="006773A8" w:rsidRPr="008E5B32">
        <w:rPr>
          <w:lang w:val="en-GB"/>
        </w:rPr>
        <w:t xml:space="preserve">To address these challenges, we propose a roadmap </w:t>
      </w:r>
      <w:r w:rsidR="00414630" w:rsidRPr="008E5B32">
        <w:rPr>
          <w:lang w:val="en-GB"/>
        </w:rPr>
        <w:t xml:space="preserve">for future research in this </w:t>
      </w:r>
      <w:r w:rsidR="006773A8" w:rsidRPr="008E5B32">
        <w:rPr>
          <w:lang w:val="en-GB"/>
        </w:rPr>
        <w:t>area</w:t>
      </w:r>
      <w:r w:rsidR="009841E0" w:rsidRPr="008E5B32">
        <w:rPr>
          <w:lang w:val="en-GB"/>
        </w:rPr>
        <w:t>,</w:t>
      </w:r>
      <w:r w:rsidR="00FD0220" w:rsidRPr="008E5B32">
        <w:rPr>
          <w:lang w:val="en-GB"/>
        </w:rPr>
        <w:t xml:space="preserve"> including the adoption of</w:t>
      </w:r>
      <w:r w:rsidR="008442E5" w:rsidRPr="008E5B32">
        <w:rPr>
          <w:lang w:val="en-GB"/>
        </w:rPr>
        <w:t xml:space="preserve"> more advanced Machine Learning techniques</w:t>
      </w:r>
      <w:r w:rsidR="00414630" w:rsidRPr="008E5B32">
        <w:rPr>
          <w:lang w:val="en-GB"/>
        </w:rPr>
        <w:t>.</w:t>
      </w:r>
    </w:p>
    <w:p w14:paraId="6477FB6A" w14:textId="77A8C924" w:rsidR="001A1DFA" w:rsidRPr="008E5B32" w:rsidRDefault="00414630" w:rsidP="00697618">
      <w:pPr>
        <w:rPr>
          <w:b/>
          <w:sz w:val="32"/>
          <w:szCs w:val="32"/>
          <w:lang w:val="en-GB"/>
        </w:rPr>
      </w:pPr>
      <w:r w:rsidRPr="008E5B32">
        <w:rPr>
          <w:b/>
          <w:lang w:val="en-GB"/>
        </w:rPr>
        <w:t>Keywords</w:t>
      </w:r>
      <w:r w:rsidRPr="008E5B32">
        <w:rPr>
          <w:lang w:val="en-GB"/>
        </w:rPr>
        <w:t>: Nanomaterial</w:t>
      </w:r>
      <w:r w:rsidR="007B7D2E" w:rsidRPr="008E5B32">
        <w:rPr>
          <w:lang w:val="en-GB"/>
        </w:rPr>
        <w:t>s</w:t>
      </w:r>
      <w:r w:rsidRPr="008E5B32">
        <w:rPr>
          <w:lang w:val="en-GB"/>
        </w:rPr>
        <w:t xml:space="preserve">, </w:t>
      </w:r>
      <w:r w:rsidR="00612424" w:rsidRPr="008E5B32">
        <w:rPr>
          <w:lang w:val="en-GB"/>
        </w:rPr>
        <w:t>Nanoinformatics</w:t>
      </w:r>
      <w:r w:rsidRPr="008E5B32">
        <w:rPr>
          <w:lang w:val="en-GB"/>
        </w:rPr>
        <w:t xml:space="preserve">, </w:t>
      </w:r>
      <w:r w:rsidR="00612424" w:rsidRPr="008E5B32">
        <w:rPr>
          <w:lang w:val="en-GB"/>
        </w:rPr>
        <w:t xml:space="preserve">(Q)SAR, </w:t>
      </w:r>
      <w:r w:rsidRPr="008E5B32">
        <w:rPr>
          <w:lang w:val="en-GB"/>
        </w:rPr>
        <w:t xml:space="preserve">Grouping, </w:t>
      </w:r>
      <w:r w:rsidR="00650B32" w:rsidRPr="008E5B32">
        <w:rPr>
          <w:lang w:val="en-GB"/>
        </w:rPr>
        <w:t>Read-Across</w:t>
      </w:r>
    </w:p>
    <w:p w14:paraId="69F4FE74" w14:textId="77777777" w:rsidR="001A1DFA" w:rsidRPr="008E5B32" w:rsidRDefault="00E07814" w:rsidP="002813ED">
      <w:pPr>
        <w:pStyle w:val="Heading1"/>
        <w:spacing w:before="240" w:after="60" w:line="312" w:lineRule="auto"/>
        <w:rPr>
          <w:lang w:val="en-GB"/>
        </w:rPr>
      </w:pPr>
      <w:bookmarkStart w:id="0" w:name="_Toc506370829"/>
      <w:r w:rsidRPr="008E5B32">
        <w:rPr>
          <w:lang w:val="en-GB"/>
        </w:rPr>
        <w:t>1 Introduction</w:t>
      </w:r>
      <w:bookmarkEnd w:id="0"/>
    </w:p>
    <w:p w14:paraId="76D28606" w14:textId="2E3264A5" w:rsidR="00E17987" w:rsidRPr="008E5B32" w:rsidRDefault="00012A66" w:rsidP="00E17987">
      <w:pPr>
        <w:rPr>
          <w:lang w:val="en-GB"/>
        </w:rPr>
      </w:pPr>
      <w:r w:rsidRPr="008E5B32">
        <w:rPr>
          <w:lang w:val="en-GB"/>
        </w:rPr>
        <w:t xml:space="preserve">Nanotechnology is one of the Key Emerging Technologies identified in the European Union (EU) 2020 Strategy. Its enormous potential for innovation has fostered large investments in developing new </w:t>
      </w:r>
      <w:r w:rsidRPr="008E5B32">
        <w:rPr>
          <w:lang w:val="en-GB"/>
        </w:rPr>
        <w:lastRenderedPageBreak/>
        <w:t xml:space="preserve">industrial applications and consumer products. However, the outlooks for a rapid growth in the sector have raised not only high expectations, but also societal concerns about the adequacy of </w:t>
      </w:r>
      <w:r w:rsidR="00BA08CB" w:rsidRPr="008E5B32">
        <w:rPr>
          <w:lang w:val="en-GB"/>
        </w:rPr>
        <w:t xml:space="preserve">existing regulation to address </w:t>
      </w:r>
      <w:r w:rsidR="000E41E2" w:rsidRPr="008E5B32">
        <w:rPr>
          <w:lang w:val="en-GB"/>
        </w:rPr>
        <w:t xml:space="preserve">the </w:t>
      </w:r>
      <w:r w:rsidR="00BA08CB" w:rsidRPr="008E5B32">
        <w:rPr>
          <w:lang w:val="en-GB"/>
        </w:rPr>
        <w:t xml:space="preserve">risks posed by </w:t>
      </w:r>
      <w:r w:rsidR="000E41E2" w:rsidRPr="008E5B32">
        <w:rPr>
          <w:lang w:val="en-GB"/>
        </w:rPr>
        <w:t>nanotechnologies</w:t>
      </w:r>
      <w:r w:rsidRPr="008E5B32">
        <w:rPr>
          <w:lang w:val="en-GB"/>
        </w:rPr>
        <w:t xml:space="preserve">. Indeed, despite their clear benefits, nanomaterials (NMs) may pose environmental, health and safety (EHS) </w:t>
      </w:r>
      <w:r w:rsidR="00F94289" w:rsidRPr="008E5B32">
        <w:rPr>
          <w:lang w:val="en-GB"/>
        </w:rPr>
        <w:t>issues. Such possible risks</w:t>
      </w:r>
      <w:r w:rsidRPr="008E5B32">
        <w:rPr>
          <w:lang w:val="en-GB"/>
        </w:rPr>
        <w:t xml:space="preserve"> are </w:t>
      </w:r>
      <w:r w:rsidR="005F7EA2" w:rsidRPr="008E5B32">
        <w:rPr>
          <w:lang w:val="en-GB"/>
        </w:rPr>
        <w:t xml:space="preserve">regulated by the Registration, Evaluation, Authorisation and Restriction of Chemicals (REACH) regulation </w:t>
      </w:r>
      <w:r w:rsidR="005F7EA2" w:rsidRPr="008E5B32">
        <w:fldChar w:fldCharType="begin" w:fldLock="1"/>
      </w:r>
      <w:r w:rsidR="005D1733" w:rsidRPr="008E5B32">
        <w:rPr>
          <w:lang w:val="en-GB"/>
        </w:rPr>
        <w:instrText>ADDIN CSL_CITATION {"citationItems":[{"id":"ITEM-1","itemData":{"DOI":"http://eur-lex.europa.eu/LexUriServ/LexUriServ.do?uri=OJ:L:2006:396:0001:0849:EN:PDF","ISBN":"L396","ISSN":"0144-557X","abstract":"Regulation concerning the Registration, Evaluation, Authorisation and Restriction of Chemicals (REACH), establishing a European Chemicals Agency, amending Directive 1999/45/EC and repealing Council Regulation (EEC) No 793/93 and Commission Regulation (EC) No 1488/94 as well as Council Directive 76/769/EEC and Commission Directives 91/155/EEC, 93/67/EEC, 93/105/EC and 2000/21/EC","author":[{"dropping-particle":"","family":"European Comission","given":"","non-dropping-particle":"","parse-names":false,"suffix":""}],"container-title":"Official Journal of the European Union","id":"ITEM-1","issued":{"date-parts":[["2006"]]},"title":"Regulation (EC) 1907/2006 of the European Parliament and of teh Council of 18 December 2006 - REACH","type":"article-journal"},"uris":["http://www.mendeley.com/documents/?uuid=b48cd687-325b-37d5-bf0c-5bb2c1b81f2a"]}],"mendeley":{"formattedCitation":"&lt;sup&gt;1&lt;/sup&gt;","plainTextFormattedCitation":"1","previouslyFormattedCitation":"&lt;sup&gt;1&lt;/sup&gt;"},"properties":{"noteIndex":0},"schema":"https://github.com/citation-style-language/schema/raw/master/csl-citation.json"}</w:instrText>
      </w:r>
      <w:r w:rsidR="005F7EA2" w:rsidRPr="008E5B32">
        <w:fldChar w:fldCharType="separate"/>
      </w:r>
      <w:r w:rsidR="005F7EA2" w:rsidRPr="008E5B32">
        <w:rPr>
          <w:noProof/>
          <w:vertAlign w:val="superscript"/>
          <w:lang w:val="en-GB"/>
        </w:rPr>
        <w:t>1</w:t>
      </w:r>
      <w:r w:rsidR="005F7EA2" w:rsidRPr="008E5B32">
        <w:fldChar w:fldCharType="end"/>
      </w:r>
      <w:r w:rsidR="005F7EA2" w:rsidRPr="008E5B32">
        <w:rPr>
          <w:lang w:val="en-GB"/>
        </w:rPr>
        <w:t>, which applies the</w:t>
      </w:r>
      <w:r w:rsidR="006A26BD" w:rsidRPr="008E5B32">
        <w:rPr>
          <w:lang w:val="en-GB"/>
        </w:rPr>
        <w:t xml:space="preserve"> </w:t>
      </w:r>
      <w:r w:rsidRPr="008E5B32">
        <w:rPr>
          <w:lang w:val="en-GB"/>
        </w:rPr>
        <w:t xml:space="preserve">chemical </w:t>
      </w:r>
      <w:r w:rsidR="002E2411" w:rsidRPr="008E5B32">
        <w:rPr>
          <w:lang w:val="en-GB"/>
        </w:rPr>
        <w:t>Risk Assessment</w:t>
      </w:r>
      <w:r w:rsidRPr="008E5B32">
        <w:rPr>
          <w:lang w:val="en-GB"/>
        </w:rPr>
        <w:t xml:space="preserve"> paradigm</w:t>
      </w:r>
      <w:r w:rsidR="005F7EA2" w:rsidRPr="008E5B32">
        <w:rPr>
          <w:lang w:val="en-GB"/>
        </w:rPr>
        <w:t xml:space="preserve"> to identify the risks and to</w:t>
      </w:r>
      <w:r w:rsidRPr="008E5B32">
        <w:rPr>
          <w:lang w:val="en-GB"/>
        </w:rPr>
        <w:t xml:space="preserve"> propose </w:t>
      </w:r>
      <w:r w:rsidR="005F7EA2" w:rsidRPr="008E5B32">
        <w:rPr>
          <w:lang w:val="en-GB"/>
        </w:rPr>
        <w:t xml:space="preserve">proportionate </w:t>
      </w:r>
      <w:r w:rsidRPr="008E5B32">
        <w:rPr>
          <w:lang w:val="en-GB"/>
        </w:rPr>
        <w:t xml:space="preserve">risk management measures. </w:t>
      </w:r>
      <w:r w:rsidR="002E2411" w:rsidRPr="008E5B32">
        <w:rPr>
          <w:lang w:val="en-GB"/>
        </w:rPr>
        <w:t>Risk Assessment</w:t>
      </w:r>
      <w:r w:rsidRPr="008E5B32">
        <w:rPr>
          <w:lang w:val="en-GB"/>
        </w:rPr>
        <w:t xml:space="preserve"> consists in the estimation </w:t>
      </w:r>
      <w:r w:rsidR="005F7EA2" w:rsidRPr="008E5B32">
        <w:rPr>
          <w:lang w:val="en-GB"/>
        </w:rPr>
        <w:t xml:space="preserve">of </w:t>
      </w:r>
      <w:r w:rsidRPr="008E5B32">
        <w:rPr>
          <w:lang w:val="en-GB"/>
        </w:rPr>
        <w:t xml:space="preserve">the probability of health and environmental effects emerging from exposure to chemical substances. This paradigm has been considered applicable to NMs if properly implemented to address the complexity associated with their physicochemical identity, biological and environmental interactions and fate </w:t>
      </w:r>
      <w:r w:rsidRPr="008E5B32">
        <w:fldChar w:fldCharType="begin" w:fldLock="1"/>
      </w:r>
      <w:r w:rsidR="005D1733" w:rsidRPr="008E5B32">
        <w:rPr>
          <w:lang w:val="en-GB"/>
        </w:rPr>
        <w:instrText>ADDIN CSL_CITATION {"citationItems":[{"id":"ITEM-1","itemData":{"ISBN":"ENV/JM/MONO(2012)8","abstract":"FOREWORD : This document follows on from a report published by the Working Party on Manufactured Nanomaterials (WPMN), entitled Important Issues on Risk Assessment of Manufactured Nanomaterials (ENV/JM/MONO(2012)8). The report on Important Issues identified a range of issues which the WPMN considered important in risk assessment and which should be addressed in the future. However, not all of these important issues could be considered by the WPMN at the same time. For this reason, a survey was subsequently circulated to delegations of the WPMN with the aim of identifying those issues described in the report for which further guidance should be developed by the WPMN as a priority. This document summarises the survey results, the methodologies used to analyse the survey, and the identified priorities. These priorities will be the primary focus of projects pertaining to approaches for risk assessments of manufactured nanomaterials. The remaining Important Issues will be considered as additional resources become available. The survey results indicate that the availability of experimental data on which guidance development is based differs greatly between the Important Issues - an observation that should be considered when designing research programmes. The work to prepare this document was undertaken by steering group 6 (SG6) of the WPMN which addresses risk assessment methodologies and approaches. It is being published under the responsibility of the Joint Meeting of the Chemicals Committee and the Working Party on Chemicals, Pesticides and Biotechnology, which has agreed that it be declassified and made available to the public.","author":[{"dropping-particle":"","family":"OECD","given":"","non-dropping-particle":"","parse-names":false,"suffix":""}],"container-title":"OECD Environment, Health and Safety Publications. Series on the Safety of Manufactured Nanomaterials. ENV/JM/MONO(2012)/8","id":"ITEM-1","issue":"33","issued":{"date-parts":[["2012"]]},"title":"Important Issues on Risk Assessment of Manufactured Nanomaterials","type":"article-journal"},"uris":["http://www.mendeley.com/documents/?uuid=bc5048c0-7583-4e6e-997c-8ae59cc49f9a"]}],"mendeley":{"formattedCitation":"&lt;sup&gt;2&lt;/sup&gt;","plainTextFormattedCitation":"2","previouslyFormattedCitation":"&lt;sup&gt;2&lt;/sup&gt;"},"properties":{"noteIndex":0},"schema":"https://github.com/citation-style-language/schema/raw/master/csl-citation.json"}</w:instrText>
      </w:r>
      <w:r w:rsidRPr="008E5B32">
        <w:fldChar w:fldCharType="separate"/>
      </w:r>
      <w:r w:rsidRPr="008E5B32">
        <w:rPr>
          <w:noProof/>
          <w:vertAlign w:val="superscript"/>
          <w:lang w:val="en-GB"/>
        </w:rPr>
        <w:t>2</w:t>
      </w:r>
      <w:r w:rsidRPr="008E5B32">
        <w:fldChar w:fldCharType="end"/>
      </w:r>
      <w:r w:rsidRPr="008E5B32">
        <w:rPr>
          <w:lang w:val="en-GB"/>
        </w:rPr>
        <w:t xml:space="preserve">. </w:t>
      </w:r>
      <w:r w:rsidR="000E41E2" w:rsidRPr="008E5B32">
        <w:rPr>
          <w:lang w:val="en-GB"/>
        </w:rPr>
        <w:t xml:space="preserve">However, </w:t>
      </w:r>
      <w:r w:rsidRPr="008E5B32">
        <w:rPr>
          <w:lang w:val="en-GB"/>
        </w:rPr>
        <w:t xml:space="preserve">the large diversity of NMs </w:t>
      </w:r>
      <w:r w:rsidRPr="008E5B32">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Pr="008E5B32">
        <w:fldChar w:fldCharType="separate"/>
      </w:r>
      <w:r w:rsidRPr="008E5B32">
        <w:rPr>
          <w:noProof/>
          <w:vertAlign w:val="superscript"/>
          <w:lang w:val="en-GB"/>
        </w:rPr>
        <w:t>3</w:t>
      </w:r>
      <w:r w:rsidRPr="008E5B32">
        <w:fldChar w:fldCharType="end"/>
      </w:r>
      <w:r w:rsidRPr="008E5B32">
        <w:rPr>
          <w:lang w:val="en-GB"/>
        </w:rPr>
        <w:t xml:space="preserve"> used in nano-enabled products has made their case-by-case </w:t>
      </w:r>
      <w:r w:rsidR="002E2411" w:rsidRPr="008E5B32">
        <w:rPr>
          <w:lang w:val="en-GB"/>
        </w:rPr>
        <w:t>Risk Assessment</w:t>
      </w:r>
      <w:r w:rsidRPr="008E5B32">
        <w:rPr>
          <w:lang w:val="en-GB"/>
        </w:rPr>
        <w:t xml:space="preserve"> very demanding both in terms of cost and use of animal experiments. Indeed, </w:t>
      </w:r>
      <w:r w:rsidR="00CB23A6" w:rsidRPr="008E5B32">
        <w:rPr>
          <w:lang w:val="en-GB"/>
        </w:rPr>
        <w:t>NM</w:t>
      </w:r>
      <w:r w:rsidRPr="008E5B32">
        <w:rPr>
          <w:lang w:val="en-GB"/>
        </w:rPr>
        <w:t xml:space="preserve">s are available in many different grades optimised in size, morphology, purity and surface </w:t>
      </w:r>
      <w:r w:rsidR="00612424" w:rsidRPr="008E5B32">
        <w:rPr>
          <w:lang w:val="en-GB"/>
        </w:rPr>
        <w:t xml:space="preserve">properties </w:t>
      </w:r>
      <w:r w:rsidRPr="008E5B32">
        <w:rPr>
          <w:lang w:val="en-GB"/>
        </w:rPr>
        <w:t xml:space="preserve">for integration into </w:t>
      </w:r>
      <w:r w:rsidR="00BA08CB" w:rsidRPr="008E5B32">
        <w:rPr>
          <w:lang w:val="en-GB"/>
        </w:rPr>
        <w:t>products</w:t>
      </w:r>
      <w:r w:rsidRPr="008E5B32">
        <w:rPr>
          <w:lang w:val="en-GB"/>
        </w:rPr>
        <w:t>. The large number of nanoforms (NFs)</w:t>
      </w:r>
      <w:r w:rsidRPr="008E5B32">
        <w:rPr>
          <w:vertAlign w:val="superscript"/>
        </w:rPr>
        <w:footnoteReference w:id="2"/>
      </w:r>
      <w:r w:rsidRPr="008E5B32">
        <w:rPr>
          <w:color w:val="800000"/>
          <w:lang w:val="en-GB"/>
        </w:rPr>
        <w:t xml:space="preserve"> </w:t>
      </w:r>
      <w:r w:rsidRPr="008E5B32">
        <w:rPr>
          <w:lang w:val="en-GB"/>
        </w:rPr>
        <w:t xml:space="preserve">and the high complexity associated with their interactions in biological and environmental systems have raised the call for Amendments of the </w:t>
      </w:r>
      <w:r w:rsidR="005F7EA2" w:rsidRPr="008E5B32">
        <w:rPr>
          <w:lang w:val="en-GB"/>
        </w:rPr>
        <w:t xml:space="preserve">REACH </w:t>
      </w:r>
      <w:r w:rsidRPr="008E5B32">
        <w:rPr>
          <w:lang w:val="en-GB"/>
        </w:rPr>
        <w:t>Annexes</w:t>
      </w:r>
      <w:r w:rsidR="005F7EA2" w:rsidRPr="008E5B32">
        <w:rPr>
          <w:lang w:val="en-GB"/>
        </w:rPr>
        <w:t xml:space="preserve"> </w:t>
      </w:r>
      <w:r w:rsidR="00BA08CB" w:rsidRPr="008E5B32">
        <w:fldChar w:fldCharType="begin" w:fldLock="1"/>
      </w:r>
      <w:r w:rsidR="005D1733" w:rsidRPr="008E5B32">
        <w:rPr>
          <w:lang w:val="en-GB"/>
        </w:rPr>
        <w:instrText>ADDIN CSL_CITATION {"citationItems":[{"id":"ITEM-1","itemData":{"author":[{"dropping-particle":"","family":"EC","given":"","non-dropping-particle":"","parse-names":false,"suffix":""}],"id":"ITEM-1","issued":{"date-parts":[["2017"]]},"title":"Amendments of the Annexes to REACH for registration of nanomaterials | European Commission","type":"webpage"},"uris":["http://www.mendeley.com/documents/?uuid=b5e8448d-9ef1-41de-a797-8aa58347cbab"]}],"mendeley":{"formattedCitation":"&lt;sup&gt;4&lt;/sup&gt;","plainTextFormattedCitation":"4","previouslyFormattedCitation":"&lt;sup&gt;4&lt;/sup&gt;"},"properties":{"noteIndex":0},"schema":"https://github.com/citation-style-language/schema/raw/master/csl-citation.json"}</w:instrText>
      </w:r>
      <w:r w:rsidR="00BA08CB" w:rsidRPr="008E5B32">
        <w:fldChar w:fldCharType="separate"/>
      </w:r>
      <w:r w:rsidR="00BA08CB" w:rsidRPr="008E5B32">
        <w:rPr>
          <w:noProof/>
          <w:vertAlign w:val="superscript"/>
          <w:lang w:val="en-GB"/>
        </w:rPr>
        <w:t>4</w:t>
      </w:r>
      <w:r w:rsidR="00BA08CB" w:rsidRPr="008E5B32">
        <w:fldChar w:fldCharType="end"/>
      </w:r>
      <w:r w:rsidR="005F7EA2" w:rsidRPr="008E5B32">
        <w:rPr>
          <w:lang w:val="en-GB"/>
        </w:rPr>
        <w:t xml:space="preserve"> to require additional information for the safety assessment of NMs</w:t>
      </w:r>
      <w:r w:rsidRPr="008E5B32">
        <w:rPr>
          <w:lang w:val="en-GB"/>
        </w:rPr>
        <w:t>.</w:t>
      </w:r>
      <w:r w:rsidR="00715D68" w:rsidRPr="008E5B32">
        <w:rPr>
          <w:lang w:val="en-GB"/>
        </w:rPr>
        <w:t xml:space="preserve"> </w:t>
      </w:r>
      <w:r w:rsidR="00D37238" w:rsidRPr="008E5B32">
        <w:rPr>
          <w:lang w:val="en-GB"/>
        </w:rPr>
        <w:t xml:space="preserve">To address these challenges, it has been widely agreed by regulators, industries and scientists that the way forward is to develop robust </w:t>
      </w:r>
      <w:r w:rsidR="00612424" w:rsidRPr="008E5B32">
        <w:rPr>
          <w:lang w:val="en-GB"/>
        </w:rPr>
        <w:t>Integrated Approaches to Testing and Assessment (IATA)</w:t>
      </w:r>
      <w:r w:rsidR="00D81C99" w:rsidRPr="008E5B32">
        <w:rPr>
          <w:lang w:val="en-GB"/>
        </w:rPr>
        <w:t xml:space="preserve"> </w:t>
      </w:r>
      <w:r w:rsidR="00D37238" w:rsidRPr="008E5B32">
        <w:rPr>
          <w:lang w:val="en-GB"/>
        </w:rPr>
        <w:t xml:space="preserve">that should </w:t>
      </w:r>
      <w:r w:rsidR="005F7EA2" w:rsidRPr="008E5B32">
        <w:rPr>
          <w:color w:val="auto"/>
          <w:lang w:val="en-GB"/>
        </w:rPr>
        <w:t xml:space="preserve">be compliant with the 3R </w:t>
      </w:r>
      <w:r w:rsidR="005F7EA2" w:rsidRPr="008E5B32">
        <w:rPr>
          <w:lang w:val="en-GB"/>
        </w:rPr>
        <w:t xml:space="preserve">(Replacement, Reduction and Refinement) </w:t>
      </w:r>
      <w:r w:rsidR="005F7EA2" w:rsidRPr="008E5B32">
        <w:rPr>
          <w:color w:val="auto"/>
          <w:lang w:val="en-GB"/>
        </w:rPr>
        <w:t>principles</w:t>
      </w:r>
      <w:r w:rsidR="00183B4A" w:rsidRPr="008E5B32">
        <w:rPr>
          <w:color w:val="auto"/>
          <w:lang w:val="en-GB"/>
        </w:rPr>
        <w:t xml:space="preserve"> for reducing animal testing</w:t>
      </w:r>
      <w:r w:rsidR="005F7EA2" w:rsidRPr="008E5B32">
        <w:rPr>
          <w:lang w:val="en-GB"/>
        </w:rPr>
        <w:t xml:space="preserve"> </w:t>
      </w:r>
      <w:r w:rsidR="005F7EA2" w:rsidRPr="008E5B32">
        <w:fldChar w:fldCharType="begin" w:fldLock="1"/>
      </w:r>
      <w:r w:rsidR="005D1733" w:rsidRPr="008E5B32">
        <w:rPr>
          <w:lang w:val="en-GB"/>
        </w:rPr>
        <w:instrText>ADDIN CSL_CITATION {"citationItems":[{"id":"ITEM-1","itemData":{"DOI":"10.1016/J.NANTOD.2016.06.007","ISSN":"1748-0132","abstract":"Due to the plethora of nanomaterials being manufactured, it is crucial that their effects on human health are understood. It is not feasible to assess the safety of all nanomaterials using animal-based toxicity tests. There are also scientific, business, legislative and ethical drivers to reconsider the use of such toxicity tests. Utilising non-traditional methods has the potential to improve the human relevance of nanosafety assessment, reduce the numbers of animals that are used, and shift the paradigm to a ‘21st century’ approach that exploits recent scientific and technological advances. This article considers how application of the 3Rs principles can be used as a framework to support and guide this paradigm shift in the short, medium and long-term. Bringing the community together to facilitate the transition is necessary to ensure that tangible impacts are made on the efficiency and robustness of the nanosafety assessment process.","author":[{"dropping-particle":"","family":"Burden","given":"Natalie","non-dropping-particle":"","parse-names":false,"suffix":""},{"dropping-particle":"","family":"Aschberger","given":"Karin","non-dropping-particle":"","parse-names":false,"suffix":""},{"dropping-particle":"","family":"Chaudhry","given":"Qasim","non-dropping-particle":"","parse-names":false,"suffix":""},{"dropping-particle":"","family":"Clift","given":"Martin J.D.","non-dropping-particle":"","parse-names":false,"suffix":""},{"dropping-particle":"","family":"Doak","given":"Shareen H.","non-dropping-particle":"","parse-names":false,"suffix":""},{"dropping-particle":"","family":"Fowler","given":"Paul","non-dropping-particle":"","parse-names":false,"suffix":""},{"dropping-particle":"","family":"Johnston","given":"Helinor","non-dropping-particle":"","parse-names":false,"suffix":""},{"dropping-particle":"","family":"Landsiedel","given":"Robert","non-dropping-particle":"","parse-names":false,"suffix":""},{"dropping-particle":"","family":"Rowland","given":"Joanna","non-dropping-particle":"","parse-names":false,"suffix":""},{"dropping-particle":"","family":"Stone","given":"Vicki","non-dropping-particle":"","parse-names":false,"suffix":""}],"container-title":"Nano Today","id":"ITEM-1","issued":{"date-parts":[["2017","2"]]},"page":"10-13","publisher":"Elsevier","title":"The 3Rs as a framework to support a 21st century approach for nanosafety assessment","type":"article-journal","volume":"12"},"uris":["http://www.mendeley.com/documents/?uuid=2cd8d886-e459-39ab-9f87-3c7c69350c4f","http://www.mendeley.com/documents/?uuid=dc13ce32-4ac2-434c-809a-4a63b0f3de58","http://www.mendeley.com/documents/?uuid=76424857-d4fb-4541-b762-88489ee524a5"]}],"mendeley":{"formattedCitation":"&lt;sup&gt;5&lt;/sup&gt;","plainTextFormattedCitation":"5","previouslyFormattedCitation":"&lt;sup&gt;5&lt;/sup&gt;"},"properties":{"noteIndex":0},"schema":"https://github.com/citation-style-language/schema/raw/master/csl-citation.json"}</w:instrText>
      </w:r>
      <w:r w:rsidR="005F7EA2" w:rsidRPr="008E5B32">
        <w:fldChar w:fldCharType="separate"/>
      </w:r>
      <w:r w:rsidR="00AE26CF" w:rsidRPr="008E5B32">
        <w:rPr>
          <w:noProof/>
          <w:vertAlign w:val="superscript"/>
        </w:rPr>
        <w:t>5</w:t>
      </w:r>
      <w:r w:rsidR="005F7EA2" w:rsidRPr="008E5B32">
        <w:fldChar w:fldCharType="end"/>
      </w:r>
      <w:r w:rsidR="00183B4A" w:rsidRPr="008E5B32">
        <w:t xml:space="preserve">. These IATA would involve both </w:t>
      </w:r>
      <w:r w:rsidR="00D37238" w:rsidRPr="008E5B32">
        <w:t xml:space="preserve">experimental and modelling tools </w:t>
      </w:r>
      <w:r w:rsidR="00D37238" w:rsidRPr="008E5B32">
        <w:rPr>
          <w:color w:val="auto"/>
        </w:rPr>
        <w:fldChar w:fldCharType="begin" w:fldLock="1"/>
      </w:r>
      <w:r w:rsidR="005D1733" w:rsidRPr="008E5B32">
        <w:rPr>
          <w:color w:val="auto"/>
        </w:rPr>
        <w:instrText>ADDIN CSL_CITATION {"citationItems":[{"id":"ITEM-1","itemData":{"DOI":"10.1016/j.envint.2016.07.016","ISBN":"0160-4120","ISSN":"18736750","PMID":"27523267","abstract":"Commercialization of nanotechnologies entails a regulatory requirement for understanding their environmental, health and safety (EHS) risks. Today we face challenges to assess these risks, which emerge from uncertainties around the interactions of manufactured nanomaterials (MNs) with humans and the environment. In order to reduce these uncertainties, it is necessary to generate sound scientific data on hazard and exposure by means of relevant frameworks and tools. The development of such approaches to facilitate the risk assessment (RA) of MNs has become a dynamic area of research. The aim of this paper was to review and critically analyse these approaches against a set of relevant criteria. The analysis concluded that none of the reviewed frameworks were able to fulfill all evaluation criteria. Many of the existing modelling tools are designed to provide screening-level assessments rather than to support regulatory RA and risk management. Nevertheless, there is a tendency towards developing more quantitative, higher-tier models, capable of incorporating uncertainty into their analyses. There is also a trend towards developing validated experimental protocols for material identification and hazard testing, reproducible across laboratories. These tools could enable a shift from a costly case-by-case RA of MNs towards a targeted, flexible and efficient process, based on grouping and read-across strategies and compliant with the 3R (Replacement, Reduction, Refinement) principles. In order to facilitate this process, it is important to transform the current efforts on developing databases and computational models into creating an integrated data and tools infrastructure to support the risk assessment and management of MNs.","author":[{"dropping-particle":"","family":"Hristozov","given":"Danail","non-dropping-particle":"","parse-names":false,"suffix":""},{"dropping-particle":"","family":"Gottardo","given":"Stefania","non-dropping-particle":"","parse-names":false,"suffix":""},{"dropping-particle":"","family":"Semenzin","given":"Elena","non-dropping-particle":"","parse-names":false,"suffix":""},{"dropping-particle":"","family":"Oomen","given":"Agnes","non-dropping-particle":"","parse-names":false,"suffix":""},{"dropping-particle":"","family":"Bos","given":"Peter","non-dropping-particle":"","parse-names":false,"suffix":""},{"dropping-particle":"","family</w:instrText>
      </w:r>
      <w:r w:rsidR="005D1733" w:rsidRPr="008E5B32">
        <w:rPr>
          <w:color w:val="auto"/>
          <w:lang w:val="en-US"/>
        </w:rPr>
        <w:instrText>":"Peijnenburg","given":"Willie","non-dropping-particle":"","parse-names":false,"suffix":""},{"dropping-particle":"","family":"Tongeren","given":"Martie","non-dropping-particle":"van","parse-names":false,"suffix":""},{"dropping-particle":"","family":"Nowack","given":"Bernd","non-dropping-particle":"","parse-names":false,"suffix":""},{"dropping-particle":"","family":"Hunt","given":"Neil","non-dropping-particle":"","parse-names":false,"suffix":""},{"dropping-particle":"","family":"Brunelli","given":"Andrea","non-dropping-particle":"","parse-names":false,"suffix":""},{"dropping-particle":"","family":"Scott-Fordsmand","given":"Janeck J.","non-dropping-particle":"","parse-names":false,"suffix":""},{"dropping-particle":"","family":"Tran","given":"Lang","non-dropping-particle":"","parse-names":false,"suffix":""},{"dropping-particle":"","family":"Marcomini","given":"Antonio","non-dropping-particle":"","parse-names":false,"suffix":""}],"container-title":"Environment International","id":"ITEM-1","issued":{"date-parts":[["2016"]]},"page":"36-53","title":"Frameworks and tools for risk assessment of manufactured nanomaterials","type":"article","volume":"95"},"uris":["http://www.mendeley.com/documents/?uuid=fe6bf45e-83ae-4193-84c2-fdc5f43e23ff"]}],"mendeley":{"formattedCitation":"&lt;sup&gt;6&lt;/sup&gt;","plainTextFormattedCitation":"6","previouslyFormattedCitation":"&lt;sup&gt;6&lt;/sup&gt;"},"properties":{"noteIndex":0},"schema":"https://github.com/citation-style-language/schema/raw/master/csl-citation.json"}</w:instrText>
      </w:r>
      <w:r w:rsidR="00D37238" w:rsidRPr="008E5B32">
        <w:rPr>
          <w:color w:val="auto"/>
        </w:rPr>
        <w:fldChar w:fldCharType="separate"/>
      </w:r>
      <w:r w:rsidR="00AE26CF" w:rsidRPr="008E5B32">
        <w:rPr>
          <w:noProof/>
          <w:color w:val="auto"/>
          <w:vertAlign w:val="superscript"/>
          <w:lang w:val="en-GB"/>
        </w:rPr>
        <w:t>6</w:t>
      </w:r>
      <w:r w:rsidR="00D37238" w:rsidRPr="008E5B32">
        <w:rPr>
          <w:color w:val="auto"/>
        </w:rPr>
        <w:fldChar w:fldCharType="end"/>
      </w:r>
      <w:r w:rsidR="00183B4A" w:rsidRPr="008E5B32">
        <w:rPr>
          <w:color w:val="auto"/>
          <w:lang w:val="en-GB"/>
        </w:rPr>
        <w:t xml:space="preserve"> to facilitate intelligent testing and </w:t>
      </w:r>
      <w:r w:rsidR="00976FA6" w:rsidRPr="008E5B32">
        <w:rPr>
          <w:color w:val="auto"/>
          <w:lang w:val="en-GB"/>
        </w:rPr>
        <w:t xml:space="preserve">Grouping </w:t>
      </w:r>
      <w:r w:rsidR="00F8689A" w:rsidRPr="008E5B32">
        <w:rPr>
          <w:color w:val="auto"/>
          <w:lang w:val="en-GB"/>
        </w:rPr>
        <w:t>and</w:t>
      </w:r>
      <w:r w:rsidR="001960DB" w:rsidRPr="008E5B32">
        <w:rPr>
          <w:color w:val="auto"/>
          <w:lang w:val="en-GB"/>
        </w:rPr>
        <w:t xml:space="preserve"> </w:t>
      </w:r>
      <w:r w:rsidR="00976FA6" w:rsidRPr="008E5B32">
        <w:rPr>
          <w:color w:val="auto"/>
          <w:lang w:val="en-GB"/>
        </w:rPr>
        <w:t xml:space="preserve">Read-Across </w:t>
      </w:r>
      <w:r w:rsidR="00F8689A" w:rsidRPr="008E5B32">
        <w:rPr>
          <w:color w:val="auto"/>
          <w:lang w:val="en-GB"/>
        </w:rPr>
        <w:t>to inform</w:t>
      </w:r>
      <w:r w:rsidR="00183B4A" w:rsidRPr="008E5B32">
        <w:rPr>
          <w:color w:val="auto"/>
          <w:lang w:val="en-GB"/>
        </w:rPr>
        <w:t xml:space="preserve"> both regulatory </w:t>
      </w:r>
      <w:r w:rsidR="002E2411" w:rsidRPr="008E5B32">
        <w:rPr>
          <w:color w:val="auto"/>
          <w:lang w:val="en-GB"/>
        </w:rPr>
        <w:t>Risk Assessment</w:t>
      </w:r>
      <w:r w:rsidR="00183B4A" w:rsidRPr="008E5B32">
        <w:rPr>
          <w:color w:val="auto"/>
          <w:lang w:val="en-GB"/>
        </w:rPr>
        <w:t xml:space="preserve"> and safer design of quality products</w:t>
      </w:r>
      <w:r w:rsidR="00B23BAD" w:rsidRPr="008E5B32">
        <w:rPr>
          <w:lang w:val="en-GB"/>
        </w:rPr>
        <w:t>.</w:t>
      </w:r>
      <w:r w:rsidR="00E17987" w:rsidRPr="008E5B32">
        <w:rPr>
          <w:lang w:val="en-GB"/>
        </w:rPr>
        <w:t xml:space="preserve"> </w:t>
      </w:r>
    </w:p>
    <w:p w14:paraId="056C84E0" w14:textId="387D91EB" w:rsidR="00704BB0" w:rsidRPr="008E5B32" w:rsidRDefault="00012A66" w:rsidP="00365F3C">
      <w:pPr>
        <w:rPr>
          <w:lang w:val="en-GB"/>
        </w:rPr>
      </w:pPr>
      <w:r w:rsidRPr="008E5B32">
        <w:rPr>
          <w:lang w:val="en-GB"/>
        </w:rPr>
        <w:t xml:space="preserve">The application of </w:t>
      </w:r>
      <w:r w:rsidRPr="008E5B32">
        <w:rPr>
          <w:i/>
          <w:lang w:val="en-GB"/>
        </w:rPr>
        <w:t>in silico</w:t>
      </w:r>
      <w:r w:rsidRPr="008E5B32">
        <w:rPr>
          <w:lang w:val="en-GB"/>
        </w:rPr>
        <w:t xml:space="preserve"> methods </w:t>
      </w:r>
      <w:r w:rsidR="00F8689A" w:rsidRPr="008E5B32">
        <w:rPr>
          <w:lang w:val="en-GB"/>
        </w:rPr>
        <w:t>for</w:t>
      </w:r>
      <w:r w:rsidR="00CD60C8" w:rsidRPr="008E5B32">
        <w:rPr>
          <w:lang w:val="en-GB"/>
        </w:rPr>
        <w:t xml:space="preserve"> Grouping </w:t>
      </w:r>
      <w:r w:rsidR="00F8689A" w:rsidRPr="008E5B32">
        <w:rPr>
          <w:lang w:val="en-GB"/>
        </w:rPr>
        <w:t>and</w:t>
      </w:r>
      <w:r w:rsidR="00CD60C8" w:rsidRPr="008E5B32">
        <w:rPr>
          <w:lang w:val="en-GB"/>
        </w:rPr>
        <w:t xml:space="preserve"> Read-Across </w:t>
      </w:r>
      <w:r w:rsidRPr="008E5B32">
        <w:rPr>
          <w:lang w:val="en-GB"/>
        </w:rPr>
        <w:t xml:space="preserve">is </w:t>
      </w:r>
      <w:r w:rsidR="00183B4A" w:rsidRPr="008E5B32">
        <w:rPr>
          <w:lang w:val="en-GB"/>
        </w:rPr>
        <w:t xml:space="preserve">subject to the </w:t>
      </w:r>
      <w:r w:rsidRPr="008E5B32">
        <w:rPr>
          <w:lang w:val="en-GB"/>
        </w:rPr>
        <w:t xml:space="preserve">REACH Annex XI. A group or category, according to REACH, is the arrangement of substances based on similar physicochemical and (eco)toxicological, toxicokinetic and/or environmental fate properties </w:t>
      </w:r>
      <w:r w:rsidRPr="008E5B32">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Pr="008E5B32">
        <w:fldChar w:fldCharType="separate"/>
      </w:r>
      <w:r w:rsidRPr="008E5B32">
        <w:rPr>
          <w:noProof/>
          <w:vertAlign w:val="superscript"/>
          <w:lang w:val="en-GB"/>
        </w:rPr>
        <w:t>3</w:t>
      </w:r>
      <w:r w:rsidRPr="008E5B32">
        <w:fldChar w:fldCharType="end"/>
      </w:r>
      <w:r w:rsidRPr="008E5B32">
        <w:rPr>
          <w:lang w:val="en-GB"/>
        </w:rPr>
        <w:t xml:space="preserve">. OECD goes beyond identification of toxicological properties to support </w:t>
      </w:r>
      <w:r w:rsidR="00A31DCA" w:rsidRPr="008E5B32">
        <w:rPr>
          <w:lang w:val="en-GB"/>
        </w:rPr>
        <w:t>G</w:t>
      </w:r>
      <w:r w:rsidRPr="008E5B32">
        <w:rPr>
          <w:lang w:val="en-GB"/>
        </w:rPr>
        <w:t xml:space="preserve">rouping and identifies also mode of toxicological action as a relevant principle of similarity </w:t>
      </w:r>
      <w:r w:rsidRPr="008E5B32">
        <w:fldChar w:fldCharType="begin" w:fldLock="1"/>
      </w:r>
      <w:r w:rsidR="005D1733" w:rsidRPr="008E5B32">
        <w:rPr>
          <w:lang w:val="en-GB"/>
        </w:rPr>
        <w:instrText>ADDIN CSL_CITATION {"citationItems":[{"id":"ITEM-1","itemData":{"DOI":"10.1787/9789264085442-en","ISBN":"9789264085442","abstract":"FOREWORD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Assessment","container-title":"ENV/JM/MONO(2007)2","id":"ITEM-1","issue":"February","issued":{"date-parts":[["2007","9"]]},"number-of-pages":"1-154","publisher":"OECD Publishing","title":"Guidance Document on the Validation of (Quantitative) Structure-Activity Relationship [(Q)SAR] Models","type":"report","volume":"2"},"uris":["http://www.mendeley.com/documents/?uuid=15920fad-997b-4bec-9b20-5ab6fdf65c56","http://www.mendeley.com/documents/?uuid=fcbbe4fd-11fb-48bf-9c58-e2c9983c8e40","http://www.mendeley.com/documents/?uuid=3d44bd0e-1b2a-49f7-81be-3234a3f9a41e"]}],"mendeley":{"formattedCitation":"&lt;sup&gt;7&lt;/sup&gt;","plainTextFormattedCitation":"7","previouslyFormattedCitation":"&lt;sup&gt;7&lt;/sup&gt;"},"properties":{"noteIndex":0},"schema":"https://github.com/citation-style-language/schema/raw/master/csl-citation.json"}</w:instrText>
      </w:r>
      <w:r w:rsidRPr="008E5B32">
        <w:fldChar w:fldCharType="separate"/>
      </w:r>
      <w:r w:rsidR="00E300D3" w:rsidRPr="008E5B32">
        <w:rPr>
          <w:noProof/>
          <w:vertAlign w:val="superscript"/>
          <w:lang w:val="en-GB"/>
        </w:rPr>
        <w:t>7</w:t>
      </w:r>
      <w:r w:rsidRPr="008E5B32">
        <w:fldChar w:fldCharType="end"/>
      </w:r>
      <w:r w:rsidRPr="008E5B32">
        <w:rPr>
          <w:lang w:val="en-GB"/>
        </w:rPr>
        <w:t>.</w:t>
      </w:r>
      <w:r w:rsidR="00687D40" w:rsidRPr="008E5B32">
        <w:rPr>
          <w:lang w:val="en-GB"/>
        </w:rPr>
        <w:t xml:space="preserve"> Other possible ways to group NMs are based on commercial importance and volume of production, composition/chemistry (</w:t>
      </w:r>
      <w:r w:rsidR="00850985" w:rsidRPr="008E5B32">
        <w:rPr>
          <w:lang w:val="en-GB"/>
        </w:rPr>
        <w:t>e.g.</w:t>
      </w:r>
      <w:r w:rsidR="00687D40" w:rsidRPr="008E5B32">
        <w:rPr>
          <w:lang w:val="en-GB"/>
        </w:rPr>
        <w:t xml:space="preserve"> carbon</w:t>
      </w:r>
      <w:r w:rsidR="00850985" w:rsidRPr="008E5B32">
        <w:rPr>
          <w:lang w:val="en-GB"/>
        </w:rPr>
        <w:t>-based</w:t>
      </w:r>
      <w:r w:rsidR="00687D40" w:rsidRPr="008E5B32">
        <w:rPr>
          <w:lang w:val="en-GB"/>
        </w:rPr>
        <w:t xml:space="preserve">; metal and metalloid oxides; metals, metal salts and metalloids; semiconductor quantum dots; organics and other classes) </w:t>
      </w:r>
      <w:r w:rsidR="00687D40" w:rsidRPr="008E5B32">
        <w:fldChar w:fldCharType="begin" w:fldLock="1"/>
      </w:r>
      <w:r w:rsidR="00687D40" w:rsidRPr="008E5B32">
        <w:rPr>
          <w:lang w:val="en-GB"/>
        </w:rPr>
        <w:instrText>ADDIN CSL_CITATION {"citationItems":[{"id":"ITEM-1","itemData":{"author":[{"dropping-particle":"","family":"RCC","given":"","non-dropping-particle":"","parse-names":false,"suffix":""}],"id":"ITEM-1","issued":{"date-parts":[["2013"]]},"page":"18","title":"Nanotechnology Initiative Work Element 2 , Priority Setting : Development of a Joint Nanomaterials Classification Scheme","type":"article-journal"},"uris":["http://www.mendeley.com/documents/?uuid=85f7d2f9-8a9a-4a83-a04b-3e322b55010e","http://www.mendeley.com/documents/?uuid=52a74cfb-a663-418b-9ec5-2a106a43e211","http://www.mendeley.com/documents/?uuid=4c5e6f8c-921d-43a9-8b50-da6ce321a32d"]},{"id":"ITEM-2","itemData":{"author":[{"dropping-particle":"","family":"RCC","given":"","non-dropping-particle":"","parse-names":false,"suffix":""}],"id":"ITEM-2","issued":{"date-parts":[["2013"]]},"page":"42","title":"Nanotechnology Initiative Work Element 3 : Risk Assessment / Risk Management","type":"article-journal"},"uris":["http://www.mendeley.com/documents/?uuid=ce8c102b-2372-43d8-93a4-a3b9d85009de","http://www.mendeley.com/documents/?uuid=64ff746a-9cd5-4275-8645-5a1444803aed","http://www.mendeley.com/documents/?uuid=9136aaf6-e409-45ee-88aa-4612b7befc63","http://www.mendeley.com/documents/?uuid=f1d96d1c-9c36-426d-8502-d13ea9a13791"]}],"mendeley":{"formattedCitation":"&lt;sup&gt;8,9&lt;/sup&gt;","plainTextFormattedCitation":"8,9","previouslyFormattedCitation":"&lt;sup&gt;8,9&lt;/sup&gt;"},"properties":{"noteIndex":0},"schema":"https://github.com/citation-style-language/schema/raw/master/csl-citation.json"}</w:instrText>
      </w:r>
      <w:r w:rsidR="00687D40" w:rsidRPr="008E5B32">
        <w:fldChar w:fldCharType="separate"/>
      </w:r>
      <w:r w:rsidR="00687D40" w:rsidRPr="008E5B32">
        <w:rPr>
          <w:noProof/>
          <w:vertAlign w:val="superscript"/>
          <w:lang w:val="en-GB"/>
        </w:rPr>
        <w:t>8,9</w:t>
      </w:r>
      <w:r w:rsidR="00687D40" w:rsidRPr="008E5B32">
        <w:fldChar w:fldCharType="end"/>
      </w:r>
      <w:r w:rsidR="00687D40" w:rsidRPr="008E5B32">
        <w:rPr>
          <w:lang w:val="en-GB"/>
        </w:rPr>
        <w:t>,</w:t>
      </w:r>
      <w:r w:rsidR="00713F03" w:rsidRPr="008E5B32">
        <w:rPr>
          <w:lang w:val="en-GB"/>
        </w:rPr>
        <w:t xml:space="preserve"> on properties (such as</w:t>
      </w:r>
      <w:r w:rsidR="00687D40" w:rsidRPr="008E5B32">
        <w:rPr>
          <w:lang w:val="en-GB"/>
        </w:rPr>
        <w:t xml:space="preserve"> dimension</w:t>
      </w:r>
      <w:r w:rsidR="00713F03" w:rsidRPr="008E5B32">
        <w:rPr>
          <w:lang w:val="en-GB"/>
        </w:rPr>
        <w:t xml:space="preserve">, </w:t>
      </w:r>
      <w:r w:rsidR="00687D40" w:rsidRPr="008E5B32">
        <w:rPr>
          <w:lang w:val="en-GB"/>
        </w:rPr>
        <w:t>shape</w:t>
      </w:r>
      <w:r w:rsidR="00713F03" w:rsidRPr="008E5B32">
        <w:rPr>
          <w:lang w:val="en-GB"/>
        </w:rPr>
        <w:t xml:space="preserve">, </w:t>
      </w:r>
      <w:r w:rsidR="00687D40" w:rsidRPr="008E5B32">
        <w:rPr>
          <w:lang w:val="en-GB"/>
        </w:rPr>
        <w:t>morphology, complexity</w:t>
      </w:r>
      <w:r w:rsidR="00713F03" w:rsidRPr="008E5B32">
        <w:rPr>
          <w:lang w:val="en-GB"/>
        </w:rPr>
        <w:t xml:space="preserve"> and </w:t>
      </w:r>
      <w:r w:rsidR="00687D40" w:rsidRPr="008E5B32">
        <w:rPr>
          <w:lang w:val="en-GB"/>
        </w:rPr>
        <w:t>surface functionalization</w:t>
      </w:r>
      <w:r w:rsidR="00713F03" w:rsidRPr="008E5B32">
        <w:rPr>
          <w:lang w:val="en-GB"/>
        </w:rPr>
        <w:t>)</w:t>
      </w:r>
      <w:r w:rsidR="00687D40" w:rsidRPr="008E5B32">
        <w:rPr>
          <w:lang w:val="en-GB"/>
        </w:rPr>
        <w:t xml:space="preserve">, or basing on synthetic and biological identity </w:t>
      </w:r>
      <w:r w:rsidR="00687D40" w:rsidRPr="008E5B32">
        <w:fldChar w:fldCharType="begin" w:fldLock="1"/>
      </w:r>
      <w:r w:rsidR="005D1733" w:rsidRPr="008E5B32">
        <w:rPr>
          <w:lang w:val="en-GB"/>
        </w:rPr>
        <w:instrText>ADDIN CSL_CITATION {"citationItems":[{"id":"ITEM-1","itemData":{"DOI":"10.1016/j.nantod.2014.05.001","ISBN":"1878-044X; 1748-0132","ISSN":"1878044X","PMID":"25818068","abstract":"There is an urgent need to establish a fundamental understanding of the mechanisms of nanomaterial (NM) interaction with living systems and the environment, in order for regulation of NMs to keep pace with their increasing industrial application. Identification of critical properties (physicochemical descriptors) that confer the ability to induce harm in biological systems is crucial, enabling both prediction of impacts from related NMs (via quantitative nanostructure-activity relationships (QNARs) and read-across approaches) and development of strategies to ensure these features are avoided or minimised in NM production in the future (\"safety by design\"). A number of challenges to successful implementation of such a strategy exist, including: (i) the lack of widely available systematically varied libraries of NMs to enable generation of sufficiently robust datasets for development and validation of QNARs; (ii) the fact that many physicochemical properties of pristine NMs are inter-related and thus cannot be varied systematically in isolation from others (e.g. increasing surface charge may impact on hydrophobicity, or changing the shape of a NM may introduce defects or alter the atomic configuration of the surface); and (iii) the effect of ageing, transformation and biomolecule coating of NMs under environmental or biological conditions. A novel approach to identify interlinked physicochemical properties, and on this basis identify overarching descriptors (axes or principle components) which can be used to correlate with toxicity is proposed. An example of the approach is provided, using three principle components which we suggest can be utilised to fully describe each NM, these being the intrinsic (inherent) properties of the NM, composition (which we propose as a separate parameter) and extrinsic properties (interaction with media, molecular coronas etc.). © 2014 The Authors.","author":[{"dropping-particle":"","family":"Lynch","given":"Iseult","non-dropping-particle":"","parse-names":false,"suffix":""},{"dropping-particle":"","family":"Weiss","given":"Carsten","non-dropping-particle":"","parse-names":false,"suffix":""},{"dropping-particle":"","family":"Valsami-Jones","given":"Eugenia","non-dropping-particle":"","parse-names":false,"suffix":""}],"container-title":"Nano Today","id":"ITEM-1","issue":"3","issued":{"date-parts":[["2014"]]},"page":"266-270","title":"A strategy for grouping of nanomaterials based on key physico-chemical descriptors as a basis for safer-by-design NMs","type":"article","volume":"9"},"uris":["http://www.mendeley.com/documents/?uuid=736b56ce-c805-47e6-b023-f16434a6f776"]}],"mendeley":{"formattedCitation":"&lt;sup&gt;10&lt;/sup&gt;","plainTextFormattedCitation":"10","previouslyFormattedCitation":"&lt;sup&gt;10&lt;/sup&gt;"},"properties":{"noteIndex":0},"schema":"https://github.com/citation-style-language/schema/raw/master/csl-citation.json"}</w:instrText>
      </w:r>
      <w:r w:rsidR="00687D40" w:rsidRPr="008E5B32">
        <w:fldChar w:fldCharType="separate"/>
      </w:r>
      <w:r w:rsidR="00687D40" w:rsidRPr="008E5B32">
        <w:rPr>
          <w:noProof/>
          <w:vertAlign w:val="superscript"/>
          <w:lang w:val="en-GB"/>
        </w:rPr>
        <w:t>10</w:t>
      </w:r>
      <w:r w:rsidR="00687D40" w:rsidRPr="008E5B32">
        <w:fldChar w:fldCharType="end"/>
      </w:r>
      <w:r w:rsidR="00687D40" w:rsidRPr="008E5B32">
        <w:rPr>
          <w:lang w:val="en-GB"/>
        </w:rPr>
        <w:t>.</w:t>
      </w:r>
      <w:r w:rsidRPr="008E5B32">
        <w:rPr>
          <w:lang w:val="en-GB"/>
        </w:rPr>
        <w:t xml:space="preserve"> </w:t>
      </w:r>
      <w:r w:rsidR="00687D40" w:rsidRPr="008E5B32">
        <w:rPr>
          <w:lang w:val="en-GB"/>
        </w:rPr>
        <w:t>Grouping can serve several purposes</w:t>
      </w:r>
      <w:r w:rsidR="00850985" w:rsidRPr="008E5B32">
        <w:rPr>
          <w:lang w:val="en-GB"/>
        </w:rPr>
        <w:t xml:space="preserve"> such as informing</w:t>
      </w:r>
      <w:r w:rsidR="00687D40" w:rsidRPr="008E5B32">
        <w:rPr>
          <w:lang w:val="en-GB"/>
        </w:rPr>
        <w:t xml:space="preserve"> targeted testing for Risk Assessment, facilitating </w:t>
      </w:r>
      <w:r w:rsidR="00CE3C61" w:rsidRPr="008E5B32">
        <w:rPr>
          <w:lang w:val="en-GB"/>
        </w:rPr>
        <w:t>Safe-by-Design (</w:t>
      </w:r>
      <w:r w:rsidR="00687D40" w:rsidRPr="008E5B32">
        <w:rPr>
          <w:lang w:val="en-GB"/>
        </w:rPr>
        <w:t>SbD</w:t>
      </w:r>
      <w:r w:rsidR="00850985" w:rsidRPr="008E5B32">
        <w:rPr>
          <w:lang w:val="en-GB"/>
        </w:rPr>
        <w:t>)</w:t>
      </w:r>
      <w:r w:rsidR="00687D40" w:rsidRPr="008E5B32">
        <w:rPr>
          <w:lang w:val="en-GB"/>
        </w:rPr>
        <w:t xml:space="preserve"> practices, and filling data gaps</w:t>
      </w:r>
      <w:r w:rsidR="00850985" w:rsidRPr="008E5B32">
        <w:rPr>
          <w:lang w:val="en-GB"/>
        </w:rPr>
        <w:t>. The latter is typically achieved through</w:t>
      </w:r>
      <w:r w:rsidR="00687D40" w:rsidRPr="008E5B32">
        <w:rPr>
          <w:lang w:val="en-GB"/>
        </w:rPr>
        <w:t xml:space="preserve"> Read-Across</w:t>
      </w:r>
      <w:r w:rsidRPr="008E5B32">
        <w:rPr>
          <w:lang w:val="en-GB"/>
        </w:rPr>
        <w:t>, a</w:t>
      </w:r>
      <w:r w:rsidR="00850985" w:rsidRPr="008E5B32">
        <w:rPr>
          <w:lang w:val="en-GB"/>
        </w:rPr>
        <w:t>n established approach</w:t>
      </w:r>
      <w:r w:rsidRPr="008E5B32">
        <w:rPr>
          <w:lang w:val="en-GB"/>
        </w:rPr>
        <w:t xml:space="preserve"> used to predict properties and/or effects for a “target” substance by using information from analogous “source” substance(s) </w:t>
      </w:r>
      <w:r w:rsidRPr="008E5B32">
        <w:fldChar w:fldCharType="begin" w:fldLock="1"/>
      </w:r>
      <w:r w:rsidR="005D1733" w:rsidRPr="008E5B32">
        <w:rPr>
          <w:lang w:val="en-GB"/>
        </w:rPr>
        <w:instrText>ADDIN CSL_CITATION {"citationItems":[{"id":"ITEM-1","itemData":{"DOI":"10.2823/619212","abstract":"If you have questions or comments in relation to this document please send them (quoting the reference and issue date) using the information request form. The form can be accessed via the 'Contact ECHA' page at:","author":[{"dropping-particle":"","family":"ECHA","given":"","non-dropping-particle":"","parse-names":false,"suffix":""}],"id":"ITEM-1","issued":{"date-parts":[["2017"]]},"title":"Read-Across Assessment Framework (RAAF)","type":"article-journal"},"uris":["http://www.mendeley.com/documents/?uuid=5356b361-134e-3dac-9559-db436a323849"]}],"mendeley":{"formattedCitation":"&lt;sup&gt;11&lt;/sup&gt;","plainTextFormattedCitation":"11","previouslyFormattedCitation":"&lt;sup&gt;11&lt;/sup&gt;"},"properties":{"noteIndex":0},"schema":"https://github.com/citation-style-language/schema/raw/master/csl-citation.json"}</w:instrText>
      </w:r>
      <w:r w:rsidRPr="008E5B32">
        <w:fldChar w:fldCharType="separate"/>
      </w:r>
      <w:r w:rsidR="00687D40" w:rsidRPr="008E5B32">
        <w:rPr>
          <w:noProof/>
          <w:vertAlign w:val="superscript"/>
          <w:lang w:val="en-GB"/>
        </w:rPr>
        <w:t>11</w:t>
      </w:r>
      <w:r w:rsidRPr="008E5B32">
        <w:fldChar w:fldCharType="end"/>
      </w:r>
      <w:r w:rsidRPr="008E5B32">
        <w:rPr>
          <w:lang w:val="en-GB"/>
        </w:rPr>
        <w:t xml:space="preserve">. </w:t>
      </w:r>
      <w:r w:rsidR="008F47BF" w:rsidRPr="008E5B32">
        <w:rPr>
          <w:lang w:val="en-GB"/>
        </w:rPr>
        <w:t>Furthermore, G</w:t>
      </w:r>
      <w:r w:rsidR="00AF7AE0" w:rsidRPr="008E5B32">
        <w:rPr>
          <w:lang w:val="en-GB"/>
        </w:rPr>
        <w:t xml:space="preserve">rouping for </w:t>
      </w:r>
      <w:r w:rsidR="00CB2481" w:rsidRPr="008E5B32">
        <w:rPr>
          <w:lang w:val="en-GB"/>
        </w:rPr>
        <w:t>R</w:t>
      </w:r>
      <w:r w:rsidR="00AF7AE0" w:rsidRPr="008E5B32">
        <w:rPr>
          <w:lang w:val="en-GB"/>
        </w:rPr>
        <w:t>ead-</w:t>
      </w:r>
      <w:r w:rsidR="00CB2481" w:rsidRPr="008E5B32">
        <w:rPr>
          <w:lang w:val="en-GB"/>
        </w:rPr>
        <w:t>A</w:t>
      </w:r>
      <w:r w:rsidR="00AF7AE0" w:rsidRPr="008E5B32">
        <w:rPr>
          <w:lang w:val="en-GB"/>
        </w:rPr>
        <w:t xml:space="preserve">cross is not only accepted under REACH, but </w:t>
      </w:r>
      <w:r w:rsidR="00B90015" w:rsidRPr="008E5B32">
        <w:rPr>
          <w:lang w:val="en-GB"/>
        </w:rPr>
        <w:t xml:space="preserve">is </w:t>
      </w:r>
      <w:r w:rsidR="00AF7AE0" w:rsidRPr="008E5B32">
        <w:rPr>
          <w:lang w:val="en-GB"/>
        </w:rPr>
        <w:t xml:space="preserve">also applicable under different chemicals regulatory frameworks </w:t>
      </w:r>
      <w:r w:rsidR="00AF7AE0" w:rsidRPr="008E5B32">
        <w:fldChar w:fldCharType="begin" w:fldLock="1"/>
      </w:r>
      <w:r w:rsidR="005D1733" w:rsidRPr="008E5B32">
        <w:rPr>
          <w:lang w:val="en-GB"/>
        </w:rPr>
        <w:instrText>ADDIN CSL_CITATION {"citationItems":[{"id":"ITEM-1","itemData":{"DOI":"10.1080/17435390.2018.1513092","ISSN":"1743-5390","author":[{"dropping-particle":"","family":"Mech","given":"A.","non-dropping-particle":"","parse-names":false,"suffix":""},{"dropping-particle":"","family":"Rasmussen","given":"K.","non-dropping-particle":"","parse-names":false,"suffix":""},{"dropping-particle":"","family":"Jantunen","given":"P.","non-dropping-particle":"","parse-names":false,"suffix":""},{"dropping-particle":"","family":"Aicher","given":"L.","non-dropping-particle":"","parse-names":false,"suffix":""},{"dropping-particle":"","family":"Alessandrelli","given":"M.","non-dropping-particle":"","parse-names":false,"suffix":""},{"dropping-particle":"","family":"Bernauer","given":"U.","non-dropping-particle":"","parse-names":false,"suffix":""},{"dropping-particle":"","family":"Bleeker","given":"E. A. J.","non-dropping-particle":"","parse-names":false,"suffix":""},{"dropping-particle":"","family":"Bouillard","given":"J.","non-dropping-particle":"","parse-names":false,"suffix":""},{"dropping-particle":"","family":"Prospero Fanghella","given":"P.","non-dropping-particle":"Di","parse-names":false,"suffix":""},{"dropping-particle":"","family":"Draisci","given":"R.","non-dropping-particle":"","parse-names":false,"suffix":""},{"dropping-particle":"","family":"Dusinska","given":"M.","non-dropping-particle":"","parse-names":false,"suffix":""},{"dropping-particle":"","family":"Encheva","given":"G.","non-dropping-particle":"","parse-names":false,"suffix":""},{"dropping-particle":"","family":"Flament","given":"G.","non-dropping-particle":"","parse-names":false,"suffix":""},{"dropping-particle":"","family":"Haase","given":"A.","non-dropping-particle":"","parse-names":false,"suffix":""},{"dropping-particle":"","family":"Handzhiyski","given":"Y.","non-dropping-particle":"","parse-names":false,"suffix":""},{"dropping-particle":"","family":"Herzberg","given":"F.","non-dropping-particle":"","parse-names":false,"suffix":""},{"dropping-particle":"","family":"Huwyler","given":"J.","non-dropping-particle":"","parse-names":false,"suffix":""},{"dropping-particle":"","family":"Jacobsen","given":"N. R.","non-dropping-particle":"","parse-names":false,"suffix":""},{"dropping-particle":"","family":"Jeliazkov","given":"V.","non-dropping-particle":"","parse-names":false,"suffix":""},{"dropping-particle":"","family":"Jeliazkova","given":"N.","non-dropping-particle":"","parse-names":false,"suffix":""},{"dropping-particle":"","family":"Nymark","given":"P.","non-dropping-particle":"","parse-names":false,"suffix":""},{"dropping-particle":"","family":"Grafström","given":"R.","non-dropping-particle":"","parse-names":false,"suffix":""},{"dropping-particle":"","family":"Oomen","given":"A. G.","non-dropping-particle":"","parse-names":false,"suffix":""},{"dropping-particle":"","family":"Polci","given":"M. L.","non-dropping-particle":"","parse-names":false,"suffix":""},{"dropping-particle":"","family":"Riebeling","given":"C.","non-dropping-particle":"","parse-names":false,"suffix":""},{"dropping-particle":"","family":"Sandström","given":"J.","non-dropping-particle":"","parse-names":false,"suffix":""},{"dropping-particle":"","family":"Shivachev","given":"B.","non-dropping-particle":"","parse-names":false,"suffix":""},{"dropping-particle":"","family":"Stateva","given":"S.","non-dropping-particle":"","parse-names":false,"suffix":""},{"dropping-particle":"","family":"Tanasescu","given":"S.","non-dropping-particle":"","parse-names":false,"suffix":""},{"dropping-particle":"","family":"Tsekovska","given":"R.","non-dropping-particle":"","parse-names":false,"suffix":""},{"dropping-particle":"","family":"Wallin","given":"H.","non-dropping-particle":"","parse-names":false,"suffix":""},{"dropping-particle":"","family":"Wilks","given":"M. F.","non-dropping-particle":"","parse-names":false,"suffix":""},{"dropping-particle":"","family":"Zellmer","given":"S.","non-dropping-particle":"","parse-names":false,"suffix":""},{"dropping-particle":"","family":"Apostolova","given":"M. D.","non-dropping-particle":"","parse-names":false,"suffix":""}],"container-title":"Nanotoxicology","id":"ITEM-1","issued":{"date-parts":[["2018","9"]]},"page":"1-23","title":"Insights into possibilities for grouping and read-across for nanomaterials in EU chemicals legislation","type":"article-journal"},"uris":["http://www.mendeley.com/documents/?uuid=eb944ba5-9ad4-3af1-971f-66528d1b13b6","http://www.mendeley.com/documents/?uuid=a06efa9a-bb88-47f9-913c-5858e59fdcdd","http://www.mendeley.com/documents/?uuid=40da19d1-bb1f-4beb-9e78-f59066a0b31d"]}],"mendeley":{"formattedCitation":"&lt;sup&gt;12&lt;/sup&gt;","plainTextFormattedCitation":"12","previouslyFormattedCitation":"&lt;sup&gt;12&lt;/sup&gt;"},"properties":{"noteIndex":0},"schema":"https://github.com/citation-style-language/schema/raw/master/csl-citation.json"}</w:instrText>
      </w:r>
      <w:r w:rsidR="00AF7AE0" w:rsidRPr="008E5B32">
        <w:fldChar w:fldCharType="separate"/>
      </w:r>
      <w:r w:rsidR="00AF7AE0" w:rsidRPr="008E5B32">
        <w:rPr>
          <w:noProof/>
          <w:vertAlign w:val="superscript"/>
          <w:lang w:val="en-GB"/>
        </w:rPr>
        <w:t>12</w:t>
      </w:r>
      <w:r w:rsidR="00AF7AE0" w:rsidRPr="008E5B32">
        <w:fldChar w:fldCharType="end"/>
      </w:r>
      <w:r w:rsidR="00CB2481" w:rsidRPr="008E5B32">
        <w:rPr>
          <w:lang w:val="en-GB"/>
        </w:rPr>
        <w:t xml:space="preserve">: for instance </w:t>
      </w:r>
      <w:r w:rsidR="00F1011F" w:rsidRPr="008E5B32">
        <w:rPr>
          <w:lang w:val="en-GB"/>
        </w:rPr>
        <w:t xml:space="preserve">for </w:t>
      </w:r>
      <w:r w:rsidR="00B90587" w:rsidRPr="008E5B32">
        <w:rPr>
          <w:lang w:val="en-GB"/>
        </w:rPr>
        <w:t xml:space="preserve">risk assessment </w:t>
      </w:r>
      <w:r w:rsidR="00F1011F" w:rsidRPr="008E5B32">
        <w:rPr>
          <w:lang w:val="en-GB"/>
        </w:rPr>
        <w:t xml:space="preserve">of NMs </w:t>
      </w:r>
      <w:r w:rsidR="00B90587" w:rsidRPr="008E5B32">
        <w:rPr>
          <w:lang w:val="en-GB"/>
        </w:rPr>
        <w:t xml:space="preserve">in the food and feed chain, the European Food Safety Agency </w:t>
      </w:r>
      <w:r w:rsidR="00CB2481" w:rsidRPr="008E5B32">
        <w:rPr>
          <w:lang w:val="en-GB"/>
        </w:rPr>
        <w:t xml:space="preserve">supports </w:t>
      </w:r>
      <w:r w:rsidR="00D72718" w:rsidRPr="008E5B32">
        <w:rPr>
          <w:lang w:val="en-GB"/>
        </w:rPr>
        <w:t xml:space="preserve">grouping for </w:t>
      </w:r>
      <w:r w:rsidR="00CB2481" w:rsidRPr="008E5B32">
        <w:rPr>
          <w:lang w:val="en-GB"/>
        </w:rPr>
        <w:t xml:space="preserve">read-across </w:t>
      </w:r>
      <w:r w:rsidR="00B90587" w:rsidRPr="008E5B32">
        <w:rPr>
          <w:lang w:val="en-GB"/>
        </w:rPr>
        <w:t>from (other) NFs o</w:t>
      </w:r>
      <w:r w:rsidR="00D72718" w:rsidRPr="008E5B32">
        <w:rPr>
          <w:lang w:val="en-GB"/>
        </w:rPr>
        <w:t>r</w:t>
      </w:r>
      <w:r w:rsidR="00B90587" w:rsidRPr="008E5B32">
        <w:rPr>
          <w:lang w:val="en-GB"/>
        </w:rPr>
        <w:t xml:space="preserve"> non-NFs </w:t>
      </w:r>
      <w:r w:rsidR="00B90587" w:rsidRPr="008E5B32">
        <w:fldChar w:fldCharType="begin" w:fldLock="1"/>
      </w:r>
      <w:r w:rsidR="005B7F7A" w:rsidRPr="008E5B32">
        <w:rPr>
          <w:lang w:val="en-GB"/>
        </w:rPr>
        <w:instrText>ADDIN CSL_CITATION {"citationItems":[{"id":"ITEM-1","itemData":{"DOI":"10.2903/j.efsa.2018.5327","ISSN":"18314732","author":[{"dropping-particle":"","family":"Hardy","given":"Anthony","non-dropping-particle":"","parse-names":false,"suffix":""},{"dropping-particle":"","family":"Benford","given":"Diane","non-dropping-particle":"","parse-names":false,"suffix":""},{"dropping-particle":"","family":"Halldorsson","given":"Thorhallur","non-dropping-particle":"","parse-names":false,"suffix":""},{"dropping-particle":"","family":"Jeger","given":"Michael John","non-dropping-particle":"","parse-names":false,"suffix":""},{"dropping-particle":"","family":"Knutsen","given":"Helle Katrine","non-dropping-particle":"","parse-names":false,"suffix":""},{"dropping-particle":"","family":"More","given":"Simon","non-dropping-particle":"","parse-names":false,"suffix":""},{"dropping-particle":"","family":"Naegeli","given":"Hanspeter","non-dropping-particle":"","parse-names":false,"suffix":""},{"dropping-particle":"","family":"Noteborn","given":"Hubert","non-dropping-particle":"","parse-names":false,"suffix":""},{"dropping-particle":"","family":"Ockleford","given":"Colin","non-dropping-particle":"","parse-names":false,"suffix":""},{"dropping-particle":"","family":"Ricci","given":"Antonia","non-dropping-particle":"","parse-names":false,"su</w:instrText>
      </w:r>
      <w:r w:rsidR="005B7F7A" w:rsidRPr="008E5B32">
        <w:instrText>ffix":""},{"dropping-particle":"","family":"Rychen","given":"Guido","non-dropping-particle":"","parse-names":false,"suffix":""},{"dropping-particle":"","family":"Schlatter","given":"Josef R.","non-dropping-particle":"","parse-names":false,"suffix":""},{"dropping-particle":"","family":"Silano","given":"Vittorio","non-dropping-particle":"","parse-names":false,"suffix":""},{"dropping-particle":"","family":"Solecki","given":"Roland","non-dropping-particle":"","parse-names":false,"suffix":""},{"dropping-particle":"","family":"Turck","given":"Dominique","non-dropping-particle":"","parse-names":false,"suffix":""},{"dropping-particle":"","family":"Younes","given":"Maged","non-dropping-particle":"","parse-names":false,"suffix":""},{"dropping-particle":"","family":"Chaudhry","given":"Qasim","non-dropping-particle":"","parse-names":false,"suffix":""},{"dropping-particle":"","family":"Cubadda","given":"Francesco","non-dropping-particle":"","parse-names":false,"suffix":""},{"dropping-particle":"","</w:instrText>
      </w:r>
      <w:r w:rsidR="005B7F7A" w:rsidRPr="008E5B32">
        <w:rPr>
          <w:lang w:val="en-GB"/>
        </w:rPr>
        <w:instrText>family":"Gott","given":"David","non-dropping-particle":"","parse-names":false,"suffix":""},{"dropping-particle":"","family":"Oomen","given":"Agnes","non-dropping-particle":"","parse-names":false,"suffix":""},{"dropping-particle":"","family":"Weigel","given":"Stefan","non-dropping-particle":"","parse-names":false,"suffix":""},{"dropping-particle":"","family":"Karamitrou","given":"Melpo","non-dropping-particle":"","parse-names":false,"suffix":""},{"dropping-particle":"","family":"Schoonjans","given":"Reinhilde","non-dropping-particle":"","parse-names":false,"suffix":""},{"dropping-particle":"","family":"Mortensen","given":"Alicja","non-dropping-particle":"","parse-names":false,"suffix":""}],"container-title":"EFSA Journal","id":"ITEM-1","issue":"7","issued":{"date-parts":[["2018","7"]]},"number-of-pages":"95","title":"Guidance on risk assessment of the application of nanoscience and nanotechnologies in the food and feed chain: Part 1, human and animal health","type":"report","volume":"16"},"uris":["http://www.mendeley.com/documents/?uuid=d802200e-3ccf-3349-a589-8ea13e17abbc","http://www.mendeley.com/documents/?uuid=a6611bfc-3a41-45f7-a8e6-1cf8d6542648","http://www.mendeley.com/documents/?uuid=9959fcdf-d0ef-4025-8cc5-d5f9b8bebf98"]}],"mendeley":{"formattedCitation":"&lt;sup&gt;13&lt;/sup&gt;","plainTextFormattedCitation":"13","previouslyFormattedCitation":"&lt;sup&gt;13&lt;/sup&gt;"},"properties":{"noteIndex":0},"schema":"https://github.com/citation-style-language/schema/raw/master/csl-citation.json"}</w:instrText>
      </w:r>
      <w:r w:rsidR="00B90587" w:rsidRPr="008E5B32">
        <w:fldChar w:fldCharType="separate"/>
      </w:r>
      <w:r w:rsidR="00B90587" w:rsidRPr="008E5B32">
        <w:rPr>
          <w:noProof/>
          <w:vertAlign w:val="superscript"/>
          <w:lang w:val="en-GB"/>
        </w:rPr>
        <w:t>13</w:t>
      </w:r>
      <w:r w:rsidR="00B90587" w:rsidRPr="008E5B32">
        <w:fldChar w:fldCharType="end"/>
      </w:r>
      <w:r w:rsidR="00CB2481" w:rsidRPr="008E5B32">
        <w:rPr>
          <w:lang w:val="en-GB"/>
        </w:rPr>
        <w:t>.</w:t>
      </w:r>
    </w:p>
    <w:p w14:paraId="2F32400C" w14:textId="49D9311F" w:rsidR="00012A66" w:rsidRPr="008E5B32" w:rsidRDefault="00B72ED7" w:rsidP="00B72ED7">
      <w:pPr>
        <w:rPr>
          <w:lang w:val="en-GB"/>
        </w:rPr>
      </w:pPr>
      <w:r w:rsidRPr="008E5B32">
        <w:rPr>
          <w:lang w:val="en-GB"/>
        </w:rPr>
        <w:lastRenderedPageBreak/>
        <w:t xml:space="preserve">The foundations and basic principles for the </w:t>
      </w:r>
      <w:r w:rsidR="002E2411" w:rsidRPr="008E5B32">
        <w:rPr>
          <w:lang w:val="en-GB"/>
        </w:rPr>
        <w:t>Grouping</w:t>
      </w:r>
      <w:r w:rsidRPr="008E5B32">
        <w:rPr>
          <w:lang w:val="en-GB"/>
        </w:rPr>
        <w:t xml:space="preserve"> and </w:t>
      </w:r>
      <w:r w:rsidR="002E2411" w:rsidRPr="008E5B32">
        <w:rPr>
          <w:lang w:val="en-GB"/>
        </w:rPr>
        <w:t>Read-Across</w:t>
      </w:r>
      <w:r w:rsidRPr="008E5B32">
        <w:rPr>
          <w:lang w:val="en-GB"/>
        </w:rPr>
        <w:t xml:space="preserve"> of NMs/NFs have been established in a number of conceptual schemes </w:t>
      </w:r>
      <w:r w:rsidR="009F66A6" w:rsidRPr="008E5B32">
        <w:fldChar w:fldCharType="begin" w:fldLock="1"/>
      </w:r>
      <w:r w:rsidR="005D1733" w:rsidRPr="008E5B32">
        <w:rPr>
          <w:lang w:val="en-GB"/>
        </w:rPr>
        <w:instrText>ADDIN CSL_CITATION {"citationItems":[{"id":"ITEM-1","itemData":{"DOI":"10.1016/j.impact.2017.09.001","abstract":"©2017 The Authors The increasing application of nanomaterials and the notion that their distinct features compared to larger sized counterparts should be considered in safety assessment, has led to the development of risk assessment frameworks that are specific to nanomaterials. These frameworks aim to prioritise, rank or assess the safety of a nanomaterial efficiently by targeting critical information in order to conserve resources. The present overview shows that each nanomaterial framework has its own scope, advantages and disadvantages and all except one lack details such as decision criteria to come to conclusions and enable actual application. Those frameworks directed towards gaining information and making decisions on regulatory submissions at national and EU level are principally of interest. Additionally, those aimed at informing decision-making in the innovation chain are important. This manuscript also discusses issues relevant for exposure and hazard assessment of nanomaterials such as life cycle, bioaccumulation and delivered dose that should be considered in risk assessment frameworks. Elements for improving the feasibility to perform risk assessment in practice include standardised testing, knowledge on in vitro-in vivo comparison and functional assays. With this information and the need to increase the efficiency in risk assessment, future perspectives are outlined. Grouping and read-across approaches can bring some efficiency compared to a case-by-case approach. However, science is at present not advanced enough to fully substantiate decision criteria and specific protocols needed to considerably increase the efficiency. A possible way forward would be to pursue the development of a pragmatic and internationally accepted nanomaterial decision framework with decision criteria that can only be partially scientifically based. This would require the cooperation of policy makers, scientists and industry.","author":[{"dropping-particle":"","family":"Oomen","given":"A G","non-dropping-particle":"","parse-names":false,"suffix":""},{"dropping-particle":"","family":"Steinhäuser","given":"K G","non-dropping-particle":"","parse-names":false,"suffix":""},{"dropping-particle":"","family":"Bleeker","given":"E A J","non-dropping-particle":"","parse-names":false,"suffix":""},{"dropping-particle":"","family":"Broekhuizen","given":"F","non-dropping-particle":"van","parse-names":false,"suffix":""},{"dropping-particle":"","family":"Sips","given":"A","non-dropping-particle":"","parse-names":false,"suffix":""},{"dropping-particle":"","family":"Dekkers","given":"S","non-dropping-particle":"","parse-names":false,"suffix":""},{"dropping-particle":"","family":"Wijnhoven","given":"S W P","non-dropping-particle":"","parse-names":false,"suffix":""},{"dropping-particle":"","family":"Sayre","given":"P G","non-dropping-particle":"","parse-names":false,"suffix":""}],"container-title":"NanoImpact","id":"ITEM-1","issued":{"date-parts":[["2018"]]},"page":"1-13","title":"Risk assessment frameworks for nanomaterials: Scope, link to regulations, applicability, and outline for future directions in view of needed increase in efficiency","type":"article-journal","volume":"9"},"uris":["http://www.mendeley.com/documents/?uuid=1a5d9039-6ed5-427a-8bad-e6c6997f8329","http://www.mendeley.com/documents/?uuid=5c004ed9-e558-47fa-9d0e-23c0eab1e78a","http://www.mendeley.com/documents/?uuid=ffd8a3a9-d36d-4dbc-a07e-8ad52b199419"]},{"id":"ITEM-2","itemData":{"DOI":"10.1080/17435390.2018.1506060","author":[{"dropping-particle":"","family":"Lamon","given":"Lara","non-dropping-particle":"","parse-names":false,"suffix":""},{"dropping-particle":"","family":"Aschberger","given":"Karin","non-dropping-particle":"","parse-names":false,"suffix":""},{"dropping-particle":"","family":"Asturiol","given":"David","non-dropping-particle":"","parse-names":false,"suffix":""},{"dropping-particle":"","family":"Richarz","given":"Andrea-Nicole","non-dropping-particle":"","parse-names":false,"suffix":""},{"dropping-particle":"","family":"Worth","given":"Andrew","non-dropping-particle":"","parse-names":false,"suffix":""}],"container-title":"Nanotoxicology","id":"ITEM-2","issued":{"date-parts":[["0"]]},"title":"Grouping of nanomaterials to read-across hazard endpoints: a review","type":"article-journal"},"uris":["http://www.mendeley.com/documents/?uuid=194a0d98-2b90-47cd-a019-e684f1120d75","http://www.mendeley.com/documents/?uuid=983e741e-02ee-4011-b415-e042692a103e","http://www.mendeley.com/documents/?uuid=f1f940a3-2eb6-4477-a595-b3ab2b6d3da4"]},{"id":"ITEM-3","itemData":{"DOI":"10.1016/j.yrtph.2014.07.025","ISBN":"0273-2300","ISSN":"10960295","PMID":"25108058","abstract":"The grouping of substances serves to streamline testing for regulatory purposes. General grouping approaches for chemicals have been implemented in, e.g., the EU chemicals regulation. While specific regulatory frameworks for the grouping of nanomaterials are unavailable, this topic is addressed in different publications, and preliminary guidance is provided in the context of substance-related legislation or the occupational setting. The European Centre for Ecotoxicology and Toxicology of Chemicals Task Force on the Grouping of Nanomaterials reviewed available concepts for the grouping of nanomaterials for human health risk assessment. In their broad conceptual design, the evaluated approaches are consistent or complement each other. All go beyond the determination of mere structure-activity relationships and are founded on different aspects of the nanomaterial life cycle. These include the NM's material properties and biophysical interactions, specific types of use and exposure, uptake and kinetics, and possible early and apical biological effects. None of the evaluated grouping concepts fully take into account all of these aspects. Subsequent work of the Task Force will aim at combining the available concepts into a comprehensive 'multiple perspective' framework for the grouping of nanomaterials that will address all of the mentioned aspects of their life cycles.","author":[{"dropping-particle":"","family":"Arts","given":"Josje H.E.","non-dropping-particle":"","parse-names":false,"suffix":""},{"dropping-particle":"","family":"Hadi","given":"Mackenzie","non-dropping-particle":"","parse-names":false,"suffix":""},{"dropping-particle":"","family":"Keene","given":"Athena M.","non-dropping-particle":"","parse-names":false,"suffix":""},{"dropping-particle":"","family":"Kreiling","given":"Reinhard","non-dropping-particle":"","parse-names":false,"suffix":""},{"dropping-particle":"","family":"Lyon","given":"Delina","non-dropping-particle":"","parse-names":false,"suffix":""},{"dropping-particle":"","family":"Maier","given":"Monika","non-dropping-particle":"","parse-names":false,"suffix":""},{"dropping-particle":"","family":"Michel","given":"Karin","non-dropping-particle":"","parse-names":false,"suffix":""},{"dropping-particle":"","family":"Petry","given":"Thomas","non-dropping-particle":"","parse-names":false,"suffix":""},{"dropping-particle":"","family":"Sauer","given":"Ursula G.","non-dropping-particle":"","parse-names":false,"suffix":""},{"dropping-particle":"","family":"Warheit","given":"David","non-dropping-particle":"","parse-names":false,"suffix":""},{"dropping-particle":"","family":"Wiench","given":"Karin","non-dropping-particle":"","parse-names":false,"suffix":""},{"dropping-particle":"","family":"Landsiedel","given":"Robert","non-dropping-particle":"","parse-names":false,"suffix":""}],"container-title":"Regulatory Toxicology and Pharmacology","id":"ITEM-3","issue":"2","issued":{"date-parts":[["2015"]]},"page":"492-506","title":"A critical appraisal of existing concepts for the grouping of nanomaterials","type":"article-journal","volume":"70"},"uris":["http://www.mendeley.com/documents/?uuid=314fb7a9-9fb7-4c26-881a-4e365f30e72b"]}],"mendeley":{"formattedCitation":"&lt;sup&gt;14–16&lt;/sup&gt;","plainTextFormattedCitation":"14–16","previouslyFormattedCitation":"&lt;sup&gt;14–16&lt;/sup&gt;"},"properties":{"noteIndex":0},"schema":"https://github.com/citation-style-language/schema/raw/master/csl-citation.json"}</w:instrText>
      </w:r>
      <w:r w:rsidR="009F66A6" w:rsidRPr="008E5B32">
        <w:fldChar w:fldCharType="separate"/>
      </w:r>
      <w:r w:rsidR="00B90587" w:rsidRPr="008E5B32">
        <w:rPr>
          <w:noProof/>
          <w:vertAlign w:val="superscript"/>
          <w:lang w:val="en-GB"/>
        </w:rPr>
        <w:t>14–16</w:t>
      </w:r>
      <w:r w:rsidR="009F66A6" w:rsidRPr="008E5B32">
        <w:fldChar w:fldCharType="end"/>
      </w:r>
      <w:r w:rsidR="00AE26CF" w:rsidRPr="008E5B32">
        <w:rPr>
          <w:lang w:val="en-GB"/>
        </w:rPr>
        <w:t>,</w:t>
      </w:r>
      <w:r w:rsidRPr="008E5B32">
        <w:rPr>
          <w:lang w:val="en-GB"/>
        </w:rPr>
        <w:t xml:space="preserve"> which were developed in the EU </w:t>
      </w:r>
      <w:r w:rsidR="00CE3C61" w:rsidRPr="008E5B32">
        <w:rPr>
          <w:lang w:val="en-GB"/>
        </w:rPr>
        <w:t xml:space="preserve">research </w:t>
      </w:r>
      <w:r w:rsidRPr="008E5B32">
        <w:rPr>
          <w:lang w:val="en-GB"/>
        </w:rPr>
        <w:t xml:space="preserve">projects MARINA, NANoREG, GUIDEnano and ITS-NANO, as part of the </w:t>
      </w:r>
      <w:r w:rsidR="00867FA3" w:rsidRPr="008E5B32">
        <w:rPr>
          <w:lang w:val="en-GB"/>
        </w:rPr>
        <w:t xml:space="preserve">European Centre of Ecotoxicology and Toxicology of Chemicals (ECETOC) </w:t>
      </w:r>
      <w:r w:rsidRPr="008E5B32">
        <w:rPr>
          <w:lang w:val="en-GB"/>
        </w:rPr>
        <w:t>Nano Task Force</w:t>
      </w:r>
      <w:r w:rsidR="00AE26CF" w:rsidRPr="008E5B32">
        <w:rPr>
          <w:lang w:val="en-GB"/>
        </w:rPr>
        <w:t xml:space="preserve"> </w:t>
      </w:r>
      <w:r w:rsidR="00AE26CF" w:rsidRPr="008E5B32">
        <w:fldChar w:fldCharType="begin" w:fldLock="1"/>
      </w:r>
      <w:r w:rsidR="005D1733" w:rsidRPr="008E5B32">
        <w:rPr>
          <w:lang w:val="en-GB"/>
        </w:rPr>
        <w:instrText>ADDIN CSL_CITATION {"citationItems":[{"id":"ITEM-1","itemData":{"DOI":"10.1016/j.yrtph.2015.03.007","ISSN":"02732300","PMID":"25818068","abstract":"The European Centre for Ecotoxicology and Toxicology of Chemicals (ECETOC) 'Nano Task Force' proposes a Decision-making framework for the grouping and testing of nanomaterials (DF4nanoGrouping) that consists of 3 tiers to assign nanomaterials to 4 main groups, to perform sub-grouping within the main groups and to determine and refine specific information needs. The DF4nanoGrouping covers all relevant aspects of a nanomaterial's life cycle and biological pathways, i.e. intrinsic material and system-dependent properties, biopersistence, uptake and biodistribution, cellular and apical toxic effects. Use (including manufacture), release and route of exposure are applied as 'qualifiers' within the DF4nanoGrouping to determine if, e.g. nanomaterials cannot be released from a product matrix, which may justify the waiving of testing. The four main groups encompass (1) soluble nanomaterials, (2) biopersistent high aspect ratio nanomaterials, (3) passive nanomaterials, and (4) active nanomaterials. The DF4nanoGrouping aims to group nanomaterials by their specific mode-of-action that results in an apical toxic effect. This is eventually directed by a nanomaterial's intrinsic properties. However, since the exact correlation of intrinsic material properties and apical toxic effect is not yet established, the DF4nanoGrouping uses the 'functionality' of nanomaterials for grouping rather than relying on intrinsic material properties alone. Such functionalities include system-dependent material properties (such as dissolution rate in biologically relevant media), bio-physical interactions, in vitro effects and release and exposure. The DF4nanoGrouping is a hazard and risk assessment tool that applies modern toxicology and contributes to the sustainable development of nanotechnological products. It ensures that no studies are performed that do not provide crucial data and therefore saves animals and resources.","author":[{"dropping-particle":"","family":"Arts","given":"Josje H.E.","non-dropping-particle":"","parse-names":false,"suffix":""},{"dropping-particle":"","family":"Hadi","given":"Mackenzie","non-dropping-particle":"","parse-names":false,"suffix":""},{"dropping-particle":"","family":"Irfan","given":"Muhammad-Adeel","non-dropping-particle":"","parse-names":false,"suffix":""},{"dropping-particle":"","family":"Keene","given":"Athena M.","non-dropping-particle":"","parse-names":false,"suffix":""},{"dropping-particle":"","family":"Kreiling","given":"Reinhard","non-dropping-particle":"","parse-names":false,"suffix":""},{"dropping-particle":"","family":"Lyon","given":"Delina","non-dropping-particle":"","parse-names":false,"suffix":""},{"dropping-particle":"","family":"Maier","given":"Monika","non-dropping-particle":"","parse-names":false,"suffix":""},{"dropping-particle":"","family":"Michel","given":"Karin","non-dropping-particle":"","parse-names":false,"suffix":""},{"dropping-particle":"","family":"Petry","given":"Thomas","non-dropping-particle":"","parse-names":false,"suffix":""},{"dropping-particle":"","family":"Sauer","given":"Ursula G.","non-dropping-particle":"","parse-names":false,"suffix":""},{"dropping-particle":"","family":"Warheit","given":"David","non-dropping-particle":"","parse-names":false,"suffix":""},{"dropping-particle":"","family":"Wiench","given":"Karin","non-dropping-particle":"","parse-names":false,"suffix":""},{"dropping-particle":"","family":"Wohlleben","given":"Wendel","non-dropping-particle":"","parse-names":false,"suffix":""},{"dropping-particle":"","family":"Landsiedel","given":"Robert","non-dropping-particle":"","parse-names":false,"suffix":""}],"container-title":"Regulatory Toxicology and Pharmacology","id":"ITEM-1","issue":"2","issued":{"date-parts":[["2015","3","15"]]},"page":"S1-S27","title":"A decision-making framework for the grouping and testing of nanomaterials (DF4nanoGrouping)","type":"article-journal","volume":"71"},"uris":["http://www.mendeley.com/documents/?uuid=8f37126d-6769-365d-a85e-3890b2205b84"]}],"mendeley":{"formattedCitation":"&lt;sup&gt;17&lt;/sup&gt;","plainTextFormattedCitation":"17","previouslyFormattedCitation":"&lt;sup&gt;17&lt;/sup&gt;"},"properties":{"noteIndex":0},"schema":"https://github.com/citation-style-language/schema/raw/master/csl-citation.json"}</w:instrText>
      </w:r>
      <w:r w:rsidR="00AE26CF" w:rsidRPr="008E5B32">
        <w:fldChar w:fldCharType="separate"/>
      </w:r>
      <w:r w:rsidR="00B90587" w:rsidRPr="008E5B32">
        <w:rPr>
          <w:noProof/>
          <w:vertAlign w:val="superscript"/>
          <w:lang w:val="en-GB"/>
        </w:rPr>
        <w:t>17</w:t>
      </w:r>
      <w:r w:rsidR="00AE26CF" w:rsidRPr="008E5B32">
        <w:fldChar w:fldCharType="end"/>
      </w:r>
      <w:r w:rsidRPr="008E5B32">
        <w:rPr>
          <w:lang w:val="en-GB"/>
        </w:rPr>
        <w:t xml:space="preserve">, and as </w:t>
      </w:r>
      <w:r w:rsidR="00CE3C61" w:rsidRPr="008E5B32">
        <w:rPr>
          <w:lang w:val="en-GB"/>
        </w:rPr>
        <w:t xml:space="preserve">a result </w:t>
      </w:r>
      <w:r w:rsidRPr="008E5B32">
        <w:rPr>
          <w:lang w:val="en-GB"/>
        </w:rPr>
        <w:t>of the ECHA’s Partner Expert Group (PEG)</w:t>
      </w:r>
      <w:r w:rsidR="00AE26CF" w:rsidRPr="008E5B32">
        <w:rPr>
          <w:lang w:val="en-GB"/>
        </w:rPr>
        <w:t xml:space="preserve"> </w:t>
      </w:r>
      <w:r w:rsidR="00012A66" w:rsidRPr="008E5B32">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00012A66" w:rsidRPr="008E5B32">
        <w:fldChar w:fldCharType="separate"/>
      </w:r>
      <w:r w:rsidR="00012A66" w:rsidRPr="008E5B32">
        <w:rPr>
          <w:noProof/>
          <w:vertAlign w:val="superscript"/>
          <w:lang w:val="en-GB"/>
        </w:rPr>
        <w:t>3</w:t>
      </w:r>
      <w:r w:rsidR="00012A66" w:rsidRPr="008E5B32">
        <w:fldChar w:fldCharType="end"/>
      </w:r>
      <w:r w:rsidRPr="008E5B32">
        <w:rPr>
          <w:lang w:val="en-GB"/>
        </w:rPr>
        <w:t xml:space="preserve">. Moreover, </w:t>
      </w:r>
      <w:r w:rsidR="00012A66" w:rsidRPr="008E5B32">
        <w:rPr>
          <w:lang w:val="en-GB"/>
        </w:rPr>
        <w:t xml:space="preserve">a few case studies addressing </w:t>
      </w:r>
      <w:r w:rsidR="002E2411" w:rsidRPr="008E5B32">
        <w:rPr>
          <w:lang w:val="en-GB"/>
        </w:rPr>
        <w:t>Grouping</w:t>
      </w:r>
      <w:r w:rsidR="00012A66" w:rsidRPr="008E5B32">
        <w:rPr>
          <w:lang w:val="en-GB"/>
        </w:rPr>
        <w:t xml:space="preserve"> of NMs </w:t>
      </w:r>
      <w:r w:rsidR="00F8689A" w:rsidRPr="008E5B32">
        <w:rPr>
          <w:lang w:val="en-GB"/>
        </w:rPr>
        <w:t>for</w:t>
      </w:r>
      <w:r w:rsidR="00012A66" w:rsidRPr="008E5B32">
        <w:rPr>
          <w:lang w:val="en-GB"/>
        </w:rPr>
        <w:t xml:space="preserve"> </w:t>
      </w:r>
      <w:r w:rsidR="00650B32" w:rsidRPr="008E5B32">
        <w:rPr>
          <w:lang w:val="en-GB"/>
        </w:rPr>
        <w:t>Read-Across</w:t>
      </w:r>
      <w:r w:rsidR="00D92257" w:rsidRPr="008E5B32">
        <w:rPr>
          <w:lang w:val="en-GB"/>
        </w:rPr>
        <w:t xml:space="preserve"> </w:t>
      </w:r>
      <w:r w:rsidR="00012A66" w:rsidRPr="008E5B32">
        <w:rPr>
          <w:lang w:val="en-GB"/>
        </w:rPr>
        <w:t xml:space="preserve">hazard endpoints are available </w:t>
      </w:r>
      <w:r w:rsidR="00012A66" w:rsidRPr="008E5B32">
        <w:fldChar w:fldCharType="begin" w:fldLock="1"/>
      </w:r>
      <w:r w:rsidR="004C12A8" w:rsidRPr="008E5B32">
        <w:rPr>
          <w:lang w:val="en-GB"/>
        </w:rPr>
        <w:instrText>ADDIN CSL_CITATION {"citationItems":[{"id":"ITEM-1","itemData":{"author":[{"dropping-particle":"","family":"Lamon","given":"Lara","non-dropping-particle":"","parse-names":false,"suffix":""},{"dropping-particle":"","family":"Aschberger","given":"Karin","non-dropping-particle":"","parse-names":false,"suffix":""},{"dropping-particle":"","family":"Asturiol","given":"David","non-dropping-particle":"","parse-names":false,"suffix":""},{"dropping-particle":"","family":"Richarz","given":"Andrea-Nicole","non-dropping-particle":"","parse-names":false,"suffix":""},{"dropping-particle":"","family":"Worth","given":"Andrew","non-dropping-particle":"","parse-names":false,"suffix":""}],"container-title":"Accepted by Nanotoxicology","id":"ITEM-1","issued":{"date-parts":[["0"]]},"title":"Grouping of nanomaterials to read-across hazard endpoints: a review","type":"article-journal"},"uris":["http://www.mendeley.com/documents/?uuid=194a0d98-2b90-47cd-a019-e684f1120d75","http://www.mendeley.com/documents/?uuid=720422f0-d331-4072-affa-b93d9a2a78eb","http://www.mendeley.com/documents/?uuid=a0186483-e4cb-44f8-8d62-b0be5511216c"]}],"mendeley":{"formattedCitation":"&lt;sup&gt;18&lt;/sup&gt;","plainTextFormattedCitation":"18","previouslyFormattedCitation":"&lt;sup&gt;18&lt;/sup&gt;"},"properties":{"noteIndex":0},"schema":"https://github.com/citation-style-language/schema/raw/master/csl-citation.json"}</w:instrText>
      </w:r>
      <w:r w:rsidR="00012A66" w:rsidRPr="008E5B32">
        <w:fldChar w:fldCharType="separate"/>
      </w:r>
      <w:r w:rsidR="005D1733" w:rsidRPr="008E5B32">
        <w:rPr>
          <w:noProof/>
          <w:vertAlign w:val="superscript"/>
          <w:lang w:val="en-GB"/>
        </w:rPr>
        <w:t>18</w:t>
      </w:r>
      <w:r w:rsidR="00012A66" w:rsidRPr="008E5B32">
        <w:fldChar w:fldCharType="end"/>
      </w:r>
      <w:r w:rsidRPr="008E5B32">
        <w:rPr>
          <w:lang w:val="en-GB"/>
        </w:rPr>
        <w:t xml:space="preserve">. The </w:t>
      </w:r>
      <w:r w:rsidR="00241802" w:rsidRPr="008E5B32">
        <w:rPr>
          <w:lang w:val="en-GB"/>
        </w:rPr>
        <w:t xml:space="preserve">H2020 </w:t>
      </w:r>
      <w:r w:rsidRPr="008E5B32">
        <w:rPr>
          <w:lang w:val="en-GB"/>
        </w:rPr>
        <w:t xml:space="preserve">GRACIOUS </w:t>
      </w:r>
      <w:r w:rsidR="00241802" w:rsidRPr="008E5B32">
        <w:rPr>
          <w:lang w:val="en-GB"/>
        </w:rPr>
        <w:t>project</w:t>
      </w:r>
      <w:r w:rsidR="00980602" w:rsidRPr="008E5B32">
        <w:rPr>
          <w:rStyle w:val="FootnoteReference"/>
        </w:rPr>
        <w:footnoteReference w:id="3"/>
      </w:r>
      <w:r w:rsidR="00241802" w:rsidRPr="008E5B32">
        <w:rPr>
          <w:lang w:val="en-GB"/>
        </w:rPr>
        <w:t xml:space="preserve"> </w:t>
      </w:r>
      <w:r w:rsidRPr="008E5B32">
        <w:rPr>
          <w:lang w:val="en-GB"/>
        </w:rPr>
        <w:t xml:space="preserve">is </w:t>
      </w:r>
      <w:r w:rsidR="00241802" w:rsidRPr="008E5B32">
        <w:rPr>
          <w:lang w:val="en-GB"/>
        </w:rPr>
        <w:t>currently</w:t>
      </w:r>
      <w:r w:rsidRPr="008E5B32">
        <w:rPr>
          <w:lang w:val="en-GB"/>
        </w:rPr>
        <w:t xml:space="preserve"> </w:t>
      </w:r>
      <w:r w:rsidR="00241802" w:rsidRPr="008E5B32">
        <w:rPr>
          <w:lang w:val="en-GB"/>
        </w:rPr>
        <w:t xml:space="preserve">building upon these developments to </w:t>
      </w:r>
      <w:r w:rsidRPr="008E5B32">
        <w:rPr>
          <w:lang w:val="en-GB"/>
        </w:rPr>
        <w:t xml:space="preserve">generate a highly innovative science-based </w:t>
      </w:r>
      <w:r w:rsidR="00241802" w:rsidRPr="008E5B32">
        <w:rPr>
          <w:lang w:val="en-GB"/>
        </w:rPr>
        <w:t>f</w:t>
      </w:r>
      <w:r w:rsidRPr="008E5B32">
        <w:rPr>
          <w:lang w:val="en-GB"/>
        </w:rPr>
        <w:t>ramework to enable practical</w:t>
      </w:r>
      <w:r w:rsidR="00241802" w:rsidRPr="008E5B32">
        <w:rPr>
          <w:lang w:val="en-GB"/>
        </w:rPr>
        <w:t xml:space="preserve"> </w:t>
      </w:r>
      <w:r w:rsidRPr="008E5B32">
        <w:rPr>
          <w:lang w:val="en-GB"/>
        </w:rPr>
        <w:t xml:space="preserve">application of </w:t>
      </w:r>
      <w:r w:rsidR="002E2411" w:rsidRPr="008E5B32">
        <w:rPr>
          <w:lang w:val="en-GB"/>
        </w:rPr>
        <w:t>Grouping</w:t>
      </w:r>
      <w:r w:rsidRPr="008E5B32">
        <w:rPr>
          <w:lang w:val="en-GB"/>
        </w:rPr>
        <w:t xml:space="preserve">, leading to </w:t>
      </w:r>
      <w:r w:rsidR="002E2411" w:rsidRPr="008E5B32">
        <w:rPr>
          <w:lang w:val="en-GB"/>
        </w:rPr>
        <w:t>Read-Across</w:t>
      </w:r>
      <w:r w:rsidRPr="008E5B32">
        <w:rPr>
          <w:lang w:val="en-GB"/>
        </w:rPr>
        <w:t xml:space="preserve"> and classification of NMs</w:t>
      </w:r>
      <w:r w:rsidR="00241802" w:rsidRPr="008E5B32">
        <w:rPr>
          <w:lang w:val="en-GB"/>
        </w:rPr>
        <w:t>.</w:t>
      </w:r>
      <w:r w:rsidRPr="008E5B32" w:rsidDel="00183B4A">
        <w:rPr>
          <w:lang w:val="en-GB"/>
        </w:rPr>
        <w:t xml:space="preserve"> </w:t>
      </w:r>
    </w:p>
    <w:p w14:paraId="35CFC874" w14:textId="78FDDB34" w:rsidR="00012A66" w:rsidRPr="008E5B32" w:rsidRDefault="00012A66" w:rsidP="00012A66">
      <w:pPr>
        <w:rPr>
          <w:lang w:val="en-GB"/>
        </w:rPr>
      </w:pPr>
      <w:r w:rsidRPr="008E5B32">
        <w:rPr>
          <w:lang w:val="en-GB"/>
        </w:rPr>
        <w:t xml:space="preserve">REACH Annex </w:t>
      </w:r>
      <w:r w:rsidR="00241802" w:rsidRPr="008E5B32">
        <w:rPr>
          <w:lang w:val="en-GB"/>
        </w:rPr>
        <w:t>XI</w:t>
      </w:r>
      <w:r w:rsidR="009707DC" w:rsidRPr="008E5B32">
        <w:rPr>
          <w:lang w:val="en-GB"/>
        </w:rPr>
        <w:t xml:space="preserve"> recommendation to use when possible </w:t>
      </w:r>
      <w:r w:rsidR="009707DC" w:rsidRPr="008E5B32">
        <w:rPr>
          <w:i/>
          <w:lang w:val="en-GB"/>
        </w:rPr>
        <w:t>in silico</w:t>
      </w:r>
      <w:r w:rsidR="0081674F" w:rsidRPr="008E5B32">
        <w:rPr>
          <w:lang w:val="en-GB"/>
        </w:rPr>
        <w:t xml:space="preserve"> </w:t>
      </w:r>
      <w:r w:rsidR="009707DC" w:rsidRPr="008E5B32">
        <w:rPr>
          <w:lang w:val="en-GB"/>
        </w:rPr>
        <w:t>methods such as</w:t>
      </w:r>
      <w:r w:rsidRPr="008E5B32">
        <w:rPr>
          <w:lang w:val="en-GB"/>
        </w:rPr>
        <w:t xml:space="preserve"> </w:t>
      </w:r>
      <w:r w:rsidR="00D32C98" w:rsidRPr="008E5B32">
        <w:rPr>
          <w:lang w:val="en-GB"/>
        </w:rPr>
        <w:t>(</w:t>
      </w:r>
      <w:r w:rsidRPr="008E5B32">
        <w:rPr>
          <w:lang w:val="en-GB"/>
        </w:rPr>
        <w:t>Quantitative</w:t>
      </w:r>
      <w:r w:rsidR="00D32C98" w:rsidRPr="008E5B32">
        <w:rPr>
          <w:lang w:val="en-GB"/>
        </w:rPr>
        <w:t>)</w:t>
      </w:r>
      <w:r w:rsidRPr="008E5B32">
        <w:rPr>
          <w:lang w:val="en-GB"/>
        </w:rPr>
        <w:t xml:space="preserve"> Struc</w:t>
      </w:r>
      <w:r w:rsidR="00D32C98" w:rsidRPr="008E5B32">
        <w:rPr>
          <w:lang w:val="en-GB"/>
        </w:rPr>
        <w:t xml:space="preserve">ture-Activity Relationships </w:t>
      </w:r>
      <w:r w:rsidR="00BC0DF4" w:rsidRPr="008E5B32">
        <w:rPr>
          <w:lang w:val="en-GB"/>
        </w:rPr>
        <w:t>(</w:t>
      </w:r>
      <w:r w:rsidR="00D32C98" w:rsidRPr="008E5B32">
        <w:rPr>
          <w:lang w:val="en-GB"/>
        </w:rPr>
        <w:t>(Q)</w:t>
      </w:r>
      <w:r w:rsidRPr="008E5B32">
        <w:rPr>
          <w:lang w:val="en-GB"/>
        </w:rPr>
        <w:t xml:space="preserve">SARs) for either inferring whether </w:t>
      </w:r>
      <w:r w:rsidR="00241802" w:rsidRPr="008E5B32">
        <w:rPr>
          <w:lang w:val="en-GB"/>
        </w:rPr>
        <w:t xml:space="preserve">material </w:t>
      </w:r>
      <w:r w:rsidRPr="008E5B32">
        <w:rPr>
          <w:lang w:val="en-GB"/>
        </w:rPr>
        <w:t xml:space="preserve">properties will produce biological effects by </w:t>
      </w:r>
      <w:r w:rsidR="00241802" w:rsidRPr="008E5B32">
        <w:rPr>
          <w:lang w:val="en-GB"/>
        </w:rPr>
        <w:t xml:space="preserve">means </w:t>
      </w:r>
      <w:r w:rsidR="00D538E7" w:rsidRPr="008E5B32">
        <w:rPr>
          <w:lang w:val="en-GB"/>
        </w:rPr>
        <w:t xml:space="preserve">of </w:t>
      </w:r>
      <w:r w:rsidRPr="008E5B32">
        <w:rPr>
          <w:lang w:val="en-GB"/>
        </w:rPr>
        <w:t xml:space="preserve">classification models (SARs) or predicting in numerical terms these relationships by </w:t>
      </w:r>
      <w:r w:rsidR="00241802" w:rsidRPr="008E5B32">
        <w:rPr>
          <w:lang w:val="en-GB"/>
        </w:rPr>
        <w:t xml:space="preserve">means </w:t>
      </w:r>
      <w:r w:rsidR="00D538E7" w:rsidRPr="008E5B32">
        <w:rPr>
          <w:lang w:val="en-GB"/>
        </w:rPr>
        <w:t xml:space="preserve">of </w:t>
      </w:r>
      <w:r w:rsidRPr="008E5B32">
        <w:rPr>
          <w:lang w:val="en-GB"/>
        </w:rPr>
        <w:t xml:space="preserve">regression models (QSARs). </w:t>
      </w:r>
      <w:r w:rsidR="0012193E" w:rsidRPr="008E5B32">
        <w:rPr>
          <w:lang w:val="en-GB"/>
        </w:rPr>
        <w:t xml:space="preserve">The goal is to reduce unnecessary testing by more effectively using the large volume of existing and emerging experimental data, generated in over a decade of nanosafety research </w:t>
      </w:r>
      <w:r w:rsidR="0012193E" w:rsidRPr="008E5B32">
        <w:fldChar w:fldCharType="begin" w:fldLock="1"/>
      </w:r>
      <w:r w:rsidR="004C12A8" w:rsidRPr="008E5B32">
        <w:rPr>
          <w:lang w:val="en-GB"/>
        </w:rPr>
        <w:instrText>ADDIN CSL_CITATION {"citationItems":[{"id":"ITEM-1","itemData":{"DOI":"10.1016/j.impact.2017.10.007","abstract":"©2017 Inhalation is the prevailing route of inadvertent exposure for manufactured nanomaterials (MNs). For assessing potential adverse effects, indepth knowledge about Exposure-Dose-Response relationships is required to define a risk as a function of hazard and relevant exposure. Intrinsic (physico-chemical) and extrinsic (functional) MN properties determine the biological/toxicological properties (effects) of MNs. Predictive testing strategies are useful for comparative hazard and risk characterization against toxicologically well-defined positive and negative benchmark materials involving studies in rodents, cells, and cell-free (abiotic) assays. Inhalation studies can be used for hazard identification as well as for hazard and risk characterization of inhaled MNs. A design to provide dose-response data is ideal, but less so if only exposure-response data are available. Information should also be provided for biokinetics and for identifying secondary targets. Bolus-type dosing (intratracheal instillation; oropharyngeal aspiration) can be useful for hazard identification and characterization, but not for risk characterization. Combining results from bolus dosing or in vitro tests with results of a subchronic inhalation study of the same group of MNs can be a suitable predictive bridging approach. In vitro cellular assays designed to determine in vivo effects and underlying mechanisms present additional challenges. Cellular dose equivalency to in vivo is difficult to achieve because of static, mostly acute in vitro systems with no MN clearance. The dose dependency of mechanisms has to be considered as well. Still, in vitro tests are suitable for toxicity ranking against well-characterized benchmarks (Hazard ID). Regarding abiotic assays, predictive toxicity ranking using the metric of specific MN surface reactivity (ROS assays) is a promising screening tool, but requires further validation and standardization. Dynamic abiotic dissolution assays are also a promising tool for predicting in vivo dissolution rates but require standardization. Information about MN dissolution using static (equilibrium solubility, $\\mu{\\$}g/L) and dynamic (dissolution rate, ng/cm 2 /day) abiotic in vitro assays provide different information about the solubilization of MNs reflecting either static in vitro or dynamic in vivo conditions. Results of both assays may be useful for categorization if performed in physiologically relevant fluids. Because the in vivo dissolution rates…","author":[{"dropping-particle":"","family":"Oberdörster","given":"G","non-dropping-particle":"","parse-names":false,"suffix":""},{"dropping-particle":"","family":"Kuhlbusch","given":"T A J","non-dropping-particle":"","parse-names":false,"suffix":""}],"container-title":"NanoImpact","id":"ITEM-1","issued":{"date-parts":[["2018"]]},"page":"38-60","title":"In vivo effects: Methodologies and biokinetics of inhaled nanomaterials","type":"article-journal","volume":"10"},"uris":["http://www.mendeley.com/documents/?uuid=8c998309-6402-41ae-acff-5ba021cb2e4d","http://www.mendeley.com/documents/?uuid=aad8fe3c-668f-4359-ae75-b77b2a9bb45b","http://www.mendeley.com/documents/?uuid=6defad1f-52f2-4fa7-ac9b-4d4052871c10"]},{"id":"ITEM-2","itemData":{"DOI":"10.1016/J.YRTPH.2017.10.019","ISSN":"0273-2300","abstract":"Identifying and characterising nanomaterials require additional information on physico-chemical properties and test methods, compared to chemicals in general. Furthermore, regulatory decisions for chemicals are usually based upon certain toxicological properties, and these effects may not be equivalent to those for nanomaterials. However, regulatory agencies lack an authoritative decision framework for nanomaterials that links the relevance of certain physico-chemical endpoints to toxicological effects. This paper investigates various physico-chemical endpoints and available test methods that could be used to produce such a decision framework for nanomaterials. It presents an overview of regulatory relevance and methods used for testing fifteen proposed physico-chemical properties of eleven nanomaterials in the OECD Working Party on Manufactured Nanomaterials' Testing Programme, complemented with methods from literature, and assesses the methods' adequacy and applications limits. Most endpoints are of regulatory relevance, though the specific parameters depend on the nanomaterial and type of assessment. Size (distribution) is the common characteristic of all nanomaterials and is decisive information for classifying a material as a nanomaterial. Shape is an important particle descriptor. The octanol-water partitioning coefficient is undefined for particulate nanomaterials. Methods, including sample preparation, need to be further standardised, and some new methods are needed. The current work of OECD's Test Guidelines Programme regarding physico-chemical properties is highlighted.","author":[{"dropping-particle":"","family":"Rasmussen","given":"Kirsten","non-dropping-particle":"","parse-names":false,"suffix":""},{"dropping-particle":"","family":"Rauscher","given":"Hubert","non-dropping-particle":"","parse-names":false,"suffix":""},{"dropping-particle":"","family":"Mech","given":"Agnieszka","non-dropping-particle":"","parse-names":false,"suffix":""},{"dropping-particle":"","family":"Riego Sintes","given":"Juan","non-dropping-particle":"","parse-names":false,"suffix":""},{"dropping-particle":"","family":"Gilliland","given":"Douglas","non-dropping-particle":"","parse-names":false,"suffix":""},{"dropping-particle":"","family":"González","given":"Mar","non-dropping-particle":"","parse-names":false,"suffix":""},{"dropping-particle":"","family":"Kearns","given":"Peter","non-dropping-particle":"","parse-names":false,"suffix":""},{"dropping-particle":"","family":"Moss","given":"Kenneth","non-dropping-particle":"","parse-names":false,"suffix":""},{"dropping-particle":"","family":"Visser","given":"Maaike","non-dropping-particle":"","parse-names":false,"suffix":""},{"dropping-particle":"","family":"Groenewold","given":"Monique","non-dropping-particle":"","parse-names":false,"suffix":""},{"dropping-particle":"","family":"Bleeker","given":"Eric A J","non-dropping-particle":"","parse-names":false,"suffix":""}],"container-title":"Regulatory Toxicology and Pharmacology","id":"ITEM-2","issued":{"date-parts":[["2018","2"]]},"page":"8-28","publisher":"Academic Press","title":"Physico-chemical properties of manufactured nanomaterials - Characterisation and relevant methods. An outlook based on the OECD Testing Programme","type":"article-journal","volume":"92"},"uris":["http://www.mendeley.com/documents/?uuid=88e8a52d-3f67-4603-9b8b-ceefd540e49c","http://www.mendeley.com/documents/?uuid=96b2ea4f-68e1-4a68-b89d-916a1c9cbf5f","http://www.mendeley.com/documents/?uuid=32ea1076-32f0-49a8-91af-1955ae444ddd"]}],"mendeley":{"formattedCitation":"&lt;sup&gt;19,20&lt;/sup&gt;","plainTextFormattedCitation":"19,20","previouslyFormattedCitation":"&lt;sup&gt;19,20&lt;/sup&gt;"},"properties":{"noteIndex":0},"schema":"https://github.com/citation-style-language/schema/raw/master/csl-citation.json"}</w:instrText>
      </w:r>
      <w:r w:rsidR="0012193E" w:rsidRPr="008E5B32">
        <w:fldChar w:fldCharType="separate"/>
      </w:r>
      <w:r w:rsidR="005D1733" w:rsidRPr="008E5B32">
        <w:rPr>
          <w:noProof/>
          <w:vertAlign w:val="superscript"/>
          <w:lang w:val="en-GB"/>
        </w:rPr>
        <w:t>19,20</w:t>
      </w:r>
      <w:r w:rsidR="0012193E" w:rsidRPr="008E5B32">
        <w:fldChar w:fldCharType="end"/>
      </w:r>
      <w:r w:rsidR="0012193E" w:rsidRPr="008E5B32">
        <w:rPr>
          <w:lang w:val="en-GB"/>
        </w:rPr>
        <w:t>.</w:t>
      </w:r>
      <w:r w:rsidR="006A26BD" w:rsidRPr="008E5B32">
        <w:rPr>
          <w:lang w:val="en-GB"/>
        </w:rPr>
        <w:t xml:space="preserve"> </w:t>
      </w:r>
      <w:r w:rsidR="00F85390" w:rsidRPr="008E5B32">
        <w:rPr>
          <w:lang w:val="en-GB"/>
        </w:rPr>
        <w:t xml:space="preserve">Moreover, </w:t>
      </w:r>
      <w:r w:rsidR="00F85390" w:rsidRPr="008E5B32">
        <w:rPr>
          <w:i/>
          <w:lang w:val="en-GB"/>
        </w:rPr>
        <w:t>in silico</w:t>
      </w:r>
      <w:r w:rsidR="00F85390" w:rsidRPr="008E5B32">
        <w:rPr>
          <w:lang w:val="en-GB"/>
        </w:rPr>
        <w:t xml:space="preserve"> models can help designing NMs with desired properties and known (eco)toxicity </w:t>
      </w:r>
      <w:r w:rsidR="00F85390" w:rsidRPr="008E5B32">
        <w:fldChar w:fldCharType="begin" w:fldLock="1"/>
      </w:r>
      <w:r w:rsidR="004C12A8" w:rsidRPr="008E5B32">
        <w:rPr>
          <w:lang w:val="en-GB"/>
        </w:rPr>
        <w:instrText>ADDIN CSL_CITATION {"citationItems":[{"id":"ITEM-1","itemData":{"DOI":"10.1186/1743-8977-11-9","ISBN":"1743-8977 (Electronic)\\r1743-8977 (Linking)","ISSN":"1743-8977","PMID":"24521051","abstract":"BACKGROUND: To assess the risk of all nanomaterials (NMs) on a case-by-case basis is challenging in terms of financial, ethical and time resources. Instead a more intelligent approach to knowledge gain and risk assessment is required.\\n\\nMETHODS: A framework of future research priorities was developed from the accorded opinion of experts covering all major stake holder groups (government, industry, academia, funders and NGOs). It recognises and stresses the major topics of physicochemical characterisation, exposure identification, hazard identification and modelling approaches as key components of the current and future risk assessment of NMs.\\n\\nRESULTS: The framework for future research has been developed from the opinions of over 80 stakeholders, that describes the research priorities for effective development of an intelligent testing strategy (ITS) to allow risk evaluation of NMs. In this context, an ITS is a process that allows the risks of NMs to be assessed accurately, effectively and efficiently, thereby reducing the need to test NMs on a case-by-case basis.For each of the major topics of physicochemical characterisation, exposure identification, hazard identification and modelling, key-priority research areas are described via a series of stepping stones, or hexagon diagrams structured into a time perspective. Importantly, this framework is flexible, allowing individual stakeholders to identify where their own activities and expertise are positioned within the prioritisation pathway and furthermore to identify how they can effectively contribute and structure their work accordingly. In other words, the prioritisation hexagon diagrams provide a tool that individual stakeholders can adapt to meet their own particular needs and to deliver an ITS for NMs risk assessment. Such an approach would, over time, reduce the need for testing by increasing the reliability and sophistication of in silico approaches.The manuscript includes an appraisal of how this framework relates to the current risk assessment approaches and how future risk assessment could adapt to accommodate these new approaches. A full report is available in electronic format (pdf) at http://www.nano.hw.ac.uk/research-projects/itsnano.html.\\n\\nCONCLUSION: ITS-NANO has delivered a detailed, stakeholder driven and flexible research prioritisation (or strategy) tool, which identifies specific research needs, suggests connections between areas, and frames this in a time-perspective.","author":[{"dropping-particle":"","family":"Stone","given":"Vicki","non-dropping-particle":"","parse-names":false,"suffix":""},{"dropping-particle":"","family":"Pozzi-Mucelli","given":"Stefano","non-dropping-particle":"","parse-names":false,"suffix":""},{"dropping-particle":"","family":"Tran","given":"Lang","non-dropping-particle":"","parse-names":false,"suffix":""},{"dropping-particle":"","family":"Aschberger","given":"Karin","non-dropping-particle":"","parse-names":false,"suffix":""},{"dropping-particle":"","family":"Sabella","given":"Stefania","non-dropping-particle":"","parse-names":false,"suffix":""},{"dropping-particle":"","family":"Vogel","given":"Ulla","non-dropping-particle":"","parse-names":false,"suffix":""},{"dropping-particle":"","family":"Poland","given":"Craig","non-dropping-particle":"","parse-names":false,"suffix":""},{"dropping-particle":"","family":"Balharry","given":"Dominique","non-dropping-particle":"","parse-names":false,"suffix":""},{"dropping-particle":"","family":"Fernandes","given":"Teresa","non-dropping-particle":"","parse-names":false,"suffix":""},{"dropping-particle":"","family":"Gottardo","given":"Stefania","non-dropping-particle":"","parse-names":false,"suffix":""},{"dropping-particle":"","family":"Hankin","given":"Steven","non-dropping-particle":"","parse-names":false,"suffix":""},{"dropping-particle":"","family":"Hartl","given":"Mark GJ","non-dropping-particle":"","parse-names":false,"suffix":""},{"dropping-particle":"","family":"Hartmann","given":"Nanna","non-dropping-particle":"","parse-names":false,"suffix":""},{"dropping-particle":"","family":"Hristozov","given":"Danial","non-dropping-particle":"","parse-names":false,"suffix":""},{"dropping-particle":"","family":"Hund-Rinke","given":"Kerstin","non-dropping-particle":"","parse-names":false,"suffix":""},{"dropping-particle":"","family":"Johnston","given":"Helinor","non-dropping-particle":"","parse-names":false,"suffix":""},{"dropping-particle":"","family":"Marcomini","given":"Antonio","non-dropping-particle":"","parse-names":false,"suffix":""},{"dropping-particle":"","family":"Panzer","given":"Oliver","non-dropping-particle":"","parse-names":false,"suffix":""},{"dropping-particle":"","family":"Roncato","given":"Davide","non-dropping-particle":"","parse-names":false,"suffix":""},{"dropping-particle":"","family":"Saber","given":"Anne T","non-dropping-particle":"","parse-names":false,"suffix":""},{"dropping-particle":"","family":"Wallin","given":"Håkan","non-dropping-particle":"","parse-names":false,"suffix":""},{"dropping-particle":"","family":"Scott-Fordsmand","given":"Janeck J","non-dropping-particle":"","parse-names":false,"suffix":""}],"container-title":"Particle and Fibre Toxicology","id":"ITEM-1","issue":"1","issued":{"date-parts":[["2014"]]},"page":"9","title":"ITS-NANO - Prioritising nanosafety research to develop a stakeholder driven intelligent testing strategy","type":"article-journal","volume":"11"},"uris":["http://www.mendeley.com/documents/?uuid=64046a95-9e0d-4da3-8722-12c7f94f4ea2"]},{"id":"ITEM-2","itemData":{"DOI":"10.1016/j.nantod.2014.05.001","ISBN":"1878-044X; 1748-0132","ISSN":"1878044X","PMID":"25818068","abstract":"There is an urgent need to establish a fundamental understanding of the mechanisms of nanomaterial (NM) interaction with living systems and the environment, in order for regulation of NMs to keep pace with their increasing industrial application. Identification of critical properties (physicochemical descriptors) that confer the ability to induce harm in biological systems is crucial, enabling both prediction of impacts from related NMs (via quantitative nanostructure-activity relationships (QNARs) and read-across approaches) and development of strategies to ensure these features are avoided or minimised in NM production in the future (\"safety by design\"). A number of challenges to successful implementation of such a strategy exist, including: (i) the lack of widely available systematically varied libraries of NMs to enable generation of sufficiently robust datasets for development and validation of QNARs; (ii) the fact that many physicochemical properties of pristine NMs are inter-related and thus cannot be varied systematically in isolation from others (e.g. increasing surface charge may impact on hydrophobicity, or changing the shape of a NM may introduce defects or alter the atomic configuration of the surface); and (iii) the effect of ageing, transformation and biomolecule coating of NMs under environmental or biological conditions. A novel approach to identify interlinked physicochemical properties, and on this basis identify overarching descriptors (axes or principle components) which can be used to correlate with toxicity is proposed. An example of the approach is provided, using three principle components which we suggest can be utilised to fully describe each NM, these being the intrinsic (inherent) properties of the NM, composition (which we propose as a separate parameter) and extrinsic properties (interaction with media, molecular coronas etc.). © 2014 The Authors.","author":[{"dropping-particle":"","family":"Lynch","given":"Iseult","non-dropping-particle":"","parse-names":false,"suffix":""},{"dropping-particle":"","family":"Weiss","given":"Carsten","non-dropping-particle":"","parse-names":false,"suffix":""},{"dropping-particle":"","family":"Valsami-Jones","given":"Eugenia","non-dropping-particle":"","parse-names":false,"suffix":""}],"container-title":"Nano Today","id":"ITEM-2","issue":"3","issued":{"date-parts":[["2014"]]},"page":"266-270","title":"A strategy for grouping of nanomaterials based on key physico-chemical descriptors as a basis for safer-by-design NMs","type":"article","volume":"9"},"uris":["http://www.mendeley.com/documents/?uuid=736b56ce-c805-47e6-b023-f16434a6f776"]}],"mendeley":{"formattedCitation":"&lt;sup&gt;10,21&lt;/sup&gt;","plainTextFormattedCitation":"10,21","previouslyFormattedCitation":"&lt;sup&gt;10,21&lt;/sup&gt;"},"properties":{"noteIndex":0},"schema":"https://github.com/citation-style-language/schema/raw/master/csl-citation.json"}</w:instrText>
      </w:r>
      <w:r w:rsidR="00F85390" w:rsidRPr="008E5B32">
        <w:fldChar w:fldCharType="separate"/>
      </w:r>
      <w:r w:rsidR="005D1733" w:rsidRPr="008E5B32">
        <w:rPr>
          <w:noProof/>
          <w:vertAlign w:val="superscript"/>
          <w:lang w:val="en-GB"/>
        </w:rPr>
        <w:t>10,21</w:t>
      </w:r>
      <w:r w:rsidR="00F85390" w:rsidRPr="008E5B32">
        <w:fldChar w:fldCharType="end"/>
      </w:r>
      <w:r w:rsidR="00F85390" w:rsidRPr="008E5B32">
        <w:rPr>
          <w:lang w:val="en-GB"/>
        </w:rPr>
        <w:t>: a first practical proof-of-concept of applying the</w:t>
      </w:r>
      <w:r w:rsidR="004B29DB" w:rsidRPr="008E5B32">
        <w:rPr>
          <w:lang w:val="en-GB"/>
        </w:rPr>
        <w:t xml:space="preserve"> </w:t>
      </w:r>
      <w:r w:rsidR="00F85390" w:rsidRPr="008E5B32">
        <w:rPr>
          <w:lang w:val="en-GB"/>
        </w:rPr>
        <w:t xml:space="preserve">SbD concept to NMs was recently published </w:t>
      </w:r>
      <w:r w:rsidR="00F85390" w:rsidRPr="008E5B32">
        <w:fldChar w:fldCharType="begin" w:fldLock="1"/>
      </w:r>
      <w:r w:rsidR="004C12A8" w:rsidRPr="008E5B32">
        <w:rPr>
          <w:lang w:val="en-GB"/>
        </w:rPr>
        <w:instrText>ADDIN CSL_CITATION {"citationItems":[{"id":"ITEM-1","itemData":{"DOI":"10.3109/17435390.2015.1073397","ISSN":"17435404","PMID":"26525350","abstract":"Growing experimental evidences suggest the existence of direct relationships between the surface chemistry of nanomaterials and their biological effects. Herein, we have employed computational approaches to design a set of biologically active carbon nanotubes (CNTs) with controlled protein binding and cytotoxicity. Quantitative structure-activity relationship (QSAR) models were built and validated using a dataset of 83 surface-modified CNTs. A subset of a combinatorial virtual library of 240 000 ligands potentially attachable to CNTs was selected to include molecules that were within the chemical similarity threshold with respect to the modeling set compounds. QSAR models were then employed to virtually screen this subset and prioritize CNTs for chemical synthesis and biological evaluation. Ten putatively active and 10 putatively inactive CNTs decorated with the ligands prioritized by virtual screening for either protein-binding or cytotoxicity assay were synthesized and tested. We found that all 10 putatively inactive and 7 of 10 putatively active CNTs were confirmed in the protein-binding assay, whereas all 10 putatively inactive and 6 of 10 putatively active CNTs were confirmed in the cytotoxicity assay. This proof-of-concept study shows that computational models can be employed to guide the design of surface-modified nanomaterials with the desired biological and safety profiles.","author":[{"dropping-particle":"","family":"Fourches","given":"Denis","non-dropping-particle":"","parse-names":false,"suffix":""},{"dropping-particle":"","family":"Pu","given":"Dongqiuye","non-dropping-particle":"","parse-names":false,"suffix":""},{"dropping-particle":"","family":"Li","given":"Liwen","non-dropping-particle":"","parse-names":false,"suffix":""},{"dropping-particle":"","family":"Zhou","given":"Hongyu","non-dropping-particle":"","parse-names":false,"suffix":""},{"dropping-particle":"","family":"Mu","given":"Qingxin","non-dropping-particle":"","parse-names":false,"suffix":""},{"dropping-particle":"","family":"Su","given":"Gaoxing","non-dropping-particle":"","parse-names":false,"suffix":""},{"dropping-particle":"","family":"Yan","given":"Bing","non-dropping-particle":"","parse-names":false,"suffix":""},{"dropping-particle":"","family":"Tropsha","given":"Alexander","non-dropping-particle":"","parse-names":false,"suffix":""}],"container-title":"Nanotoxicology","id":"ITEM-1","issue":"3","issued":{"date-parts":[["2016"]]},"page":"374-383","title":"Computer-aided design of carbon nanotubes with the desired bioactivity and safety profiles","type":"article-journal","volume":"10"},"uris":["http://www.mendeley.com/documents/?uuid=ee3d9946-51d4-4e8e-abcd-8b8d5b7886c5"]}],"mendeley":{"formattedCitation":"&lt;sup&gt;22&lt;/sup&gt;","plainTextFormattedCitation":"22","previouslyFormattedCitation":"&lt;sup&gt;22&lt;/sup&gt;"},"properties":{"noteIndex":0},"schema":"https://github.com/citation-style-language/schema/raw/master/csl-citation.json"}</w:instrText>
      </w:r>
      <w:r w:rsidR="00F85390" w:rsidRPr="008E5B32">
        <w:fldChar w:fldCharType="separate"/>
      </w:r>
      <w:r w:rsidR="005D1733" w:rsidRPr="008E5B32">
        <w:rPr>
          <w:noProof/>
          <w:vertAlign w:val="superscript"/>
          <w:lang w:val="en-GB"/>
        </w:rPr>
        <w:t>22</w:t>
      </w:r>
      <w:r w:rsidR="00F85390" w:rsidRPr="008E5B32">
        <w:fldChar w:fldCharType="end"/>
      </w:r>
      <w:r w:rsidR="00F85390" w:rsidRPr="008E5B32">
        <w:rPr>
          <w:lang w:val="en-GB"/>
        </w:rPr>
        <w:t>.</w:t>
      </w:r>
      <w:r w:rsidR="009F66A6" w:rsidRPr="008E5B32">
        <w:rPr>
          <w:lang w:val="en-GB"/>
        </w:rPr>
        <w:t xml:space="preserve"> </w:t>
      </w:r>
    </w:p>
    <w:p w14:paraId="24BB4A73" w14:textId="57EC6964" w:rsidR="00587D17" w:rsidRPr="008E5B32" w:rsidRDefault="004535BD" w:rsidP="007930EF">
      <w:pPr>
        <w:rPr>
          <w:lang w:val="en-GB"/>
        </w:rPr>
      </w:pPr>
      <w:r w:rsidRPr="008E5B32">
        <w:rPr>
          <w:lang w:val="en-GB"/>
        </w:rPr>
        <w:t xml:space="preserve">For classical chemical compounds, </w:t>
      </w:r>
      <w:r w:rsidR="00D87657" w:rsidRPr="008E5B32">
        <w:rPr>
          <w:lang w:val="en-GB"/>
        </w:rPr>
        <w:t>a number</w:t>
      </w:r>
      <w:r w:rsidRPr="008E5B32">
        <w:rPr>
          <w:lang w:val="en-GB"/>
        </w:rPr>
        <w:t xml:space="preserve"> of descriptors (directly derived or computed starting from physicochemical properties) are available and can be modelled, however the largest part of these descriptors are not applicable or not useful with respect to NMs </w:t>
      </w:r>
      <w:r w:rsidRPr="008E5B32">
        <w:rPr>
          <w:lang w:val="en-GB"/>
        </w:rPr>
        <w:fldChar w:fldCharType="begin" w:fldLock="1"/>
      </w:r>
      <w:r w:rsidR="004C12A8" w:rsidRPr="008E5B32">
        <w:rPr>
          <w:lang w:val="en-GB"/>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nanoparticles","type":"article-journal","volume":"6"},"uris":["http://www.mendeley.com/documents/?uuid=1756c334-31e6-47b0-8ae2-2e43eff4d026"]},{"id":"ITEM-2","itemData":{"DOI":"10.1016/j.tox.2012.11.005","ISBN":"0300-483X","ISSN":"0300483X","PMID":"23165187","abstract":"The potential (eco)toxicological hazard posed by engineered nanoparticles is a major scientific and societal concern since several industrial sectors ( e.g. electronics, biomedicine, and cosmetics) are exploiting the innovative properties of nanostructures resulting in their large-scale production. Many consumer products contain nanomaterials and, given their complex life-cycle, it is essential to anticipate their (eco)toxicological properties in a fast and inexpensive way in order to mitigate adverse effects on human health and the environment. In this context, the application of the structure-toxicity paradigm to nanomaterials represents a promising approach. Indeed, according to this paradigm, it is possible to predict toxicological effects induced by chemicals on the basis of their structural similarity with chemicals for which toxicological endpoints have been previously measured. These structure-toxicity relationships can be quantitative or qualitative in nature and they can predict toxicological effects directly from the physicochemical properties of the entities ( e.g. nanoparticles) of interest. Therefore, this approach can aid in prioritizing resources in toxicological investigations while reducing the ethical and monetary costs that are related to animal testing. The purpose of this review is to provide a summary of recent key advances in the field of QSAR modelling of nanomaterial toxicity, to identify the major gaps in research required to accelerate the use of quantitative structure-activity relationship (QSAR) methods, and to provide a roadmap for future research needed to achieve QSAR models useful for regulatory purposes. © 2012 Elsevier Ireland Ltd.","author":[{"dropping-particle":"","family":"Winkler","given":"David A.","non-dropping-particle":"","parse-names":false,"suffix":""},{"dropping-particle":"","family":"Mombelli","given":"Enrico","non-dropping-particle":"","parse-names":false,"suffix":""},{"dropping-particle":"","family":"Pietroiusti","given":"Antonio","non-dropping-particle":"","parse-names":false,"suffix":""},{"dropping-particle":"","family":"Tran","given":"Lang","non-dropping-particle":"","parse-names":false,"suffix":""},{"dropping-particle":"","family":"Worth","given":"Andrew","non-dropping-particle":"","parse-names":false,"suffix":""},{"dropping-particle":"","family":"Fadeel","given":"Bengt","non-dropping-particle":"","parse-names":false,"suffix":""},{"dropping-particle":"","family":"McCall","given":"Maxine J.","non-dropping-particle":"","parse-names":false,"suffix":""}],"container-title":"Toxicology","id":"ITEM-2","issue":"1","issued":{"date-parts":[["2013"]]},"page":"15-23","title":"Applying quantitative structure-activity relationship approaches to nanotoxicology: Current status and future potential","type":"article-journal","volume":"313"},"uris":["http://www.mendeley.com/documents/?uuid=21208bb4-da4f-4539-9d1a-bb47cd7ca4c2"]},{"id":"ITEM-3","itemData":{"DOI":"10.1016/j.partic.2014.12.001","ISSN":"16742001","author":[{"dropping-particle":"","family":"Oksel","given":"Ceyda","non-dropping-particle":"","parse-names":false,"suffix":""},{"dropping-particle":"","family":"Ma","given":"Cai Y.","non-dropping-particle":"","parse-names":false,"suffix":""},{"dropping-particle":"","family":"Liu","given":"Jing J.","non-dropping-particle":"","parse-names":false,"suffix":""},{"dropping-particle":"","family":"Wilkins","given":"Terry","non-dropping-particle":"","parse-names":false,"suffix":""},{"dropping-particle":"","family":"Wang","given":"Xue Z.","non-dropping-particle":"","parse-names":false,"suffix":""}],"container-title":"Particuology","id":"ITEM-3","issued":{"date-parts":[["2015","8"]]},"page":"1-19","title":"(Q)SAR modelling of nanomaterial toxicity: A critical review","type":"article-journal","volume":"21"},"uris":["http://www.mendeley.com/documents/?uuid=3a0c9352-5098-341b-900f-6740631de199"]}],"mendeley":{"formattedCitation":"&lt;sup&gt;23–25&lt;/sup&gt;","plainTextFormattedCitation":"23–25","previouslyFormattedCitation":"&lt;sup&gt;23–25&lt;/sup&gt;"},"properties":{"noteIndex":0},"schema":"https://github.com/citation-style-language/schema/raw/master/csl-citation.json"}</w:instrText>
      </w:r>
      <w:r w:rsidRPr="008E5B32">
        <w:rPr>
          <w:lang w:val="en-GB"/>
        </w:rPr>
        <w:fldChar w:fldCharType="separate"/>
      </w:r>
      <w:r w:rsidR="005D1733" w:rsidRPr="008E5B32">
        <w:rPr>
          <w:noProof/>
          <w:vertAlign w:val="superscript"/>
          <w:lang w:val="en-GB"/>
        </w:rPr>
        <w:t>23–25</w:t>
      </w:r>
      <w:r w:rsidRPr="008E5B32">
        <w:rPr>
          <w:lang w:val="en-GB"/>
        </w:rPr>
        <w:fldChar w:fldCharType="end"/>
      </w:r>
      <w:r w:rsidRPr="008E5B32">
        <w:rPr>
          <w:lang w:val="en-GB"/>
        </w:rPr>
        <w:t xml:space="preserve">. Indeed, recently ECHA provided a guidance on how to identify and characterize NMs and NFs </w:t>
      </w:r>
      <w:r w:rsidRPr="008E5B32">
        <w:rPr>
          <w:lang w:val="en-GB"/>
        </w:rPr>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Pr="008E5B32">
        <w:rPr>
          <w:lang w:val="en-GB"/>
        </w:rPr>
        <w:fldChar w:fldCharType="separate"/>
      </w:r>
      <w:r w:rsidRPr="008E5B32">
        <w:rPr>
          <w:noProof/>
          <w:vertAlign w:val="superscript"/>
          <w:lang w:val="en-GB"/>
        </w:rPr>
        <w:t>3</w:t>
      </w:r>
      <w:r w:rsidRPr="008E5B32">
        <w:rPr>
          <w:lang w:val="en-GB"/>
        </w:rPr>
        <w:fldChar w:fldCharType="end"/>
      </w:r>
      <w:r w:rsidRPr="008E5B32">
        <w:rPr>
          <w:lang w:val="en-GB"/>
        </w:rPr>
        <w:t>:</w:t>
      </w:r>
      <w:r w:rsidR="001809F0" w:rsidRPr="008E5B32">
        <w:rPr>
          <w:lang w:val="en-GB"/>
        </w:rPr>
        <w:t xml:space="preserve"> </w:t>
      </w:r>
      <w:r w:rsidRPr="008E5B32">
        <w:rPr>
          <w:lang w:val="en-GB"/>
        </w:rPr>
        <w:t xml:space="preserve">in addition to "substance identity" parameters specified in Section 2 of Annex VI of REACH regulation </w:t>
      </w:r>
      <w:r w:rsidRPr="008E5B32">
        <w:rPr>
          <w:lang w:val="en-GB"/>
        </w:rPr>
        <w:fldChar w:fldCharType="begin" w:fldLock="1"/>
      </w:r>
      <w:r w:rsidR="005D1733" w:rsidRPr="008E5B32">
        <w:rPr>
          <w:lang w:val="en-GB"/>
        </w:rPr>
        <w:instrText>ADDIN CSL_CITATION {"citationItems":[{"id":"ITEM-1","itemData":{"DOI":"http://eur-lex.europa.eu/LexUriServ/LexUriServ.do?uri=OJ:L:2006:396:0001:0849:EN:PDF","ISBN":"L396","ISSN":"0144-557X","abstract":"Regulation concerning the Registration, Evaluation, Authorisation and Restriction of Chemicals (REACH), establishing a European Chemicals Agency, amending Directive 1999/45/EC and repealing Council Regulation (EEC) No 793/93 and Commission Regulation (EC) No 1488/94 as well as Council Directive 76/769/EEC and Commission Directives 91/155/EEC, 93/67/EEC, 93/105/EC and 2000/21/EC","author":[{"dropping-particle":"","family":"European Comission","given":"","non-dropping-particle":"","parse-names":false,"suffix":""}],"container-title":"Official Journal of the European Union","id":"ITEM-1","issued":{"date-parts":[["2006"]]},"title":"Regulation (EC) 1907/2006 of the European Parliament and of teh Council of 18 December 2006 - REACH","type":"article-journal"},"uris":["http://www.mendeley.com/documents/?uuid=b48cd687-325b-37d5-bf0c-5bb2c1b81f2a"]}],"mendeley":{"formattedCitation":"&lt;sup&gt;1&lt;/sup&gt;","plainTextFormattedCitation":"1","previouslyFormattedCitation":"&lt;sup&gt;1&lt;/sup&gt;"},"properties":{"noteIndex":0},"schema":"https://github.com/citation-style-language/schema/raw/master/csl-citation.json"}</w:instrText>
      </w:r>
      <w:r w:rsidRPr="008E5B32">
        <w:rPr>
          <w:lang w:val="en-GB"/>
        </w:rPr>
        <w:fldChar w:fldCharType="separate"/>
      </w:r>
      <w:r w:rsidRPr="008E5B32">
        <w:rPr>
          <w:noProof/>
          <w:vertAlign w:val="superscript"/>
          <w:lang w:val="en-GB"/>
        </w:rPr>
        <w:t>1</w:t>
      </w:r>
      <w:r w:rsidRPr="008E5B32">
        <w:rPr>
          <w:lang w:val="en-GB"/>
        </w:rPr>
        <w:fldChar w:fldCharType="end"/>
      </w:r>
      <w:r w:rsidRPr="008E5B32">
        <w:rPr>
          <w:lang w:val="en-GB"/>
        </w:rPr>
        <w:t xml:space="preserve">, which include composition of the substance, of impurities or additives, as well as information of surface chemistry and crystalline structure, other parameters that are relevant to characterize </w:t>
      </w:r>
      <w:r w:rsidR="005F3D51" w:rsidRPr="008E5B32">
        <w:rPr>
          <w:lang w:val="en-GB"/>
        </w:rPr>
        <w:t>NFs</w:t>
      </w:r>
      <w:r w:rsidRPr="008E5B32">
        <w:rPr>
          <w:lang w:val="en-GB"/>
        </w:rPr>
        <w:t xml:space="preserve"> are physical parameters such as Size, Shape and Surface area. Other relevant parameters include Solubility, Hydrophobicity, Zeta potential, Dispersibility, Dustiness, as well as Biological (re)activity and Photoreactivity. These properties are indeed the basis to implement the "Stepwise strategy for </w:t>
      </w:r>
      <w:r w:rsidR="005F3D51" w:rsidRPr="008E5B32">
        <w:rPr>
          <w:lang w:val="en-GB"/>
        </w:rPr>
        <w:t>G</w:t>
      </w:r>
      <w:r w:rsidRPr="008E5B32">
        <w:rPr>
          <w:lang w:val="en-GB"/>
        </w:rPr>
        <w:t>rouping and</w:t>
      </w:r>
      <w:r w:rsidR="005F3D51" w:rsidRPr="008E5B32">
        <w:rPr>
          <w:lang w:val="en-GB"/>
        </w:rPr>
        <w:t xml:space="preserve"> Read-Across</w:t>
      </w:r>
      <w:r w:rsidRPr="008E5B32">
        <w:rPr>
          <w:lang w:val="en-GB"/>
        </w:rPr>
        <w:t xml:space="preserve">” </w:t>
      </w:r>
      <w:r w:rsidRPr="008E5B32">
        <w:rPr>
          <w:lang w:val="en-GB"/>
        </w:rPr>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Pr="008E5B32">
        <w:rPr>
          <w:lang w:val="en-GB"/>
        </w:rPr>
        <w:fldChar w:fldCharType="separate"/>
      </w:r>
      <w:r w:rsidRPr="008E5B32">
        <w:rPr>
          <w:noProof/>
          <w:vertAlign w:val="superscript"/>
          <w:lang w:val="en-GB"/>
        </w:rPr>
        <w:t>3</w:t>
      </w:r>
      <w:r w:rsidRPr="008E5B32">
        <w:rPr>
          <w:lang w:val="en-GB"/>
        </w:rPr>
        <w:fldChar w:fldCharType="end"/>
      </w:r>
      <w:r w:rsidRPr="008E5B32">
        <w:rPr>
          <w:lang w:val="en-GB"/>
        </w:rPr>
        <w:t>.</w:t>
      </w:r>
      <w:r w:rsidR="00587D17" w:rsidRPr="008E5B32">
        <w:rPr>
          <w:lang w:val="en-GB"/>
        </w:rPr>
        <w:t xml:space="preserve"> </w:t>
      </w:r>
      <w:r w:rsidR="009D55F4" w:rsidRPr="008E5B32">
        <w:rPr>
          <w:lang w:val="en-GB"/>
        </w:rPr>
        <w:t>In addition to physicochemical</w:t>
      </w:r>
      <w:r w:rsidR="00D047B2" w:rsidRPr="008E5B32">
        <w:rPr>
          <w:lang w:val="en-GB"/>
        </w:rPr>
        <w:t xml:space="preserve"> and nanospecific</w:t>
      </w:r>
      <w:r w:rsidR="009D55F4" w:rsidRPr="008E5B32">
        <w:rPr>
          <w:lang w:val="en-GB"/>
        </w:rPr>
        <w:t xml:space="preserve"> descriptors, o</w:t>
      </w:r>
      <w:r w:rsidR="00A77EF6" w:rsidRPr="008E5B32">
        <w:rPr>
          <w:lang w:val="en-GB"/>
        </w:rPr>
        <w:t>ther</w:t>
      </w:r>
      <w:r w:rsidR="00587D17" w:rsidRPr="008E5B32">
        <w:rPr>
          <w:lang w:val="en-GB"/>
        </w:rPr>
        <w:t xml:space="preserve"> </w:t>
      </w:r>
      <w:r w:rsidR="006A6A04" w:rsidRPr="008E5B32">
        <w:rPr>
          <w:lang w:val="en-GB"/>
        </w:rPr>
        <w:t xml:space="preserve">biological </w:t>
      </w:r>
      <w:r w:rsidR="009A791A" w:rsidRPr="008E5B32">
        <w:rPr>
          <w:lang w:val="en-GB"/>
        </w:rPr>
        <w:t>descriptors may be adopted</w:t>
      </w:r>
      <w:r w:rsidR="00317197" w:rsidRPr="008E5B32">
        <w:rPr>
          <w:lang w:val="en-GB"/>
        </w:rPr>
        <w:t>, such as</w:t>
      </w:r>
      <w:r w:rsidR="00587D17" w:rsidRPr="008E5B32">
        <w:rPr>
          <w:lang w:val="en-GB"/>
        </w:rPr>
        <w:t xml:space="preserve"> protein-corona </w:t>
      </w:r>
      <w:r w:rsidR="006A6A04" w:rsidRPr="008E5B32">
        <w:rPr>
          <w:lang w:val="en-GB"/>
        </w:rPr>
        <w:t xml:space="preserve">descriptors </w:t>
      </w:r>
      <w:r w:rsidR="00587D17" w:rsidRPr="008E5B32">
        <w:rPr>
          <w:lang w:val="en-GB"/>
        </w:rPr>
        <w:fldChar w:fldCharType="begin" w:fldLock="1"/>
      </w:r>
      <w:r w:rsidR="004C12A8" w:rsidRPr="008E5B32">
        <w:rPr>
          <w:lang w:val="en-GB"/>
        </w:rPr>
        <w:instrText>ADDIN CSL_CITATION {"citationItems":[{"id":"ITEM-1","itemData":{"DOI":"10.1073/pnas.0608582104","ISBN":"0027-8424 (Print)\\n0027-8424 (Linking)","ISSN":"0027-8424","PMID":"17267609","abstract":"Due to their small size, nanoparticles have distinct properties compared with the bulk form of the same materials. These properties are rapidly revolutionizing many areas of medicine and technology. Despite the remarkable speed of development of nanoscience, relatively little is known about the interaction of nanoscale objects with living systems. In a biological fluid, proteins associate with nanoparticles, and the amount and presentation of the proteins on the surface of the particles leads to an in vivo response. Proteins compete for the nanoparticle \"surface,\" leading to a protein \"corona\" that largely defines the biological identity of the particle. Thus, knowledge of rates, affinities, and stoichiometries of protein association with, and dissociation from, nanoparticles is important for understanding the nature of the particle surface seen by the functional machinery of cells. Here we develop approaches to study these parameters and apply them to plasma and simple model systems, albumin and fibrinogen. A series of copolymer nanoparticles are used with variation of size and composition (hydrophobicity). We show that isothermal titration calorimetry is suitable for studying the affinity and stoichiometry of protein binding to nanoparticles. We determine the rates of protein association and dissociation using surface plasmon resonance technology with nanoparticles that are thiol-linked to gold, and through size exclusion chromatography of protein-nanoparticle mixtures. This method is less perturbing than centrifugation, and is developed into a systematic methodology to isolate nanoparticle-associated proteins. The kinetic and equilibrium binding properties depend on protein identity as well as particle surface characteristics and size.","author":[{"dropping-particle":"","family":"Cedervall","given":"T.","non-dropping-particle":"","parse-names":false,"suffix":""},{"dropping-particle":"","family":"Lynch","given":"I.","non-dropping-particle":"","parse-names":false,"suffix":""},{"dropping-particle":"","family":"Lindman","given":"S.","non-dropping-particle":"","parse-names":false,"suffix":""},{"dropping-particle":"","family":"Berggard","given":"T.","non-dropping-particle":"","parse-names":false,"suffix":""},{"dropping-particle":"","family":"Thulin","given":"E.","non-dropping-particle":"","parse-names":false,"suffix":""},{"dropping-particle":"","family":"Nilsson","given":"H.","non-dropping-particle":"","parse-names":false,"suffix":""},{"dropping-particle":"","family":"Dawson","given":"K. A.","non-dropping-particle":"","parse-names":false,"suffix":""},{"dropping-particle":"","family":"Linse","given":"S.","non-dropping-particle":"","parse-names":false,"suffix":""}],"container-title":"Proceedings of the National Academy of Sciences","id":"ITEM-1","issue":"7","issued":{"date-parts":[["2007"]]},"page":"2050-2055","title":"Understanding the nanoparticle-protein corona using methods to quantify exchange rates and affinities of proteins for nanoparticles","type":"article-journal","volume":"104"},"uris":["http://www.mendeley.com/documents/?uuid=a059c30b-c9ac-4c74-b12e-e3de1d481036"]},{"id":"ITEM-2","itemData":{"DOI":"10.1016/S1748-0132(08)70014-8","ISBN":"978-3-642-37554-5","ISSN":"17480132","abstract":"The key role of protein-nanoparticle interactions in nanomedicine and nanotoxicity has begun to emerge recently with the development of the idea of the nanoparticle-protein 'corona'. This dynamic layer of proteins (and other biomolecules) adsorbs to nanoparticle surfaces immediately upon contact with living systems. While within the biomaterials field the role of adsorbed molecules in cellular responses is acknowledged, there are several new issues at stake where nanoparticles are concerned. We show here that highly selective protein adsorption, added to the fact that particles can reach subcellular locations, results in significant new potential impacts for nanoparticles on protein interactions and cellular behavior. © 2008 Elsevier Ltd. All rights reserved.","author":[{"dropping-particle":"","family":"Lynch","given":"Iseult","non-dropping-particle":"","parse-names":false,"suffix":""},{"dropping-particle":"","family":"Dawson","given":"Kenneth A.","non-dropping-particle":"","parse-names":false,"suffix":""}],"container-title":"Nano Today","id":"ITEM-2","issue":"1-2","issued":{"date-parts":[["2008"]]},"page":"40-47","title":"Protein-nanoparticle interactions","type":"article","volume":"3"},"uris":["http://www.mendeley.com/documents/?uuid=e1a8610f-26a5-4aaa-b6b9-717b55877178"]},{"id":"ITEM-3","itemData":{"DOI":"10.1038/nnano.2012.207","ISBN":"1748-3395 (Electronic)\\r1748-3387 (Linking)","ISSN":"17483395","PMID":"23212421","abstract":"The search for understanding the interactions of nanosized materials with living organisms is leading to the rapid development of key applications, including improved drug delivery by targeting nanoparticles, and resolution of the potential threat of nanotechnological devices to organisms and the environment. Unless they are specifically designed to avoid it, nanoparticles in contact with biological fluids are rapidly covered by a selected group of biomolecules to form a corona that interacts with biological systems. Here we review the basic concept of the nanoparticle corona and its structure and composition, and highlight how the properties of the corona may be linked to its biological impacts. We conclude with a critical assessment of the key problems that need to be resolved in the near future.","author":[{"dropping-particle":"","family":"Monopoli","given":"Marco P.","non-dropping-particle":"","parse-names":false,"suffix":""},{"dropping-particle":"","family":"Åberg","given":"Christoffer","non-dropping-particle":"","parse-names":false,"suffix":""},{"dropping-particle":"","family":"Salvati","given":"Anna","non-dropping-particle":"","parse-names":false,"suffix":""},{"dropping-particle":"","family":"Dawson","given":"Kenneth A.","non-dropping-particle":"","parse-names":false,"suffix":""}],"container-title":"Nature Nanotechnology","id":"ITEM-3","issue":"12","issued":{"date-parts":[["2012"]]},"page":"779-786","title":"Biomolecular coronas provide the biological identity of nanosized materials","type":"article-journal","volume":"7"},"uris":["http://www.mendeley.com/documents/?uuid=f37fb37a-7e3c-4a31-9fff-b1fcc2fb1896"]}],"mendeley":{"formattedCitation":"&lt;sup&gt;26–28&lt;/sup&gt;","plainTextFormattedCitation":"26–28","previouslyFormattedCitation":"&lt;sup&gt;26–28&lt;/sup&gt;"},"properties":{"noteIndex":0},"schema":"https://github.com/citation-style-language/schema/raw/master/csl-citation.json"}</w:instrText>
      </w:r>
      <w:r w:rsidR="00587D17" w:rsidRPr="008E5B32">
        <w:rPr>
          <w:lang w:val="en-GB"/>
        </w:rPr>
        <w:fldChar w:fldCharType="separate"/>
      </w:r>
      <w:r w:rsidR="005D1733" w:rsidRPr="008E5B32">
        <w:rPr>
          <w:noProof/>
          <w:vertAlign w:val="superscript"/>
          <w:lang w:val="en-GB"/>
        </w:rPr>
        <w:t>26–28</w:t>
      </w:r>
      <w:r w:rsidR="00587D17" w:rsidRPr="008E5B32">
        <w:rPr>
          <w:lang w:val="en-GB"/>
        </w:rPr>
        <w:fldChar w:fldCharType="end"/>
      </w:r>
      <w:r w:rsidR="00317197" w:rsidRPr="008E5B32">
        <w:rPr>
          <w:lang w:val="en-GB"/>
        </w:rPr>
        <w:t xml:space="preserve"> and omics descriptors </w:t>
      </w:r>
      <w:r w:rsidR="00317197" w:rsidRPr="008E5B32">
        <w:rPr>
          <w:lang w:val="en-GB"/>
        </w:rPr>
        <w:fldChar w:fldCharType="begin" w:fldLock="1"/>
      </w:r>
      <w:r w:rsidR="00317197" w:rsidRPr="008E5B32">
        <w:rPr>
          <w:lang w:val="en-GB"/>
        </w:rPr>
        <w:instrText>ADDIN CSL_CITATION {"citationItems":[{"id":"ITEM-1","itemData":{"DOI":"10.1002/smtd.201700139","ISSN":"23669608","author":[{"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Small Methods","id":"ITEM-1","issue":"11","issued":{"date-parts":[["2017","11","1"]]},"page":"1700139","publisher":"Wiley-Blackwell","title":"Enriching Nanomaterials Omics Data: An Integration Technique to Generate Biological Descriptors","type":"article-journal","volume":"1"},"uris":["http://www.mendeley.com/documents/?uuid=e9951234-ce45-3b4f-8478-d4deab2ce38a","http://www.mendeley.com/documents/?uuid=47d9dc93-8521-4537-9b21-2f2644b00e5d"]}],"mendeley":{"formattedCitation":"&lt;sup&gt;29&lt;/sup&gt;","plainTextFormattedCitation":"29","previouslyFormattedCitation":"&lt;sup&gt;29&lt;/sup&gt;"},"properties":{"noteIndex":0},"schema":"https://github.com/citation-style-language/schema/raw/master/csl-citation.json"}</w:instrText>
      </w:r>
      <w:r w:rsidR="00317197" w:rsidRPr="008E5B32">
        <w:rPr>
          <w:lang w:val="en-GB"/>
        </w:rPr>
        <w:fldChar w:fldCharType="separate"/>
      </w:r>
      <w:r w:rsidR="00317197" w:rsidRPr="008E5B32">
        <w:rPr>
          <w:noProof/>
          <w:vertAlign w:val="superscript"/>
          <w:lang w:val="en-GB"/>
        </w:rPr>
        <w:t>29</w:t>
      </w:r>
      <w:r w:rsidR="00317197" w:rsidRPr="008E5B32">
        <w:rPr>
          <w:lang w:val="en-GB"/>
        </w:rPr>
        <w:fldChar w:fldCharType="end"/>
      </w:r>
      <w:r w:rsidR="00317197" w:rsidRPr="008E5B32">
        <w:rPr>
          <w:lang w:val="en-GB"/>
        </w:rPr>
        <w:t>.</w:t>
      </w:r>
    </w:p>
    <w:p w14:paraId="3D7C7DBC" w14:textId="2BC7F5B5" w:rsidR="004535BD" w:rsidRPr="008E5B32" w:rsidRDefault="00D94BE9" w:rsidP="004535BD">
      <w:pPr>
        <w:rPr>
          <w:lang w:val="en-GB"/>
        </w:rPr>
      </w:pPr>
      <w:r w:rsidRPr="008E5B32">
        <w:rPr>
          <w:lang w:val="en-GB"/>
        </w:rPr>
        <w:t xml:space="preserve">It is generally accepted that the difference between (Q)SAR and Grouping for Read-Across approaches lies in the fact that the latter are applied "when a small quantity of data is available", while the former are applied "when more data is available” </w:t>
      </w:r>
      <w:r w:rsidRPr="008E5B32">
        <w:fldChar w:fldCharType="begin" w:fldLock="1"/>
      </w:r>
      <w:r w:rsidR="004C12A8" w:rsidRPr="008E5B32">
        <w:rPr>
          <w:lang w:val="en-GB"/>
        </w:rPr>
        <w:instrText>ADDIN CSL_CITATION {"citationItems":[{"id":"ITEM-1","itemData":{"DOI":"10.1080/1062936X.2013.840679","ISBN":"1062-936X","ISSN":"1062936X","PMID":"24313439","abstract":"Nowadays nanotechnology is one of the most promising areas of science. The number and quantity of synthesized nanomaterials increase exponentially, therefore it is reasonable to expect that comprehensive risk assessment based only on empirical testing of all novel engineered nanoparticles (NPs) will very soon become impossible. Hence, the development of computational methods complementary to experimentation is very important. Quantitative structure-property relationship (QSPR) and quantitative structure-activity relationship (QSAR) models widely used in pharmaceutical chemistry and environmental science can also be modified and adopted for nanotechnology to predict physico-chemical properties and toxicity of empirically untested nanomaterials. All QSPR/QSAR modelling activities are based on experimentally derived data. It is important that, within a given data set, all values should be consistent, of high quality and measured according to a standardized protocol. Unfortunately, the amount of such data available for engineered nanoparticles in various data sources (i.e. databases and the literature) is very limited and seldom measured with a standardized protocol. Therefore, we have proposed a framework for collecting and evaluating the existing data, with the focus on possible applications for computational evaluation of properties and biological activities of nanomaterials.","author":[{"dropping-particle":"","family":"Lubinski","given":"L.","non-dropping-particle":"","parse-names":false,"suffix":""},{"dropping-particle":"","family":"Urbaszek","given":"P.","non-dropping-particle":"","parse-names":false,"suffix":""},{"dropping-particle":"","family":"Gajewicz","given":"A.","non-dropping-particle":"","parse-names":false,"suffix":""},{"dropping-particle":"","family":"Cronin","given":"M. T.D.","non-dropping-particle":"","parse-names":false,"suffix":""},{"dropping-particle":"","family":"Enoch","given":"S. J.","non-dropping-particle":"","parse-names":false,"suffix":""},{"dropping-particle":"","family":"Madden","given":"J. C.","non-dropping-particle":"","parse-names":false,"suffix":""},{"dropping-particle":"","family":"Leszczynska","given":"D.","non-dropping-particle":"","parse-names":false,"suffix":""},{"dropping-particle":"","family":"Leszczynski","given":"J.","non-dropping-particle":"","parse-names":false,"suffix":""},{"dropping-particle":"","family":"Puzyn","given":"T.","non-dropping-particle":"","parse-names":false,"suffix":""}],"container-title":"SAR and QSAR in Environmental Research","id":"ITEM-1","issued":{"date-parts":[["2013"]]},"title":"Evaluation criteria for the quality of published experimental data on nanomaterials and their usefulness for QSAR modelling","type":"article-journal"},"uris":["http://www.mendeley.com/documents/?uuid=39130353-d889-4532-9088-7c97a2c8c047","http://www.mendeley.com/documents/?uuid=582f069a-a5e4-4ef6-9477-702a1f868ece"]},{"id":"ITEM-2","itemData":{"DOI":"10.1039/c6en00399k","ISSN":"20518161","abstract":"The number and variety of engineered nanoparticles have been growing exponentially. Since the experimental evaluation of nanoparticles causing public health concerns is expensive and time consuming, efficient computational tools are amongst the most suitable approaches to identifying potential negative impacts, to the human health and the environment, of new nanomaterials before their production. However, developing computational models complimentary to experiments is impossible without incorporating consistent and high quality experimental data. Although there are limited available data in the literature, one may apply read-across techniques that seem to be an attractive and pragmatic alternative way of predicting missing physico-chemical or toxicological data. Unfortunately, the existing methods of read-across are strongly dependent on the expert's knowledge. In consequence, the results of estimations may vary dependently on personal experience of expert conducting the study and as such cannot guarantee the reproducibility of their results. Therefore, it is essential to develop novel read-across algorithm(s) that will provide reliable predictions of the missing data without the need to for additional experiments. We proposed a novel quantitative read-across approach for nanomaterials (Nano-QRA) that addresses and overcomes a basic limitation of existing methods. It is based on: one-point-slope, two-point formula, or the equation of a plane passing through three points. The proposed Nano-QRA approach is a simple and effective algorithm for filling data gaps in quantitative manner providing reliable predictions of the missing data.","author":[{"dropping-particle":"","family":"Gajewicz","given":"A.","non-dropping-particle":"","parse-names":false,"suffix":""},{"dropping-particle":"","family":"Jagiello","given":"K.","non-dropping-particle":"","parse-names":false,"suffix":""},{"dropping-particle":"","family":"Cronin","given":"M. T.D.","non-dropping-particle":"","parse-names":false,"suffix":""},{"dropping-particle":"","family":"Leszczynski","given":"J.","non-dropping-particle":"","parse-names":false,"suffix":""},{"dropping-particle":"","family":"Puzyn","given":"T.","non-dropping-particle":"","parse-names":false,"suffix":""}],"container-title":"Environmental Science: Nano","id":"ITEM-2","issued":{"date-parts":[["2017"]]},"title":"Addressing a bottle neck for regulation of nanomaterials: quantitative read-across (Nano-QRA) algorithm for cases when only limited data is available","type":"article-journal"},"uris":["http://www.mendeley.com/documents/?uuid=a2ed730d-925f-4aa8-982a-66f9fc4ee42d"]},{"id":"ITEM-3","itemData":{"DOI":"10.1088/0957-4484/26/1/015701","ISBN":"0957-4484","ISSN":"13616528","PMID":"25473798","abstract":"Creating suitable chemical categories and developing read-across methods, supported by quantum mechanical calculations, can be an effective solution to solving key problems related to current scarcity of data on the toxicity of various nanoparticles. This study has demonstrated that by applying a nano-read-across, the cytotoxicity of nano-sized metal oxides could be estimated with a similar level of accuracy as provided by quantitative structure-activity relationship for nanomaterials (nano-QSAR model(s)). The method presented is a suitable computational tool for the preliminary hazard assessment of nanomaterials. It also could be used for the identification of nanomaterials that may pose potential negative impact to human health and the environment. Such approaches are especially necessary when there is paucity of relevant and reliable data points to develop and validate nano-QSAR models.","author":[{"dropping-particle":"","family":"Gajewicz","given":"Agnieszka","non-dropping-particle":"","parse-names":false,"suffix":""},{"dropping-particle":"","family":"Cronin","given":"Mark T.D.","non-dropping-particle":"","parse-names":false,"suffix":""},{"dropping-particle":"","family":"Rasulev","given":"Bakhtiyor","non-dropping-particle":"","parse-names":false,"suffix":""},{"dropping-particle":"","family":"Leszczynski","given":"Jerzy","non-dropping-particle":"","parse-names":false,"suffix":""},{"dropping-particle":"","family":"Puzyn","given":"Tomasz","non-dropping-particle":"","parse-names":false,"suffix":""}],"container-title":"Nanotechnology","id":"ITEM-3","issue":"1","issued":{"date-parts":[["2015"]]},"title":"Novel approach for efficient predictions properties of large pool of nanomaterials based on limited set of species: Nano-read-across","type":"article-journal","volume":"26"},"uris":["http://www.mendeley.com/documents/?uuid=c813faf0-b149-47df-8105-408c98398069"]}],"mendeley":{"formattedCitation":"&lt;sup&gt;30–32&lt;/sup&gt;","plainTextFormattedCitation":"30–32","previouslyFormattedCitation":"&lt;sup&gt;30–32&lt;/sup&gt;"},"properties":{"noteIndex":0},"schema":"https://github.com/citation-style-language/schema/raw/master/csl-citation.json"}</w:instrText>
      </w:r>
      <w:r w:rsidRPr="008E5B32">
        <w:fldChar w:fldCharType="separate"/>
      </w:r>
      <w:r w:rsidR="005D1733" w:rsidRPr="008E5B32">
        <w:rPr>
          <w:noProof/>
          <w:vertAlign w:val="superscript"/>
          <w:lang w:val="en-GB"/>
        </w:rPr>
        <w:t>30–32</w:t>
      </w:r>
      <w:r w:rsidRPr="008E5B32">
        <w:fldChar w:fldCharType="end"/>
      </w:r>
      <w:r w:rsidRPr="008E5B32">
        <w:rPr>
          <w:lang w:val="en-GB"/>
        </w:rPr>
        <w:t>. The difference between (Q)SARs and Read-Across approaches relies indeed in the fact that in the latter the endpoint information is inferred using data on the same endpoint from other (similar) substances, while in (Q)SARs the prediction is based on a model derived from the chemical structure or relevant nanospecific descriptors. The need for larger datasets for (Q)SARs is indeed a consequence to the fact that, in general, it is harder to build a relevant and predictive model when the available samples are limited in number.</w:t>
      </w:r>
      <w:r w:rsidR="004535BD" w:rsidRPr="008E5B32">
        <w:rPr>
          <w:lang w:val="en-GB"/>
        </w:rPr>
        <w:t xml:space="preserve"> </w:t>
      </w:r>
    </w:p>
    <w:p w14:paraId="7F851703" w14:textId="01B81409" w:rsidR="009D13F9" w:rsidRPr="008E5B32" w:rsidRDefault="009F66A6" w:rsidP="00214806">
      <w:pPr>
        <w:rPr>
          <w:lang w:val="en-GB"/>
        </w:rPr>
      </w:pPr>
      <w:r w:rsidRPr="008E5B32">
        <w:rPr>
          <w:lang w:val="en-GB"/>
        </w:rPr>
        <w:t>The use of</w:t>
      </w:r>
      <w:r w:rsidR="00296616" w:rsidRPr="008E5B32">
        <w:rPr>
          <w:lang w:val="en-GB"/>
        </w:rPr>
        <w:t xml:space="preserve"> (Q)SAR</w:t>
      </w:r>
      <w:r w:rsidRPr="008E5B32">
        <w:rPr>
          <w:lang w:val="en-GB"/>
        </w:rPr>
        <w:t xml:space="preserve">s for the safety assessment of </w:t>
      </w:r>
      <w:r w:rsidR="00296616" w:rsidRPr="008E5B32">
        <w:rPr>
          <w:lang w:val="en-GB"/>
        </w:rPr>
        <w:t>NMs</w:t>
      </w:r>
      <w:r w:rsidRPr="008E5B32">
        <w:rPr>
          <w:lang w:val="en-GB"/>
        </w:rPr>
        <w:t xml:space="preserve"> </w:t>
      </w:r>
      <w:r w:rsidR="00E70085" w:rsidRPr="008E5B32">
        <w:rPr>
          <w:lang w:val="en-GB"/>
        </w:rPr>
        <w:t xml:space="preserve">in general </w:t>
      </w:r>
      <w:r w:rsidRPr="008E5B32">
        <w:rPr>
          <w:lang w:val="en-GB"/>
        </w:rPr>
        <w:t xml:space="preserve">has been </w:t>
      </w:r>
      <w:r w:rsidR="00E70085" w:rsidRPr="008E5B32">
        <w:rPr>
          <w:lang w:val="en-GB"/>
        </w:rPr>
        <w:t xml:space="preserve">previously </w:t>
      </w:r>
      <w:r w:rsidRPr="008E5B32">
        <w:rPr>
          <w:lang w:val="en-GB"/>
        </w:rPr>
        <w:t>reviewed</w:t>
      </w:r>
      <w:r w:rsidR="00E70085" w:rsidRPr="008E5B32">
        <w:rPr>
          <w:lang w:val="en-GB"/>
        </w:rPr>
        <w:t>, but not in the specific context of Grouping and Read-Across</w:t>
      </w:r>
      <w:r w:rsidR="00296616" w:rsidRPr="008E5B32">
        <w:rPr>
          <w:lang w:val="en-GB"/>
        </w:rPr>
        <w:t xml:space="preserve">. </w:t>
      </w:r>
      <w:r w:rsidR="00A31DCA" w:rsidRPr="008E5B32">
        <w:rPr>
          <w:lang w:val="en-GB"/>
        </w:rPr>
        <w:t xml:space="preserve">Puzyn et al. </w:t>
      </w:r>
      <w:r w:rsidR="00380001" w:rsidRPr="008E5B32">
        <w:rPr>
          <w:lang w:val="en-GB"/>
        </w:rPr>
        <w:t>(</w:t>
      </w:r>
      <w:r w:rsidR="00A31DCA" w:rsidRPr="008E5B32">
        <w:rPr>
          <w:lang w:val="en-GB"/>
        </w:rPr>
        <w:t>2009</w:t>
      </w:r>
      <w:r w:rsidR="00380001" w:rsidRPr="008E5B32">
        <w:rPr>
          <w:lang w:val="en-GB"/>
        </w:rPr>
        <w:t xml:space="preserve">) were the first to discuss the role of </w:t>
      </w:r>
      <w:r w:rsidR="00380001" w:rsidRPr="008E5B32">
        <w:rPr>
          <w:i/>
          <w:lang w:val="en-GB"/>
        </w:rPr>
        <w:t>in silico</w:t>
      </w:r>
      <w:r w:rsidR="00380001" w:rsidRPr="008E5B32">
        <w:rPr>
          <w:lang w:val="en-GB"/>
        </w:rPr>
        <w:t xml:space="preserve"> models for predicting the hazard of NMs</w:t>
      </w:r>
      <w:r w:rsidR="006670A6" w:rsidRPr="008E5B32">
        <w:rPr>
          <w:lang w:val="en-GB"/>
        </w:rPr>
        <w:t xml:space="preserve"> </w:t>
      </w:r>
      <w:r w:rsidR="00A31DCA" w:rsidRPr="008E5B32">
        <w:fldChar w:fldCharType="begin" w:fldLock="1"/>
      </w:r>
      <w:r w:rsidR="004C12A8" w:rsidRPr="008E5B32">
        <w:rPr>
          <w:lang w:val="en-GB"/>
        </w:rPr>
        <w:instrText>ADDIN CSL_CITATION {"citationItems":[{"id":"ITEM-1","itemData":{"DOI":"10.1002/smll.200900179","ISBN":"1613-6810","ISSN":"16136810","PMID":"19787675","abstract":"The most significant achievements and challenges relating to an application of quantitative structure-activity relationship (QSAR) approach in the risk assessment of nanometer-sized materials are highlighted. Recent advances are discussed in the context of \"classical\" QSAR methodology. The possible ways for the structural characterization of compounds existing at the nanoscale (at least one dimension of 100 nm or less) are briefly reviewed. The applicability ofthe existing toxicological data for developing QSAR models is evaluated. Finally, the existing models are presented. The need to develop new interpretative descriptors for the nanosystems is also highlighted. It is suggested that, due to high variability in the molecular structures and different mechanisms of toxicity, individual classes of nanoparticles should be modeled separately. © 2009 Wiley-VCH Verlag GmbH &amp; Co. KGaA.","author":[{"dropping-particle":"","family":"Puzyn","given":"Tomasz","non-dropping-particle":"","parse-names":false,"suffix":""},{"dropping-particle":"","family":"Leszczynska","given":"Danuta","non-dropping-particle":"","parse-names":false,"suffix":""},{"dropping-particle":"","family":"Leszczynski","given":"Jerzy","non-dropping-particle":"","parse-names":false,"suffix":""}],"container-title":"Small","id":"ITEM-1","issue":"22","issued":{"date-parts":[["2009"]]},"page":"2494-2509","title":"Toward the development of \"Nano-QSARs\": Advances and challenges","type":"article","volume":"5"},"uris":["http://www.mendeley.com/documents/?uuid=b0a7f650-59b4-48a6-a65a-0cfaf4697a80"]}],"mendeley":{"formattedCitation":"&lt;sup&gt;33&lt;/sup&gt;","plainTextFormattedCitation":"33","previouslyFormattedCitation":"&lt;sup&gt;33&lt;/sup&gt;"},"properties":{"noteIndex":0},"schema":"https://github.com/citation-style-language/schema/raw/master/csl-citation.json"}</w:instrText>
      </w:r>
      <w:r w:rsidR="00A31DCA" w:rsidRPr="008E5B32">
        <w:fldChar w:fldCharType="separate"/>
      </w:r>
      <w:r w:rsidR="005D1733" w:rsidRPr="008E5B32">
        <w:rPr>
          <w:noProof/>
          <w:vertAlign w:val="superscript"/>
          <w:lang w:val="en-GB"/>
        </w:rPr>
        <w:t>33</w:t>
      </w:r>
      <w:r w:rsidR="00A31DCA" w:rsidRPr="008E5B32">
        <w:fldChar w:fldCharType="end"/>
      </w:r>
      <w:r w:rsidR="001B1F4C" w:rsidRPr="008E5B32">
        <w:rPr>
          <w:lang w:val="en-GB"/>
        </w:rPr>
        <w:t xml:space="preserve">, followed by Winkler et al. </w:t>
      </w:r>
      <w:r w:rsidR="001B1F4C" w:rsidRPr="008E5B32">
        <w:t>(2013)</w:t>
      </w:r>
      <w:r w:rsidR="001B1F4C" w:rsidRPr="008E5B32">
        <w:rPr>
          <w:lang w:val="en-GB"/>
        </w:rPr>
        <w:t xml:space="preserve"> who provided an overview on the existing methods</w:t>
      </w:r>
      <w:r w:rsidR="00EF4FBC" w:rsidRPr="008E5B32">
        <w:t xml:space="preserve"> </w:t>
      </w:r>
      <w:r w:rsidR="00EF4FBC" w:rsidRPr="008E5B32">
        <w:fldChar w:fldCharType="begin" w:fldLock="1"/>
      </w:r>
      <w:r w:rsidR="004C12A8" w:rsidRPr="008E5B32">
        <w:instrText>ADDIN CSL_CITATION {"citationItems":[{"id":"ITEM-1","itemData":{"DOI":"10.1016/j.tox.2012.11.005","ISBN":"0300-483X","ISSN":"0300483X","PMID":"23165187","abstract":"The potential (eco)toxicological hazard posed by engineered nanoparticles is a major scientific and societal concern since several industrial sectors ( e.g. electronics, biomedicine, and cosmetics) are exploiting the innovative properties of nanostructures resulting in their large-scale production. Many consumer products contain nanomaterials and, given their complex life-cycle, it is essential to anticipate their (eco)toxicological properties in a fast and inexpensive way in order to mitigate adverse effects on human health and the environment. In this context, the application of the structure-toxicity paradigm to nanomaterials represents a promising approach. Indeed, according to this paradigm, it is possible to predict toxicological effects induced by chemicals on the basis of their structural similarity with chemicals for which toxicological endpoints have been previously measured. These structure-toxicity relationships can be quantitative or qualitative in nature and they can predict toxicological effects directly from the physicochemical properties of the entities ( e.g. nanoparticles) of interest. Therefore, this approach can aid in prioritizing resources in toxicological investigations while reducing the ethical and monetary costs that are related to animal testing. The purpose of this review is to provide a summary of recent key advances in the field of QSAR modelling of nanomaterial toxicity, to identify the major gaps in research required to accelerate the use of quantitative structure-activity relationship (QSAR) methods, and to provide a roadmap for future research needed to achieve QSAR models useful for regulatory purposes.</w:instrText>
      </w:r>
      <w:r w:rsidR="004C12A8" w:rsidRPr="008E5B32">
        <w:rPr>
          <w:lang w:val="en-US"/>
        </w:rPr>
        <w:instrText xml:space="preserve"> © 2012 Elsevier Ireland Ltd.","author":[{"dropping-particle":"","family":"Winkler","given":"David A.","non-dropping-particle":"","parse-names":false,"suffix":""},{"dropping-particle":"","family":"Mombelli","given":"Enrico","non-dropping-particle":"","parse-names":false,"suffix":""},{"dropping-particle":"","family":"Pietroiusti","given":"Antonio","non-dropping-particle":"","parse-names":false,"suffix":""},{"dropping-particle":"","family":"Tran","given":"Lang","non-dropping-particle":"","parse-names":false,"suffix":""},{"dropping-particle":"","family":"Worth","given":"Andrew","non-dropping-particle":"","parse-names":false,"suffix":""},{"dropping-particle":"","family":"Fadeel","given":"Bengt","non-dropping-particle":"","parse-names":false,"suffix":""},{"dropping-particle":"","family":"McCall","given":"Maxine J.","non-dropping-particle":"","parse-names":false,"suffix":""}],"container-title":"Toxicology","id":"ITEM-1","issue":"1","issued":{"date-parts":[["2013"]]},"page":"15-23","title":"Applying quantitative structure-activity relationship approaches to nanotoxicology: Current status and future potential","type":"article-journal","volume":"313"},"uris":["http://www.mendeley.com/documents/?uuid=21208bb4-da4f-4539-9d1a-bb47cd7ca4c2"]}],"mendeley":{"formattedCitation":"&lt;sup&gt;24&lt;/sup&gt;","plainTextFormattedCitation":"24","previouslyFormattedCitation":"&lt;sup&gt;24&lt;/sup&gt;"},"properties":{"noteIndex":0},"schema":"https://github.com/citation-style-language/schema/raw/master/csl-citation.json"}</w:instrText>
      </w:r>
      <w:r w:rsidR="00EF4FBC" w:rsidRPr="008E5B32">
        <w:fldChar w:fldCharType="separate"/>
      </w:r>
      <w:r w:rsidR="005D1733" w:rsidRPr="008E5B32">
        <w:rPr>
          <w:noProof/>
          <w:vertAlign w:val="superscript"/>
          <w:lang w:val="en-GB"/>
        </w:rPr>
        <w:t>24</w:t>
      </w:r>
      <w:r w:rsidR="00EF4FBC" w:rsidRPr="008E5B32">
        <w:fldChar w:fldCharType="end"/>
      </w:r>
      <w:r w:rsidR="00A31DCA" w:rsidRPr="008E5B32">
        <w:rPr>
          <w:lang w:val="en-GB"/>
        </w:rPr>
        <w:t xml:space="preserve">. More </w:t>
      </w:r>
      <w:r w:rsidR="0012193E" w:rsidRPr="008E5B32">
        <w:rPr>
          <w:lang w:val="en-GB"/>
        </w:rPr>
        <w:t>recently,</w:t>
      </w:r>
      <w:r w:rsidR="00A31DCA" w:rsidRPr="008E5B32">
        <w:rPr>
          <w:lang w:val="en-GB"/>
        </w:rPr>
        <w:t xml:space="preserve"> Tantra et al. </w:t>
      </w:r>
      <w:r w:rsidR="002E2411" w:rsidRPr="008E5B32">
        <w:rPr>
          <w:lang w:val="en-GB"/>
        </w:rPr>
        <w:t xml:space="preserve">(2015) </w:t>
      </w:r>
      <w:r w:rsidR="00A31DCA" w:rsidRPr="008E5B32">
        <w:rPr>
          <w:lang w:val="en-GB"/>
        </w:rPr>
        <w:t>investigat</w:t>
      </w:r>
      <w:r w:rsidR="00380001" w:rsidRPr="008E5B32">
        <w:rPr>
          <w:lang w:val="en-GB"/>
        </w:rPr>
        <w:t>ed</w:t>
      </w:r>
      <w:r w:rsidR="00A31DCA" w:rsidRPr="008E5B32">
        <w:rPr>
          <w:lang w:val="en-GB"/>
        </w:rPr>
        <w:t xml:space="preserve"> </w:t>
      </w:r>
      <w:r w:rsidR="00380001" w:rsidRPr="008E5B32">
        <w:rPr>
          <w:lang w:val="en-GB"/>
        </w:rPr>
        <w:t>the</w:t>
      </w:r>
      <w:r w:rsidR="00A31DCA" w:rsidRPr="008E5B32">
        <w:rPr>
          <w:lang w:val="en-GB"/>
        </w:rPr>
        <w:t xml:space="preserve"> </w:t>
      </w:r>
      <w:r w:rsidR="00380001" w:rsidRPr="008E5B32">
        <w:rPr>
          <w:lang w:val="en-GB"/>
        </w:rPr>
        <w:t xml:space="preserve">theoretical and experimental </w:t>
      </w:r>
      <w:r w:rsidR="00A31DCA" w:rsidRPr="008E5B32">
        <w:rPr>
          <w:lang w:val="en-GB"/>
        </w:rPr>
        <w:t xml:space="preserve">descriptors adopted to train </w:t>
      </w:r>
      <w:r w:rsidR="00E70085" w:rsidRPr="008E5B32">
        <w:rPr>
          <w:lang w:val="en-GB"/>
        </w:rPr>
        <w:t xml:space="preserve">(Q)SAR </w:t>
      </w:r>
      <w:r w:rsidR="00A31DCA" w:rsidRPr="008E5B32">
        <w:rPr>
          <w:lang w:val="en-GB"/>
        </w:rPr>
        <w:t xml:space="preserve">models </w:t>
      </w:r>
      <w:r w:rsidR="00A31DCA" w:rsidRPr="008E5B32">
        <w:fldChar w:fldCharType="begin" w:fldLock="1"/>
      </w:r>
      <w:r w:rsidR="004C12A8" w:rsidRPr="008E5B32">
        <w:rPr>
          <w:lang w:val="en-GB"/>
        </w:rPr>
        <w:instrText>ADDIN CSL_CITATION {"citationItems":[{"id":"ITEM-1","itemData":{"DOI":"10.3109/17435390.2014.952698","ISSN":"17435404","PMID":"25211549","abstract":"Regulation for nanomaterials is urgently needed, and the drive to adopt an intelligent testing strategy is evident. Such a strategy will not only provide economic benefits but will also reduce moral and ethical concerns arising from animal testing. For regulatory purposes, such an approach is promoted by REACH, particularly the use of quantitative structure-activity relationships [(Q)SAR] as a tool for the categorisation of compounds according to their physicochemical and toxicological properties. In addition to compounds, (Q)SAR has also been applied to nanomaterials in the form of nano(Q)SAR. Although (Q)SAR in chemicals is well established, nano(Q)SAR is still in early stages of development and its successful uptake is far from reality. This article aims to identify some of the pitfalls and challenges associated with nano-(Q)SARs in relation to the categorisation of nanomaterials. Our findings show clear gaps in the research framework that must be addressed if we are to have reliable predictions from such models. Three major barriers were identified: the need to improve quality of experimental data in which the models are developed from, the need to have practical guidelines for the development of the nano(Q)SAR models and the need to standardise and harmonise activities for the purpose of regulation. Of these three, the first, i.e. the need to improve data quality requires immediate attention, as it underpins activities associated with the latter two. It should be noted that the usefulness of data in the context of nano-(Q)SAR modelling is not only about the quantity of data but also about the quality, consistency and accessibility of those data. © 2014 Informa UK Ltd. All rights reserved: reproduction in whole or part not permitted.","author":[{"dropping-particle":"","family":"Tantra","given":"Ratna","non-dropping-particle":"","parse-names":false,"suffix":""},{"dropping-particle":"","family":"Oksel","given":"Ceyda","non-dropping-particle":"","parse-names":false,"suffix":""},{"dropping-particle":"","family":"Puzyn","given":"Tomasz","non-dropping-particle":"","parse-names":false,"suffix":""},{"dropping-particle":"","family":"Wang","given":"Jian","non-dropping-particle":"","parse-names":false,"suffix":""},{"dropping-particle":"","family":"Robinson","given":"Kenneth N.","non-dropping-particle":"","parse-names":false,"suffix":""},{"dropping-particle":"","family":"Wang","given":"Xue Z.","non-dropping-particle":"","parse-names":false,"suffix":""},{"dropping-particle":"","family":"Ma","given":"Cai Y.","non-dropping-particle":"","parse-names":false,"suffix":""},{"dropping-particle":"","family":"Wilkins","given":"Terry","non-dropping-particle":"","parse-names":false,"suffix":""}],"container-title":"Nanotoxicology","id":"ITEM-1","issue":"5","issued":{"date-parts":[["2015"]]},"page":"636-642","title":"Nano(Q)SAR: Challenges, pitfalls and perspectives","type":"article-journal","volume":"9"},"uris":["http://www.mendeley.com/documents/?uuid=a04baff3-0e5f-483a-a9e5-26220198e240"]}],"mendeley":{"formattedCitation":"&lt;sup&gt;34&lt;/sup&gt;","plainTextFormattedCitation":"34","previouslyFormattedCitation":"&lt;sup&gt;34&lt;/sup&gt;"},"properties":{"noteIndex":0},"schema":"https://github.com/citation-style-language/schema/raw/master/csl-citation.json"}</w:instrText>
      </w:r>
      <w:r w:rsidR="00A31DCA" w:rsidRPr="008E5B32">
        <w:fldChar w:fldCharType="separate"/>
      </w:r>
      <w:r w:rsidR="005D1733" w:rsidRPr="008E5B32">
        <w:rPr>
          <w:noProof/>
          <w:vertAlign w:val="superscript"/>
          <w:lang w:val="en-GB"/>
        </w:rPr>
        <w:t>34</w:t>
      </w:r>
      <w:r w:rsidR="00A31DCA" w:rsidRPr="008E5B32">
        <w:fldChar w:fldCharType="end"/>
      </w:r>
      <w:r w:rsidR="00A31DCA" w:rsidRPr="008E5B32">
        <w:rPr>
          <w:lang w:val="en-GB"/>
        </w:rPr>
        <w:t xml:space="preserve">, while Oksel et al. </w:t>
      </w:r>
      <w:r w:rsidR="002E2411" w:rsidRPr="008E5B32">
        <w:rPr>
          <w:lang w:val="en-GB"/>
        </w:rPr>
        <w:t>(2015</w:t>
      </w:r>
      <w:r w:rsidR="0012193E" w:rsidRPr="008E5B32">
        <w:rPr>
          <w:lang w:val="en-GB"/>
        </w:rPr>
        <w:t>,</w:t>
      </w:r>
      <w:r w:rsidR="002E2411" w:rsidRPr="008E5B32">
        <w:rPr>
          <w:lang w:val="en-GB"/>
        </w:rPr>
        <w:t xml:space="preserve">2017) </w:t>
      </w:r>
      <w:r w:rsidR="00A31DCA" w:rsidRPr="008E5B32">
        <w:rPr>
          <w:lang w:val="en-GB"/>
        </w:rPr>
        <w:t>highlight</w:t>
      </w:r>
      <w:r w:rsidR="00380001" w:rsidRPr="008E5B32">
        <w:rPr>
          <w:lang w:val="en-GB"/>
        </w:rPr>
        <w:t>ed</w:t>
      </w:r>
      <w:r w:rsidR="00A31DCA" w:rsidRPr="008E5B32">
        <w:rPr>
          <w:lang w:val="en-GB"/>
        </w:rPr>
        <w:t xml:space="preserve"> </w:t>
      </w:r>
      <w:r w:rsidR="00380001" w:rsidRPr="008E5B32">
        <w:rPr>
          <w:lang w:val="en-GB"/>
        </w:rPr>
        <w:t xml:space="preserve">additional descriptors and </w:t>
      </w:r>
      <w:r w:rsidR="00A31DCA" w:rsidRPr="008E5B32">
        <w:rPr>
          <w:lang w:val="en-GB"/>
        </w:rPr>
        <w:t>endpoints</w:t>
      </w:r>
      <w:r w:rsidR="00E70085" w:rsidRPr="008E5B32">
        <w:rPr>
          <w:lang w:val="en-GB"/>
        </w:rPr>
        <w:t xml:space="preserve"> for </w:t>
      </w:r>
      <w:r w:rsidR="00E70085" w:rsidRPr="008E5B32">
        <w:rPr>
          <w:i/>
          <w:lang w:val="en-GB"/>
        </w:rPr>
        <w:t>in silico</w:t>
      </w:r>
      <w:r w:rsidR="00E70085" w:rsidRPr="008E5B32">
        <w:rPr>
          <w:lang w:val="en-GB"/>
        </w:rPr>
        <w:t xml:space="preserve"> modelling</w:t>
      </w:r>
      <w:r w:rsidR="00A31DCA" w:rsidRPr="008E5B32">
        <w:rPr>
          <w:lang w:val="en-GB"/>
        </w:rPr>
        <w:t xml:space="preserve"> </w:t>
      </w:r>
      <w:r w:rsidR="00A31DCA" w:rsidRPr="008E5B32">
        <w:fldChar w:fldCharType="begin" w:fldLock="1"/>
      </w:r>
      <w:r w:rsidR="004C12A8" w:rsidRPr="008E5B32">
        <w:rPr>
          <w:lang w:val="en-GB"/>
        </w:rPr>
        <w:instrText>ADDIN CSL_CITATION {"citationItems":[{"id":"ITEM-1","itemData":{"DOI":"10.1007/978-3-319-47754-1_5","ISSN":"22148019","abstract":"There is increasing recognition that some nanomaterials may pose a risk to human health and the environment. Moreover, the industrial use of the novel engineered nanomaterials (ENMs) increases at a higher rate than data generation for hazard assessment; consequently, many of them remain untested. The large number of nanomaterials and their variants (e.g.; different sizes and coatings) requiring testing and the ethical pressure towards nonanimal testing means that in a first instance, expensive animal bioassays are precluded, and the use of (quantitative) structure-activity relationships ((Q)SARs) models as an alternative source of (screening) hazard information should be explored. (Q)SAR modelling can be applied to contribute towards filling important knowledge gaps by making best use of existing data, prioritizing the physicochemical parameters driving toxicity, and providing practical solutions for the risk assessment problems caused by the diversity of ENMs. This paper covers the core components required for successful application of (Q)SAR methods to ENM toxicity prediction, summarizes the published nano-(Q)SAR studies, and outlines the challenges ahead for nano-(Q)SAR modelling. It provides a critical review of (1) the present availability of ENM characterization/toxicity data, (2) the characterization of nanostructures that meet the requirements for (Q)SAR analysis, (3) published nano-(Q)SAR studies and their limitations, (4) in silico tools for (Q)SAR screening of nanotoxicity, and (5) prospective directions for the development of nano-(Q)SAR models.","author":[{"dropping-particle":"","family":"Oksel","given":"Ceyda","non-dropping-particle":"","parse-names":false,"suffix":""},{"dropping-particle":"","family":"Ma","given":"Cai Y.","non-dropping-particle":"","parse-names":false,"suffix":""},{"dropping-particle":"","family":"Liu","given":"Jing J.","non-dropping-particle":"","parse-names":false,"suffix":""},{"dropping-particle":"","family":"Wilkins","given":"Terry","non-dropping-particle":"","parse-names":false,"suffix":""},{"dropping-particle":"","family":"Wang","given":"Xue Z.","non-dropping-particle":"","parse-names":false,"suffix":""}],"container-title":"Advances in Experimental Medicine and Biology","id":"ITEM-1","issued":{"date-parts":[["2017"]]},"page":"103-142","title":"Literature review of (Q)SAR modelling of nanomaterial toxicity","type":"chapter","volume":"947"},"uris":["http://www.mendeley.com/documents/?uuid=994c5bf3-740f-409d-bb31-e8ef1ca128a2"]},{"id":"ITEM-2","itemData":{"DOI":"10.1016/j.partic.2014.12.001","ISSN":"16742001","author":[{"dropping-particle":"","family":"Oksel","given":"Ceyda","non-dropping-particle":"","parse-names":false,"suffix":""},{"dropping-particle":"","family":"Ma","given":"Cai Y.","non-dropping-particle":"","parse-names":false,"suffix":""},{"dropping-particle":"","family":"Liu","given":"Jing J.","non-dropping-particle":"","parse-names":false,"suffix":""},{"dropping-particle":"","family":"Wilkins","given":"Terry","non-dropping-particle":"","parse-names":false,"suffix":""},{"dropping-particle":"","family":"Wang","given":"Xue Z.","non-dropping-particle":"","parse-names":false,"suffix":""}],"container-title":"Particuology","id":"ITEM-2","issued":{"date-parts":[["2015","8"]]},"page":"1-19","title":"(Q)SAR modelling of nanomaterial toxicity: A critical review","type":"article-journal","volume":"21"},"uris":["http://www.mendeley.com/documents/?uuid=3a0c9352-5098-341b-900f-6740631de199"]}],"mendeley":{"formattedCitation":"&lt;sup&gt;25,35&lt;/sup&gt;","plainTextFormattedCitation":"25,35","previouslyFormattedCitation":"&lt;sup&gt;25,35&lt;/sup&gt;"},"properties":{"noteIndex":0},"schema":"https://github.com/citation-style-language/schema/raw/master/csl-citation.json"}</w:instrText>
      </w:r>
      <w:r w:rsidR="00A31DCA" w:rsidRPr="008E5B32">
        <w:fldChar w:fldCharType="separate"/>
      </w:r>
      <w:r w:rsidR="005D1733" w:rsidRPr="008E5B32">
        <w:rPr>
          <w:noProof/>
          <w:vertAlign w:val="superscript"/>
          <w:lang w:val="en-GB"/>
        </w:rPr>
        <w:t>25,35</w:t>
      </w:r>
      <w:r w:rsidR="00A31DCA" w:rsidRPr="008E5B32">
        <w:fldChar w:fldCharType="end"/>
      </w:r>
      <w:r w:rsidR="00A31DCA" w:rsidRPr="008E5B32">
        <w:rPr>
          <w:lang w:val="en-GB"/>
        </w:rPr>
        <w:t xml:space="preserve">. Jones et al., </w:t>
      </w:r>
      <w:r w:rsidR="002E2411" w:rsidRPr="008E5B32">
        <w:rPr>
          <w:lang w:val="en-GB"/>
        </w:rPr>
        <w:t xml:space="preserve">(2016) </w:t>
      </w:r>
      <w:r w:rsidR="00E70085" w:rsidRPr="008E5B32">
        <w:rPr>
          <w:lang w:val="en-GB"/>
        </w:rPr>
        <w:t>reviewed</w:t>
      </w:r>
      <w:r w:rsidR="00A31DCA" w:rsidRPr="008E5B32">
        <w:rPr>
          <w:lang w:val="en-GB"/>
        </w:rPr>
        <w:t xml:space="preserve"> the application of data mining and </w:t>
      </w:r>
      <w:r w:rsidR="00FC7A8A" w:rsidRPr="008E5B32">
        <w:rPr>
          <w:lang w:val="en-GB"/>
        </w:rPr>
        <w:t>Machine Learning (</w:t>
      </w:r>
      <w:r w:rsidR="00A31DCA" w:rsidRPr="008E5B32">
        <w:rPr>
          <w:lang w:val="en-GB"/>
        </w:rPr>
        <w:t>ML</w:t>
      </w:r>
      <w:r w:rsidR="00FC7A8A" w:rsidRPr="008E5B32">
        <w:rPr>
          <w:lang w:val="en-GB"/>
        </w:rPr>
        <w:t>)</w:t>
      </w:r>
      <w:r w:rsidR="00A31DCA" w:rsidRPr="008E5B32">
        <w:rPr>
          <w:lang w:val="en-GB"/>
        </w:rPr>
        <w:t xml:space="preserve"> techniques for the prediction of biomedical properties and fate of NMs </w:t>
      </w:r>
      <w:r w:rsidR="00380001" w:rsidRPr="008E5B32">
        <w:rPr>
          <w:lang w:val="en-GB"/>
        </w:rPr>
        <w:t xml:space="preserve">used in </w:t>
      </w:r>
      <w:r w:rsidR="002D1386" w:rsidRPr="008E5B32">
        <w:rPr>
          <w:lang w:val="en-GB"/>
        </w:rPr>
        <w:t>medical applications</w:t>
      </w:r>
      <w:r w:rsidR="00A31DCA" w:rsidRPr="008E5B32">
        <w:rPr>
          <w:lang w:val="en-GB"/>
        </w:rPr>
        <w:t xml:space="preserve"> </w:t>
      </w:r>
      <w:r w:rsidR="00A31DCA" w:rsidRPr="008E5B32">
        <w:fldChar w:fldCharType="begin" w:fldLock="1"/>
      </w:r>
      <w:r w:rsidR="004C12A8" w:rsidRPr="008E5B32">
        <w:rPr>
          <w:lang w:val="en-GB"/>
        </w:rPr>
        <w:instrText>ADDIN CSL_CITATION {"citationItems":[{"id":"ITEM-1","itemData":{"DOI":"10.1016/j.cmpb.2016.04.025","ISSN":"18727565","PMID":"27282231","abstract":"This article presents a comprehensive review of applications of data mining and machine learning for the prediction of biomedical properties of nanoparticles of medical interest. The papers reviewed here present the results of research using these techniques to predict the biological fate and properties of a variety of nanoparticles relevant to their biomedical applications. These include the influence of particle physicochemical properties on cellular uptake, cytotoxicity, molecular loading, and molecular release in addition to manufacturing properties like nanoparticle size, and polydispersity. Overall, the results are encouraging and suggest that as more systematic data from nanoparticles becomes available, machine learning and data mining would become a powerful aid in the design of nanoparticles for biomedical applications. There is however the challenge of great heterogeneity in nanoparticles, which will make these discoveries more challenging than for traditional small molecule drug design.","author":[{"dropping-particle":"","family":"Jones","given":"David E.","non-dropping-particle":"","parse-names":false,"suffix":""},{"dropping-particle":"","family":"Ghandehari","given":"Hamidreza","non-dropping-particle":"","parse-names":false,"suffix":""},{"dropping-particle":"","family":"Facelli","given":"Julio C.","non-dropping-particle":"","parse-names":false,"suffix":""}],"container-title":"Computer Methods and Programs in Biomedicine","id":"ITEM-1","issued":{"date-parts":[["2016"]]},"page":"93-103","title":"A review of the applications of data mining and machine learning for the prediction of biomedical properties of nanoparticles","type":"article","volume":"132"},"uris":["http://www.mendeley.com/documents/?uuid=a32f1003-8903-40bd-8b07-92c937f3e115"]}],"mendeley":{"formattedCitation":"&lt;sup&gt;36&lt;/sup&gt;","plainTextFormattedCitation":"36","previouslyFormattedCitation":"&lt;sup&gt;36&lt;/sup&gt;"},"properties":{"noteIndex":0},"schema":"https://github.com/citation-style-language/schema/raw/master/csl-citation.json"}</w:instrText>
      </w:r>
      <w:r w:rsidR="00A31DCA" w:rsidRPr="008E5B32">
        <w:fldChar w:fldCharType="separate"/>
      </w:r>
      <w:r w:rsidR="005D1733" w:rsidRPr="008E5B32">
        <w:rPr>
          <w:noProof/>
          <w:vertAlign w:val="superscript"/>
          <w:lang w:val="en-GB"/>
        </w:rPr>
        <w:t>36</w:t>
      </w:r>
      <w:r w:rsidR="00A31DCA" w:rsidRPr="008E5B32">
        <w:fldChar w:fldCharType="end"/>
      </w:r>
      <w:r w:rsidR="002D1386" w:rsidRPr="008E5B32">
        <w:rPr>
          <w:lang w:val="en-GB"/>
        </w:rPr>
        <w:t xml:space="preserve">, while </w:t>
      </w:r>
      <w:r w:rsidR="00A31DCA" w:rsidRPr="008E5B32">
        <w:rPr>
          <w:lang w:val="en-GB"/>
        </w:rPr>
        <w:t xml:space="preserve">Sizochenko and Leszczynsky </w:t>
      </w:r>
      <w:r w:rsidR="002E2411" w:rsidRPr="008E5B32">
        <w:rPr>
          <w:lang w:val="en-GB"/>
        </w:rPr>
        <w:t>(2016)</w:t>
      </w:r>
      <w:r w:rsidR="00A31DCA" w:rsidRPr="008E5B32">
        <w:rPr>
          <w:lang w:val="en-GB"/>
        </w:rPr>
        <w:t xml:space="preserve"> </w:t>
      </w:r>
      <w:r w:rsidR="002D1386" w:rsidRPr="008E5B32">
        <w:rPr>
          <w:lang w:val="en-GB"/>
        </w:rPr>
        <w:t xml:space="preserve">focused on </w:t>
      </w:r>
      <w:r w:rsidR="00A31DCA" w:rsidRPr="008E5B32">
        <w:rPr>
          <w:lang w:val="en-GB"/>
        </w:rPr>
        <w:t xml:space="preserve">inorganic NMs, considering not only ML </w:t>
      </w:r>
      <w:r w:rsidR="00E70085" w:rsidRPr="008E5B32">
        <w:rPr>
          <w:lang w:val="en-GB"/>
        </w:rPr>
        <w:t>approaches</w:t>
      </w:r>
      <w:r w:rsidR="00A31DCA" w:rsidRPr="008E5B32">
        <w:rPr>
          <w:lang w:val="en-GB"/>
        </w:rPr>
        <w:t xml:space="preserve">, but also statistical </w:t>
      </w:r>
      <w:r w:rsidR="002D1386" w:rsidRPr="008E5B32">
        <w:rPr>
          <w:lang w:val="en-GB"/>
        </w:rPr>
        <w:t xml:space="preserve">(e.g. dose-response) </w:t>
      </w:r>
      <w:r w:rsidR="00E70085" w:rsidRPr="008E5B32">
        <w:rPr>
          <w:lang w:val="en-GB"/>
        </w:rPr>
        <w:t>models</w:t>
      </w:r>
      <w:r w:rsidR="002E2411" w:rsidRPr="008E5B32">
        <w:rPr>
          <w:lang w:val="en-GB"/>
        </w:rPr>
        <w:t xml:space="preserve"> </w:t>
      </w:r>
      <w:r w:rsidR="002E2411" w:rsidRPr="008E5B32">
        <w:fldChar w:fldCharType="begin" w:fldLock="1"/>
      </w:r>
      <w:r w:rsidR="004C12A8" w:rsidRPr="008E5B32">
        <w:rPr>
          <w:lang w:val="en-GB"/>
        </w:rPr>
        <w:instrText>ADDIN CSL_CITATION {"citationItems":[{"id":"ITEM-1","itemData":{"DOI":"10.4018/JNN.2016010101","ISBN":"9781522517993","ISSN":"2379-7452","abstract":"Quantitative structure-activity/property relationships (QSAR/QSPR) approaches that have been applied with success in a number of studies are currently used as indispensable tools in the computational analysis of nanomaterials. Evolution of nano-QSAR methodology to the ranks of novel field of knowledge has resulted in the development of new so-called “nano-descriptors” and extension of the statistical approaches domain. This brief review focuses on the critical analysis of advantages and disadvantages of existing methods of nanoparticles’ representation and their analysis in framework of structure-activity relationships. It summarizes recent QSAR/QSPR studies on inorganic nanomaterials. Here the authors describe practices for the QSAR modeling of inorganic nanoparticles, existing datasets, and discuss applicable descriptors and future perspectives of this field. About 50 different (Q)SAR/SPR models for inorganic nanomaterials have been developed during the past 5 years. An analysis of these peer reviewed publications shows that the most popular property of nanoparticles modeled via QSAR is their toxicity towards different bacteria, cell lines, and microorganisms. It has been clearly shown how nano-QSAR can contribute to the elucidation of toxicity mechanisms and different physical properties of inorganic nanomaterials.","author":[{"dropping-particle":"","family":"Sizochenko","given":"Natalia","non-dropping-particle":"","parse-names":false,"suffix":""},{"dropping-particle":"","family":"Leszczynski","given":"Jerzy","non-dropping-particle":"","parse-names":false,"suffix":""}],"container-title":"Journal of Nanotoxicology and Nanomedicine","id":"ITEM-1","issue":"1","issued":{"date-parts":[["2016"]]},"page":"1-16","title":"Review of Current and Emerging Approaches for Quantitative Nanostructure-Activity Relationship Modeling","type":"article-journal","volume":"1"},"uris":["http://www.mendeley.com/documents/?uuid=08e38129-2005-4603-a9d0-e426ade7a2d6"]}],"mendeley":{"formattedCitation":"&lt;sup&gt;37&lt;/sup&gt;","plainTextFormattedCitation":"37","previouslyFormattedCitation":"&lt;sup&gt;37&lt;/sup&gt;"},"properties":{"noteIndex":0},"schema":"https://github.com/citation-style-language/schema/raw/master/csl-citation.json"}</w:instrText>
      </w:r>
      <w:r w:rsidR="002E2411" w:rsidRPr="008E5B32">
        <w:fldChar w:fldCharType="separate"/>
      </w:r>
      <w:r w:rsidR="005D1733" w:rsidRPr="008E5B32">
        <w:rPr>
          <w:noProof/>
          <w:vertAlign w:val="superscript"/>
          <w:lang w:val="en-GB"/>
        </w:rPr>
        <w:t>37</w:t>
      </w:r>
      <w:r w:rsidR="002E2411" w:rsidRPr="008E5B32">
        <w:fldChar w:fldCharType="end"/>
      </w:r>
      <w:r w:rsidR="00A31DCA" w:rsidRPr="008E5B32">
        <w:rPr>
          <w:lang w:val="en-GB"/>
        </w:rPr>
        <w:t xml:space="preserve">. Chen et al. </w:t>
      </w:r>
      <w:r w:rsidR="002E2411" w:rsidRPr="008E5B32">
        <w:rPr>
          <w:lang w:val="en-GB"/>
        </w:rPr>
        <w:t>(2017)</w:t>
      </w:r>
      <w:r w:rsidR="00EF4FBC" w:rsidRPr="008E5B32">
        <w:rPr>
          <w:lang w:val="en-GB"/>
        </w:rPr>
        <w:t xml:space="preserve"> in two different works</w:t>
      </w:r>
      <w:r w:rsidR="002E2411" w:rsidRPr="008E5B32">
        <w:rPr>
          <w:lang w:val="en-GB"/>
        </w:rPr>
        <w:t xml:space="preserve"> </w:t>
      </w:r>
      <w:r w:rsidR="00A31DCA" w:rsidRPr="008E5B32">
        <w:rPr>
          <w:lang w:val="en-GB"/>
        </w:rPr>
        <w:t xml:space="preserve">investigated </w:t>
      </w:r>
      <w:r w:rsidR="00A31DCA" w:rsidRPr="008E5B32">
        <w:rPr>
          <w:i/>
          <w:lang w:val="en-GB"/>
        </w:rPr>
        <w:t xml:space="preserve">in silico </w:t>
      </w:r>
      <w:r w:rsidR="00A31DCA" w:rsidRPr="008E5B32">
        <w:rPr>
          <w:lang w:val="en-GB"/>
        </w:rPr>
        <w:t>methods for the prediction and classification of hazard endpoints for metallic NMs,</w:t>
      </w:r>
      <w:r w:rsidR="00EF4FBC" w:rsidRPr="008E5B32">
        <w:rPr>
          <w:lang w:val="en-GB"/>
        </w:rPr>
        <w:t xml:space="preserve"> discussing data sources and mechanistic interpretation of reported (Q)SARs </w:t>
      </w:r>
      <w:r w:rsidR="00EF4FBC" w:rsidRPr="008E5B32">
        <w:rPr>
          <w:lang w:val="en-GB"/>
        </w:rPr>
        <w:fldChar w:fldCharType="begin" w:fldLock="1"/>
      </w:r>
      <w:r w:rsidR="004C12A8" w:rsidRPr="008E5B32">
        <w:rPr>
          <w:lang w:val="en-GB"/>
        </w:rPr>
        <w:instrText>ADDIN CSL_CITATION {"citationItems":[{"id":"ITEM-1","itemData":{"DOI":"10.3390/ma10091013","ISSN":"19961944","abstract":"Gathering required information in a fast and inexpensive way is essential for assessing the risks of engineered nanomaterials (ENMs). The extension of conventional (quantitative) structure-activity relationships ((Q)SARs) approach to nanotoxicology, i.e., nano-(Q)SARs, is a possible solution. The preliminary attempts of correlating ENMs’ characteristics to the biological effects elicited by ENMs highlighted the potential applicability of (Q)SARs in the nanotoxicity field. This review discusses the current knowledge on the development of nano-(Q)SARs for metallic ENMs, on the aspects of data sources, reported nano-(Q)SARs, and mechanistic interpretation. An outlook is given on the further development of this frontier. As concluded, the used experimental data mainly concern the uptake of ENMs by different cell lines and the toxicity of ENMs to cells lines and Escherichia coli. The widely applied techniques of deriving models are linear and non-linear regressions, support vector machine, artificial neural network, k-nearest neighbors, etc. Concluded from the descriptors, surface properties of ENMs are seen as vital for the cellular uptake of ENMs; the capability of releasing ions and surface redox properties of ENMs are of importance for evaluating nanotoxicity. This review aims to present key advances in relevant nano-modeling studies and stimulate future research efforts in this quickly developing field of research.","author":[{"dropping-particle":"","family":"Chen","given":"Guangchao","non-dropping-particle":"","parse-names":false,"suffix":""},{"dropping-particle":"","family":"Vijver","given":"Martina G.","non-dropping-particle":"","parse-names":false,"suffix":""},{"dropping-particle":"","family":"Xiao","given":"Yinlong","non-dropping-particle":"","parse-names":false,"suffix":""},{"dropping-particle":"","family":"Peijnenburg","given":"Willie J.G.M.","non-dropping-particle":"","parse-names":false,"suffix":""}],"container-title":"Materials","id":"ITEM-1","issued":{"date-parts":[["2017"]]},"title":"A review of recent advances towards the development of (quantitative) structure-activity relationships for metallic nanomaterials","type":"article"},"uris":["http://www.mendeley.com/documents/?uuid=4fc338bd-609c-430d-b820-8a62a8c6688f","http://www.mendeley.com/documents/?uuid=9610d1c5-b953-46ba-ab1c-e6e14c27ce31"]}],"mendeley":{"formattedCitation":"&lt;sup&gt;38&lt;/sup&gt;","plainTextFormattedCitation":"38","previouslyFormattedCitation":"&lt;sup&gt;38&lt;/sup&gt;"},"properties":{"noteIndex":0},"schema":"https://github.com/citation-style-language/schema/raw/master/csl-citation.json"}</w:instrText>
      </w:r>
      <w:r w:rsidR="00EF4FBC" w:rsidRPr="008E5B32">
        <w:rPr>
          <w:lang w:val="en-GB"/>
        </w:rPr>
        <w:fldChar w:fldCharType="separate"/>
      </w:r>
      <w:r w:rsidR="005D1733" w:rsidRPr="008E5B32">
        <w:rPr>
          <w:noProof/>
          <w:vertAlign w:val="superscript"/>
          <w:lang w:val="en-GB"/>
        </w:rPr>
        <w:t>38</w:t>
      </w:r>
      <w:r w:rsidR="00EF4FBC" w:rsidRPr="008E5B32">
        <w:rPr>
          <w:lang w:val="en-GB"/>
        </w:rPr>
        <w:fldChar w:fldCharType="end"/>
      </w:r>
      <w:r w:rsidR="00EF4FBC" w:rsidRPr="008E5B32">
        <w:rPr>
          <w:lang w:val="en-GB"/>
        </w:rPr>
        <w:t>, and</w:t>
      </w:r>
      <w:r w:rsidR="00A31DCA" w:rsidRPr="008E5B32">
        <w:rPr>
          <w:lang w:val="en-GB"/>
        </w:rPr>
        <w:t xml:space="preserve"> proposing a roadmap for computational toxicology aimed at </w:t>
      </w:r>
      <w:r w:rsidR="002D1386" w:rsidRPr="008E5B32">
        <w:rPr>
          <w:lang w:val="en-GB"/>
        </w:rPr>
        <w:t xml:space="preserve">designing </w:t>
      </w:r>
      <w:r w:rsidR="00A31DCA" w:rsidRPr="008E5B32">
        <w:rPr>
          <w:lang w:val="en-GB"/>
        </w:rPr>
        <w:t>safe</w:t>
      </w:r>
      <w:r w:rsidR="002D1386" w:rsidRPr="008E5B32">
        <w:rPr>
          <w:lang w:val="en-GB"/>
        </w:rPr>
        <w:t>r</w:t>
      </w:r>
      <w:r w:rsidR="00A31DCA" w:rsidRPr="008E5B32">
        <w:rPr>
          <w:lang w:val="en-GB"/>
        </w:rPr>
        <w:t xml:space="preserve"> NMs</w:t>
      </w:r>
      <w:r w:rsidR="002E2411" w:rsidRPr="008E5B32">
        <w:rPr>
          <w:lang w:val="en-GB"/>
        </w:rPr>
        <w:t xml:space="preserve"> </w:t>
      </w:r>
      <w:r w:rsidR="002E2411" w:rsidRPr="008E5B32">
        <w:fldChar w:fldCharType="begin" w:fldLock="1"/>
      </w:r>
      <w:r w:rsidR="004C12A8" w:rsidRPr="008E5B32">
        <w:rPr>
          <w:lang w:val="en-GB"/>
        </w:rPr>
        <w:instrText>ADDIN CSL_CITATION {"citationItems":[{"id":"ITEM-1","itemData":{"DOI":"10.3390/ijms18071504","ISSN":"1422-0067","abstract":"As listed by the European Chemicals Agency, the three elements in evaluating the hazards of engineered nanomaterials (ENMs) include the integration and evaluation of toxicity data, categorization and labeling of ENMs, and derivation of hazard threshold levels for human health and the environment. Assessing the hazards of ENMs solely based on laboratory tests is time-consuming, resource intensive, and constrained by ethical considerations. The adoption of computational toxicology into this task has recently become a priority. Alternative approaches such as (quantitative) structure–activity relationships ((Q)SAR) and read-across are of significant help in predicting nanotoxicity and filling data gaps, and in classifying the hazards of ENMs to individual species. Thereupon, the species sensitivity distribution (SSD) approach is able to serve the establishment of ENM hazard thresholds sufficiently protecting the ecosystem. This article critically reviews the current knowledge on the development of in silico models in predicting and classifying the hazard of metallic ENMs, and the development of SSDs for metallic ENMs. Further discussion includes the significance of well-curated experimental datasets and the interpretation of toxicity mechanisms of metallic ENMs based on reported models. An outlook is also given on future directions of research in this frontier.","author":[{"dropping-particle":"","family":"Chen","given":"Guangchao","non-dropping-particle":"","parse-names":false,"suffix":""},{"dropping-particle":"","family":"Peijnenburg","given":"Willie","non-dropping-particle":"","parse-names":false,"suffix":""},{"dropping-particle":"","family":"Xiao","given":"Yinlong","non-dropping-particle":"","parse-names":false,"suffix":""},{"dropping-particle":"","family":"Vijver","given":"Martina","non-dropping-particle":"","parse-names":false,"suffix":""}],"container-title":"International Journal of Molecular Sciences","id":"ITEM-1","issue":"7","issued":{"date-parts":[["2017"]]},"page":"1504","publisher":"Multidisciplinary Digital Publishing Institute","title":"Current Knowledge on the Use of Computational Toxicology in Hazard Assessment of Metallic Engineered Nanomaterials","type":"article-journal","volume":"18"},"uris":["http://www.mendeley.com/documents/?uuid=c867a9aa-42fb-4353-8012-2497e16e0126"]}],"mendeley":{"formattedCitation":"&lt;sup&gt;39&lt;/sup&gt;","plainTextFormattedCitation":"39","previouslyFormattedCitation":"&lt;sup&gt;39&lt;/sup&gt;"},"properties":{"noteIndex":0},"schema":"https://github.com/citation-style-language/schema/raw/master/csl-citation.json"}</w:instrText>
      </w:r>
      <w:r w:rsidR="002E2411" w:rsidRPr="008E5B32">
        <w:fldChar w:fldCharType="separate"/>
      </w:r>
      <w:r w:rsidR="005D1733" w:rsidRPr="008E5B32">
        <w:rPr>
          <w:noProof/>
          <w:vertAlign w:val="superscript"/>
          <w:lang w:val="en-GB"/>
        </w:rPr>
        <w:t>39</w:t>
      </w:r>
      <w:r w:rsidR="002E2411" w:rsidRPr="008E5B32">
        <w:fldChar w:fldCharType="end"/>
      </w:r>
      <w:r w:rsidR="00A31DCA" w:rsidRPr="008E5B32">
        <w:rPr>
          <w:lang w:val="en-GB"/>
        </w:rPr>
        <w:t>.</w:t>
      </w:r>
      <w:r w:rsidR="001B1F4C" w:rsidRPr="008E5B32">
        <w:rPr>
          <w:lang w:val="en-GB"/>
        </w:rPr>
        <w:t xml:space="preserve"> </w:t>
      </w:r>
      <w:r w:rsidR="00EF4FBC" w:rsidRPr="008E5B32">
        <w:rPr>
          <w:lang w:val="en-GB"/>
        </w:rPr>
        <w:t>Finally, Quik et al. (2018) analysed</w:t>
      </w:r>
      <w:r w:rsidR="00854C95" w:rsidRPr="008E5B32">
        <w:rPr>
          <w:lang w:val="en-GB"/>
        </w:rPr>
        <w:t xml:space="preserve"> a selection of models used for hazard and exposure assessment of NMs, giving an overview on available mechanistic models related to NM</w:t>
      </w:r>
      <w:r w:rsidR="005F3D51" w:rsidRPr="008E5B32">
        <w:rPr>
          <w:lang w:val="en-GB"/>
        </w:rPr>
        <w:t>s</w:t>
      </w:r>
      <w:r w:rsidR="00854C95" w:rsidRPr="008E5B32">
        <w:rPr>
          <w:lang w:val="en-GB"/>
        </w:rPr>
        <w:t xml:space="preserve"> properties, and their parameterization</w:t>
      </w:r>
      <w:r w:rsidR="004049C3" w:rsidRPr="008E5B32">
        <w:rPr>
          <w:lang w:val="en-GB"/>
        </w:rPr>
        <w:t xml:space="preserve">, identifying </w:t>
      </w:r>
      <w:r w:rsidR="008D6B7D" w:rsidRPr="008E5B32">
        <w:rPr>
          <w:lang w:val="en-GB"/>
        </w:rPr>
        <w:t xml:space="preserve">the best descriptors to use to characterize </w:t>
      </w:r>
      <w:r w:rsidR="004049C3" w:rsidRPr="008E5B32">
        <w:rPr>
          <w:lang w:val="en-GB"/>
        </w:rPr>
        <w:t>intrinsic and extrinsic properties</w:t>
      </w:r>
      <w:r w:rsidR="008D6B7D" w:rsidRPr="008E5B32">
        <w:rPr>
          <w:lang w:val="en-GB"/>
        </w:rPr>
        <w:t>, or measured hazard and exposure</w:t>
      </w:r>
      <w:r w:rsidR="004049C3" w:rsidRPr="008E5B32">
        <w:rPr>
          <w:lang w:val="en-GB"/>
        </w:rPr>
        <w:t xml:space="preserve"> </w:t>
      </w:r>
      <w:r w:rsidR="00854C95" w:rsidRPr="008E5B32">
        <w:rPr>
          <w:lang w:val="en-GB"/>
        </w:rPr>
        <w:fldChar w:fldCharType="begin" w:fldLock="1"/>
      </w:r>
      <w:r w:rsidR="004C12A8" w:rsidRPr="008E5B32">
        <w:rPr>
          <w:lang w:val="en-GB"/>
        </w:rPr>
        <w:instrText>ADDIN CSL_CITATION {"citationItems":[{"id":"ITEM-1","itemData":{"DOI":"10.1016/j.impact.2018.02.003","ISSN":"24520748","abstract":"There is an increasing need for predictive risk assessment of nanomaterials (NMs) using methods that are rapid, accurate and resource efficient. To fulfill this need, the development and use of Quantitative Property Property Relationships (QPPRs) for estimating the hazard of NMs and NM-related parameters in exposure modelling seems eminent. In this study, we analyze a selection of models used for hazard and/or exposure assessment of NMs. This analysis was done by identifying all the NM-related properties used in these models related to three categories of data: (i) Intrinsic properties specific to the NM, matrix or experimental conditions, (ii) Extrinsic NM properties related to interaction between the intrinsic properties and (iii) Measured hazard or exposure data. This analysis is combined with the current state of QPPR development to recommend further development of QPPRs for predictive risk assessment of NMs. In particular, the use of descriptors related to the interaction between a NM and its surroundings, e.g. the attachment efficiency is proposed.","author":[{"dropping-particle":"","family":"Quik","given":"Joris T.K.","non-dropping-particle":"","parse-names":false,"suffix":""},{"dropping-particle":"","family":"Bakker","given":"Martine","non-dropping-particle":"","parse-names":false,"suffix":""},{"dropping-particle":"","family":"Meent","given":"Dik","non-dropping-particle":"van de","parse-names":false,"suffix":""},{"dropping-particle":"","family":"Poikkimäki","given":"Mikko","non-dropping-particle":"","parse-names":false,"suffix":""},{"dropping-particle":"","family":"Dal Maso","given":"Miikka","non-dropping-particle":"","parse-names":false,"suffix":""},{"dropping-particle":"","family":"Peijnenburg","given":"Willie","non-dropping-particle":"","parse-names":false,"suffix":""}],"container-title":"NanoImpact","id":"ITEM-1","issued":{"date-parts":[["2018"]]},"title":"Directions in QPPR development to complement the predictive models used in risk assessment of nanomaterials","type":"article-journal"},"uris":["http://www.mendeley.com/documents/?uuid=0cfbd4fa-fc5c-4b19-9542-6a2027f618ed","http://www.mendeley.com/documents/?uuid=7b8c7f90-8f28-49ae-b343-467219ad3c25","http://www.mendeley.com/documents/?uuid=68808f4c-c16e-4da5-b199-450163cc3a07"]}],"mendeley":{"formattedCitation":"&lt;sup&gt;40&lt;/sup&gt;","plainTextFormattedCitation":"40","previouslyFormattedCitation":"&lt;sup&gt;40&lt;/sup&gt;"},"properties":{"noteIndex":0},"schema":"https://github.com/citation-style-language/schema/raw/master/csl-citation.json"}</w:instrText>
      </w:r>
      <w:r w:rsidR="00854C95" w:rsidRPr="008E5B32">
        <w:rPr>
          <w:lang w:val="en-GB"/>
        </w:rPr>
        <w:fldChar w:fldCharType="separate"/>
      </w:r>
      <w:r w:rsidR="005D1733" w:rsidRPr="008E5B32">
        <w:rPr>
          <w:noProof/>
          <w:vertAlign w:val="superscript"/>
          <w:lang w:val="en-GB"/>
        </w:rPr>
        <w:t>40</w:t>
      </w:r>
      <w:r w:rsidR="00854C95" w:rsidRPr="008E5B32">
        <w:rPr>
          <w:lang w:val="en-GB"/>
        </w:rPr>
        <w:fldChar w:fldCharType="end"/>
      </w:r>
      <w:r w:rsidR="00854C95" w:rsidRPr="008E5B32">
        <w:rPr>
          <w:lang w:val="en-GB"/>
        </w:rPr>
        <w:t>.</w:t>
      </w:r>
      <w:r w:rsidR="001809F0" w:rsidRPr="008E5B32">
        <w:rPr>
          <w:lang w:val="en-GB"/>
        </w:rPr>
        <w:t xml:space="preserve"> </w:t>
      </w:r>
      <w:r w:rsidR="00AC3A10" w:rsidRPr="008E5B32">
        <w:rPr>
          <w:lang w:val="en-GB"/>
        </w:rPr>
        <w:t>In this manuscript</w:t>
      </w:r>
      <w:r w:rsidR="0012193E" w:rsidRPr="008E5B32">
        <w:rPr>
          <w:lang w:val="en-GB"/>
        </w:rPr>
        <w:t xml:space="preserve">, </w:t>
      </w:r>
      <w:r w:rsidR="003D26C5" w:rsidRPr="008E5B32">
        <w:rPr>
          <w:lang w:val="en-GB"/>
        </w:rPr>
        <w:t>we</w:t>
      </w:r>
      <w:r w:rsidR="00AC3A10" w:rsidRPr="008E5B32">
        <w:rPr>
          <w:lang w:val="en-GB"/>
        </w:rPr>
        <w:t xml:space="preserve"> critically </w:t>
      </w:r>
      <w:r w:rsidR="003D26C5" w:rsidRPr="008E5B32">
        <w:rPr>
          <w:lang w:val="en-GB"/>
        </w:rPr>
        <w:t xml:space="preserve">analyse </w:t>
      </w:r>
      <w:r w:rsidR="00AC3A10" w:rsidRPr="008E5B32">
        <w:rPr>
          <w:lang w:val="en-GB"/>
        </w:rPr>
        <w:t>the existing approaches</w:t>
      </w:r>
      <w:r w:rsidR="00864ECC" w:rsidRPr="008E5B32">
        <w:rPr>
          <w:lang w:val="en-GB"/>
        </w:rPr>
        <w:t xml:space="preserve"> that make use of ML techniques for predicting human health hazard endpoints</w:t>
      </w:r>
      <w:r w:rsidR="00AC3A10" w:rsidRPr="008E5B32">
        <w:rPr>
          <w:lang w:val="en-GB"/>
        </w:rPr>
        <w:t xml:space="preserve"> in terms of their predictive </w:t>
      </w:r>
      <w:r w:rsidR="00846395" w:rsidRPr="008E5B32">
        <w:rPr>
          <w:lang w:val="en-GB"/>
        </w:rPr>
        <w:t>ability</w:t>
      </w:r>
      <w:r w:rsidR="00366CAE" w:rsidRPr="008E5B32">
        <w:rPr>
          <w:lang w:val="en-GB"/>
        </w:rPr>
        <w:t>,</w:t>
      </w:r>
      <w:r w:rsidR="00846395" w:rsidRPr="008E5B32">
        <w:rPr>
          <w:lang w:val="en-GB"/>
        </w:rPr>
        <w:t xml:space="preserve"> </w:t>
      </w:r>
      <w:r w:rsidR="009D13F9" w:rsidRPr="008E5B32">
        <w:rPr>
          <w:lang w:val="en-GB"/>
        </w:rPr>
        <w:t>thus providing</w:t>
      </w:r>
      <w:r w:rsidR="009D13F9" w:rsidRPr="008E5B32">
        <w:rPr>
          <w:lang w:val="en-US"/>
        </w:rPr>
        <w:t xml:space="preserve"> a starting point for researchers, evaluating the existing methods and </w:t>
      </w:r>
      <w:r w:rsidR="0036325F" w:rsidRPr="008E5B32">
        <w:rPr>
          <w:lang w:val="en-US"/>
        </w:rPr>
        <w:t>proposing</w:t>
      </w:r>
      <w:r w:rsidR="009D13F9" w:rsidRPr="008E5B32">
        <w:rPr>
          <w:lang w:val="en-US"/>
        </w:rPr>
        <w:t xml:space="preserve"> possible future developments in the field</w:t>
      </w:r>
      <w:r w:rsidR="009D13F9" w:rsidRPr="008E5B32">
        <w:rPr>
          <w:lang w:val="en-GB"/>
        </w:rPr>
        <w:t>.</w:t>
      </w:r>
      <w:r w:rsidR="00366CAE" w:rsidRPr="008E5B32">
        <w:rPr>
          <w:lang w:val="en-GB"/>
        </w:rPr>
        <w:t xml:space="preserve"> In addition, </w:t>
      </w:r>
      <w:r w:rsidR="008071E6" w:rsidRPr="008E5B32">
        <w:rPr>
          <w:lang w:val="en-GB"/>
        </w:rPr>
        <w:t xml:space="preserve">we provide </w:t>
      </w:r>
      <w:r w:rsidR="00366CAE" w:rsidRPr="008E5B32">
        <w:rPr>
          <w:lang w:val="en-GB"/>
        </w:rPr>
        <w:t>an overview on the existing databases</w:t>
      </w:r>
      <w:r w:rsidR="008071E6" w:rsidRPr="008E5B32">
        <w:rPr>
          <w:lang w:val="en-GB"/>
        </w:rPr>
        <w:t>, highlighting the current limitations of such data systems.</w:t>
      </w:r>
    </w:p>
    <w:p w14:paraId="4EDEBB53" w14:textId="200F0CEF" w:rsidR="00214806" w:rsidRPr="008E5B32" w:rsidRDefault="007A2FDD" w:rsidP="00214806">
      <w:pPr>
        <w:rPr>
          <w:lang w:val="en-GB"/>
        </w:rPr>
      </w:pPr>
      <w:r w:rsidRPr="008E5B32">
        <w:rPr>
          <w:lang w:val="en-GB"/>
        </w:rPr>
        <w:t>To be able to predict the adverse (eco)toxicological effects of NMs</w:t>
      </w:r>
      <w:r w:rsidR="00214806" w:rsidRPr="008E5B32">
        <w:rPr>
          <w:lang w:val="en-GB"/>
        </w:rPr>
        <w:t xml:space="preserve"> by means of </w:t>
      </w:r>
      <w:r w:rsidR="00214806" w:rsidRPr="008E5B32">
        <w:rPr>
          <w:i/>
          <w:lang w:val="en-GB"/>
        </w:rPr>
        <w:t xml:space="preserve">in silico </w:t>
      </w:r>
      <w:r w:rsidR="00214806" w:rsidRPr="008E5B32">
        <w:rPr>
          <w:lang w:val="en-GB"/>
        </w:rPr>
        <w:t>tools,</w:t>
      </w:r>
      <w:r w:rsidRPr="008E5B32">
        <w:rPr>
          <w:lang w:val="en-GB"/>
        </w:rPr>
        <w:t xml:space="preserve"> it is </w:t>
      </w:r>
      <w:r w:rsidR="00366CAE" w:rsidRPr="008E5B32">
        <w:rPr>
          <w:lang w:val="en-GB"/>
        </w:rPr>
        <w:t xml:space="preserve">indeed </w:t>
      </w:r>
      <w:r w:rsidRPr="008E5B32">
        <w:rPr>
          <w:lang w:val="en-GB"/>
        </w:rPr>
        <w:t>fundamental to have access to high quality (meta)data. Many nanosafety projects have produced a huge amount of relevant physicochemical, toxicokinetics</w:t>
      </w:r>
      <w:r w:rsidR="00FF2C8F" w:rsidRPr="008E5B32">
        <w:rPr>
          <w:lang w:val="en-GB"/>
        </w:rPr>
        <w:t xml:space="preserve"> </w:t>
      </w:r>
      <w:r w:rsidR="00FF2C8F" w:rsidRPr="008E5B32">
        <w:rPr>
          <w:lang w:val="en-GB"/>
        </w:rPr>
        <w:fldChar w:fldCharType="begin" w:fldLock="1"/>
      </w:r>
      <w:r w:rsidR="00793E15">
        <w:rPr>
          <w:lang w:val="en-GB"/>
        </w:rPr>
        <w:instrText>ADDIN CSL_CITATION {"citationItems":[{"id":"ITEM-1","itemData":{"author":[{"dropping-particle":"","family":"Lamon","given":"L.","non-dropping-particle":"","parse-names":false,"suffix":""},{"dropping-particle":"","family":"Asturiol","given":"D.","non-dropping-particle":"","parse-names":false,"suffix":""},{"dropping-particle":"","family":"Vilchez","given":"A.","non-dropping-particle":"","parse-names":false,"suffix":""},{"dropping-particle":"","family":"Cabellos","given":"J.","non-dropping-particle":"","parse-names":false,"suffix":""},{"dropping-particle":"","family":"Damàsio","given":"J.","non-dropping-particle":"","parse-names":false,"suffix":""},{"dropping-particle":"","family":"Janer","given":"G.","non-dropping-particle":"","parse-names":false,"suffix":""},{"dropping-particle":"","family":"Richarz","given":"Andrea","non-dropping-particle":"","parse-names":false,"suffix":""},{"dropping-particle":"","family":"Worth","given":"A.","non-dropping-particle":"","parse-names":false,"suffix":""}],"container-title":"Computational Toxicology (In Press)","id":"ITEM-1","issued":{"date-parts":[["0"]]},"title":"Physiologically based mathematical models of nanomaterials for regulatory toxicology: a review","type":"article-journal"},"uris":["http://www.mendeley.com/documents/?uuid=43e97206-e9cb-4752-b214-869c57740052"]}],"mendeley":{"formattedCitation":"&lt;sup&gt;41&lt;/sup&gt;","plainTextFormattedCitation":"41","previouslyFormattedCitation":"&lt;sup&gt;41&lt;/sup&gt;"},"properties":{"noteIndex":0},"schema":"https://github.com/citation-style-language/schema/raw/master/csl-citation.json"}</w:instrText>
      </w:r>
      <w:r w:rsidR="00FF2C8F" w:rsidRPr="008E5B32">
        <w:rPr>
          <w:lang w:val="en-GB"/>
        </w:rPr>
        <w:fldChar w:fldCharType="separate"/>
      </w:r>
      <w:r w:rsidR="005D1733" w:rsidRPr="008E5B32">
        <w:rPr>
          <w:noProof/>
          <w:vertAlign w:val="superscript"/>
          <w:lang w:val="en-GB"/>
        </w:rPr>
        <w:t>41</w:t>
      </w:r>
      <w:r w:rsidR="00FF2C8F" w:rsidRPr="008E5B32">
        <w:rPr>
          <w:lang w:val="en-GB"/>
        </w:rPr>
        <w:fldChar w:fldCharType="end"/>
      </w:r>
      <w:r w:rsidRPr="008E5B32">
        <w:rPr>
          <w:lang w:val="en-GB"/>
        </w:rPr>
        <w:t xml:space="preserve">, fate, exposure and (eco)toxicity data in over a decade of focused research </w:t>
      </w:r>
      <w:r w:rsidRPr="008E5B32">
        <w:fldChar w:fldCharType="begin" w:fldLock="1"/>
      </w:r>
      <w:r w:rsidR="004C12A8" w:rsidRPr="008E5B32">
        <w:rPr>
          <w:lang w:val="en-GB"/>
        </w:rPr>
        <w:instrText>ADDIN CSL_CITATION {"citationItems":[{"id":"ITEM-1","itemData":{"DOI":"10.1016/J.IMPACT.2017.06.001","ISSN":"2452-0748","abstract":"Within the EU funded project Prosafe a review on the regulatory relevance of the results of several EU and US funded nanosafety research projects was conducted. The objective was to identify those methods, data and protocols that are appropriate for regulatory risk assessment of manufactured nanomaterials. A task force with nine experienced experts was established which examined approximately 1000 publications. They looked at reliability and regulatory relevance as the main criteria to identify which research products are most useful to regulators. The results of this review are published in this Special Issue. This article summarizes the main recommendations, identifies the most relevant knowledge gaps and draws some general conclusions. The review demonstrates that a number of new tools to enable regulatory risk assessment of nanomaterials are now available or near completion.","author":[{"dropping-particle":"","family":"Steinhäuser","given":"Klaus Günter","non-dropping-particle":"","parse-names":false,"suffix":""},{"dropping-particle":"","family":"Sayre","given":"Philip G","non-dropping-particle":"","parse-names":false,"suffix":""}],"container-title":"NanoImpact","id":"ITEM-1","issued":{"date-parts":[["2017"]]},"page":"66-74","publisher":"Elsevier","title":"Reliability of methods and data for regulatory assessment of nanomaterial risks","type":"article-journal","volume":"7"},"uris":["http://www.mendeley.com/documents/?uuid=31193937-f079-44ae-8f02-a852bd6cd965","http://www.mendeley.com/documents/?uuid=d942f783-effd-4105-b041-508348bdf6a6","http://www.mendeley.com/documents/?uuid=1660723e-2e5e-4b26-9842-a9ef2a22e39a"]}],"mendeley":{"formattedCitation":"&lt;sup&gt;42&lt;/sup&gt;","plainTextFormattedCitation":"42","previouslyFormattedCitation":"&lt;sup&gt;42&lt;/sup&gt;"},"properties":{"noteIndex":0},"schema":"https://github.com/citation-style-language/schema/raw/master/csl-citation.json"}</w:instrText>
      </w:r>
      <w:r w:rsidRPr="008E5B32">
        <w:fldChar w:fldCharType="separate"/>
      </w:r>
      <w:r w:rsidR="005D1733" w:rsidRPr="008E5B32">
        <w:rPr>
          <w:noProof/>
          <w:vertAlign w:val="superscript"/>
          <w:lang w:val="en-GB"/>
        </w:rPr>
        <w:t>42</w:t>
      </w:r>
      <w:r w:rsidRPr="008E5B32">
        <w:fldChar w:fldCharType="end"/>
      </w:r>
      <w:r w:rsidRPr="008E5B32">
        <w:rPr>
          <w:lang w:val="en-GB"/>
        </w:rPr>
        <w:t xml:space="preserve">. However, </w:t>
      </w:r>
      <w:r w:rsidR="003D26C5" w:rsidRPr="008E5B32">
        <w:rPr>
          <w:lang w:val="en-GB"/>
        </w:rPr>
        <w:t>these data</w:t>
      </w:r>
      <w:r w:rsidRPr="008E5B32">
        <w:rPr>
          <w:lang w:val="en-GB"/>
        </w:rPr>
        <w:t xml:space="preserve"> </w:t>
      </w:r>
      <w:r w:rsidR="003D26C5" w:rsidRPr="008E5B32">
        <w:rPr>
          <w:lang w:val="en-GB"/>
        </w:rPr>
        <w:t xml:space="preserve">have not been properly curated and are </w:t>
      </w:r>
      <w:r w:rsidRPr="008E5B32">
        <w:rPr>
          <w:lang w:val="en-GB"/>
        </w:rPr>
        <w:t xml:space="preserve">accessible </w:t>
      </w:r>
      <w:r w:rsidR="003D26C5" w:rsidRPr="008E5B32">
        <w:rPr>
          <w:lang w:val="en-GB"/>
        </w:rPr>
        <w:t xml:space="preserve">mainly </w:t>
      </w:r>
      <w:r w:rsidRPr="008E5B32">
        <w:rPr>
          <w:lang w:val="en-GB"/>
        </w:rPr>
        <w:t xml:space="preserve">via disparate and heterogeneous sources, offering different types of data in different formats (e.g. technical reports, excel sheets, data inventories, knowledgebases, scientific publications). </w:t>
      </w:r>
      <w:r w:rsidR="00214806" w:rsidRPr="008E5B32">
        <w:rPr>
          <w:lang w:val="en-GB"/>
        </w:rPr>
        <w:t xml:space="preserve">The data sources are also sparse, thus limiting data analysis and </w:t>
      </w:r>
      <w:r w:rsidR="003D26C5" w:rsidRPr="008E5B32">
        <w:rPr>
          <w:lang w:val="en-GB"/>
        </w:rPr>
        <w:t>modelling</w:t>
      </w:r>
      <w:r w:rsidR="00214806" w:rsidRPr="008E5B32">
        <w:rPr>
          <w:lang w:val="en-GB"/>
        </w:rPr>
        <w:t xml:space="preserve"> </w:t>
      </w:r>
      <w:r w:rsidR="00214806" w:rsidRPr="008E5B32">
        <w:fldChar w:fldCharType="begin" w:fldLock="1"/>
      </w:r>
      <w:r w:rsidR="004C12A8" w:rsidRPr="008E5B32">
        <w:rPr>
          <w:lang w:val="en-GB"/>
        </w:rPr>
        <w:instrText>ADDIN CSL_CITATION {"citationItems":[{"id":"ITEM-1","itemData":{"DOI":"10.3390/ijms18071504","ISSN":"1422-0067","abstract":"As listed by the European Chemicals Agency, the three elements in evaluating the hazards of engineered nanomaterials (ENMs) include the integration and evaluation of toxicity data, categorization and labeling of ENMs, and derivation of hazard threshold levels for human health and the environment. Assessing the hazards of ENMs solely based on laboratory tests is time-consuming, resource intensive, and constrained by ethical considerations. The adoption of computational toxicology into this task has recently become a priority. Alternative approaches such as (quantitative) structure–activity relationships ((Q)SAR) and read-across are of significant help in predicting nanotoxicity and filling data gaps, and in classifying the hazards of ENMs to individual species. Thereupon, the species sensitivity distribution (SSD) approach is able to serve the establishment of ENM hazard thresholds sufficiently protecting the ecosystem. This article critically reviews the current knowledge on the development of in silico models in predicting and classifying the hazard of metallic ENMs, and the development of SSDs for metallic ENMs. Further discussion includes the significance of well-curated experimental datasets and the interpretation of toxicity mechanisms of metallic ENMs based on reported models. An outlook is also given on future directions of research in this frontier.","author":[{"dropping-particle":"","family":"Chen","given":"Guangchao","non-dropping-particle":"","parse-names":false,"suffix":""},{"dropping-particle":"","family":"Peijnenburg","given":"Willie","non-dropping-particle":"","parse-names":false,"suffix":""},{"dropping-particle":"","family":"Xiao","given":"Yinlong","non-dropping-particle":"","parse-names":false,"suffix":""},{"dropping-particle":"","family":"Vijver","given":"Martina","non-dropping-particle":"","parse-names":false,"suffix":""}],"container-title":"International Journal of Molecular Sciences","id":"ITEM-1","issue":"7","issued":{"date-parts":[["2017"]]},"page":"1504","publisher":"Multidisciplinary Digital Publishing Institute","title":"Current Knowledge on the Use of Computational Toxicology in Hazard Assessment of Metallic Engineered Nanomaterials","type":"article-journal","volume":"18"},"uris":["http://www.mendeley.com/documents/?uuid=c867a9aa-42fb-4353-8012-2497e16e0126"]}],"mendeley":{"formattedCitation":"&lt;sup&gt;39&lt;/sup&gt;","plainTextFormattedCitation":"39","previouslyFormattedCitation":"&lt;sup&gt;39&lt;/sup&gt;"},"properties":{"noteIndex":0},"schema":"https://github.com/citation-style-language/schema/raw/master/csl-citation.json"}</w:instrText>
      </w:r>
      <w:r w:rsidR="00214806" w:rsidRPr="008E5B32">
        <w:fldChar w:fldCharType="separate"/>
      </w:r>
      <w:r w:rsidR="005D1733" w:rsidRPr="008E5B32">
        <w:rPr>
          <w:noProof/>
          <w:vertAlign w:val="superscript"/>
          <w:lang w:val="en-GB"/>
        </w:rPr>
        <w:t>39</w:t>
      </w:r>
      <w:r w:rsidR="00214806" w:rsidRPr="008E5B32">
        <w:fldChar w:fldCharType="end"/>
      </w:r>
      <w:r w:rsidR="00214806" w:rsidRPr="008E5B32">
        <w:rPr>
          <w:lang w:val="en-GB"/>
        </w:rPr>
        <w:t xml:space="preserve">. This has led to the need to develop advanced natural language processing (NLP) techniques and text mining methods to convert these unstructured sources to machine-interpretable format </w:t>
      </w:r>
      <w:r w:rsidR="00214806" w:rsidRPr="008E5B32">
        <w:fldChar w:fldCharType="begin" w:fldLock="1"/>
      </w:r>
      <w:r w:rsidR="004C12A8" w:rsidRPr="008E5B32">
        <w:rPr>
          <w:lang w:val="en-GB"/>
        </w:rPr>
        <w:instrText>ADDIN CSL_CITATION {"citationItems":[{"id":"ITEM-1","itemData":{"DOI":"10.1371/journal.pone.0083932","ISBN":"1932-6203 (Electronic)\\r1932-6203 (Linking)","ISSN":"19326203","PMID":"24392101","abstract":"In this study, we demonstrate the use of natural language processing methods to extract, from nanomedicine literature, numeric values of biomedical property terms of poly(amidoamine) dendrimers. We have developed a method for extracting these values for properties taken from the NanoParticle Ontology, using the General Architecture for Text Engineering and a Nearly-New Information Extraction System. We also created a method for associating the identified numeric values with their corresponding dendrimer properties, called NanoSifter. We demonstrate that our system can correctly extract numeric values of dendrimer properties reported in the cancer treatment literature with high recall, precision, and f-measure. The micro-averaged recall was 0.99, precision was 0.84, and f-measure was 0.91. Similarly, the macro-averaged recall was 0.99, precision was 0.87, and f-measure was 0.92. To our knowledge, these results are the first application of text mining to extract and associate dendrimer property terms and their corresponding numeric values.","author":[{"dropping-particle":"","family":"Jones","given":"David E.","non-dropping-particle":"","parse-names":false,"suffix":""},{"dropping-particle":"","family":"Igo","given":"Sean","non-dropping-particle":"","parse-names":false,"suffix":""},{"dropping-particle":"","family":"Hurdle","given":"John","non-dropping-particle":"","parse-names":false,"suffix":""},{"dropping-particle":"","family":"Facelli","given":"Julio C.","non-dropping-particle":"","parse-names":false,"suffix":""}],"container-title":"PLoS ONE","id":"ITEM-1","issue":"1","issued":{"date-parts":[["2014"]]},"title":"Automatic Extraction of NanoParticle properties using natural language processing: NanoSifter an application to acquire pamam dendrimer properties","type":"article-journal","volume":"9"},"uris":["http://www.mendeley.com/documents/?uuid=6c56e58d-88e7-4909-81c7-98e0f310254b"]},{"id":"ITEM-2","itemData":{"DOI":"10.3762/bjnano.6.149","ISSN":"21904286","PMID":"26199848","abstract":"Literature in the field of nanotechnology is exponentially increasing with more and more engineered nanomaterials being created, characterized, and tested for performance and safety. With the deluge of published data, there is a need for natural language processing approaches to semi-automate the cataloguing of engineered nanomaterials and their associated physico-chemical properties, performance, exposure scenarios, and biological effects. In this paper, we review the different informatics methods that have been applied to patent mining, nanomaterial/device characterization, nanomedicine, and environmental risk assessment. Nine natural language processing (NLP)-based tools were identified: NanoPort, NanoMapper, TechPerceptor, a Text Mining Framework, a Nanodevice Analyzer, a Clinical Trial Document Classifier, Nanotoxicity Searcher, NanoSifter, and NEIMiner. We conclude with recommendations for sharing NLP-related tools through online repositories to broaden participation in nanoinformatics.","author":[{"dropping-particle":"","family":"Lewinski","given":"Nastassja A.","non-dropping-particle":"","parse-names":false,"suffix":""},{"dropping-particle":"","family":"McInnes","given":"Bridget T.","non-dropping-particle":"","parse-names":false,"suffix":""}],"container-title":"Beilstein Journal of Nanotechnology","id":"ITEM-2","issued":{"date-parts":[["2015"]]},"title":"Using natural language processing techniques to inform research on nanotechnology","type":"article-journal"},"uris":["http://www.mendeley.com/documents/?uuid=55c10b4a-1f82-4104-9900-c4a7f72ad37f"]}],"mendeley":{"formattedCitation":"&lt;sup&gt;43,44&lt;/sup&gt;","plainTextFormattedCitation":"43,44","previouslyFormattedCitation":"&lt;sup&gt;43,44&lt;/sup&gt;"},"properties":{"noteIndex":0},"schema":"https://github.com/citation-style-language/schema/raw/master/csl-citation.json"}</w:instrText>
      </w:r>
      <w:r w:rsidR="00214806" w:rsidRPr="008E5B32">
        <w:fldChar w:fldCharType="separate"/>
      </w:r>
      <w:r w:rsidR="005D1733" w:rsidRPr="008E5B32">
        <w:rPr>
          <w:noProof/>
          <w:vertAlign w:val="superscript"/>
          <w:lang w:val="en-GB"/>
        </w:rPr>
        <w:t>43,44</w:t>
      </w:r>
      <w:r w:rsidR="00214806" w:rsidRPr="008E5B32">
        <w:fldChar w:fldCharType="end"/>
      </w:r>
      <w:r w:rsidR="00214806" w:rsidRPr="008E5B32">
        <w:rPr>
          <w:lang w:val="en-GB"/>
        </w:rPr>
        <w:t xml:space="preserve">. This issue has been partially addressed in the biomedical domain through </w:t>
      </w:r>
      <w:r w:rsidR="00BC7394" w:rsidRPr="008E5B32">
        <w:rPr>
          <w:lang w:val="en-GB"/>
        </w:rPr>
        <w:t>bio</w:t>
      </w:r>
      <w:r w:rsidR="00214806" w:rsidRPr="008E5B32">
        <w:rPr>
          <w:lang w:val="en-GB"/>
        </w:rPr>
        <w:t xml:space="preserve">informatics approaches </w:t>
      </w:r>
      <w:r w:rsidR="00214806" w:rsidRPr="008E5B32">
        <w:fldChar w:fldCharType="begin" w:fldLock="1"/>
      </w:r>
      <w:r w:rsidR="004C12A8" w:rsidRPr="008E5B32">
        <w:rPr>
          <w:lang w:val="en-GB"/>
        </w:rPr>
        <w:instrText>ADDIN CSL_CITATION {"citationItems":[{"id":"ITEM-1","itemData":{"DOI":"10.2147/IJN.S24582","ISBN":"1178-2013","ISSN":"11769114","PMID":"22866003","abstract":"Over a decade ago, nanotechnologists began research on applications of nanomaterials for medicine. This research has revealed a wide range of different challenges, as well as many opportunities. Some of these challenges are strongly related to informatics issues, dealing, for instance, with the management and integration of heterogeneous information, defining nomenclatures, taxonomies and classifications for various types of nanomaterials, and research on new modeling and simulation techniques for nanoparticles. Nanoinformatics has recently emerged in the USA and Europe to address these issues. In this paper, we present a review of nanoinformatics, describing its origins, the problems it addresses, areas of interest, and examples of current research initiatives and informatics resources. We suggest that nanoinformatics could accelerate research and development in nanomedicine, as has occurred in the past in other fields. For instance, biomedical informatics served as a fundamental catalyst for the Human Genome Project, and other genomic and -omics projects, as well as the translational efforts that link resulting molecular-level research to clinical problems and findings.","author":[{"dropping-particle":"","family":"Maojo","given":"Victor","non-dropping-particle":"","parse-names":false,"suffix":""},{"dropping-particle":"","family":"Fritts","given":"Martin","non-dropping-particle":"","parse-names":false,"suffix":""},{"dropping-particle":"","family":"la Iglesia","given":"Diana","non-dropping-particle":"de","parse-names":false,"suffix":""},{"dropping-particle":"","family":"Cachau","given":"Raul E.","non-dropping-particle":"","parse-names":false,"suffix":""},{"dropping-particle":"","family":"Garcia-Remesal","given":"Miguel","non-dropping-particle":"","parse-names":false,"suffix":""},{"dropping-particle":"","family":"Mitchell","given":"Joyce A.","non-dropping-particle":"","parse-names":false,"suffix":""},{"dropping-particle":"","family":"Kulikowski","given":"Casimir","non-dropping-particle":"","parse-names":false,"suffix":""}],"container-title":"International Journal of Nanomedicine","id":"ITEM-1","issued":{"date-parts":[["2012"]]},"title":"Nanoinformatics: A new area of research in nanomedicine","type":"article"},"uris":["http://www.mendeley.com/documents/?uuid=03081c3e-dd8d-3c75-8f52-7be023528a6b"]}],"mendeley":{"formattedCitation":"&lt;sup&gt;45&lt;/sup&gt;","plainTextFormattedCitation":"45","previouslyFormattedCitation":"&lt;sup&gt;45&lt;/sup&gt;"},"properties":{"noteIndex":0},"schema":"https://github.com/citation-style-language/schema/raw/master/csl-citation.json"}</w:instrText>
      </w:r>
      <w:r w:rsidR="00214806" w:rsidRPr="008E5B32">
        <w:fldChar w:fldCharType="separate"/>
      </w:r>
      <w:r w:rsidR="005D1733" w:rsidRPr="008E5B32">
        <w:rPr>
          <w:noProof/>
          <w:vertAlign w:val="superscript"/>
          <w:lang w:val="en-GB"/>
        </w:rPr>
        <w:t>45</w:t>
      </w:r>
      <w:r w:rsidR="00214806" w:rsidRPr="008E5B32">
        <w:fldChar w:fldCharType="end"/>
      </w:r>
      <w:r w:rsidR="00214806" w:rsidRPr="008E5B32">
        <w:rPr>
          <w:lang w:val="en-GB"/>
        </w:rPr>
        <w:t xml:space="preserve">, and there are tools for automatic </w:t>
      </w:r>
      <w:r w:rsidR="00BC7394" w:rsidRPr="008E5B32">
        <w:rPr>
          <w:lang w:val="en-GB"/>
        </w:rPr>
        <w:t xml:space="preserve">retrieval of </w:t>
      </w:r>
      <w:r w:rsidR="00214806" w:rsidRPr="008E5B32">
        <w:rPr>
          <w:lang w:val="en-GB"/>
        </w:rPr>
        <w:t xml:space="preserve">data </w:t>
      </w:r>
      <w:r w:rsidR="00BC7394" w:rsidRPr="008E5B32">
        <w:rPr>
          <w:lang w:val="en-GB"/>
        </w:rPr>
        <w:t>from the literature</w:t>
      </w:r>
      <w:r w:rsidR="00214806" w:rsidRPr="008E5B32">
        <w:rPr>
          <w:lang w:val="en-GB"/>
        </w:rPr>
        <w:t xml:space="preserve">, such as ContentMine </w:t>
      </w:r>
      <w:r w:rsidR="00214806" w:rsidRPr="008E5B32">
        <w:fldChar w:fldCharType="begin" w:fldLock="1"/>
      </w:r>
      <w:r w:rsidR="004C12A8" w:rsidRPr="008E5B32">
        <w:rPr>
          <w:lang w:val="en-GB"/>
        </w:rPr>
        <w:instrText>ADDIN CSL_CITATION {"citationItems":[{"id":"ITEM-1","itemData":{"DOI":"10.1045/november14-smith-unna","ISSN":"10829873","abstract":"Successfully mining scholarly literature at scale is inhibited by technical and political barriers that have been only partially addressed by publishers' application programming interfaces (APIs). Many of those APIs have restrictions that inhibit data mining at scale, and while only some publishers actually provide APIs, almost all publishers make their content available on the web. Current web technologies should make it possible to harvest and mine the scholarly literature regardless of the source of publication, and without using specialised programmatic interfaces controlled by each publisher. Here we describe the tools developed to address this challenge as part of the ContentMine project.","author":[{"dropping-particle":"","family":"Smith-Unna","given":"Richard","non-dropping-particle":"","parse-names":false,"suffix":""},{"dropping-particle":"","family":"Murray-Rust","given":"Peter","non-dropping-particle":"","parse-names":false,"suffix":""}],"container-title":"D-Lib Magazine","id":"ITEM-1","issued":{"date-parts":[["2014"]]},"title":"The ContentMine scraping stack: Literature-scale content mining with community-maintained collections of declarative scrapers","type":"article-journal"},"uris":["http://www.mendeley.com/documents/?uuid=5bef2a4f-c777-4c2f-8ed9-2cc01e2121de","http://www.mendeley.com/documents/?uuid=23b5b0cb-23a7-4d2f-8a90-5aa4ccefadb5","http://www.mendeley.com/documents/?uuid=6ac8709c-40ad-429f-9e98-825fe1773c6f"]}],"mendeley":{"formattedCitation":"&lt;sup&gt;46&lt;/sup&gt;","plainTextFormattedCitation":"46","previouslyFormattedCitation":"&lt;sup&gt;46&lt;/sup&gt;"},"properties":{"noteIndex":0},"schema":"https://github.com/citation-style-language/schema/raw/master/csl-citation.json"}</w:instrText>
      </w:r>
      <w:r w:rsidR="00214806" w:rsidRPr="008E5B32">
        <w:fldChar w:fldCharType="separate"/>
      </w:r>
      <w:r w:rsidR="005D1733" w:rsidRPr="008E5B32">
        <w:rPr>
          <w:noProof/>
          <w:vertAlign w:val="superscript"/>
          <w:lang w:val="en-US"/>
        </w:rPr>
        <w:t>46</w:t>
      </w:r>
      <w:r w:rsidR="00214806" w:rsidRPr="008E5B32">
        <w:fldChar w:fldCharType="end"/>
      </w:r>
      <w:r w:rsidR="00214806" w:rsidRPr="008E5B32">
        <w:rPr>
          <w:lang w:val="en-US"/>
        </w:rPr>
        <w:t xml:space="preserve">. </w:t>
      </w:r>
      <w:r w:rsidR="003D26C5" w:rsidRPr="008E5B32">
        <w:rPr>
          <w:lang w:val="en-US"/>
        </w:rPr>
        <w:t>In addition</w:t>
      </w:r>
      <w:r w:rsidR="00214806" w:rsidRPr="008E5B32">
        <w:rPr>
          <w:lang w:val="en-US"/>
        </w:rPr>
        <w:t xml:space="preserve">, platforms like eNanoMapper </w:t>
      </w:r>
      <w:r w:rsidR="00214806" w:rsidRPr="008E5B32">
        <w:fldChar w:fldCharType="begin" w:fldLock="1"/>
      </w:r>
      <w:r w:rsidR="004C12A8" w:rsidRPr="008E5B32">
        <w:rPr>
          <w:lang w:val="en-US"/>
        </w:rPr>
        <w:instrText>ADDIN CSL_CITATION {"citationItems":[{"id":"ITEM-1","itemData":{"DOI":"10.3762/bjnano.6.165","ISSN":"21904286","PMID":"26425413","abstract":"Background: The NanoSafety Cluster, a cluster of projects funded by the European Commision, identified the need for a computational infrastructure for toxicological data management of engineered nanomaterials (ENMs). Ontologies, open standards, and interoperable designs were envisioned to empower a harmonized approach to European research in nanotechnology. This setting provides a number of opportunities and challenges in the representation of nanomaterials data and the integration of ENM information originating from diverse systems. Within this cluster, eNanoMapper works towards supporting the collaborative safety assessment for ENMs by creating a modular and extensible infrastructure for data sharing, data analysis, and building computational toxicology models for ENMs. Results: The eNanoMapper database solution builds on the previous experience of the consortium partners in supporting diverse data through flexible data storage, open source components and web services. We have recently described the design of the eNanoMapper prototype database along with a summary of challenges in the representation of ENM data and an extensive review of existing nano-related data models, databases, and nanomaterials-related entries in chemical and toxicogenomic databases. This paper continues with a focus on the database functionality exposed through its application programming interface (API), and its use in visualisation and modelling. Considering the preferred community practice of using spreadsheet templates, we developed a configurable spreadsheet parser facilitating user friendly data preparation and data upload. We further present a web application able to retrieve the experimental data via the API and analyze it with multiple data preprocessing and machine learning algorithms. Conclusion: We demonstrate how the eNanoMapper database is used to import and publish online ENM and assay data from several data sources, how the “representational state transfer” (REST) API enables building user friendly interfaces and graphical summaries of the data, and how these resources facilitate the modelling of reproducible quantitative structure–activity relationships for nanomaterials (NanoQSAR).","author":[{"dropping-particle":"","family":"Jeliazkova","given":"Nina","non-dropping-particle":"","parse-names":false,"suffix":""},{"dropping-particle":"","family":"Chomenidis","given":"Charalampos","non-dropping-particle":"","parse-names":false,"suffix":""},{"dropping-particle":"","family":"Doganis","given":"Philip","non-dropping-particle":"","parse-names":false,"suffix":""},{"dropping-particle":"","family":"Fadeel","given":"Bengt","non-dropping-particle":"","parse-names":false,"suffix":""},{"dropping-particle":"","family":"Grafström","given":"Roland","non-dropping-particle":"","parse-names":false,"suffix":""},{"dropping-particle":"","family":"Hardy","given":"Barry","non-dropping-particle":"","parse-names":false,"suffix":""},{"dropping-particle":"","family":"Hastings","given":"Janna","non-dropping-particle":"","parse-names":false,"suffix":""},{"dropping-particle":"","family":"Hegi","given":"Markus","non-dropping-particle":"","parse-names":false,"suffix":""},{"dropping-particle":"","family":"Jeliazkov","given":"Vedrin","non-dropping-particle":"","parse-names":false,"suffix":""},{"dropping-particle":"","family":"Kochev","given":"Nikolay","non-dropping-particle":"","parse-names":false,"suffix":""},{"dropping-particle":"","family":"Kohonen","given":"Pekka","non-dropping-particle":"","parse-names":false,"suffix":""},{"dropping-particle":"","family":"Munteanu","given":"Cristian R.","non-dropping-particle":"","parse-names":false,"suffix":""},{"dropping-particle":"","family":"Sarimveis","given":"Haralambos","non-dropping-particle":"","parse-names":false,"suffix":""},{"dropping-particle":"","family":"Smeets","given":"Bart","non-dropping-particle":"","parse-names":false,"suffix":""},{"dropping-particle":"","family":"Sopasakis","given":"Pantelis","non-dropping-particle":"","parse-names":false,"suffix":""},{"dropping-particle":"","family":"Tsiliki","given":"Georgia","non-dropping-particle":"","parse-names":false,"suffix":""},{"dropping-particle":"","family":"Vorgrimmler","given":"David","non-dropping-particle":"","parse-names":false,"suffix":""},{"dropping-particle":"","family":"Willighagen","given":"Egon","non-dropping-particle":"","parse-names":false,"suffix":""}],"container-title":"Beilstein Journal of Nanotechnology","id":"ITEM-1","issue":"1","issued":{"date-parts":[["2015"]]},"page":"1609-1634","title":"The eNanoMapper database for nanomaterial safety information","type":"article-journal","volume":"6"},"uris":["http://www.mendeley.com/documents/?uuid=1b9ded84-9608-4cc7-b106-8404cf9c322f"]}],"mendeley":{"formattedCitation":"&lt;sup&gt;47&lt;/sup&gt;","plainTextFormattedCitation":"47","previouslyFormattedCitation":"&lt;sup&gt;47&lt;/sup&gt;"},"properties":{"noteIndex":0},"schema":"https://github.com/citation-style-language/schema/raw/master/csl-citation.json"}</w:instrText>
      </w:r>
      <w:r w:rsidR="00214806" w:rsidRPr="008E5B32">
        <w:fldChar w:fldCharType="separate"/>
      </w:r>
      <w:r w:rsidR="005D1733" w:rsidRPr="008E5B32">
        <w:rPr>
          <w:noProof/>
          <w:vertAlign w:val="superscript"/>
          <w:lang w:val="en-GB"/>
        </w:rPr>
        <w:t>47</w:t>
      </w:r>
      <w:r w:rsidR="00214806" w:rsidRPr="008E5B32">
        <w:fldChar w:fldCharType="end"/>
      </w:r>
      <w:r w:rsidR="009B7797" w:rsidRPr="008E5B32">
        <w:rPr>
          <w:lang w:val="en-GB"/>
        </w:rPr>
        <w:t xml:space="preserve">, which is soundly collaborating with Jaqpot </w:t>
      </w:r>
      <w:r w:rsidR="009B7797" w:rsidRPr="008E5B32">
        <w:fldChar w:fldCharType="begin" w:fldLock="1"/>
      </w:r>
      <w:r w:rsidR="004C12A8" w:rsidRPr="008E5B32">
        <w:rPr>
          <w:lang w:val="en-GB"/>
        </w:rPr>
        <w:instrText>ADDIN CSL_CITATION {"citationItems":[{"id":"ITEM-1","itemData":{"DOI":"10.1021/acs.jcim.7b00223","ISSN":"15205142","abstract":"© 2017 American Chemical Society. Engineered nanomaterials (ENMs) are increasingly infiltrating our lives as a result of their applications across multiple fields. However, ENM formulations may result in the modulation of pathways and mechanisms of toxic action that endanger human health and the environment. Alternative testing methods such as in silico approaches are becoming increasingly popular for assessing the safety of ENMs, as they are cost- and time-effective. Additionally, computational approaches support the industrial safer-by-design challenge and the REACH legislation objective of reducing animal testing. Because of the novelty of the field, there is also an evident need for harmonization in terms of databases, ontology, and modeling infrastructures. To this end, we present Jaqpot Quattro, a comprehensive open-source web application for ENM modeling with emphasis on predicting adverse effects of ENMs. We describe the system architecture and outline the functionalities, which include nanoQSAR modeling, validation services, read-across predictions, optimal experimental design, and interlaboratory testing.","author":[{"dropping-particle":"","family":"Chomenidis","given":"Charalampos","non-dropping-particle":"","parse-names":false,"suffix":""},{"dropping-particle":"","family":"Drakakis","given":"Georgios","non-dropping-particle":"","parse-names":false,"suffix":""},{"dropping-particle":"","family":"Tsiliki","given":"Georgia","non-dropping-particle":"","parse-names":false,"suffix":""},{"dropping-particle":"","family":"Anagnostopoulou","given":"Evangelia","non-dropping-particle":"","parse-names":false,"suffix":""},{"dropping-particle":"","family":"Valsamis","given":"Angelos","non-dropping-particle":"","parse-names":false,"suffix":""},{"dropping-particle":"","family":"Doganis","given":"Philip","non-dropping-particle":"","parse-names":false,"suffix":""},{"dropping-particle":"","family":"Sopasakis","given":"Pantelis","non-dropping-particle":"","parse-names":false,"suffix":""},{"dropping-particle":"","family":"Sarimveis","given":"Haralambos","non-dropping-particle":"","parse-names":false,"suffix":""}],"container-title":"Journal of Chemical Information and Modeling","id":"ITEM-1","issued":{"date-parts":[["2017"]]},"title":"Jaqpot Quattro: A Novel Computational Web Platform for Modeling and Analysis in Nanoinformatics","type":"article-journal"},"uris":["http://www.mendeley.com/documents/?uuid=7a655812-6797-4852-9234-94d26576862a","http://www.mendeley.com/documents/?uuid=8af8f2c2-e03b-4d45-8454-38d0bb2fb46c"]}],"mendeley":{"formattedCitation":"&lt;sup&gt;48&lt;/sup&gt;","plainTextFormattedCitation":"48","previouslyFormattedCitation":"&lt;sup&gt;48&lt;/sup&gt;"},"properties":{"noteIndex":0},"schema":"https://github.com/citation-style-language/schema/raw/master/csl-citation.json"}</w:instrText>
      </w:r>
      <w:r w:rsidR="009B7797" w:rsidRPr="008E5B32">
        <w:fldChar w:fldCharType="separate"/>
      </w:r>
      <w:r w:rsidR="005D1733" w:rsidRPr="008E5B32">
        <w:rPr>
          <w:noProof/>
          <w:vertAlign w:val="superscript"/>
          <w:lang w:val="en-GB"/>
        </w:rPr>
        <w:t>48</w:t>
      </w:r>
      <w:r w:rsidR="009B7797" w:rsidRPr="008E5B32">
        <w:fldChar w:fldCharType="end"/>
      </w:r>
      <w:r w:rsidR="009B7797" w:rsidRPr="008E5B32">
        <w:rPr>
          <w:lang w:val="en-GB"/>
        </w:rPr>
        <w:t>, a data analytics web tool,</w:t>
      </w:r>
      <w:r w:rsidR="00214806" w:rsidRPr="008E5B32">
        <w:rPr>
          <w:lang w:val="en-GB"/>
        </w:rPr>
        <w:t xml:space="preserve"> were created as </w:t>
      </w:r>
      <w:r w:rsidR="00BC7394" w:rsidRPr="008E5B32">
        <w:rPr>
          <w:lang w:val="en-GB"/>
        </w:rPr>
        <w:t>means</w:t>
      </w:r>
      <w:r w:rsidR="00214806" w:rsidRPr="008E5B32">
        <w:rPr>
          <w:lang w:val="en-GB"/>
        </w:rPr>
        <w:t xml:space="preserve"> for </w:t>
      </w:r>
      <w:r w:rsidR="003D26C5" w:rsidRPr="008E5B32">
        <w:rPr>
          <w:lang w:val="en-GB"/>
        </w:rPr>
        <w:t xml:space="preserve">collection and curation of </w:t>
      </w:r>
      <w:r w:rsidR="00214806" w:rsidRPr="008E5B32">
        <w:rPr>
          <w:lang w:val="en-GB"/>
        </w:rPr>
        <w:t xml:space="preserve">data </w:t>
      </w:r>
      <w:r w:rsidR="003D26C5" w:rsidRPr="008E5B32">
        <w:rPr>
          <w:lang w:val="en-GB"/>
        </w:rPr>
        <w:t>to establish their completeness and quality</w:t>
      </w:r>
      <w:r w:rsidR="00214806" w:rsidRPr="008E5B32">
        <w:rPr>
          <w:lang w:val="en-GB"/>
        </w:rPr>
        <w:t xml:space="preserve">. </w:t>
      </w:r>
    </w:p>
    <w:p w14:paraId="3DE459DB" w14:textId="741113CB" w:rsidR="00BF6E6F" w:rsidRPr="008E5B32" w:rsidRDefault="00214806" w:rsidP="00012A66">
      <w:pPr>
        <w:rPr>
          <w:lang w:val="en-GB"/>
        </w:rPr>
      </w:pPr>
      <w:r w:rsidRPr="008E5B32">
        <w:rPr>
          <w:lang w:val="en-GB"/>
        </w:rPr>
        <w:t>It</w:t>
      </w:r>
      <w:r w:rsidR="006A0184" w:rsidRPr="008E5B32">
        <w:rPr>
          <w:lang w:val="en-GB"/>
        </w:rPr>
        <w:t xml:space="preserve"> is </w:t>
      </w:r>
      <w:r w:rsidR="0015064B" w:rsidRPr="008E5B32">
        <w:rPr>
          <w:lang w:val="en-GB"/>
        </w:rPr>
        <w:t xml:space="preserve">essential </w:t>
      </w:r>
      <w:r w:rsidR="006A0184" w:rsidRPr="008E5B32">
        <w:rPr>
          <w:lang w:val="en-GB"/>
        </w:rPr>
        <w:t>to make the best use o</w:t>
      </w:r>
      <w:r w:rsidRPr="008E5B32">
        <w:rPr>
          <w:lang w:val="en-GB"/>
        </w:rPr>
        <w:t xml:space="preserve">f these </w:t>
      </w:r>
      <w:r w:rsidR="0015064B" w:rsidRPr="008E5B32">
        <w:rPr>
          <w:lang w:val="en-GB"/>
        </w:rPr>
        <w:t xml:space="preserve">data </w:t>
      </w:r>
      <w:r w:rsidR="00BC7394" w:rsidRPr="008E5B32">
        <w:rPr>
          <w:lang w:val="en-GB"/>
        </w:rPr>
        <w:t>re</w:t>
      </w:r>
      <w:r w:rsidRPr="008E5B32">
        <w:rPr>
          <w:lang w:val="en-GB"/>
        </w:rPr>
        <w:t xml:space="preserve">sources </w:t>
      </w:r>
      <w:r w:rsidR="0015064B" w:rsidRPr="008E5B32">
        <w:rPr>
          <w:lang w:val="en-GB"/>
        </w:rPr>
        <w:t xml:space="preserve">to develop robust </w:t>
      </w:r>
      <w:r w:rsidR="0015064B" w:rsidRPr="008E5B32">
        <w:rPr>
          <w:i/>
          <w:lang w:val="en-GB"/>
        </w:rPr>
        <w:t>in silico</w:t>
      </w:r>
      <w:r w:rsidR="0015064B" w:rsidRPr="008E5B32">
        <w:rPr>
          <w:lang w:val="en-GB"/>
        </w:rPr>
        <w:t xml:space="preserve"> models as part of IATA for </w:t>
      </w:r>
      <w:r w:rsidR="003D26C5" w:rsidRPr="008E5B32">
        <w:rPr>
          <w:lang w:val="en-GB"/>
        </w:rPr>
        <w:t xml:space="preserve">Grouping and Read-Across </w:t>
      </w:r>
      <w:r w:rsidR="00E70085" w:rsidRPr="008E5B32">
        <w:rPr>
          <w:lang w:val="en-GB"/>
        </w:rPr>
        <w:t xml:space="preserve">to inform </w:t>
      </w:r>
      <w:r w:rsidR="0015064B" w:rsidRPr="008E5B32">
        <w:rPr>
          <w:lang w:val="en-GB"/>
        </w:rPr>
        <w:t xml:space="preserve">regulatory </w:t>
      </w:r>
      <w:r w:rsidR="002E2411" w:rsidRPr="008E5B32">
        <w:rPr>
          <w:lang w:val="en-GB"/>
        </w:rPr>
        <w:t>Risk Assessment</w:t>
      </w:r>
      <w:r w:rsidR="008632CA" w:rsidRPr="008E5B32">
        <w:rPr>
          <w:lang w:val="en-GB"/>
        </w:rPr>
        <w:t xml:space="preserve"> </w:t>
      </w:r>
      <w:r w:rsidR="0015122F" w:rsidRPr="008E5B32">
        <w:rPr>
          <w:lang w:val="en-GB"/>
        </w:rPr>
        <w:t xml:space="preserve">and </w:t>
      </w:r>
      <w:r w:rsidR="008632CA" w:rsidRPr="008E5B32">
        <w:rPr>
          <w:lang w:val="en-GB"/>
        </w:rPr>
        <w:t xml:space="preserve">SbD </w:t>
      </w:r>
      <w:r w:rsidR="0015064B" w:rsidRPr="008E5B32">
        <w:rPr>
          <w:lang w:val="en-GB"/>
        </w:rPr>
        <w:t>decision making</w:t>
      </w:r>
      <w:r w:rsidR="0015122F" w:rsidRPr="008E5B32">
        <w:rPr>
          <w:lang w:val="en-GB"/>
        </w:rPr>
        <w:t>.</w:t>
      </w:r>
      <w:r w:rsidR="006A0184" w:rsidRPr="008E5B32">
        <w:rPr>
          <w:lang w:val="en-GB"/>
        </w:rPr>
        <w:t xml:space="preserve"> </w:t>
      </w:r>
      <w:r w:rsidR="0015064B" w:rsidRPr="008E5B32">
        <w:rPr>
          <w:lang w:val="en-GB"/>
        </w:rPr>
        <w:t xml:space="preserve">To facilitate this, the </w:t>
      </w:r>
      <w:r w:rsidR="00012A66" w:rsidRPr="008E5B32">
        <w:rPr>
          <w:lang w:val="en-GB"/>
        </w:rPr>
        <w:t>objectives of this manuscript are:</w:t>
      </w:r>
      <w:r w:rsidR="00160268" w:rsidRPr="008E5B32">
        <w:rPr>
          <w:lang w:val="en-GB"/>
        </w:rPr>
        <w:t xml:space="preserve"> (i)</w:t>
      </w:r>
      <w:r w:rsidR="0015064B" w:rsidRPr="008E5B32">
        <w:rPr>
          <w:lang w:val="en-GB"/>
        </w:rPr>
        <w:t xml:space="preserve"> </w:t>
      </w:r>
      <w:r w:rsidR="00012A66" w:rsidRPr="008E5B32">
        <w:rPr>
          <w:lang w:val="en-GB"/>
        </w:rPr>
        <w:t>to critically review</w:t>
      </w:r>
      <w:r w:rsidR="0015064B" w:rsidRPr="008E5B32">
        <w:rPr>
          <w:lang w:val="en-GB"/>
        </w:rPr>
        <w:t xml:space="preserve"> the</w:t>
      </w:r>
      <w:r w:rsidR="00012A66" w:rsidRPr="008E5B32">
        <w:rPr>
          <w:lang w:val="en-GB"/>
        </w:rPr>
        <w:t xml:space="preserve"> </w:t>
      </w:r>
      <w:r w:rsidR="00012A66" w:rsidRPr="008E5B32">
        <w:rPr>
          <w:i/>
          <w:lang w:val="en-GB"/>
        </w:rPr>
        <w:t>in silico</w:t>
      </w:r>
      <w:r w:rsidR="00012A66" w:rsidRPr="008E5B32">
        <w:rPr>
          <w:lang w:val="en-GB"/>
        </w:rPr>
        <w:t xml:space="preserve"> approaches </w:t>
      </w:r>
      <w:r w:rsidR="0015064B" w:rsidRPr="008E5B32">
        <w:rPr>
          <w:lang w:val="en-GB"/>
        </w:rPr>
        <w:t xml:space="preserve">(QSARs and other </w:t>
      </w:r>
      <w:r w:rsidR="007D653A" w:rsidRPr="008E5B32">
        <w:rPr>
          <w:lang w:val="en-GB"/>
        </w:rPr>
        <w:t>ML</w:t>
      </w:r>
      <w:r w:rsidR="00012A66" w:rsidRPr="008E5B32">
        <w:rPr>
          <w:lang w:val="en-GB"/>
        </w:rPr>
        <w:t xml:space="preserve"> techniques</w:t>
      </w:r>
      <w:r w:rsidR="0015064B" w:rsidRPr="008E5B32">
        <w:rPr>
          <w:lang w:val="en-GB"/>
        </w:rPr>
        <w:t xml:space="preserve">) </w:t>
      </w:r>
      <w:r w:rsidR="00E70085" w:rsidRPr="008E5B32">
        <w:rPr>
          <w:lang w:val="en-GB"/>
        </w:rPr>
        <w:t>of relevance</w:t>
      </w:r>
      <w:bookmarkStart w:id="1" w:name="_Hlk531273179"/>
      <w:r w:rsidR="00FE7EBD" w:rsidRPr="008E5B32">
        <w:rPr>
          <w:lang w:val="en-GB"/>
        </w:rPr>
        <w:t xml:space="preserve"> </w:t>
      </w:r>
      <w:r w:rsidR="00E70085" w:rsidRPr="008E5B32">
        <w:rPr>
          <w:lang w:val="en-GB"/>
        </w:rPr>
        <w:t xml:space="preserve">for </w:t>
      </w:r>
      <w:r w:rsidR="00864ECC" w:rsidRPr="008E5B32">
        <w:rPr>
          <w:lang w:val="en-GB"/>
        </w:rPr>
        <w:t>predicting human health hazard endpoints</w:t>
      </w:r>
      <w:bookmarkEnd w:id="1"/>
      <w:r w:rsidR="00E70085" w:rsidRPr="008E5B32">
        <w:rPr>
          <w:lang w:val="en-GB"/>
        </w:rPr>
        <w:t xml:space="preserve">, </w:t>
      </w:r>
      <w:r w:rsidR="00BC7394" w:rsidRPr="008E5B32">
        <w:rPr>
          <w:lang w:val="en-GB"/>
        </w:rPr>
        <w:t xml:space="preserve">and </w:t>
      </w:r>
      <w:r w:rsidR="00012A66" w:rsidRPr="008E5B32">
        <w:rPr>
          <w:lang w:val="en-GB"/>
        </w:rPr>
        <w:t>discuss</w:t>
      </w:r>
      <w:r w:rsidR="00BC7394" w:rsidRPr="008E5B32">
        <w:rPr>
          <w:lang w:val="en-GB"/>
        </w:rPr>
        <w:t xml:space="preserve"> </w:t>
      </w:r>
      <w:r w:rsidR="00012A66" w:rsidRPr="008E5B32">
        <w:rPr>
          <w:lang w:val="en-GB"/>
        </w:rPr>
        <w:t xml:space="preserve">their </w:t>
      </w:r>
      <w:r w:rsidR="0015064B" w:rsidRPr="008E5B32">
        <w:rPr>
          <w:lang w:val="en-GB"/>
        </w:rPr>
        <w:t xml:space="preserve">data requirements, methodological </w:t>
      </w:r>
      <w:r w:rsidR="00012A66" w:rsidRPr="008E5B32">
        <w:rPr>
          <w:lang w:val="en-GB"/>
        </w:rPr>
        <w:t>strengths and limitations</w:t>
      </w:r>
      <w:r w:rsidR="0015064B" w:rsidRPr="008E5B32">
        <w:rPr>
          <w:lang w:val="en-GB"/>
        </w:rPr>
        <w:t xml:space="preserve">; (ii) to provide an overview on the available databases that may be useful for training and validating these </w:t>
      </w:r>
      <w:r w:rsidR="0015064B" w:rsidRPr="008E5B32">
        <w:rPr>
          <w:i/>
          <w:lang w:val="en-GB"/>
        </w:rPr>
        <w:t>in silico</w:t>
      </w:r>
      <w:r w:rsidR="0015064B" w:rsidRPr="008E5B32">
        <w:rPr>
          <w:lang w:val="en-GB"/>
        </w:rPr>
        <w:t xml:space="preserve"> modelling tools, </w:t>
      </w:r>
      <w:r w:rsidR="00F512E5" w:rsidRPr="008E5B32">
        <w:rPr>
          <w:lang w:val="en-GB"/>
        </w:rPr>
        <w:t xml:space="preserve">and </w:t>
      </w:r>
      <w:r w:rsidR="00012A66" w:rsidRPr="008E5B32">
        <w:rPr>
          <w:lang w:val="en-GB"/>
        </w:rPr>
        <w:t>(i</w:t>
      </w:r>
      <w:r w:rsidR="00160268" w:rsidRPr="008E5B32">
        <w:rPr>
          <w:lang w:val="en-GB"/>
        </w:rPr>
        <w:t>i</w:t>
      </w:r>
      <w:r w:rsidR="00012A66" w:rsidRPr="008E5B32">
        <w:rPr>
          <w:lang w:val="en-GB"/>
        </w:rPr>
        <w:t xml:space="preserve">i) </w:t>
      </w:r>
      <w:r w:rsidR="00F512E5" w:rsidRPr="008E5B32">
        <w:rPr>
          <w:lang w:val="en-GB"/>
        </w:rPr>
        <w:t xml:space="preserve">to </w:t>
      </w:r>
      <w:r w:rsidR="00012A66" w:rsidRPr="008E5B32">
        <w:rPr>
          <w:lang w:val="en-GB"/>
        </w:rPr>
        <w:t xml:space="preserve">identify further steps in addressing </w:t>
      </w:r>
      <w:r w:rsidR="009707DC" w:rsidRPr="008E5B32">
        <w:rPr>
          <w:lang w:val="en-GB"/>
        </w:rPr>
        <w:t xml:space="preserve">the identified data and methodological concerns in order to contribute to the future adoption of </w:t>
      </w:r>
      <w:r w:rsidR="009707DC" w:rsidRPr="008E5B32">
        <w:rPr>
          <w:i/>
          <w:lang w:val="en-GB"/>
        </w:rPr>
        <w:t>in silico</w:t>
      </w:r>
      <w:r w:rsidR="009707DC" w:rsidRPr="008E5B32">
        <w:rPr>
          <w:lang w:val="en-GB"/>
        </w:rPr>
        <w:t xml:space="preserve"> tools as part of IATA for the regulatory safety assessment of NMs</w:t>
      </w:r>
      <w:r w:rsidR="00012A66" w:rsidRPr="008E5B32">
        <w:rPr>
          <w:lang w:val="en-GB"/>
        </w:rPr>
        <w:t xml:space="preserve">. </w:t>
      </w:r>
    </w:p>
    <w:p w14:paraId="51C53219" w14:textId="41DA7762" w:rsidR="00012A66" w:rsidRPr="008E5B32" w:rsidRDefault="00DC4FBF" w:rsidP="00012A66">
      <w:pPr>
        <w:rPr>
          <w:lang w:val="en-GB"/>
        </w:rPr>
      </w:pPr>
      <w:r w:rsidRPr="008E5B32">
        <w:rPr>
          <w:lang w:val="en-GB"/>
        </w:rPr>
        <w:t xml:space="preserve">The manuscript is organized as follows: in </w:t>
      </w:r>
      <w:r w:rsidR="00BF6E6F" w:rsidRPr="008E5B32">
        <w:rPr>
          <w:lang w:val="en-GB"/>
        </w:rPr>
        <w:t>S</w:t>
      </w:r>
      <w:r w:rsidRPr="008E5B32">
        <w:rPr>
          <w:lang w:val="en-GB"/>
        </w:rPr>
        <w:t>ection 2</w:t>
      </w:r>
      <w:r w:rsidR="00BF6E6F" w:rsidRPr="008E5B32">
        <w:rPr>
          <w:lang w:val="en-GB"/>
        </w:rPr>
        <w:t xml:space="preserve"> the criteria used to evaluate the reviewed </w:t>
      </w:r>
      <w:r w:rsidR="00BF6E6F" w:rsidRPr="008E5B32">
        <w:rPr>
          <w:i/>
          <w:lang w:val="en-GB"/>
        </w:rPr>
        <w:t xml:space="preserve">in silico </w:t>
      </w:r>
      <w:r w:rsidR="00BF6E6F" w:rsidRPr="008E5B32">
        <w:rPr>
          <w:lang w:val="en-GB"/>
        </w:rPr>
        <w:t xml:space="preserve">tools for the prediction of human health hazard endpoints are described, then in Section 3 first an overview on the freely available data sources is provided, discussing the known open issues (Section 3.1), then Read-Across (Section 3.2) and (Q)SARs (Section 3.3) approaches are reviewed against the criteria introduced in Section 2, and results for each criteria are </w:t>
      </w:r>
      <w:r w:rsidR="000245A0" w:rsidRPr="008E5B32">
        <w:rPr>
          <w:lang w:val="en-GB"/>
        </w:rPr>
        <w:t>summarized</w:t>
      </w:r>
      <w:r w:rsidR="00BF6E6F" w:rsidRPr="008E5B32">
        <w:rPr>
          <w:lang w:val="en-GB"/>
        </w:rPr>
        <w:t>. Then, in Section 4 a comprehensive discussion on the results provided in Section 3 is provided, together with recommendations on how to target future research.</w:t>
      </w:r>
      <w:r w:rsidR="00131B1B" w:rsidRPr="008E5B32">
        <w:rPr>
          <w:lang w:val="en-GB"/>
        </w:rPr>
        <w:t xml:space="preserve"> Finally, in Section 5 the main results of this review are summarized.</w:t>
      </w:r>
    </w:p>
    <w:p w14:paraId="151FC5D9" w14:textId="77777777" w:rsidR="00BB10D6" w:rsidRPr="008E5B32" w:rsidRDefault="004E000A" w:rsidP="00955B9B">
      <w:pPr>
        <w:pStyle w:val="Heading1"/>
        <w:spacing w:line="312" w:lineRule="auto"/>
        <w:rPr>
          <w:lang w:val="en-GB"/>
        </w:rPr>
      </w:pPr>
      <w:r w:rsidRPr="008E5B32">
        <w:rPr>
          <w:lang w:val="en-GB"/>
        </w:rPr>
        <w:t xml:space="preserve">2. Methods </w:t>
      </w:r>
    </w:p>
    <w:p w14:paraId="7EF5C45C" w14:textId="77777777" w:rsidR="00D11630" w:rsidRPr="008E5B32" w:rsidRDefault="00D11630" w:rsidP="00D11630">
      <w:pPr>
        <w:pStyle w:val="Heading1"/>
        <w:spacing w:line="312" w:lineRule="auto"/>
        <w:rPr>
          <w:lang w:val="en-GB"/>
        </w:rPr>
      </w:pPr>
      <w:r w:rsidRPr="008E5B32">
        <w:rPr>
          <w:lang w:val="en-GB"/>
        </w:rPr>
        <w:t xml:space="preserve">2.1 Critical </w:t>
      </w:r>
      <w:r w:rsidR="006B6E86" w:rsidRPr="008E5B32">
        <w:rPr>
          <w:lang w:val="en-GB"/>
        </w:rPr>
        <w:t>appraisal</w:t>
      </w:r>
      <w:r w:rsidRPr="008E5B32">
        <w:rPr>
          <w:lang w:val="en-GB"/>
        </w:rPr>
        <w:t xml:space="preserve"> of peer-reviewed literature</w:t>
      </w:r>
    </w:p>
    <w:p w14:paraId="357AF5E8" w14:textId="0A074CF6" w:rsidR="007467E3" w:rsidRPr="008E5B32" w:rsidRDefault="00E157DE" w:rsidP="00D11630">
      <w:pPr>
        <w:rPr>
          <w:lang w:val="en-GB"/>
        </w:rPr>
      </w:pPr>
      <w:r w:rsidRPr="008E5B32">
        <w:rPr>
          <w:lang w:val="en-GB"/>
        </w:rPr>
        <w:t>In this review</w:t>
      </w:r>
      <w:r w:rsidR="00D11630" w:rsidRPr="008E5B32">
        <w:rPr>
          <w:lang w:val="en-GB"/>
        </w:rPr>
        <w:t>,</w:t>
      </w:r>
      <w:r w:rsidRPr="008E5B32">
        <w:rPr>
          <w:lang w:val="en-GB"/>
        </w:rPr>
        <w:t xml:space="preserve"> we have </w:t>
      </w:r>
      <w:r w:rsidR="007467E3" w:rsidRPr="008E5B32">
        <w:rPr>
          <w:lang w:val="en-GB"/>
        </w:rPr>
        <w:t>selected and reported</w:t>
      </w:r>
      <w:r w:rsidR="002E43BB" w:rsidRPr="008E5B32">
        <w:rPr>
          <w:lang w:val="en-GB"/>
        </w:rPr>
        <w:t xml:space="preserve"> </w:t>
      </w:r>
      <w:r w:rsidR="006B6E86" w:rsidRPr="008E5B32">
        <w:rPr>
          <w:lang w:val="en-GB"/>
        </w:rPr>
        <w:t xml:space="preserve">peer-reviewed </w:t>
      </w:r>
      <w:r w:rsidR="007467E3" w:rsidRPr="008E5B32">
        <w:rPr>
          <w:lang w:val="en-GB"/>
        </w:rPr>
        <w:t xml:space="preserve">research papers that described specific </w:t>
      </w:r>
      <w:r w:rsidR="005B29E6" w:rsidRPr="008E5B32">
        <w:rPr>
          <w:i/>
          <w:lang w:val="en-GB"/>
        </w:rPr>
        <w:t>in silico</w:t>
      </w:r>
      <w:r w:rsidR="005B29E6" w:rsidRPr="008E5B32">
        <w:rPr>
          <w:lang w:val="en-GB"/>
        </w:rPr>
        <w:t xml:space="preserve"> </w:t>
      </w:r>
      <w:r w:rsidR="007467E3" w:rsidRPr="008E5B32">
        <w:rPr>
          <w:lang w:val="en-GB"/>
        </w:rPr>
        <w:t xml:space="preserve">tools </w:t>
      </w:r>
      <w:r w:rsidR="005B29E6" w:rsidRPr="008E5B32">
        <w:rPr>
          <w:lang w:val="en-GB"/>
        </w:rPr>
        <w:t>relevant for</w:t>
      </w:r>
      <w:r w:rsidR="00E548D2" w:rsidRPr="008E5B32">
        <w:rPr>
          <w:lang w:val="en-GB"/>
        </w:rPr>
        <w:t xml:space="preserve"> </w:t>
      </w:r>
      <w:r w:rsidR="00ED6F70" w:rsidRPr="008E5B32">
        <w:rPr>
          <w:lang w:val="en-GB"/>
        </w:rPr>
        <w:t>G</w:t>
      </w:r>
      <w:r w:rsidR="00E548D2" w:rsidRPr="008E5B32">
        <w:rPr>
          <w:lang w:val="en-GB"/>
        </w:rPr>
        <w:t xml:space="preserve">rouping </w:t>
      </w:r>
      <w:r w:rsidR="00F8689A" w:rsidRPr="008E5B32">
        <w:rPr>
          <w:lang w:val="en-GB"/>
        </w:rPr>
        <w:t>and</w:t>
      </w:r>
      <w:r w:rsidR="00E548D2" w:rsidRPr="008E5B32">
        <w:rPr>
          <w:lang w:val="en-GB"/>
        </w:rPr>
        <w:t xml:space="preserve"> </w:t>
      </w:r>
      <w:r w:rsidR="00650B32" w:rsidRPr="008E5B32">
        <w:rPr>
          <w:lang w:val="en-GB"/>
        </w:rPr>
        <w:t>Read-Across</w:t>
      </w:r>
      <w:r w:rsidR="00864ECC" w:rsidRPr="008E5B32">
        <w:rPr>
          <w:lang w:val="en-GB"/>
        </w:rPr>
        <w:t xml:space="preserve"> hazard endpoints</w:t>
      </w:r>
      <w:r w:rsidRPr="008E5B32">
        <w:rPr>
          <w:lang w:val="en-GB"/>
        </w:rPr>
        <w:t xml:space="preserve"> </w:t>
      </w:r>
      <w:r w:rsidR="005B29E6" w:rsidRPr="008E5B32">
        <w:rPr>
          <w:lang w:val="en-GB"/>
        </w:rPr>
        <w:t>in the context of the regulatory safety assessment of NMs.</w:t>
      </w:r>
      <w:r w:rsidR="00340EE4" w:rsidRPr="008E5B32">
        <w:rPr>
          <w:lang w:val="en-GB"/>
        </w:rPr>
        <w:t xml:space="preserve"> </w:t>
      </w:r>
      <w:r w:rsidR="00D6212A" w:rsidRPr="008E5B32">
        <w:rPr>
          <w:lang w:val="en-GB"/>
        </w:rPr>
        <w:t>In the case of (Q)SARs we focused on peer-reviewed approaches that make use of ML techniques</w:t>
      </w:r>
      <w:r w:rsidR="00FE7EBD" w:rsidRPr="008E5B32">
        <w:rPr>
          <w:lang w:val="en-GB"/>
        </w:rPr>
        <w:t xml:space="preserve"> to predict human health hazard endpoints</w:t>
      </w:r>
      <w:r w:rsidR="00D6212A" w:rsidRPr="008E5B32">
        <w:rPr>
          <w:lang w:val="en-GB"/>
        </w:rPr>
        <w:t xml:space="preserve">, while for </w:t>
      </w:r>
      <w:r w:rsidR="002E2411" w:rsidRPr="008E5B32">
        <w:rPr>
          <w:lang w:val="en-GB"/>
        </w:rPr>
        <w:t>Read-Across</w:t>
      </w:r>
      <w:r w:rsidR="00D6212A" w:rsidRPr="008E5B32">
        <w:rPr>
          <w:lang w:val="en-GB"/>
        </w:rPr>
        <w:t xml:space="preserve"> approaches</w:t>
      </w:r>
      <w:r w:rsidR="004F25DB" w:rsidRPr="008E5B32">
        <w:rPr>
          <w:lang w:val="en-GB"/>
        </w:rPr>
        <w:t>, due to the small number of existing studies,</w:t>
      </w:r>
      <w:r w:rsidR="00D6212A" w:rsidRPr="008E5B32">
        <w:rPr>
          <w:lang w:val="en-GB"/>
        </w:rPr>
        <w:t xml:space="preserve"> we </w:t>
      </w:r>
      <w:r w:rsidR="004F25DB" w:rsidRPr="008E5B32">
        <w:rPr>
          <w:lang w:val="en-GB"/>
        </w:rPr>
        <w:t xml:space="preserve">included </w:t>
      </w:r>
      <w:r w:rsidR="00FE7EBD" w:rsidRPr="008E5B32">
        <w:rPr>
          <w:lang w:val="en-GB"/>
        </w:rPr>
        <w:t xml:space="preserve">environmental and human health hazard endpoints </w:t>
      </w:r>
      <w:r w:rsidR="004F25DB" w:rsidRPr="008E5B32">
        <w:rPr>
          <w:lang w:val="en-GB"/>
        </w:rPr>
        <w:t>as relevant case studies</w:t>
      </w:r>
      <w:r w:rsidR="00FE7EBD" w:rsidRPr="008E5B32">
        <w:rPr>
          <w:lang w:val="en-GB"/>
        </w:rPr>
        <w:t>,</w:t>
      </w:r>
      <w:r w:rsidR="0036325F" w:rsidRPr="008E5B32">
        <w:rPr>
          <w:lang w:val="en-GB"/>
        </w:rPr>
        <w:t xml:space="preserve"> and</w:t>
      </w:r>
      <w:r w:rsidR="00FE7EBD" w:rsidRPr="008E5B32">
        <w:rPr>
          <w:lang w:val="en-GB"/>
        </w:rPr>
        <w:t xml:space="preserve"> considered </w:t>
      </w:r>
      <w:r w:rsidR="00D6212A" w:rsidRPr="008E5B32">
        <w:rPr>
          <w:lang w:val="en-GB"/>
        </w:rPr>
        <w:t>approaches that ma</w:t>
      </w:r>
      <w:r w:rsidR="004F25DB" w:rsidRPr="008E5B32">
        <w:rPr>
          <w:lang w:val="en-GB"/>
        </w:rPr>
        <w:t>k</w:t>
      </w:r>
      <w:r w:rsidR="00D6212A" w:rsidRPr="008E5B32">
        <w:rPr>
          <w:lang w:val="en-GB"/>
        </w:rPr>
        <w:t>e use of statistical methods (such as dose-response analysis)</w:t>
      </w:r>
      <w:r w:rsidR="004F25DB" w:rsidRPr="008E5B32">
        <w:rPr>
          <w:lang w:val="en-GB"/>
        </w:rPr>
        <w:t>,</w:t>
      </w:r>
      <w:r w:rsidR="00E56C31" w:rsidRPr="008E5B32">
        <w:rPr>
          <w:lang w:val="en-GB"/>
        </w:rPr>
        <w:t xml:space="preserve"> </w:t>
      </w:r>
      <w:r w:rsidR="0036325F" w:rsidRPr="008E5B32">
        <w:rPr>
          <w:lang w:val="en-GB"/>
        </w:rPr>
        <w:t>as well as</w:t>
      </w:r>
      <w:r w:rsidR="00E56C31" w:rsidRPr="008E5B32">
        <w:rPr>
          <w:lang w:val="en-GB"/>
        </w:rPr>
        <w:t xml:space="preserve"> approaches proposing </w:t>
      </w:r>
      <w:r w:rsidR="004F25DB" w:rsidRPr="008E5B32">
        <w:rPr>
          <w:lang w:val="en-GB"/>
        </w:rPr>
        <w:t>G</w:t>
      </w:r>
      <w:r w:rsidR="00E56C31" w:rsidRPr="008E5B32">
        <w:rPr>
          <w:lang w:val="en-GB"/>
        </w:rPr>
        <w:t>rouping or ranking of NMs by applying computational</w:t>
      </w:r>
      <w:r w:rsidR="00F8290E" w:rsidRPr="008E5B32">
        <w:rPr>
          <w:lang w:val="en-GB"/>
        </w:rPr>
        <w:t xml:space="preserve"> tools</w:t>
      </w:r>
      <w:r w:rsidR="00E56C31" w:rsidRPr="008E5B32">
        <w:rPr>
          <w:lang w:val="en-GB"/>
        </w:rPr>
        <w:t xml:space="preserve">, as already suggested in the literature </w:t>
      </w:r>
      <w:r w:rsidR="00E56C31" w:rsidRPr="008E5B32">
        <w:fldChar w:fldCharType="begin" w:fldLock="1"/>
      </w:r>
      <w:r w:rsidR="004C12A8" w:rsidRPr="008E5B32">
        <w:rPr>
          <w:lang w:val="en-GB"/>
        </w:rPr>
        <w:instrText>ADDIN CSL_CITATION {"citationItems":[{"id":"ITEM-1","itemData":{"author":[{"dropping-particle":"","family":"Lamon","given":"Lara","non-dropping-particle":"","parse-names":false,"suffix":""},{"dropping-particle":"","family":"Aschberger","given":"Karin","non-dropping-particle":"","parse-names":false,"suffix":""},{"dropping-particle":"","family":"Asturiol","given":"David","non-dropping-particle":"","parse-names":false,"suffix":""},{"dropping-particle":"","family":"Richarz","given":"Andrea-Nicole","non-dropping-particle":"","parse-names":false,"suffix":""},{"dropping-particle":"","family":"Worth","given":"Andrew","non-dropping-particle":"","parse-names":false,"suffix":""}],"container-title":"Accepted by Nanotoxicology","id":"ITEM-1","issued":{"date-parts":[["0"]]},"title":"Grouping of nanomaterials to read-across hazard endpoints: a review","type":"article-journal"},"uris":["http://www.mendeley.com/documents/?uuid=a0186483-e4cb-44f8-8d62-b0be5511216c","http://www.mendeley.com/documents/?uuid=720422f0-d331-4072-affa-b93d9a2a78eb","http://www.mendeley.com/documents/?uuid=194a0d98-2b90-47cd-a019-e684f1120d75"]}],"mendeley":{"formattedCitation":"&lt;sup&gt;18&lt;/sup&gt;","plainTextFormattedCitation":"18","previouslyFormattedCitation":"&lt;sup&gt;18&lt;/sup&gt;"},"properties":{"noteIndex":0},"schema":"https://github.com/citation-style-language/schema/raw/master/csl-citation.json"}</w:instrText>
      </w:r>
      <w:r w:rsidR="00E56C31" w:rsidRPr="008E5B32">
        <w:fldChar w:fldCharType="separate"/>
      </w:r>
      <w:r w:rsidR="005D1733" w:rsidRPr="008E5B32">
        <w:rPr>
          <w:noProof/>
          <w:vertAlign w:val="superscript"/>
          <w:lang w:val="en-GB"/>
        </w:rPr>
        <w:t>18</w:t>
      </w:r>
      <w:r w:rsidR="00E56C31" w:rsidRPr="008E5B32">
        <w:fldChar w:fldCharType="end"/>
      </w:r>
      <w:r w:rsidR="00D6212A" w:rsidRPr="008E5B32">
        <w:rPr>
          <w:lang w:val="en-GB"/>
        </w:rPr>
        <w:t xml:space="preserve">. </w:t>
      </w:r>
      <w:r w:rsidR="00F8290E" w:rsidRPr="008E5B32">
        <w:rPr>
          <w:lang w:val="en-GB"/>
        </w:rPr>
        <w:t xml:space="preserve">This </w:t>
      </w:r>
      <w:r w:rsidR="003D53CA" w:rsidRPr="008E5B32">
        <w:rPr>
          <w:lang w:val="en-GB"/>
        </w:rPr>
        <w:t>accounted for</w:t>
      </w:r>
      <w:r w:rsidR="00F8290E" w:rsidRPr="008E5B32">
        <w:rPr>
          <w:lang w:val="en-GB"/>
        </w:rPr>
        <w:t xml:space="preserve"> </w:t>
      </w:r>
      <w:r w:rsidR="0055261F" w:rsidRPr="008E5B32">
        <w:rPr>
          <w:lang w:val="en-GB"/>
        </w:rPr>
        <w:t>1</w:t>
      </w:r>
      <w:r w:rsidR="00336FA6" w:rsidRPr="008E5B32">
        <w:rPr>
          <w:lang w:val="en-GB"/>
        </w:rPr>
        <w:t>1</w:t>
      </w:r>
      <w:r w:rsidR="00F8290E" w:rsidRPr="008E5B32">
        <w:rPr>
          <w:lang w:val="en-GB"/>
        </w:rPr>
        <w:t xml:space="preserve"> </w:t>
      </w:r>
      <w:r w:rsidR="001330B3" w:rsidRPr="008E5B32">
        <w:rPr>
          <w:lang w:val="en-GB"/>
        </w:rPr>
        <w:t>articles</w:t>
      </w:r>
      <w:r w:rsidR="00F8290E" w:rsidRPr="008E5B32">
        <w:rPr>
          <w:lang w:val="en-GB"/>
        </w:rPr>
        <w:t xml:space="preserve"> </w:t>
      </w:r>
      <w:r w:rsidR="003D53CA" w:rsidRPr="008E5B32">
        <w:rPr>
          <w:lang w:val="en-GB"/>
        </w:rPr>
        <w:t>reporting Read</w:t>
      </w:r>
      <w:r w:rsidR="002E2411" w:rsidRPr="008E5B32">
        <w:rPr>
          <w:lang w:val="en-GB"/>
        </w:rPr>
        <w:t>-Across</w:t>
      </w:r>
      <w:r w:rsidR="001330B3" w:rsidRPr="008E5B32">
        <w:rPr>
          <w:lang w:val="en-GB"/>
        </w:rPr>
        <w:t xml:space="preserve"> approaches</w:t>
      </w:r>
      <w:r w:rsidR="00F8290E" w:rsidRPr="008E5B32">
        <w:rPr>
          <w:lang w:val="en-GB"/>
        </w:rPr>
        <w:t xml:space="preserve">, and in </w:t>
      </w:r>
      <w:r w:rsidR="006725C8" w:rsidRPr="008E5B32">
        <w:rPr>
          <w:lang w:val="en-GB"/>
        </w:rPr>
        <w:t>4</w:t>
      </w:r>
      <w:r w:rsidR="00353D95" w:rsidRPr="008E5B32">
        <w:rPr>
          <w:lang w:val="en-GB"/>
        </w:rPr>
        <w:t>1</w:t>
      </w:r>
      <w:r w:rsidR="006725C8" w:rsidRPr="008E5B32">
        <w:rPr>
          <w:lang w:val="en-GB"/>
        </w:rPr>
        <w:t xml:space="preserve"> </w:t>
      </w:r>
      <w:r w:rsidR="001330B3" w:rsidRPr="008E5B32">
        <w:rPr>
          <w:lang w:val="en-GB"/>
        </w:rPr>
        <w:t>articles</w:t>
      </w:r>
      <w:r w:rsidR="00F8290E" w:rsidRPr="008E5B32">
        <w:rPr>
          <w:lang w:val="en-GB"/>
        </w:rPr>
        <w:t xml:space="preserve"> </w:t>
      </w:r>
      <w:r w:rsidR="003D53CA" w:rsidRPr="008E5B32">
        <w:rPr>
          <w:lang w:val="en-GB"/>
        </w:rPr>
        <w:t xml:space="preserve">on </w:t>
      </w:r>
      <w:r w:rsidR="00F8290E" w:rsidRPr="008E5B32">
        <w:rPr>
          <w:lang w:val="en-GB"/>
        </w:rPr>
        <w:t>(Q)SARs.</w:t>
      </w:r>
    </w:p>
    <w:p w14:paraId="4938A21E" w14:textId="7A289D9E" w:rsidR="00D11630" w:rsidRPr="008E5B32" w:rsidRDefault="00D6212A" w:rsidP="00D11630">
      <w:pPr>
        <w:rPr>
          <w:lang w:val="en-GB"/>
        </w:rPr>
      </w:pPr>
      <w:r w:rsidRPr="008E5B32">
        <w:rPr>
          <w:lang w:val="en-GB"/>
        </w:rPr>
        <w:t>Moreover</w:t>
      </w:r>
      <w:r w:rsidR="00D11630" w:rsidRPr="008E5B32">
        <w:rPr>
          <w:lang w:val="en-GB"/>
        </w:rPr>
        <w:t xml:space="preserve">, we </w:t>
      </w:r>
      <w:r w:rsidR="00AD47BE" w:rsidRPr="008E5B32">
        <w:rPr>
          <w:lang w:val="en-GB"/>
        </w:rPr>
        <w:t>provided an overview on</w:t>
      </w:r>
      <w:r w:rsidR="003D53CA" w:rsidRPr="008E5B32">
        <w:rPr>
          <w:lang w:val="en-GB"/>
        </w:rPr>
        <w:t xml:space="preserve"> nanosafety </w:t>
      </w:r>
      <w:r w:rsidR="00D11630" w:rsidRPr="008E5B32">
        <w:rPr>
          <w:lang w:val="en-GB"/>
        </w:rPr>
        <w:t xml:space="preserve">databases </w:t>
      </w:r>
      <w:r w:rsidR="00E56C31" w:rsidRPr="008E5B32">
        <w:rPr>
          <w:lang w:val="en-GB"/>
        </w:rPr>
        <w:t xml:space="preserve">that are freely </w:t>
      </w:r>
      <w:r w:rsidR="00D11630" w:rsidRPr="008E5B32">
        <w:rPr>
          <w:lang w:val="en-GB"/>
        </w:rPr>
        <w:t>available online</w:t>
      </w:r>
      <w:r w:rsidR="00E56C31" w:rsidRPr="008E5B32">
        <w:rPr>
          <w:lang w:val="en-GB"/>
        </w:rPr>
        <w:t xml:space="preserve"> or </w:t>
      </w:r>
      <w:r w:rsidR="000C43BC" w:rsidRPr="008E5B32">
        <w:rPr>
          <w:lang w:val="en-GB"/>
        </w:rPr>
        <w:t xml:space="preserve">accessible </w:t>
      </w:r>
      <w:r w:rsidR="00E56C31" w:rsidRPr="008E5B32">
        <w:rPr>
          <w:lang w:val="en-GB"/>
        </w:rPr>
        <w:t>by requesting registration</w:t>
      </w:r>
      <w:r w:rsidR="00D11630" w:rsidRPr="008E5B32">
        <w:rPr>
          <w:lang w:val="en-GB"/>
        </w:rPr>
        <w:t xml:space="preserve">. It is worth nothing that in addition of these </w:t>
      </w:r>
      <w:r w:rsidRPr="008E5B32">
        <w:rPr>
          <w:lang w:val="en-GB"/>
        </w:rPr>
        <w:t>databases</w:t>
      </w:r>
      <w:r w:rsidR="00D11630" w:rsidRPr="008E5B32">
        <w:rPr>
          <w:lang w:val="en-GB"/>
        </w:rPr>
        <w:t xml:space="preserve">, other relevant sources are available </w:t>
      </w:r>
      <w:r w:rsidRPr="008E5B32">
        <w:rPr>
          <w:lang w:val="en-GB"/>
        </w:rPr>
        <w:t xml:space="preserve">for supporting the development of </w:t>
      </w:r>
      <w:r w:rsidRPr="008E5B32">
        <w:rPr>
          <w:i/>
          <w:lang w:val="en-GB"/>
        </w:rPr>
        <w:t>in silico</w:t>
      </w:r>
      <w:r w:rsidRPr="008E5B32">
        <w:rPr>
          <w:lang w:val="en-GB"/>
        </w:rPr>
        <w:t xml:space="preserve"> approaches</w:t>
      </w:r>
      <w:r w:rsidR="00D11630" w:rsidRPr="008E5B32">
        <w:rPr>
          <w:lang w:val="en-GB"/>
        </w:rPr>
        <w:t>, including datasets deriving from</w:t>
      </w:r>
      <w:r w:rsidR="00E56C31" w:rsidRPr="008E5B32">
        <w:rPr>
          <w:lang w:val="en-GB"/>
        </w:rPr>
        <w:t xml:space="preserve"> </w:t>
      </w:r>
      <w:r w:rsidR="005B29E6" w:rsidRPr="008E5B32">
        <w:rPr>
          <w:lang w:val="en-GB"/>
        </w:rPr>
        <w:t xml:space="preserve">European and </w:t>
      </w:r>
      <w:r w:rsidR="00E56C31" w:rsidRPr="008E5B32">
        <w:rPr>
          <w:lang w:val="en-GB"/>
        </w:rPr>
        <w:t>international</w:t>
      </w:r>
      <w:r w:rsidR="005B29E6" w:rsidRPr="008E5B32">
        <w:rPr>
          <w:lang w:val="en-GB"/>
        </w:rPr>
        <w:t>ly</w:t>
      </w:r>
      <w:r w:rsidR="00D11630" w:rsidRPr="008E5B32">
        <w:rPr>
          <w:lang w:val="en-GB"/>
        </w:rPr>
        <w:t xml:space="preserve"> </w:t>
      </w:r>
      <w:r w:rsidRPr="008E5B32">
        <w:rPr>
          <w:lang w:val="en-GB"/>
        </w:rPr>
        <w:t>funded projects.</w:t>
      </w:r>
    </w:p>
    <w:p w14:paraId="1CB034C3" w14:textId="77777777" w:rsidR="00D11630" w:rsidRPr="008E5B32" w:rsidRDefault="00D11630" w:rsidP="00D11630">
      <w:pPr>
        <w:pStyle w:val="Heading1"/>
        <w:spacing w:line="312" w:lineRule="auto"/>
        <w:rPr>
          <w:lang w:val="en-GB"/>
        </w:rPr>
      </w:pPr>
      <w:r w:rsidRPr="008E5B32">
        <w:rPr>
          <w:lang w:val="en-GB"/>
        </w:rPr>
        <w:t xml:space="preserve">2.2 Evaluation criteria </w:t>
      </w:r>
    </w:p>
    <w:p w14:paraId="2EE4EAD7" w14:textId="553978E5" w:rsidR="00FD729B" w:rsidRPr="008E5B32" w:rsidRDefault="009538D3" w:rsidP="00AB03E9">
      <w:pPr>
        <w:rPr>
          <w:lang w:val="en-GB"/>
        </w:rPr>
      </w:pPr>
      <w:bookmarkStart w:id="2" w:name="_Toc506370830"/>
      <w:r w:rsidRPr="008E5B32">
        <w:rPr>
          <w:lang w:val="en-GB"/>
        </w:rPr>
        <w:t xml:space="preserve">The usefulness of </w:t>
      </w:r>
      <w:r w:rsidRPr="008E5B32">
        <w:rPr>
          <w:i/>
          <w:lang w:val="en-GB"/>
        </w:rPr>
        <w:t>i</w:t>
      </w:r>
      <w:r w:rsidR="00D90F97" w:rsidRPr="008E5B32">
        <w:rPr>
          <w:i/>
          <w:lang w:val="en-GB"/>
        </w:rPr>
        <w:t>n silico</w:t>
      </w:r>
      <w:r w:rsidR="00D90F97" w:rsidRPr="008E5B32">
        <w:rPr>
          <w:lang w:val="en-GB"/>
        </w:rPr>
        <w:t xml:space="preserve"> tool</w:t>
      </w:r>
      <w:r w:rsidRPr="008E5B32">
        <w:rPr>
          <w:lang w:val="en-GB"/>
        </w:rPr>
        <w:t>s</w:t>
      </w:r>
      <w:r w:rsidR="00D90F97" w:rsidRPr="008E5B32">
        <w:rPr>
          <w:lang w:val="en-GB"/>
        </w:rPr>
        <w:t xml:space="preserve"> in the context of</w:t>
      </w:r>
      <w:r w:rsidR="00C976AF" w:rsidRPr="008E5B32">
        <w:rPr>
          <w:lang w:val="en-GB"/>
        </w:rPr>
        <w:t xml:space="preserve"> </w:t>
      </w:r>
      <w:r w:rsidR="003D26C5" w:rsidRPr="008E5B32">
        <w:rPr>
          <w:lang w:val="en-GB"/>
        </w:rPr>
        <w:t xml:space="preserve">Grouping and Read-Across </w:t>
      </w:r>
      <w:r w:rsidR="00C976AF" w:rsidRPr="008E5B32">
        <w:rPr>
          <w:lang w:val="en-GB"/>
        </w:rPr>
        <w:t xml:space="preserve">lies in </w:t>
      </w:r>
      <w:r w:rsidRPr="008E5B32">
        <w:rPr>
          <w:lang w:val="en-GB"/>
        </w:rPr>
        <w:t xml:space="preserve">their </w:t>
      </w:r>
      <w:r w:rsidR="00D90F97" w:rsidRPr="008E5B32">
        <w:rPr>
          <w:lang w:val="en-GB"/>
        </w:rPr>
        <w:t xml:space="preserve">predictive </w:t>
      </w:r>
      <w:r w:rsidRPr="008E5B32">
        <w:rPr>
          <w:lang w:val="en-GB"/>
        </w:rPr>
        <w:t>ability</w:t>
      </w:r>
      <w:r w:rsidR="00D90F97" w:rsidRPr="008E5B32">
        <w:rPr>
          <w:lang w:val="en-GB"/>
        </w:rPr>
        <w:t xml:space="preserve">. To address </w:t>
      </w:r>
      <w:r w:rsidRPr="008E5B32">
        <w:rPr>
          <w:lang w:val="en-GB"/>
        </w:rPr>
        <w:t xml:space="preserve">the reliability of predictive </w:t>
      </w:r>
      <w:r w:rsidRPr="008E5B32">
        <w:rPr>
          <w:i/>
          <w:lang w:val="en-GB"/>
        </w:rPr>
        <w:t>in silico</w:t>
      </w:r>
      <w:r w:rsidRPr="008E5B32">
        <w:rPr>
          <w:lang w:val="en-GB"/>
        </w:rPr>
        <w:t xml:space="preserve"> models</w:t>
      </w:r>
      <w:r w:rsidR="00D90F97" w:rsidRPr="008E5B32">
        <w:rPr>
          <w:lang w:val="en-GB"/>
        </w:rPr>
        <w:t>, the OECD designed five principles for the validation of (Q)SAR</w:t>
      </w:r>
      <w:r w:rsidRPr="008E5B32">
        <w:rPr>
          <w:lang w:val="en-GB"/>
        </w:rPr>
        <w:t>s</w:t>
      </w:r>
      <w:r w:rsidR="00D90F97" w:rsidRPr="008E5B32">
        <w:rPr>
          <w:lang w:val="en-GB"/>
        </w:rPr>
        <w:t xml:space="preserve"> </w:t>
      </w:r>
      <w:r w:rsidR="00D90F97" w:rsidRPr="008E5B32">
        <w:fldChar w:fldCharType="begin" w:fldLock="1"/>
      </w:r>
      <w:r w:rsidR="004C12A8" w:rsidRPr="008E5B32">
        <w:rPr>
          <w:lang w:val="en-GB"/>
        </w:rPr>
        <w:instrText>ADDIN CSL_CITATION {"citationItems":[{"id":"ITEM-1","itemData":{"abstract":"To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information.","author":[{"dropping-particle":"","family":"Oecd","given":"","non-dropping-particle":"","parse-names":false,"suffix":""}],"container-title":"Biotechnology","id":"ITEM-1","issue":"November","issued":{"date-parts":[["2004"]]},"page":"1-2","title":"OECD principles for the validation, for regulatory purposes, of (quantitative) structure-activity relationships models.","type":"article-journal"},"uris":["http://www.mendeley.com/documents/?uuid=034476ca-3cba-46b4-b729-dde7543578e5"]},{"id":"ITEM-2","itemData":{"DOI":"10.1787/9789264085442-en","ISBN":"9789264085442","abstract":"FOREWORD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Assessment","container-title":"ENV/JM/MONO(2007)2","id":"ITEM-2","issue":"February","issued":{"date-parts":[["2007","9"]]},"number-of-pages":"1-154","publisher":"OECD Publishing","title":"Guidance Document on the Validation of (Quantitative) Structure-Activity Relationship [(Q)SAR] Models","type":"report","volume":"2"},"uris":["http://www.mendeley.com/documents/?uuid=3d44bd0e-1b2a-49f7-81be-3234a3f9a41e","http://www.mendeley.com/documents/?uuid=fcbbe4fd-11fb-48bf-9c58-e2c9983c8e40","http://www.mendeley.com/documents/?uuid=15920fad-997b-4bec-9b20-5ab6fdf65c56"]}],"mendeley":{"formattedCitation":"&lt;sup&gt;7,49&lt;/sup&gt;","plainTextFormattedCitation":"7,49","previouslyFormattedCitation":"&lt;sup&gt;7,49&lt;/sup&gt;"},"properties":{"noteIndex":0},"schema":"https://github.com/citation-style-language/schema/raw/master/csl-citation.json"}</w:instrText>
      </w:r>
      <w:r w:rsidR="00D90F97" w:rsidRPr="008E5B32">
        <w:fldChar w:fldCharType="separate"/>
      </w:r>
      <w:r w:rsidR="005D1733" w:rsidRPr="008E5B32">
        <w:rPr>
          <w:noProof/>
          <w:vertAlign w:val="superscript"/>
          <w:lang w:val="en-GB"/>
        </w:rPr>
        <w:t>7,49</w:t>
      </w:r>
      <w:r w:rsidR="00D90F97" w:rsidRPr="008E5B32">
        <w:fldChar w:fldCharType="end"/>
      </w:r>
      <w:r w:rsidR="00D90F97" w:rsidRPr="008E5B32">
        <w:rPr>
          <w:lang w:val="en-GB"/>
        </w:rPr>
        <w:t xml:space="preserve">, which </w:t>
      </w:r>
      <w:r w:rsidR="00C42697" w:rsidRPr="008E5B32">
        <w:rPr>
          <w:lang w:val="en-GB"/>
        </w:rPr>
        <w:t>consist in a</w:t>
      </w:r>
      <w:r w:rsidR="00D90F97" w:rsidRPr="008E5B32">
        <w:rPr>
          <w:lang w:val="en-GB"/>
        </w:rPr>
        <w:t xml:space="preserve"> set of rules that </w:t>
      </w:r>
      <w:r w:rsidRPr="008E5B32">
        <w:rPr>
          <w:lang w:val="en-GB"/>
        </w:rPr>
        <w:t xml:space="preserve">such </w:t>
      </w:r>
      <w:r w:rsidR="00D90F97" w:rsidRPr="008E5B32">
        <w:rPr>
          <w:lang w:val="en-GB"/>
        </w:rPr>
        <w:t>mode</w:t>
      </w:r>
      <w:r w:rsidRPr="008E5B32">
        <w:rPr>
          <w:lang w:val="en-GB"/>
        </w:rPr>
        <w:t>l</w:t>
      </w:r>
      <w:r w:rsidR="00D90F97" w:rsidRPr="008E5B32">
        <w:rPr>
          <w:lang w:val="en-GB"/>
        </w:rPr>
        <w:t xml:space="preserve">s must comply </w:t>
      </w:r>
      <w:r w:rsidRPr="008E5B32">
        <w:rPr>
          <w:lang w:val="en-GB"/>
        </w:rPr>
        <w:t>with</w:t>
      </w:r>
      <w:r w:rsidR="00D90F97" w:rsidRPr="008E5B32">
        <w:rPr>
          <w:lang w:val="en-GB"/>
        </w:rPr>
        <w:t xml:space="preserve">. </w:t>
      </w:r>
      <w:r w:rsidRPr="008E5B32">
        <w:rPr>
          <w:lang w:val="en-GB"/>
        </w:rPr>
        <w:t>According to these principles</w:t>
      </w:r>
      <w:r w:rsidR="00D90F97" w:rsidRPr="008E5B32">
        <w:rPr>
          <w:lang w:val="en-GB"/>
        </w:rPr>
        <w:t>, each model should be associated with (</w:t>
      </w:r>
      <w:r w:rsidR="00BE266F" w:rsidRPr="008E5B32">
        <w:rPr>
          <w:lang w:val="en-GB"/>
        </w:rPr>
        <w:t>i</w:t>
      </w:r>
      <w:r w:rsidR="00D90F97" w:rsidRPr="008E5B32">
        <w:rPr>
          <w:lang w:val="en-GB"/>
        </w:rPr>
        <w:t>) a well</w:t>
      </w:r>
      <w:r w:rsidR="0083508D" w:rsidRPr="008E5B32">
        <w:rPr>
          <w:lang w:val="en-GB"/>
        </w:rPr>
        <w:t>-</w:t>
      </w:r>
      <w:r w:rsidR="00D90F97" w:rsidRPr="008E5B32">
        <w:rPr>
          <w:lang w:val="en-GB"/>
        </w:rPr>
        <w:t>defined endpoint, (</w:t>
      </w:r>
      <w:r w:rsidR="00BE266F" w:rsidRPr="008E5B32">
        <w:rPr>
          <w:lang w:val="en-GB"/>
        </w:rPr>
        <w:t>ii</w:t>
      </w:r>
      <w:r w:rsidR="00D90F97" w:rsidRPr="008E5B32">
        <w:rPr>
          <w:lang w:val="en-GB"/>
        </w:rPr>
        <w:t>) an unambiguous algorithm, (</w:t>
      </w:r>
      <w:r w:rsidR="00BE266F" w:rsidRPr="008E5B32">
        <w:rPr>
          <w:lang w:val="en-GB"/>
        </w:rPr>
        <w:t>iii</w:t>
      </w:r>
      <w:r w:rsidR="00D90F97" w:rsidRPr="008E5B32">
        <w:rPr>
          <w:lang w:val="en-GB"/>
        </w:rPr>
        <w:t>) a defined domain of applicability, (</w:t>
      </w:r>
      <w:r w:rsidR="00BE266F" w:rsidRPr="008E5B32">
        <w:rPr>
          <w:lang w:val="en-GB"/>
        </w:rPr>
        <w:t>iv</w:t>
      </w:r>
      <w:r w:rsidR="00D90F97" w:rsidRPr="008E5B32">
        <w:rPr>
          <w:lang w:val="en-GB"/>
        </w:rPr>
        <w:t>) appropriate measures of goodness-of-fit, robustness and predictivity, and (</w:t>
      </w:r>
      <w:r w:rsidR="00BE266F" w:rsidRPr="008E5B32">
        <w:rPr>
          <w:lang w:val="en-GB"/>
        </w:rPr>
        <w:t>iv</w:t>
      </w:r>
      <w:r w:rsidR="00D90F97" w:rsidRPr="008E5B32">
        <w:rPr>
          <w:lang w:val="en-GB"/>
        </w:rPr>
        <w:t>) a mechanistic interpretation, if possible</w:t>
      </w:r>
      <w:r w:rsidR="00475CBD" w:rsidRPr="008E5B32">
        <w:rPr>
          <w:lang w:val="en-GB"/>
        </w:rPr>
        <w:t xml:space="preserve"> </w:t>
      </w:r>
      <w:r w:rsidR="000C6A53" w:rsidRPr="008E5B32">
        <w:fldChar w:fldCharType="begin" w:fldLock="1"/>
      </w:r>
      <w:r w:rsidR="004C12A8" w:rsidRPr="008E5B32">
        <w:rPr>
          <w:lang w:val="en-GB"/>
        </w:rPr>
        <w:instrText>ADDIN CSL_CITATION {"citationItems":[{"id":"ITEM-1","itemData":{"DOI":"10.1787/9789264085442-en","ISBN":"9789264085442","abstract":"FOREWORD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Assessment","container-title":"ENV/JM/MONO(2007)2","id":"ITEM-1","issue":"February","issued":{"date-parts":[["2007","9"]]},"number-of-pages":"1-154","publisher":"OECD Publishing","title":"Guidance Document on the Validation of (Quantitative) Structure-Activity Relationship [(Q)SAR] Models","type":"report","volume":"2"},"uris":["http://www.mendeley.com/documents/?uuid=3d44bd0e-1b2a-49f7-81be-3234a3f9a41e","http://www.mendeley.com/documents/?uuid=fcbbe4fd-11fb-48bf-9c58-e2c9983c8e40","http://www.mendeley.com/documents/?uuid=15920fad-997b-4bec-9b20-5ab6fdf65c56","http://www.mendeley.com/documents/?uuid=0eb84cbe-59d6-4152-828b-4df1ee3a318f"]},{"id":"ITEM-2","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information.","author":[{"dropping-particle":"","family":"Oecd","given":"","non-dropping-particle":"","parse-names":false,"suffix":""}],"container-title":"Biotechnology","id":"ITEM-2","issue":"November","issued":{"date-parts":[["2004"]]},"page":"1-2","title":"OECD principles for the validation, for regulatory purposes, of (quantitative) structure-activity relationships models.","type":"article-journal"},"uris":["http://www.mendeley.com/documents/?uuid=034476ca-3cba-46b4-b729-dde7543578e5"]}],"mendeley":{"formattedCitation":"&lt;sup&gt;7,49&lt;/sup&gt;","plainTextFormattedCitation":"7,49","previouslyFormattedCitation":"&lt;sup&gt;7,49&lt;/sup&gt;"},"properties":{"noteIndex":0},"schema":"https://github.com/citation-style-language/schema/raw/master/csl-citation.json"}</w:instrText>
      </w:r>
      <w:r w:rsidR="000C6A53" w:rsidRPr="008E5B32">
        <w:fldChar w:fldCharType="separate"/>
      </w:r>
      <w:r w:rsidR="005D1733" w:rsidRPr="008E5B32">
        <w:rPr>
          <w:noProof/>
          <w:vertAlign w:val="superscript"/>
          <w:lang w:val="en-GB"/>
        </w:rPr>
        <w:t>7,49</w:t>
      </w:r>
      <w:r w:rsidR="000C6A53" w:rsidRPr="008E5B32">
        <w:fldChar w:fldCharType="end"/>
      </w:r>
      <w:r w:rsidR="00D90F97" w:rsidRPr="008E5B32">
        <w:rPr>
          <w:lang w:val="en-GB"/>
        </w:rPr>
        <w:t>. These principles</w:t>
      </w:r>
      <w:r w:rsidR="006A26BD" w:rsidRPr="008E5B32">
        <w:rPr>
          <w:lang w:val="en-GB"/>
        </w:rPr>
        <w:t xml:space="preserve"> </w:t>
      </w:r>
      <w:r w:rsidR="00D90F97" w:rsidRPr="008E5B32">
        <w:rPr>
          <w:lang w:val="en-GB"/>
        </w:rPr>
        <w:t xml:space="preserve">are fundamental also when dealing with </w:t>
      </w:r>
      <w:r w:rsidR="00650B32" w:rsidRPr="008E5B32">
        <w:rPr>
          <w:lang w:val="en-GB"/>
        </w:rPr>
        <w:t>Read-Across</w:t>
      </w:r>
      <w:r w:rsidR="00D90F97" w:rsidRPr="008E5B32">
        <w:rPr>
          <w:lang w:val="en-GB"/>
        </w:rPr>
        <w:t xml:space="preserve"> and with </w:t>
      </w:r>
      <w:r w:rsidR="00D90F97" w:rsidRPr="008E5B32">
        <w:rPr>
          <w:i/>
          <w:lang w:val="en-GB"/>
        </w:rPr>
        <w:t>in silico</w:t>
      </w:r>
      <w:r w:rsidR="00D90F97" w:rsidRPr="008E5B32">
        <w:rPr>
          <w:lang w:val="en-GB"/>
        </w:rPr>
        <w:t xml:space="preserve"> models </w:t>
      </w:r>
      <w:r w:rsidR="00C42697" w:rsidRPr="008E5B32">
        <w:rPr>
          <w:lang w:val="en-GB"/>
        </w:rPr>
        <w:t xml:space="preserve">in general; </w:t>
      </w:r>
      <w:r w:rsidR="00D90F97" w:rsidRPr="008E5B32">
        <w:rPr>
          <w:lang w:val="en-GB"/>
        </w:rPr>
        <w:t>however</w:t>
      </w:r>
      <w:r w:rsidR="00C42697" w:rsidRPr="008E5B32">
        <w:rPr>
          <w:lang w:val="en-GB"/>
        </w:rPr>
        <w:t xml:space="preserve"> they </w:t>
      </w:r>
      <w:r w:rsidR="00D90F97" w:rsidRPr="008E5B32">
        <w:rPr>
          <w:lang w:val="en-GB"/>
        </w:rPr>
        <w:t xml:space="preserve">are not always </w:t>
      </w:r>
      <w:r w:rsidR="00C42697" w:rsidRPr="008E5B32">
        <w:rPr>
          <w:lang w:val="en-GB"/>
        </w:rPr>
        <w:t>respected</w:t>
      </w:r>
      <w:r w:rsidR="00D90F97" w:rsidRPr="008E5B32">
        <w:rPr>
          <w:lang w:val="en-GB"/>
        </w:rPr>
        <w:t xml:space="preserve">, even </w:t>
      </w:r>
      <w:r w:rsidR="00C976AF" w:rsidRPr="008E5B32">
        <w:rPr>
          <w:lang w:val="en-GB"/>
        </w:rPr>
        <w:t>in the case of</w:t>
      </w:r>
      <w:r w:rsidR="00D90F97" w:rsidRPr="008E5B32">
        <w:rPr>
          <w:lang w:val="en-GB"/>
        </w:rPr>
        <w:t xml:space="preserve"> conventional chemicals </w:t>
      </w:r>
      <w:r w:rsidR="00D90F97" w:rsidRPr="008E5B32">
        <w:fldChar w:fldCharType="begin" w:fldLock="1"/>
      </w:r>
      <w:r w:rsidR="004C12A8" w:rsidRPr="008E5B32">
        <w:rPr>
          <w:lang w:val="en-GB"/>
        </w:rPr>
        <w:instrText>ADDIN CSL_CITATION {"citationItems":[{"id":"ITEM-1","itemData":{"DOI":"10.1080/10629360902949567","ISBN":"1062-936X","ISSN":"1062936X","PMID":"19544191","abstract":"Although thousands of quantitative structure-activity and structure-property relationships (QSARs/QSPRs) have been published, as well as numerous papers on the correct procedures for QSAR/QSPR analysis, many analyses are still carried out incorrectly, or in a less than satisfactory manner. We have identified 21 types of error that continue to be perpetrated in the QSAR/QSPR literature, and each of these is discussed, with examples (including some of our own). Where appropriate, we make recommendations for avoiding errors and for improving and enhancing QSAR/QSPR analyses.","author":[{"dropping-particle":"","family":"Dearden","given":"J. C.","non-dropping-particle":"","parse-names":false,"suffix":""},{"dropping-particle":"","family":"Cronin","given":"M. T.D.","non-dropping-particle":"","parse-names":false,"suffix":""},{"dropping-particle":"","family":"Kaiser","given":"K. L.E.","non-dropping-particle":"","parse-names":false,"suffix":""}],"container-title":"SAR and QSAR in Environmental Research","id":"ITEM-1","issue":"3-4","issued":{"date-parts":[["2009"]]},"page":"241-266","title":"How not to develop a quantitative structure-activity or structure-property relationship (QSAR/QSPR)","type":"article-journal","volume":"20"},"uris":["http://www.mendeley.com/documents/?uuid=a8df0029-caf8-4790-9d7f-1a28b6ab5ad9"]}],"mendeley":{"formattedCitation":"&lt;sup&gt;50&lt;/sup&gt;","plainTextFormattedCitation":"50","previouslyFormattedCitation":"&lt;sup&gt;50&lt;/sup&gt;"},"properties":{"noteIndex":0},"schema":"https://github.com/citation-style-language/schema/raw/master/csl-citation.json"}</w:instrText>
      </w:r>
      <w:r w:rsidR="00D90F97" w:rsidRPr="008E5B32">
        <w:fldChar w:fldCharType="separate"/>
      </w:r>
      <w:r w:rsidR="005D1733" w:rsidRPr="008E5B32">
        <w:rPr>
          <w:noProof/>
          <w:vertAlign w:val="superscript"/>
          <w:lang w:val="en-GB"/>
        </w:rPr>
        <w:t>50</w:t>
      </w:r>
      <w:r w:rsidR="00D90F97" w:rsidRPr="008E5B32">
        <w:fldChar w:fldCharType="end"/>
      </w:r>
      <w:r w:rsidR="00D90F97" w:rsidRPr="008E5B32">
        <w:rPr>
          <w:lang w:val="en-GB"/>
        </w:rPr>
        <w:t>.</w:t>
      </w:r>
      <w:r w:rsidR="00AB03E9" w:rsidRPr="008E5B32">
        <w:rPr>
          <w:lang w:val="en-GB"/>
        </w:rPr>
        <w:t xml:space="preserve"> </w:t>
      </w:r>
      <w:r w:rsidR="00FD729B" w:rsidRPr="008E5B32">
        <w:rPr>
          <w:lang w:val="en-GB"/>
        </w:rPr>
        <w:t xml:space="preserve">The OECD principles on the validation of </w:t>
      </w:r>
      <w:r w:rsidR="007B6727" w:rsidRPr="008E5B32">
        <w:rPr>
          <w:lang w:val="en-GB"/>
        </w:rPr>
        <w:t>(</w:t>
      </w:r>
      <w:r w:rsidR="00FD729B" w:rsidRPr="008E5B32">
        <w:rPr>
          <w:lang w:val="en-GB"/>
        </w:rPr>
        <w:t>Q</w:t>
      </w:r>
      <w:r w:rsidR="007B6727" w:rsidRPr="008E5B32">
        <w:rPr>
          <w:lang w:val="en-GB"/>
        </w:rPr>
        <w:t>)</w:t>
      </w:r>
      <w:r w:rsidR="00FD729B" w:rsidRPr="008E5B32">
        <w:rPr>
          <w:lang w:val="en-GB"/>
        </w:rPr>
        <w:t xml:space="preserve">SARs inspired the eight evaluation criteria adopted in this review to </w:t>
      </w:r>
      <w:r w:rsidR="00C42697" w:rsidRPr="008E5B32">
        <w:rPr>
          <w:lang w:val="en-GB"/>
        </w:rPr>
        <w:t xml:space="preserve">critically </w:t>
      </w:r>
      <w:r w:rsidR="00FD729B" w:rsidRPr="008E5B32">
        <w:rPr>
          <w:lang w:val="en-GB"/>
        </w:rPr>
        <w:t xml:space="preserve">evaluate </w:t>
      </w:r>
      <w:r w:rsidR="00275B2B" w:rsidRPr="008E5B32">
        <w:rPr>
          <w:lang w:val="en-GB"/>
        </w:rPr>
        <w:t xml:space="preserve">the selected </w:t>
      </w:r>
      <w:r w:rsidR="00275B2B" w:rsidRPr="008E5B32">
        <w:rPr>
          <w:i/>
          <w:lang w:val="en-GB"/>
        </w:rPr>
        <w:t xml:space="preserve">in silico </w:t>
      </w:r>
      <w:r w:rsidR="00275B2B" w:rsidRPr="008E5B32">
        <w:rPr>
          <w:lang w:val="en-GB"/>
        </w:rPr>
        <w:t>models</w:t>
      </w:r>
      <w:r w:rsidR="00FD729B" w:rsidRPr="008E5B32">
        <w:rPr>
          <w:lang w:val="en-GB"/>
        </w:rPr>
        <w:t xml:space="preserve">. </w:t>
      </w:r>
      <w:r w:rsidR="00C976AF" w:rsidRPr="008E5B32">
        <w:rPr>
          <w:lang w:val="en-GB"/>
        </w:rPr>
        <w:t xml:space="preserve">These </w:t>
      </w:r>
      <w:r w:rsidR="00FD729B" w:rsidRPr="008E5B32">
        <w:rPr>
          <w:lang w:val="en-GB"/>
        </w:rPr>
        <w:t>criteria</w:t>
      </w:r>
      <w:r w:rsidR="00D11630" w:rsidRPr="008E5B32">
        <w:rPr>
          <w:lang w:val="en-GB"/>
        </w:rPr>
        <w:t xml:space="preserve">, </w:t>
      </w:r>
      <w:r w:rsidR="00C42697" w:rsidRPr="008E5B32">
        <w:rPr>
          <w:lang w:val="en-GB"/>
        </w:rPr>
        <w:t xml:space="preserve">their evaluation rules and </w:t>
      </w:r>
      <w:r w:rsidR="00D11630" w:rsidRPr="008E5B32">
        <w:rPr>
          <w:lang w:val="en-GB"/>
        </w:rPr>
        <w:t xml:space="preserve">a scientific justification for adopting each of </w:t>
      </w:r>
      <w:r w:rsidR="00C976AF" w:rsidRPr="008E5B32">
        <w:rPr>
          <w:lang w:val="en-GB"/>
        </w:rPr>
        <w:t>them</w:t>
      </w:r>
      <w:r w:rsidRPr="008E5B32">
        <w:rPr>
          <w:lang w:val="en-GB"/>
        </w:rPr>
        <w:t xml:space="preserve"> </w:t>
      </w:r>
      <w:r w:rsidR="00FD729B" w:rsidRPr="008E5B32">
        <w:rPr>
          <w:lang w:val="en-GB"/>
        </w:rPr>
        <w:t xml:space="preserve">are summarized in </w:t>
      </w:r>
      <w:r w:rsidR="00FD729B" w:rsidRPr="008E5B32">
        <w:fldChar w:fldCharType="begin"/>
      </w:r>
      <w:r w:rsidR="00FD729B" w:rsidRPr="008E5B32">
        <w:rPr>
          <w:lang w:val="en-GB"/>
        </w:rPr>
        <w:instrText xml:space="preserve"> REF _Ref506551752 \h  \* MERGEFORMAT </w:instrText>
      </w:r>
      <w:r w:rsidR="00FD729B" w:rsidRPr="008E5B32">
        <w:fldChar w:fldCharType="separate"/>
      </w:r>
      <w:r w:rsidR="00785247" w:rsidRPr="008E5B32">
        <w:rPr>
          <w:lang w:val="en-GB"/>
        </w:rPr>
        <w:t>Table 1</w:t>
      </w:r>
      <w:r w:rsidR="00FD729B" w:rsidRPr="008E5B32">
        <w:fldChar w:fldCharType="end"/>
      </w:r>
      <w:r w:rsidR="00C976AF" w:rsidRPr="008E5B32">
        <w:rPr>
          <w:lang w:val="en-GB"/>
        </w:rPr>
        <w:t xml:space="preserve">. </w:t>
      </w:r>
      <w:r w:rsidR="005F4344" w:rsidRPr="008E5B32">
        <w:rPr>
          <w:lang w:val="en-GB"/>
        </w:rPr>
        <w:t xml:space="preserve">In the case of Read-Across approaches, </w:t>
      </w:r>
      <w:r w:rsidR="00191FDD" w:rsidRPr="008E5B32">
        <w:rPr>
          <w:lang w:val="en-GB"/>
        </w:rPr>
        <w:t>since the</w:t>
      </w:r>
      <w:r w:rsidR="005F4344" w:rsidRPr="008E5B32">
        <w:rPr>
          <w:lang w:val="en-GB"/>
        </w:rPr>
        <w:t xml:space="preserve"> selected case studies do not necessarily imply model development and do not follow a standard reporting</w:t>
      </w:r>
      <w:r w:rsidR="00E56C31" w:rsidRPr="008E5B32">
        <w:rPr>
          <w:lang w:val="en-GB"/>
        </w:rPr>
        <w:t>,</w:t>
      </w:r>
      <w:r w:rsidR="00C82944" w:rsidRPr="008E5B32">
        <w:rPr>
          <w:lang w:val="en-GB"/>
        </w:rPr>
        <w:t xml:space="preserve"> some of</w:t>
      </w:r>
      <w:r w:rsidR="00E56C31" w:rsidRPr="008E5B32">
        <w:rPr>
          <w:lang w:val="en-GB"/>
        </w:rPr>
        <w:t xml:space="preserve"> </w:t>
      </w:r>
      <w:r w:rsidR="00191FDD" w:rsidRPr="008E5B32">
        <w:rPr>
          <w:lang w:val="en-GB"/>
        </w:rPr>
        <w:t xml:space="preserve">these criteria were adapted </w:t>
      </w:r>
      <w:r w:rsidR="00C82944" w:rsidRPr="008E5B32">
        <w:rPr>
          <w:lang w:val="en-GB"/>
        </w:rPr>
        <w:t xml:space="preserve">as </w:t>
      </w:r>
      <w:r w:rsidR="00FD75DB" w:rsidRPr="008E5B32">
        <w:rPr>
          <w:lang w:val="en-GB"/>
        </w:rPr>
        <w:t>described</w:t>
      </w:r>
      <w:r w:rsidR="00C42697" w:rsidRPr="008E5B32">
        <w:rPr>
          <w:lang w:val="en-GB"/>
        </w:rPr>
        <w:t xml:space="preserve"> </w:t>
      </w:r>
      <w:r w:rsidR="00C82944" w:rsidRPr="008E5B32">
        <w:rPr>
          <w:lang w:val="en-GB"/>
        </w:rPr>
        <w:t>in the table</w:t>
      </w:r>
      <w:r w:rsidR="004B2A40" w:rsidRPr="008E5B32">
        <w:rPr>
          <w:lang w:val="en-GB"/>
        </w:rPr>
        <w:t xml:space="preserve">. </w:t>
      </w:r>
    </w:p>
    <w:p w14:paraId="1F121752" w14:textId="6D521C11" w:rsidR="00FD729B" w:rsidRPr="008E5B32" w:rsidRDefault="00FD729B" w:rsidP="00FD729B">
      <w:pPr>
        <w:pStyle w:val="Papercaption"/>
        <w:rPr>
          <w:lang w:val="en-GB"/>
        </w:rPr>
      </w:pPr>
      <w:bookmarkStart w:id="3" w:name="_Ref506551752"/>
      <w:bookmarkStart w:id="4" w:name="_Ref514753732"/>
      <w:r w:rsidRPr="008E5B32">
        <w:rPr>
          <w:lang w:val="en-GB"/>
        </w:rPr>
        <w:t xml:space="preserve">Table </w:t>
      </w:r>
      <w:r w:rsidRPr="008E5B32">
        <w:fldChar w:fldCharType="begin"/>
      </w:r>
      <w:r w:rsidRPr="008E5B32">
        <w:rPr>
          <w:lang w:val="en-GB"/>
        </w:rPr>
        <w:instrText xml:space="preserve"> SEQ Table \* ARABIC </w:instrText>
      </w:r>
      <w:r w:rsidRPr="008E5B32">
        <w:fldChar w:fldCharType="separate"/>
      </w:r>
      <w:r w:rsidR="00785247" w:rsidRPr="008E5B32">
        <w:rPr>
          <w:noProof/>
          <w:lang w:val="en-GB"/>
        </w:rPr>
        <w:t>1</w:t>
      </w:r>
      <w:r w:rsidRPr="008E5B32">
        <w:fldChar w:fldCharType="end"/>
      </w:r>
      <w:bookmarkEnd w:id="3"/>
      <w:r w:rsidRPr="008E5B32">
        <w:rPr>
          <w:lang w:val="en-GB"/>
        </w:rPr>
        <w:t xml:space="preserve">: Criteria adopted to evaluate </w:t>
      </w:r>
      <w:r w:rsidRPr="008E5B32">
        <w:rPr>
          <w:i/>
          <w:lang w:val="en-GB"/>
        </w:rPr>
        <w:t>in silico</w:t>
      </w:r>
      <w:r w:rsidRPr="008E5B32">
        <w:rPr>
          <w:lang w:val="en-GB"/>
        </w:rPr>
        <w:t xml:space="preserve"> tools that predict (eco)toxicity endpoints of NMs</w:t>
      </w:r>
      <w:r w:rsidR="00C976AF" w:rsidRPr="008E5B32">
        <w:rPr>
          <w:lang w:val="en-GB"/>
        </w:rPr>
        <w:t xml:space="preserve"> and are applicable to Grouping</w:t>
      </w:r>
      <w:r w:rsidR="00C42697" w:rsidRPr="008E5B32">
        <w:rPr>
          <w:lang w:val="en-GB"/>
        </w:rPr>
        <w:t xml:space="preserve"> </w:t>
      </w:r>
      <w:r w:rsidR="00F8689A" w:rsidRPr="008E5B32">
        <w:rPr>
          <w:lang w:val="en-GB"/>
        </w:rPr>
        <w:t>for</w:t>
      </w:r>
      <w:r w:rsidR="00C42697" w:rsidRPr="008E5B32">
        <w:rPr>
          <w:lang w:val="en-GB"/>
        </w:rPr>
        <w:t xml:space="preserve"> </w:t>
      </w:r>
      <w:r w:rsidR="00C976AF" w:rsidRPr="008E5B32">
        <w:rPr>
          <w:lang w:val="en-GB"/>
        </w:rPr>
        <w:t>Read-Across</w:t>
      </w:r>
      <w:r w:rsidR="00C42697" w:rsidRPr="008E5B32">
        <w:rPr>
          <w:lang w:val="en-GB"/>
        </w:rPr>
        <w:t xml:space="preserve"> (inspired by the OECD QSAR validation principles </w:t>
      </w:r>
      <w:r w:rsidR="00C42697" w:rsidRPr="008E5B32">
        <w:fldChar w:fldCharType="begin" w:fldLock="1"/>
      </w:r>
      <w:r w:rsidR="004C12A8" w:rsidRPr="008E5B32">
        <w:rPr>
          <w:lang w:val="en-GB"/>
        </w:rPr>
        <w:instrText>ADDIN CSL_CITATION {"citationItems":[{"id":"ITEM-1","itemData":{"DOI":"10.1787/9789264085442-en","ISBN":"9789264085442","abstract":"FOREWORD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Assessment","container-title":"ENV/JM/MONO(2007)2","id":"ITEM-1","issue":"February","issued":{"date-parts":[["2007","9"]]},"number-of-pages":"1-154","publisher":"OECD Publishing","title":"Guidance Document on the Validation of (Quantitative) Structure-Activity Relationship [(Q)SAR] Models","type":"report","volume":"2"},"uris":["http://www.mendeley.com/documents/?uuid=3d44bd0e-1b2a-49f7-81be-3234a3f9a41e","http://www.mendeley.com/documents/?uuid=fcbbe4fd-11fb-48bf-9c58-e2c9983c8e40","http://www.mendeley.com/documents/?uuid=15920fad-997b-4bec-9b20-5ab6fdf65c56","http://www.mendeley.com/documents/?uuid=0eb84cbe-59d6-4152-828b-4df1ee3a318f"]},{"id":"ITEM-2","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information.","author":[{"dropping-particle":"","family":"Oecd","given":"","non-dropping-particle":"","parse-names":false,"suffix":""}],"container-title":"Biotechnology","id":"ITEM-2","issue":"November","issued":{"date-parts":[["2004"]]},"page":"1-2","title":"OECD principles for the validation, for regulatory purposes, of (quantitative) structure-activity relationships models.","type":"article-journal"},"uris":["http://www.mendeley.com/documents/?uuid=034476ca-3cba-46b4-b729-dde7543578e5"]}],"mendeley":{"formattedCitation":"&lt;sup&gt;7,49&lt;/sup&gt;","plainTextFormattedCitation":"7,49","previouslyFormattedCitation":"&lt;sup&gt;7,49&lt;/sup&gt;"},"properties":{"noteIndex":0},"schema":"https://github.com/citation-style-language/schema/raw/master/csl-citation.json"}</w:instrText>
      </w:r>
      <w:r w:rsidR="00C42697" w:rsidRPr="008E5B32">
        <w:fldChar w:fldCharType="separate"/>
      </w:r>
      <w:r w:rsidR="005D1733" w:rsidRPr="008E5B32">
        <w:rPr>
          <w:noProof/>
          <w:vertAlign w:val="superscript"/>
          <w:lang w:val="en-GB"/>
        </w:rPr>
        <w:t>7,49</w:t>
      </w:r>
      <w:r w:rsidR="00C42697" w:rsidRPr="008E5B32">
        <w:fldChar w:fldCharType="end"/>
      </w:r>
      <w:r w:rsidR="00C42697" w:rsidRPr="008E5B32">
        <w:rPr>
          <w:lang w:val="en-GB"/>
        </w:rPr>
        <w:t>)</w:t>
      </w:r>
      <w:r w:rsidR="00B864E1" w:rsidRPr="008E5B32">
        <w:rPr>
          <w:lang w:val="en-GB"/>
        </w:rPr>
        <w:t>;</w:t>
      </w:r>
      <w:r w:rsidRPr="008E5B32">
        <w:rPr>
          <w:lang w:val="en-GB"/>
        </w:rPr>
        <w:t xml:space="preserve"> explanation on how the evaluation based on such criteria is performed</w:t>
      </w:r>
      <w:r w:rsidR="009538D3" w:rsidRPr="008E5B32">
        <w:rPr>
          <w:lang w:val="en-GB"/>
        </w:rPr>
        <w:t xml:space="preserve"> in this manuscript</w:t>
      </w:r>
      <w:r w:rsidRPr="008E5B32">
        <w:rPr>
          <w:lang w:val="en-GB"/>
        </w:rPr>
        <w:t>.</w:t>
      </w:r>
      <w:bookmarkEnd w:id="4"/>
    </w:p>
    <w:tbl>
      <w:tblPr>
        <w:tblStyle w:val="Paper"/>
        <w:tblW w:w="0" w:type="auto"/>
        <w:tblLayout w:type="fixed"/>
        <w:tblLook w:val="0620" w:firstRow="1" w:lastRow="0" w:firstColumn="0" w:lastColumn="0" w:noHBand="1" w:noVBand="1"/>
      </w:tblPr>
      <w:tblGrid>
        <w:gridCol w:w="1260"/>
        <w:gridCol w:w="4230"/>
        <w:gridCol w:w="2430"/>
        <w:gridCol w:w="1109"/>
      </w:tblGrid>
      <w:tr w:rsidR="00FD729B" w:rsidRPr="008E5B32" w14:paraId="2233E6D6" w14:textId="77777777" w:rsidTr="00C2239C">
        <w:trPr>
          <w:cnfStyle w:val="100000000000" w:firstRow="1" w:lastRow="0" w:firstColumn="0" w:lastColumn="0" w:oddVBand="0" w:evenVBand="0" w:oddHBand="0" w:evenHBand="0" w:firstRowFirstColumn="0" w:firstRowLastColumn="0" w:lastRowFirstColumn="0" w:lastRowLastColumn="0"/>
        </w:trPr>
        <w:tc>
          <w:tcPr>
            <w:tcW w:w="1260" w:type="dxa"/>
          </w:tcPr>
          <w:p w14:paraId="141556C5" w14:textId="77777777" w:rsidR="00FD729B" w:rsidRPr="008E5B32" w:rsidRDefault="00FD729B" w:rsidP="00C2239C">
            <w:pPr>
              <w:widowControl w:val="0"/>
              <w:spacing w:after="120"/>
              <w:rPr>
                <w:b w:val="0"/>
                <w:color w:val="auto"/>
                <w:szCs w:val="18"/>
              </w:rPr>
            </w:pPr>
            <w:r w:rsidRPr="008E5B32">
              <w:rPr>
                <w:color w:val="auto"/>
                <w:szCs w:val="18"/>
              </w:rPr>
              <w:t>Criterion</w:t>
            </w:r>
          </w:p>
        </w:tc>
        <w:tc>
          <w:tcPr>
            <w:tcW w:w="4230" w:type="dxa"/>
          </w:tcPr>
          <w:p w14:paraId="11AE7CF7" w14:textId="77777777" w:rsidR="00FD729B" w:rsidRPr="008E5B32" w:rsidRDefault="00FD729B" w:rsidP="00C2239C">
            <w:pPr>
              <w:widowControl w:val="0"/>
              <w:spacing w:after="120"/>
              <w:rPr>
                <w:b w:val="0"/>
                <w:color w:val="auto"/>
                <w:szCs w:val="18"/>
              </w:rPr>
            </w:pPr>
            <w:r w:rsidRPr="008E5B32">
              <w:rPr>
                <w:color w:val="auto"/>
                <w:szCs w:val="18"/>
              </w:rPr>
              <w:t>Motivation</w:t>
            </w:r>
          </w:p>
        </w:tc>
        <w:tc>
          <w:tcPr>
            <w:tcW w:w="2430" w:type="dxa"/>
          </w:tcPr>
          <w:p w14:paraId="6DFCC873" w14:textId="77777777" w:rsidR="00FD729B" w:rsidRPr="008E5B32" w:rsidRDefault="00FD729B" w:rsidP="00C2239C">
            <w:pPr>
              <w:widowControl w:val="0"/>
              <w:rPr>
                <w:color w:val="auto"/>
                <w:szCs w:val="18"/>
              </w:rPr>
            </w:pPr>
            <w:r w:rsidRPr="008E5B32">
              <w:rPr>
                <w:color w:val="auto"/>
                <w:szCs w:val="18"/>
              </w:rPr>
              <w:t>Evaluation</w:t>
            </w:r>
          </w:p>
        </w:tc>
        <w:tc>
          <w:tcPr>
            <w:tcW w:w="1109" w:type="dxa"/>
          </w:tcPr>
          <w:p w14:paraId="15A2D0E0" w14:textId="74F5479F" w:rsidR="00FD729B" w:rsidRPr="008E5B32" w:rsidRDefault="00AC0EF0" w:rsidP="00C2239C">
            <w:pPr>
              <w:widowControl w:val="0"/>
              <w:spacing w:after="120"/>
              <w:rPr>
                <w:b w:val="0"/>
                <w:color w:val="auto"/>
                <w:szCs w:val="18"/>
              </w:rPr>
            </w:pPr>
            <w:r w:rsidRPr="008E5B32">
              <w:rPr>
                <w:color w:val="auto"/>
                <w:szCs w:val="18"/>
              </w:rPr>
              <w:t>R</w:t>
            </w:r>
            <w:r w:rsidR="00FD729B" w:rsidRPr="008E5B32">
              <w:rPr>
                <w:color w:val="auto"/>
                <w:szCs w:val="18"/>
              </w:rPr>
              <w:t>eferences</w:t>
            </w:r>
          </w:p>
        </w:tc>
      </w:tr>
      <w:tr w:rsidR="00FD729B" w:rsidRPr="008E5B32" w14:paraId="508A169B" w14:textId="77777777" w:rsidTr="00C2239C">
        <w:tc>
          <w:tcPr>
            <w:tcW w:w="1260" w:type="dxa"/>
          </w:tcPr>
          <w:p w14:paraId="3C2B61D4" w14:textId="77777777" w:rsidR="00FD729B" w:rsidRPr="008E5B32" w:rsidRDefault="00FD729B" w:rsidP="00C2239C">
            <w:pPr>
              <w:widowControl w:val="0"/>
              <w:spacing w:after="120"/>
              <w:rPr>
                <w:szCs w:val="18"/>
              </w:rPr>
            </w:pPr>
            <w:r w:rsidRPr="008E5B32">
              <w:rPr>
                <w:szCs w:val="18"/>
              </w:rPr>
              <w:t>Modelled endpoint</w:t>
            </w:r>
          </w:p>
        </w:tc>
        <w:tc>
          <w:tcPr>
            <w:tcW w:w="4230" w:type="dxa"/>
          </w:tcPr>
          <w:p w14:paraId="6754E3CC" w14:textId="77777777" w:rsidR="00FD729B" w:rsidRPr="008E5B32" w:rsidRDefault="00FD729B" w:rsidP="00C2239C">
            <w:pPr>
              <w:widowControl w:val="0"/>
              <w:spacing w:after="120"/>
              <w:jc w:val="both"/>
              <w:rPr>
                <w:szCs w:val="18"/>
                <w:lang w:val="en-GB"/>
              </w:rPr>
            </w:pPr>
            <w:r w:rsidRPr="008E5B32">
              <w:rPr>
                <w:lang w:val="en-GB"/>
              </w:rPr>
              <w:t>The model must describe a</w:t>
            </w:r>
            <w:r w:rsidR="00EF6237" w:rsidRPr="008E5B32">
              <w:rPr>
                <w:lang w:val="en-GB"/>
              </w:rPr>
              <w:t xml:space="preserve"> (set of)</w:t>
            </w:r>
            <w:r w:rsidRPr="008E5B32">
              <w:rPr>
                <w:lang w:val="en-GB"/>
              </w:rPr>
              <w:t xml:space="preserve"> well-defined endpoint</w:t>
            </w:r>
            <w:r w:rsidR="00EF6237" w:rsidRPr="008E5B32">
              <w:rPr>
                <w:lang w:val="en-GB"/>
              </w:rPr>
              <w:t>(s)</w:t>
            </w:r>
            <w:r w:rsidRPr="008E5B32">
              <w:rPr>
                <w:lang w:val="en-GB"/>
              </w:rPr>
              <w:t xml:space="preserve">, thus addressing a defined scientific or regulatory purpose. Moreover, response data should ideally be derived and measured through the same (internationally accepted) protocol. For </w:t>
            </w:r>
            <w:r w:rsidR="00650B32" w:rsidRPr="008E5B32">
              <w:rPr>
                <w:lang w:val="en-GB"/>
              </w:rPr>
              <w:t>Read-Across</w:t>
            </w:r>
            <w:r w:rsidRPr="008E5B32">
              <w:rPr>
                <w:lang w:val="en-GB"/>
              </w:rPr>
              <w:t xml:space="preserve"> approaches the criterion reads "Endpoint to </w:t>
            </w:r>
            <w:r w:rsidR="00650B32" w:rsidRPr="008E5B32">
              <w:rPr>
                <w:lang w:val="en-GB"/>
              </w:rPr>
              <w:t>Read-Across</w:t>
            </w:r>
            <w:r w:rsidRPr="008E5B32">
              <w:rPr>
                <w:lang w:val="en-GB"/>
              </w:rPr>
              <w:t>".</w:t>
            </w:r>
          </w:p>
        </w:tc>
        <w:tc>
          <w:tcPr>
            <w:tcW w:w="2430" w:type="dxa"/>
          </w:tcPr>
          <w:p w14:paraId="3EB3E486" w14:textId="77777777" w:rsidR="00FD729B" w:rsidRPr="008E5B32" w:rsidRDefault="00FD729B" w:rsidP="00C2239C">
            <w:pPr>
              <w:widowControl w:val="0"/>
              <w:jc w:val="both"/>
              <w:rPr>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A well-defined endpoint has been modelled.</w:t>
            </w:r>
          </w:p>
          <w:p w14:paraId="1652B33C"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 xml:space="preserve">✗ </w:t>
            </w:r>
            <w:r w:rsidRPr="008E5B32">
              <w:rPr>
                <w:szCs w:val="18"/>
                <w:lang w:val="en-GB"/>
              </w:rPr>
              <w:t>The modelled endpoint was not well-defined.</w:t>
            </w:r>
          </w:p>
        </w:tc>
        <w:tc>
          <w:tcPr>
            <w:tcW w:w="1109" w:type="dxa"/>
          </w:tcPr>
          <w:p w14:paraId="7DB2D45E" w14:textId="124EEBC0" w:rsidR="00FD729B" w:rsidRPr="008E5B32" w:rsidRDefault="0052241C" w:rsidP="00C2239C">
            <w:pPr>
              <w:widowControl w:val="0"/>
              <w:spacing w:after="120"/>
              <w:rPr>
                <w:szCs w:val="18"/>
                <w:lang w:val="en-GB"/>
              </w:rPr>
            </w:pPr>
            <w:r w:rsidRPr="008E5B32">
              <w:rPr>
                <w:szCs w:val="18"/>
              </w:rPr>
              <w:fldChar w:fldCharType="begin" w:fldLock="1"/>
            </w:r>
            <w:r w:rsidR="004C12A8" w:rsidRPr="008E5B32">
              <w:rPr>
                <w:szCs w:val="18"/>
              </w:rPr>
              <w:instrText xml:space="preserve">ADDIN CSL_CITATION {"citationItems":[{"id":"ITEM-1","itemData":{"DOI":"10.1787/9789264085442-en","ISBN":"9789264085442","abstract":"FOREWORD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Assessment","container-title":"ENV/JM/MONO(2007)2","id":"ITEM-1","issue":"February","issued":{"date-parts":[["2007","9"]]},"number-of-pages":"1-154","publisher":"OECD Publishing","title":"Guidance Document on the Validation of (Quantitative) Structure-Activity Relationship [(Q)SAR] Models","type":"report","volume":"2"},"uris":["http://www.mendeley.com/documents/?uuid=3d44bd0e-1b2a-49f7-81be-3234a3f9a41e","http://www.mendeley.com/documents/?uuid=fcbbe4fd-11fb-48bf-9c58-e2c9983c8e40","http://www.mendeley.com/documents/?uuid=15920fad-997b-4bec-9b20-5ab6fdf65c56","http://www.mendeley.com/documents/?uuid=0eb84cbe-59d6-4152-828b-4df1ee3a318f"]},{"id":"ITEM-2","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w:instrText>
            </w:r>
            <w:r w:rsidR="004C12A8" w:rsidRPr="008E5B32">
              <w:rPr>
                <w:szCs w:val="18"/>
                <w:lang w:val="en-US"/>
              </w:rPr>
              <w:instrText>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information.","author":[{"dropping-particle":"","family":"Oecd","given":"","non-dropping-particle":"","parse-names":false,"suffix":""}],"container-title":"Biotechnology","id":"ITEM-2","issue":"November","issued":{"date-parts":[["2004"]]},"page":"1-2","title":"OECD principles for the validation, for regulatory purposes, of (quantitative) structure-activity relationships models.","type":"article-journal"},"uris":["http://www.mendeley.com/documents/?uuid=034476ca-3cba-46b4-b729-dde7543578e5"]}],"mendeley":{"formattedCitation":"&lt;sup&gt;7,49&lt;/sup&gt;","plainTextFormattedCitation":"7,49","previouslyFormattedCitation":"&lt;sup&gt;7,49&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7,49</w:t>
            </w:r>
            <w:r w:rsidRPr="008E5B32">
              <w:rPr>
                <w:szCs w:val="18"/>
              </w:rPr>
              <w:fldChar w:fldCharType="end"/>
            </w:r>
          </w:p>
        </w:tc>
      </w:tr>
      <w:tr w:rsidR="00FD729B" w:rsidRPr="008E5B32" w14:paraId="7E64385E" w14:textId="77777777" w:rsidTr="00C2239C">
        <w:tc>
          <w:tcPr>
            <w:tcW w:w="1260" w:type="dxa"/>
          </w:tcPr>
          <w:p w14:paraId="5C9206E8" w14:textId="77777777" w:rsidR="00FD729B" w:rsidRPr="008E5B32" w:rsidRDefault="00FD729B" w:rsidP="00C2239C">
            <w:pPr>
              <w:widowControl w:val="0"/>
              <w:spacing w:after="120"/>
              <w:rPr>
                <w:szCs w:val="18"/>
                <w:lang w:val="en-GB"/>
              </w:rPr>
            </w:pPr>
            <w:r w:rsidRPr="008E5B32">
              <w:rPr>
                <w:szCs w:val="18"/>
                <w:lang w:val="en-GB"/>
              </w:rPr>
              <w:t>Dataset size</w:t>
            </w:r>
          </w:p>
        </w:tc>
        <w:tc>
          <w:tcPr>
            <w:tcW w:w="4230" w:type="dxa"/>
          </w:tcPr>
          <w:p w14:paraId="691FE0E0" w14:textId="357B0146" w:rsidR="00FD729B" w:rsidRPr="008E5B32" w:rsidRDefault="00FD729B" w:rsidP="00C2239C">
            <w:pPr>
              <w:widowControl w:val="0"/>
              <w:spacing w:after="120"/>
              <w:jc w:val="both"/>
              <w:rPr>
                <w:szCs w:val="18"/>
                <w:lang w:val="en-GB"/>
              </w:rPr>
            </w:pPr>
            <w:r w:rsidRPr="008E5B32">
              <w:rPr>
                <w:szCs w:val="18"/>
                <w:lang w:val="en-GB"/>
              </w:rPr>
              <w:t xml:space="preserve">While it is generally true that representativeness is more important than dataset size, </w:t>
            </w:r>
            <w:r w:rsidR="00F43C99" w:rsidRPr="008E5B32">
              <w:rPr>
                <w:szCs w:val="18"/>
                <w:lang w:val="en-GB"/>
              </w:rPr>
              <w:t xml:space="preserve">it </w:t>
            </w:r>
            <w:r w:rsidRPr="008E5B32">
              <w:rPr>
                <w:szCs w:val="18"/>
                <w:lang w:val="en-GB"/>
              </w:rPr>
              <w:t>is well recognized tha</w:t>
            </w:r>
            <w:r w:rsidR="00F43C99" w:rsidRPr="008E5B32">
              <w:rPr>
                <w:szCs w:val="18"/>
                <w:lang w:val="en-GB"/>
              </w:rPr>
              <w:t>t</w:t>
            </w:r>
            <w:r w:rsidR="00D459C3" w:rsidRPr="008E5B32">
              <w:rPr>
                <w:szCs w:val="18"/>
                <w:lang w:val="en-GB"/>
              </w:rPr>
              <w:t xml:space="preserve"> </w:t>
            </w:r>
            <w:r w:rsidR="00586829" w:rsidRPr="008E5B32">
              <w:rPr>
                <w:szCs w:val="18"/>
                <w:lang w:val="en-GB"/>
              </w:rPr>
              <w:t>generally</w:t>
            </w:r>
            <w:r w:rsidRPr="008E5B32">
              <w:rPr>
                <w:szCs w:val="18"/>
                <w:lang w:val="en-GB"/>
              </w:rPr>
              <w:t xml:space="preserve"> </w:t>
            </w:r>
            <w:r w:rsidR="005066A8" w:rsidRPr="008E5B32">
              <w:rPr>
                <w:szCs w:val="18"/>
                <w:lang w:val="en-GB"/>
              </w:rPr>
              <w:t>ML</w:t>
            </w:r>
            <w:r w:rsidRPr="008E5B32">
              <w:rPr>
                <w:szCs w:val="18"/>
                <w:lang w:val="en-GB"/>
              </w:rPr>
              <w:t xml:space="preserve"> methods work better when trained with a sufficiently large number of samples</w:t>
            </w:r>
            <w:r w:rsidR="006F6EB6" w:rsidRPr="008E5B32">
              <w:rPr>
                <w:szCs w:val="18"/>
                <w:lang w:val="en-GB"/>
              </w:rPr>
              <w:t>.</w:t>
            </w:r>
            <w:r w:rsidRPr="008E5B32">
              <w:rPr>
                <w:szCs w:val="18"/>
                <w:lang w:val="en-GB"/>
              </w:rPr>
              <w:t xml:space="preserve"> </w:t>
            </w:r>
          </w:p>
        </w:tc>
        <w:tc>
          <w:tcPr>
            <w:tcW w:w="2430" w:type="dxa"/>
          </w:tcPr>
          <w:p w14:paraId="0702CF1D" w14:textId="77777777" w:rsidR="00FD729B" w:rsidRPr="008E5B32" w:rsidRDefault="00FD729B" w:rsidP="00C2239C">
            <w:pPr>
              <w:widowControl w:val="0"/>
              <w:jc w:val="both"/>
              <w:rPr>
                <w:szCs w:val="18"/>
                <w:lang w:val="en-GB"/>
              </w:rPr>
            </w:pPr>
            <w:r w:rsidRPr="008E5B32">
              <w:rPr>
                <w:szCs w:val="18"/>
                <w:lang w:val="en-GB"/>
              </w:rPr>
              <w:t>Quantitative: dataset size is highlighted</w:t>
            </w:r>
            <w:r w:rsidR="00E01224" w:rsidRPr="008E5B32">
              <w:rPr>
                <w:szCs w:val="18"/>
                <w:lang w:val="en-GB"/>
              </w:rPr>
              <w:t>, together with the original reference</w:t>
            </w:r>
            <w:r w:rsidRPr="008E5B32">
              <w:rPr>
                <w:szCs w:val="18"/>
                <w:lang w:val="en-GB"/>
              </w:rPr>
              <w:t>.</w:t>
            </w:r>
          </w:p>
        </w:tc>
        <w:tc>
          <w:tcPr>
            <w:tcW w:w="1109" w:type="dxa"/>
          </w:tcPr>
          <w:p w14:paraId="11D047EE" w14:textId="565379C9"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{"citationItems":[{"id":"ITEM-1","itemData":{"DOI":"10.1016/j.aca.2012.11.007","ISBN":"1873-4324 (Electronic)\\r0003-2670 (Linking)","ISSN":"00032670","PMID":"23265730","abstract":"In biospectroscopy, suitably annotated and statistically independent samples (e.g. patients, batches, etc.) for classifier training and testing are scarce and costly. Learning curves show the model performance as function of the training sample size and can help to determine the sample size needed to train good classifiers. However, building a good model is actually not enough: the performance must also be proven. We discuss learning curves for typical small sample size situations with 5-25 independent samples per class. Although the classification models achieve acceptable performance, the learning curve can be completely masked by the random testing uncertainty due to the equally limited test sample size. In consequence, we determine test sample sizes necessary to achieve reasonable precision in the validation and find that 75-100 samples will usually be needed to test a good but not perfect classifier. Such a data set will then allow refined sample size planning on the basis of the achieved performance. We also demonstrate how to calculate necessary sample sizes in order to show the superiority of one classifier over another: this often requires hundreds of statistically independent test samples or is even theoretically impossible. We demonstrate our findings with a data set of ca. 2550 Raman spectra of single cells (five classes: erythrocytes, leukocytes and three tumour cell lines BT-20, MCF-7 and OCI-AML3) as well as by an extensive simulation that allows precise determination of the actual performance of the models in question. © 2012 Elsevier B.V.","author":[{"dropping-particle":"","family":"Beleites","given":"Claudia","non-dropping-particle":"","parse-names":false,"suffix":""},{"dropping-particle":"","family":"Neugebauer","given":"Ute","non-dropping-particle":"","parse-names":false,"suffix":""},{"dropping-particle":"","family":"Bocklitz","given":"Thomas","non-dropping-particle":"","parse-names":false,"suffix":""},{"dropping-particle":"","family":"Krafft","given":"Christoph","non-dropping-particle":"","parse-names":false,"suffix":""},{"dropping-particle":"","family":"Popp","given":"Jürgen","non-dropping-particle":"","parse-names":false,"suffix":""}],"container-title":"Analytica Chimica Acta","id":"ITEM-1","issued":{"date-parts":[["2013"]]},"page":"25-33","title":"Sample size planning for classification models","type":"article-journal","volume":"760"},"uris":["http://www.mendeley.com/documents/?uuid=339f2f2c-08f2-411f-9c60-5c5797d49f7e"]},{"id":"ITEM-2","itemData":{"DOI":"10.1289/ehp.5758","ISBN":"0091-6765","ISSN":"00916765","PMID":"12896860","abstract":"This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Perspectives","id":"ITEM-2","issue":"10","issued":{"date-parts":[["2003"]]},"page":"1361-1375","title":"Methods for reliability and uncertainty assessment and for applicability evaluations of classification- and regression-based QSARs","type":"article","volume":"111"},"uris":["http://www.mendeley.com/documents/?uuid=4b76a516-1a5a-489b-b921-8417a85fadfa"]}],"mendeley":{"formattedCitation":"&lt;sup&gt;51,52&lt;/sup&gt;","plainTextFormattedCitation":"51,52","previouslyFormattedCitation":"&lt;sup&gt;51,52&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51,52</w:t>
            </w:r>
            <w:r w:rsidRPr="008E5B32">
              <w:rPr>
                <w:szCs w:val="18"/>
              </w:rPr>
              <w:fldChar w:fldCharType="end"/>
            </w:r>
          </w:p>
        </w:tc>
      </w:tr>
      <w:tr w:rsidR="00FD729B" w:rsidRPr="008E5B32" w14:paraId="50CD7B48" w14:textId="77777777" w:rsidTr="00C2239C">
        <w:tc>
          <w:tcPr>
            <w:tcW w:w="1260" w:type="dxa"/>
          </w:tcPr>
          <w:p w14:paraId="65D37637" w14:textId="0CE7709B" w:rsidR="00FD729B" w:rsidRPr="008E5B32" w:rsidRDefault="00FD729B" w:rsidP="00C2239C">
            <w:pPr>
              <w:widowControl w:val="0"/>
              <w:spacing w:after="120"/>
              <w:rPr>
                <w:szCs w:val="18"/>
                <w:lang w:val="en-GB"/>
              </w:rPr>
            </w:pPr>
            <w:r w:rsidRPr="008E5B32">
              <w:rPr>
                <w:szCs w:val="18"/>
                <w:lang w:val="en-GB"/>
              </w:rPr>
              <w:t>Modelling approach</w:t>
            </w:r>
            <w:r w:rsidR="00D7434D" w:rsidRPr="008E5B32">
              <w:rPr>
                <w:szCs w:val="18"/>
                <w:lang w:val="en-GB"/>
              </w:rPr>
              <w:t xml:space="preserve"> </w:t>
            </w:r>
          </w:p>
        </w:tc>
        <w:tc>
          <w:tcPr>
            <w:tcW w:w="4230" w:type="dxa"/>
          </w:tcPr>
          <w:p w14:paraId="7C6B16C9" w14:textId="77777777" w:rsidR="00FD729B" w:rsidRPr="008E5B32" w:rsidRDefault="00FD729B" w:rsidP="00C2239C">
            <w:pPr>
              <w:widowControl w:val="0"/>
              <w:spacing w:after="120"/>
              <w:jc w:val="both"/>
              <w:rPr>
                <w:lang w:val="en-GB"/>
              </w:rPr>
            </w:pPr>
            <w:r w:rsidRPr="008E5B32">
              <w:rPr>
                <w:lang w:val="en-GB"/>
              </w:rPr>
              <w:t xml:space="preserve">Relationships between intrinsic/extrinsic NM properties and biological </w:t>
            </w:r>
            <w:r w:rsidR="00106B5A" w:rsidRPr="008E5B32">
              <w:rPr>
                <w:lang w:val="en-GB"/>
              </w:rPr>
              <w:t>effect</w:t>
            </w:r>
            <w:r w:rsidRPr="008E5B32">
              <w:rPr>
                <w:lang w:val="en-GB"/>
              </w:rPr>
              <w:t>s can be discovered both using linear and nonlinear models, but in general these relationships are, by nature, highly non-linear. It is possible to describe some families of non-linear relationships using linear models by proper non-linear transformations of descriptors, but often</w:t>
            </w:r>
            <w:r w:rsidR="00CA5297" w:rsidRPr="008E5B32">
              <w:rPr>
                <w:lang w:val="en-GB"/>
              </w:rPr>
              <w:t xml:space="preserve"> this is not sufficient</w:t>
            </w:r>
            <w:r w:rsidRPr="008E5B32">
              <w:rPr>
                <w:lang w:val="en-GB"/>
              </w:rPr>
              <w:t xml:space="preserve">. The adopted model and the descriptors should be clearly reported. As </w:t>
            </w:r>
            <w:r w:rsidR="00650B32" w:rsidRPr="008E5B32">
              <w:rPr>
                <w:lang w:val="en-GB"/>
              </w:rPr>
              <w:t>Read-Across</w:t>
            </w:r>
            <w:r w:rsidRPr="008E5B32">
              <w:rPr>
                <w:lang w:val="en-GB"/>
              </w:rPr>
              <w:t xml:space="preserve"> approaches do not necessarily present a model, the criterion reads "Applied method".</w:t>
            </w:r>
          </w:p>
        </w:tc>
        <w:tc>
          <w:tcPr>
            <w:tcW w:w="2430" w:type="dxa"/>
          </w:tcPr>
          <w:p w14:paraId="3356120F" w14:textId="77777777" w:rsidR="00FD729B" w:rsidRPr="008E5B32" w:rsidRDefault="00FD729B" w:rsidP="00C2239C">
            <w:pPr>
              <w:widowControl w:val="0"/>
              <w:jc w:val="both"/>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Adopted model/method and descriptors have been reported.</w:t>
            </w:r>
          </w:p>
          <w:p w14:paraId="07FF98CD"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 xml:space="preserve">✗ </w:t>
            </w:r>
            <w:r w:rsidRPr="008E5B32">
              <w:rPr>
                <w:szCs w:val="18"/>
                <w:lang w:val="en-GB"/>
              </w:rPr>
              <w:t>Adopted model/method and/or descriptors have not been reported.</w:t>
            </w:r>
          </w:p>
        </w:tc>
        <w:tc>
          <w:tcPr>
            <w:tcW w:w="1109" w:type="dxa"/>
          </w:tcPr>
          <w:p w14:paraId="7395B1A8" w14:textId="68F6A4C3"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{"citationItems":[{"id":"ITEM-1","itemData":{"DOI":"10.2174/138620706776055539","ISSN":"1386-2073","PMID":"16533155","abstract":"Virtual filtering and screening of combinatorial libraries have recently gained attention as methods complementing the high-throughput screening and combinatorial chemistry. These chemoinformatic techniques rely heavily on quantitative structure-activity relationship (QSAR) analysis, a field with established methodology and successful history. In this review, we discuss the computational methods for building QSAR models. We start with outlining their usefulness in high-throughput screening and identifying the general scheme of a QSAR model. Following, we focus on the methodologies in constructing three main components of QSAR model, namely the methods for describing the molecular structure of compounds, for selection of informative descriptors and for activity prediction. We present both the well-established methods as well as techniques recently introduced into the QSAR domain.","author":[{"dropping-particle":"","family":"Dudek","given":"Arkadiusz Z","non-dropping-particle":"","parse-names":false,"suffix":""},{"dropping-particle":"","family":"Arodz","given":"Tomasz","non-dropping-particle":"","parse-names":false,"suffix":""},{"dropping-particle":"","family":"Gálvez","given":"Jorge","non-dropping-particle":"","parse-names":false,"suffix":""}],"container-title":"Combinatorial chemistry &amp; high throughput screening","id":"ITEM-1","issue":"3","issued":{"date-parts":[["2006"]]},"page":"213-28","title":"Computational methods in developing quantitative structure-activity relationships (QSAR): a review.","type":"article-journal","volume":"9"},"uris":["http://www.mendeley.com/documents/?uuid=68787ccf-d4f8-45fa-b127-9179182ebf54"]},{"id":"ITEM-2","itemData":{"DOI":"10.1787/9789264085442-en","ISBN":"9789264085442","abstract":"FOREWORD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Assessment","container-title":"ENV/JM/MONO(2007)2","id":"ITEM-2","issue":"February","issued":{"date-parts":[["2007","9"]]},"number-of-pages":"1-154","publisher":"OECD Publishing","title":"Guidance Document on the Validation of (Quantitative) Structure-Activity Relationship [(Q)SAR] Models","type":"report","volume":"2"},"uris":["http://www.mendeley.com/documents/?uuid=3d44bd0e-1b2a-49f7-81be-3234a3f9a41e"]},{"id":"ITEM-3","itemData":{"DOI":"10.1007/978-3-319-47754-1_5","ISSN":"22148019","abstract":"There is increasing recognition that some nanomaterials may pose a risk to human health and the environment. Moreover, the industrial use of the novel engineered nanomaterials (ENMs) increases at a higher rate than data generation for hazard assessment; consequently, many of them remain untested. The large number of nanomaterials and their variants (e.g.; different sizes and coatings) requiring testing and the ethical pressure towards nonanimal testing means that in a first instance, expensive animal bioassays are precluded, and the use of (quantitative) structure-activity relationships ((Q)SARs) models as an alternative source of (screening) hazard information should be explored. (Q)SAR modelling can be applied to contribute towards filling important knowledge gaps by making best use of existing data, prioritizing the physicochemical parameters driving toxicity, and providing practical solutions for the risk assessment problems caused by the diversity of ENMs. This paper covers the core components required for successful application of (Q)SAR methods to ENM toxicity prediction, summarizes the published nano-(Q)SAR studies, and outlines the challenges ahead for nano-(Q)SAR modelling. It provides a critical review of (1) the present availability of ENM characterization/toxicity data, (2) the characterization of nanostructures that meet the requirements for (Q)SAR analysis, (3) published nano-(Q)SAR studies and their limitations, (4) in silico tools for (Q)SAR screening of nanotoxicity, and (5) prospective directions for the development of nano-(Q)SAR models.","author":[{"dropping-particle":"","family":"Oksel","given":"Ceyda","non-dropping-particle":"","parse-names":false,"suffix":""},{"dropping-particle":"","family":"Ma","given":"Cai Y.","non-dropping-particle":"","parse-names":false,"suffix":""},{"dropping-particle":"","family":"Liu","given":"Jing J.","non-dropping-particle":"","parse-names":false,"suffix":""},{"dropping-particle":"","family":"Wilkins","given":"Terry","non-dropping-particle":"","parse-names":false,"suffix":""},{"dropping-particle":"","family":"Wang","given":"Xue Z.","non-dropping-particle":"","parse-names":false,"suffix":""}],"container-title":"Advances in Experimental Medicine and Biology","id":"ITEM-3","issued":{"date-parts":[["2017"]]},"page":"103-142","title":"Literature review of (Q)SAR modelling of nanomaterial toxicity","type":"chapter","volume":"947"},"uris":["http://www.mendeley.com/documents/?uuid=994c5bf3-740f-409d-bb31-e8ef1ca128a2"]},{"id":"ITEM-4","itemData":{"abstract":"To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information.","author":[{"dropping-particle":"","family":"Oecd","given":"","non-dropping-particle":"","parse-names":false,"suffix":""}],"container-title":"Biotechnology","id":"ITEM-4","issue":"November","issued":{"date-parts":[["2004"]]},"page":"1-2","title":"OECD principles for the validation, for regulatory purposes, of (quantitative) structure-activity relationships models.","type":"article-journal"},"uris":["http://www.mendeley.com/documents/?uuid=034476ca-3cba-46b4-b729-dde7543578e5"]}],"mendeley":{"formattedCitation":"&lt;sup&gt;7,35,49,53&lt;/sup&gt;","plainTextFormattedCitation":"7,35,49,53","previouslyFormattedCitation":"&lt;sup&gt;7,35,49,53&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7,35,49,53</w:t>
            </w:r>
            <w:r w:rsidRPr="008E5B32">
              <w:rPr>
                <w:szCs w:val="18"/>
              </w:rPr>
              <w:fldChar w:fldCharType="end"/>
            </w:r>
          </w:p>
        </w:tc>
      </w:tr>
      <w:tr w:rsidR="00FD729B" w:rsidRPr="008E5B32" w14:paraId="3373ED68" w14:textId="77777777" w:rsidTr="00C2239C">
        <w:tc>
          <w:tcPr>
            <w:tcW w:w="1260" w:type="dxa"/>
          </w:tcPr>
          <w:p w14:paraId="75FF5FBB" w14:textId="77777777" w:rsidR="00FD729B" w:rsidRPr="008E5B32" w:rsidRDefault="00FD729B" w:rsidP="00C2239C">
            <w:pPr>
              <w:widowControl w:val="0"/>
              <w:spacing w:after="120"/>
              <w:rPr>
                <w:szCs w:val="18"/>
                <w:lang w:val="en-GB"/>
              </w:rPr>
            </w:pPr>
            <w:r w:rsidRPr="008E5B32">
              <w:rPr>
                <w:szCs w:val="18"/>
                <w:lang w:val="en-GB"/>
              </w:rPr>
              <w:t>Model validation</w:t>
            </w:r>
          </w:p>
        </w:tc>
        <w:tc>
          <w:tcPr>
            <w:tcW w:w="4230" w:type="dxa"/>
          </w:tcPr>
          <w:p w14:paraId="61087C52" w14:textId="77777777" w:rsidR="00FD729B" w:rsidRPr="008E5B32" w:rsidRDefault="00BA4F3A" w:rsidP="002E17B3">
            <w:pPr>
              <w:widowControl w:val="0"/>
              <w:spacing w:after="120"/>
              <w:jc w:val="both"/>
              <w:rPr>
                <w:szCs w:val="18"/>
                <w:lang w:val="en-GB"/>
              </w:rPr>
            </w:pPr>
            <w:r w:rsidRPr="008E5B32">
              <w:rPr>
                <w:szCs w:val="18"/>
                <w:lang w:val="en-GB"/>
              </w:rPr>
              <w:t xml:space="preserve">Internal </w:t>
            </w:r>
            <w:r w:rsidR="00FD729B" w:rsidRPr="008E5B32">
              <w:rPr>
                <w:szCs w:val="18"/>
                <w:lang w:val="en-GB"/>
              </w:rPr>
              <w:t>validation provides an optimistically biased estimation of the real predictive ability of the provided model: for this reason, models that have been validated both internally and externally are considered more reliable than models that have been only internally validated.</w:t>
            </w:r>
            <w:r w:rsidR="002E17B3" w:rsidRPr="008E5B32">
              <w:rPr>
                <w:szCs w:val="18"/>
                <w:lang w:val="en-GB"/>
              </w:rPr>
              <w:t xml:space="preserve"> </w:t>
            </w:r>
          </w:p>
        </w:tc>
        <w:tc>
          <w:tcPr>
            <w:tcW w:w="2430" w:type="dxa"/>
          </w:tcPr>
          <w:p w14:paraId="1D964B81" w14:textId="77777777" w:rsidR="00FD729B" w:rsidRPr="008E5B32" w:rsidRDefault="00FD729B" w:rsidP="00C2239C">
            <w:pPr>
              <w:widowControl w:val="0"/>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Both internal and external validation have been properly performed.</w:t>
            </w:r>
          </w:p>
          <w:p w14:paraId="29DB550D" w14:textId="77777777" w:rsidR="00FD729B" w:rsidRPr="008E5B32" w:rsidRDefault="00FD729B" w:rsidP="00C2239C">
            <w:pPr>
              <w:widowControl w:val="0"/>
              <w:rPr>
                <w:szCs w:val="18"/>
                <w:lang w:val="en-GB"/>
              </w:rPr>
            </w:pPr>
            <w:r w:rsidRPr="008E5B32">
              <w:rPr>
                <w:szCs w:val="18"/>
                <w:lang w:val="en-GB"/>
              </w:rPr>
              <w:t>≈ Only internal validation has been performed</w:t>
            </w:r>
            <w:r w:rsidR="00A31DCA" w:rsidRPr="008E5B32">
              <w:rPr>
                <w:szCs w:val="18"/>
                <w:lang w:val="en-GB"/>
              </w:rPr>
              <w:t>;</w:t>
            </w:r>
            <w:r w:rsidR="00F416E7" w:rsidRPr="008E5B32">
              <w:rPr>
                <w:szCs w:val="18"/>
                <w:lang w:val="en-GB"/>
              </w:rPr>
              <w:t xml:space="preserve"> for </w:t>
            </w:r>
            <w:r w:rsidR="00650B32" w:rsidRPr="008E5B32">
              <w:rPr>
                <w:szCs w:val="18"/>
                <w:lang w:val="en-GB"/>
              </w:rPr>
              <w:t>Read-Across</w:t>
            </w:r>
            <w:r w:rsidR="00F416E7" w:rsidRPr="008E5B32">
              <w:rPr>
                <w:szCs w:val="18"/>
                <w:lang w:val="en-GB"/>
              </w:rPr>
              <w:t>, comparison with measured data is provided</w:t>
            </w:r>
            <w:r w:rsidRPr="008E5B32">
              <w:rPr>
                <w:szCs w:val="18"/>
                <w:lang w:val="en-GB"/>
              </w:rPr>
              <w:t>.</w:t>
            </w:r>
          </w:p>
          <w:p w14:paraId="5E5AAE9C"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w:t>
            </w:r>
            <w:r w:rsidRPr="008E5B32">
              <w:rPr>
                <w:szCs w:val="18"/>
                <w:lang w:val="en-GB"/>
              </w:rPr>
              <w:t xml:space="preserve"> No validation or biased validation has been performed.</w:t>
            </w:r>
          </w:p>
        </w:tc>
        <w:tc>
          <w:tcPr>
            <w:tcW w:w="1109" w:type="dxa"/>
          </w:tcPr>
          <w:p w14:paraId="57E97D2C" w14:textId="05E21A1F"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{"citationItems":[{"id":"ITEM-1","itemData":{"DOI":"10.1016/S1093-3263(01)00123-1","ISBN":"1093-3263","ISSN":"10933263","PMID":"11858635","abstract":"Validation is a crucial aspect of any quantitative structure-activity relationship (QSAR) modeling. This paper examines one of the most popular validation criteria, leave-one-out cross-validated R2(LOO q2). Often, a high value of this statistical characteristic (q2&gt; 0.5) is considered as a proof of the high predictive ability of the model. In this paper, we show that this assumption is generally incorrect. In the case of 3D QSAR, the lack of the correlation between the high LOO q2and the high predictive ability of a QSAR model has been established earlier [Pharm. Acta Helv. 70 (1995) 149; J. Chemomet. 10 (1996) 95; J. Med. Chem. 41 (1998) 2553]. In this paper, we use two-dimensional (2D) molecular descriptors and k nearest neighbors (kNN) QSAR method for the analysis of several datasets. No correlation between the values of q2for the training set and predictive ability for the test set was found for any of the datasets. Thus, the high value of LOO q2appears to be the necessary but not the sufficient condition for the model to have a high predictive power. We argue that this is the general property of QSAR models developed using LOO cross-validation. We emphasize that the external validation is the only way to establish a reliable QSAR model. We formulate a set of criteria for evaluation of predictive ability of QSAR models. © 2002 Elsevier Science Inc. All rights reserved.","author":[{"dropping-particle":"","family":"Golbraikh","given":"Alexander","non-dropping-particle":"","parse-names":false,"suffix":""},{"dropping-particle":"","family":"Tropsha","given":"Alexander","non-dropping-particle":"","parse-names":false,"suffix":""}],"container-title":"Journal of Molecular Graphics and Modelling","id":"ITEM-1","issue":"4","issued":{"date-parts":[["2002"]]},"page":"269-276","title":"Beware of q2!","type":"paper-conference","volume":"20"},"uris":["http://www.mendeley.com/documents/?uuid=05a85e82-81f0-4f99-8f93-25209169fea8"]},{"id":"ITEM-2","itemData":{"DOI":"10.1021/acs.jcim.6b00088","ISSN":"15205142","PMID":"27218604","abstract":"In the last years, external validation of QSAR models was the subject of intensive debate in the scientific literature. Different groups have proposed different metrics to find \"the best\" parameter to characterize the external predictivity of a QSAR model. This editorial summarizes the history of parameter development for the external QSAR model validation and suggests, once again, the concurrent use of several different metrics to assess the real predictive capability of QSAR models.","author":[{"dropping-particle":"","family":"Gramatica","given":"Paola","non-dropping-particle":"","parse-names":false,"suffix":""},{"dropping-particle":"","family":"Sangion","given":"Alessandro","non-dropping-particle":"","parse-names":false,"suffix":""}],"container-title":"Journal of Chemical Information and Modeling","id":"ITEM-2","issue":"6","issued":{"date-parts":[["2016"]]},"page":"1127-1131","title":"A Historical Excursus on the Statistical Validation Parameters for QSAR Models: A Clarification Concerning Metrics and Terminology","type":"article","volume":"56"},"uris":["http://www.mendeley.com/documents/?uuid=db1351e2-1144-4e17-9423-c7a7e0fde0e1"]},{"id":"ITEM-3","itemData":{"DOI":"10.1002/qsar.200610151","ISBN":"1611-020X","ISSN":"1611020X","abstract":"The recent REACH Policy of the European Union has led to scientists and regulators to focus their attention on establishing general validation principles for QSAR models in the context of chemical regulation (previously known as the Setubal, nowadays, the OECD principles). This paper gives a brief analysis of some principles: unambiguous algorithm, Applicability Domain (AD), and statistical validation. Some concerns related to QSAR algorithm reproducibility and an example of a fast check of the applicability domain for MLR models are presented. Common myths and misconceptions related to popular techniques for verifying internal predictivity, particularly for MLR models (for instance cross-validation, bootstrap), are commented on and compared with commonly used statistical techniques for external validation. The differences in the two validating approaches are highlighted, and evidence is presented that only models that have been validated externally, after their internal validation, can be considered reliable and applicable for both external prediction and regulatory purposes.","author":[{"dropping-particle":"","family":"Gramatica","given":"Paola","non-dropping-particle":"","parse-names":false,"suffix":""}],"container-title":"QSAR and Combinatorial Science","id":"ITEM-3","issue":"5","issued":{"date-parts":[["2007"]]},"page":"694-701","title":"Principles of QSAR models validation: Internal and external","type":"article","volume":"26"},"uris":["http://www.mendeley.com/documents/?uuid=ab53cb48-2224-45c1-965b-0b370bf1636e"]},{"id":"ITEM-4","itemData":{"DOI":"10.1002/qsar.200390007","ISBN":"1611-020X","ISSN":"1611-020X","abstract":"This paper emphasizes the importance of rigorous validation as a crucial, integral component of Quantitative Structure Property Relationship (QSPR) model development. We consider some examples of published QSPR models, which in spite of their high fitted accuracy for the training sets and apparent mechanistic appeal, fail rigorous validation tests, and, thus, may lack practical utility as reliable screening tools. We present a set of simple guidelines for developing validated and predictive QSPR models. To this end, we discuss several validation strategies including (1) randomization of the modelled property, also called Y-scrambling, (2) multiple leave-many-out cross-validations, and (3) external validation using rational division of a dataset into training and test sets. We also highlight the need to establish the domain of model applicability in the chemical space to flag molecules for which predictions may be unreliable, and discuss some algorithms that can be used for this purpose. We advocate the broad use of these guidelines in the development of predictive QSPR models.","author":[{"dropping-particle":"","family":"Tropsha","given":"Alexander","non-dropping-particle":"","parse-names":false,"suffix":""},{"dropping-particle":"","family":"Gramatica","given":"Paola","non-dropping-particle":"","parse-names":false,"suffix":""},{"dropping-particle":"","family":"Gombar","given":"Vijay?K.","non-dropping-particle":"","parse-names":false,"suffix":""}],"container-title":"QSAR &amp; Combinatorial Science","id":"ITEM-4","issue":"1","issued":{"date-parts":[["2003"]]},"page":"69-77","title":"The Importance of Being Earnest: Validation is the Absolute Essential for Successful Application and Interpretation of QSPR Models","type":"article-journal","volume":"22"},"uris":["http://www.mendeley.com/documents/?uuid=bb6c21b0-9130-4aeb-885d-b376b8118f48"]},{"id":"ITEM-5","itemData":{"abstract":"To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information.","author":[{"dropping-particle":"","family":"Oecd","given":"","non-dropping-particle":"","parse-names":false,"suffix":""}],"container-title":"Biotechnology","id":"ITEM-5","issue":"November","issued":{"date-parts":[["2004"]]},"page":"1-2","title":"OECD principles for the validation, for regulatory purposes, of (quantitative) structure-activity relationships models.","type":"article-journal"},"uris":["http://www.mendeley.com/documents/?uuid=034476ca-3cba-46b4-b729-dde7543578e5"]},{"id":"ITEM-6","itemData":{"DOI":"10.1289/ehp.5758","ISBN":"0091-6765","ISSN":"00916765","PMID":"12896860","abstract":"This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Perspectives","id":"ITEM-6","issue":"10","issued":{"date-parts":[["2003"]]},"page":"1361-1375","title":"Methods for reliability and uncertainty assessment and for applicability evaluations of classification- and regression-based QSARs","type":"article","volume":"111"},"uris":["http://www.mendeley.com/documents/?uuid=4b76a516-1a5a-489b-b921-8417a85fadfa"]},{"id":"ITEM-7","itemData":{"DOI":"10.1787/9789264085442-en","ISBN":"9789264085442","abstract":"FOREWORD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Assessment","container-title":"ENV/JM/MONO(2007)2","id":"ITEM-7","issue":"February","issued":{"date-parts":[["2007","9"]]},"number-of-pages":"1-154","publisher":"OECD Publishing","title":"Guidance Document on the Validation of (Quantitative) Structure-Activity Relationship [(Q)SAR] Models","type":"report","volume":"2"},"uris":["http://www.mendeley.com/documents/?uuid=3d44bd0e-1b2a-49f7-81be-3234a3f9a41e"]}],"mendeley":{"formattedCitation":"&lt;sup&gt;7,49,52,54–57&lt;/sup&gt;","plainTextFormattedCitation":"7,49,52,54–57","previouslyFormattedCitation":"&lt;sup&gt;7,49,52,54–57&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7,49,52,54–57</w:t>
            </w:r>
            <w:r w:rsidRPr="008E5B32">
              <w:rPr>
                <w:szCs w:val="18"/>
              </w:rPr>
              <w:fldChar w:fldCharType="end"/>
            </w:r>
          </w:p>
        </w:tc>
      </w:tr>
      <w:tr w:rsidR="00FD729B" w:rsidRPr="008E5B32" w14:paraId="41A497D0" w14:textId="77777777" w:rsidTr="00C2239C">
        <w:tc>
          <w:tcPr>
            <w:tcW w:w="1260" w:type="dxa"/>
          </w:tcPr>
          <w:p w14:paraId="01678241" w14:textId="77777777" w:rsidR="00FD729B" w:rsidRPr="008E5B32" w:rsidRDefault="00FD729B" w:rsidP="00C2239C">
            <w:pPr>
              <w:widowControl w:val="0"/>
              <w:spacing w:after="120"/>
              <w:rPr>
                <w:szCs w:val="18"/>
                <w:lang w:val="en-GB"/>
              </w:rPr>
            </w:pPr>
            <w:r w:rsidRPr="008E5B32">
              <w:rPr>
                <w:szCs w:val="18"/>
                <w:lang w:val="en-GB"/>
              </w:rPr>
              <w:t>Statistics and metrics</w:t>
            </w:r>
          </w:p>
          <w:p w14:paraId="7AFCB86C" w14:textId="77777777" w:rsidR="00FD729B" w:rsidRPr="008E5B32" w:rsidRDefault="00FD729B" w:rsidP="00C2239C">
            <w:pPr>
              <w:widowControl w:val="0"/>
              <w:spacing w:after="120"/>
              <w:rPr>
                <w:szCs w:val="18"/>
                <w:lang w:val="en-GB"/>
              </w:rPr>
            </w:pPr>
          </w:p>
        </w:tc>
        <w:tc>
          <w:tcPr>
            <w:tcW w:w="4230" w:type="dxa"/>
          </w:tcPr>
          <w:p w14:paraId="4C3C0C02" w14:textId="77777777" w:rsidR="00FD729B" w:rsidRPr="008E5B32" w:rsidRDefault="00FD729B" w:rsidP="00C2239C">
            <w:pPr>
              <w:widowControl w:val="0"/>
              <w:spacing w:after="120"/>
              <w:jc w:val="both"/>
              <w:rPr>
                <w:szCs w:val="18"/>
                <w:lang w:val="en-GB"/>
              </w:rPr>
            </w:pPr>
            <w:r w:rsidRPr="008E5B32">
              <w:rPr>
                <w:lang w:val="en-GB"/>
              </w:rPr>
              <w:t xml:space="preserve">The goodness of fit </w:t>
            </w:r>
            <w:r w:rsidR="00C64265" w:rsidRPr="008E5B32">
              <w:rPr>
                <w:lang w:val="en-GB"/>
              </w:rPr>
              <w:t xml:space="preserve">of the model or </w:t>
            </w:r>
            <w:r w:rsidRPr="008E5B32">
              <w:rPr>
                <w:lang w:val="en-GB"/>
              </w:rPr>
              <w:t xml:space="preserve">of the classification can be measured by means of different statistics: each statistic highlights different aspects of the predictive ability of the model. Moreover, statistics that have grounds on statistical theorems should be preferred over heuristic measures. </w:t>
            </w:r>
          </w:p>
        </w:tc>
        <w:tc>
          <w:tcPr>
            <w:tcW w:w="2430" w:type="dxa"/>
          </w:tcPr>
          <w:p w14:paraId="36A58903" w14:textId="77777777" w:rsidR="00FD729B" w:rsidRPr="008E5B32" w:rsidRDefault="00FD729B" w:rsidP="00C2239C">
            <w:pPr>
              <w:widowControl w:val="0"/>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Proper statistic and metrics have been used.</w:t>
            </w:r>
          </w:p>
          <w:p w14:paraId="0785FB3B" w14:textId="77777777" w:rsidR="00FD729B" w:rsidRPr="008E5B32" w:rsidRDefault="00FD729B" w:rsidP="00C2239C">
            <w:pPr>
              <w:widowControl w:val="0"/>
              <w:rPr>
                <w:szCs w:val="18"/>
                <w:lang w:val="en-GB"/>
              </w:rPr>
            </w:pPr>
            <w:r w:rsidRPr="008E5B32">
              <w:rPr>
                <w:szCs w:val="18"/>
                <w:lang w:val="en-GB"/>
              </w:rPr>
              <w:t xml:space="preserve">≈ The statistics/metrics used were not proper or </w:t>
            </w:r>
            <w:r w:rsidR="00E01224" w:rsidRPr="008E5B32">
              <w:rPr>
                <w:szCs w:val="18"/>
                <w:lang w:val="en-GB"/>
              </w:rPr>
              <w:t>insufficient</w:t>
            </w:r>
            <w:r w:rsidRPr="008E5B32">
              <w:rPr>
                <w:szCs w:val="18"/>
                <w:lang w:val="en-GB"/>
              </w:rPr>
              <w:t>.</w:t>
            </w:r>
          </w:p>
          <w:p w14:paraId="3A03B052" w14:textId="77777777" w:rsidR="00FD729B" w:rsidRPr="008E5B32" w:rsidRDefault="00FD729B" w:rsidP="00C2239C">
            <w:pPr>
              <w:widowControl w:val="0"/>
              <w:rPr>
                <w:szCs w:val="18"/>
                <w:lang w:val="en-GB"/>
              </w:rPr>
            </w:pPr>
            <w:r w:rsidRPr="008E5B32">
              <w:rPr>
                <w:rFonts w:ascii="Segoe UI Symbol" w:hAnsi="Segoe UI Symbol" w:cs="Segoe UI Symbol"/>
                <w:szCs w:val="18"/>
                <w:lang w:val="en-GB"/>
              </w:rPr>
              <w:t>✗</w:t>
            </w:r>
            <w:r w:rsidRPr="008E5B32">
              <w:rPr>
                <w:szCs w:val="18"/>
                <w:lang w:val="en-GB"/>
              </w:rPr>
              <w:t xml:space="preserve"> Proper statistics or metrics have not been used.</w:t>
            </w:r>
          </w:p>
        </w:tc>
        <w:tc>
          <w:tcPr>
            <w:tcW w:w="1109" w:type="dxa"/>
          </w:tcPr>
          <w:p w14:paraId="3A9001DF" w14:textId="6BBE5D8F" w:rsidR="00FD729B" w:rsidRPr="008E5B32" w:rsidRDefault="00FD729B" w:rsidP="000031F0">
            <w:pPr>
              <w:widowControl w:val="0"/>
              <w:spacing w:after="120"/>
              <w:rPr>
                <w:szCs w:val="18"/>
                <w:lang w:val="en-GB"/>
              </w:rPr>
            </w:pPr>
            <w:r w:rsidRPr="008E5B32">
              <w:rPr>
                <w:szCs w:val="18"/>
              </w:rPr>
              <w:fldChar w:fldCharType="begin" w:fldLock="1"/>
            </w:r>
            <w:r w:rsidR="00793E15">
              <w:rPr>
                <w:szCs w:val="18"/>
                <w:lang w:val="en-GB"/>
              </w:rPr>
              <w:instrText>ADDIN CSL_CITATION {"citationItems":[{"id":"ITEM-1","itemData":{"DOI":"10.1002/qsar.200710043","ISBN":"1611-0218","ISSN":"1611020X","abstract":"This paper tries to explore the optimum variable selection strategy for Partial Least Squares (PLS) regression using a model dataset of cytoprotection data. The compounds of the dataset were classified using K-means clustering technique applied on standardized descriptor matrix and ten combinations of training and test sets were generated based on the obtained clusters. For a particular training set, PLS models were developed with a number of components optimized by leave-one-out Q2 and then the developed models were validated (externally) using the test set compounds. For each set, PLS model was initially constructed using all descriptors (variables). The variables having least standardized values of regression coefficients were deleted and the next model was developed with a reduced set of variables. These steps were performed several times until further reduction in number of variables did not improve Q2 value. In each case, statistical parameters like predictive R2 (R2pred), squared correlation coefficient between observed and predicted values with (r2) and without (equation image) intercept and Root Mean Square Error of Prediction (RMSEP) were calculated from the test set compounds. In case of all ten sets, Q2 values steadily increase on deletion of variables while R2pred values do not show any specific trend. In no case, the highest Q2 and highest R2pred appear in the same trial, i.e., with the same combinations of variables. This suggests that from the viewpoint of external predictability, choice of variables for PLS based on Q2 value may not be optimum. Moreover, a clear separation of r2 and r02 curves in some sets suggests that such models may not be truly predictive in spite of acceptable R2pred values. Another observation is that coefficient of determination R2 for the training set is more immune to changes on deletion of variables than the validation parameters like Q2 and R2pred. Finally, a new parameter rm2 has been suggested to indicate external predictability of QSAR models.","author":[{"dropping-particle":"","family":"Roy","given":"Partha Pratim","non-dropping-particle":"","parse-names":false,"suffix":""},{"dropping-particle":"","family":"Roy","given":"Kunal","non-dropping-particle":"","parse-names":false,"suffix":""}],"container-title":"QSAR &amp; Combinatorial Science","id":"ITEM-1","issue":"3","issued":{"date-parts":[["2008"]]},"page":"302-313","title":"On Some Aspects of Variable Selection for Partial Least Squares Regression Models","type":"article-journal","volume":"27"},"uris":["http://www.mendeley.com/documents/?uuid=f817cbb8-8e2e-479a-a0bb-c538e938387d"]},{"id":"ITEM-2","itemData":{"DOI":"10.1021/ci200211n","ISBN":"1549-9596","ISSN":"15499596","PMID":"21800825","abstract":"The main utility of QSAR models is their ability to predict activities/properties for new chemicals, and this external prediction ability is evaluated by means of various validation criteria. As a measure for such evaluation the OECD guidelines have proposed the predictive squared correlation coefficient Q(2)(F1) (Shi et al.). However, other validation criteria have been proposed by other authors: the Golbraikh-Tropsha method, r(2)(m) (Roy), Q(2)(F2) (Schüürmann et al.), Q(2)(F3) (Consonni et al.). In QSAR studies these measures are usually in accordance, though this is not always the case, thus doubts can arise when contradictory results are obtained. It is likely that none of the aforementioned criteria is the best in every situation, so a comparative study using simulated data sets is proposed here, using threshold values suggested by the proponents or those widely used in QSAR modeling. In addition, a different and simple external validation measure, the concordance correlation coefficient (CCC), is proposed and compared with other criteria. Huge data sets were used to study the general behavior of validation measures, and the concordance correlation coefficient was shown to be the most restrictive. On using simulated data sets of a more realistic size, it was found that CCC was broadly in agreement, about 96% of the time, with other validation measures in accepting models as predictive, and in almost all the examples it was the most precautionary. The proposed concordance correlation coefficient also works well on real data sets, where it seems to be more stable, and helps in making decisions when the validation measures are in conflict. Since it is conceptually simple, and given its stability and restrictiveness, we propose the concordance correlation coefficient as a complementary, or alternative, more prudent measure of a QSAR model to be externally predictive.","author":[{"dropping-particle":"","family":"Chirico","given":"Nicola","non-dropping-particle":"","parse-names":false,"suffix":""},{"dropping-particle":"","family":"Gramatica","given":"Paola","non-dropping-particle":"","parse-names":false,"suffix":""}],"container-title":"Journal of Chemical Information and Modeling","id":"ITEM-2","issue":"9","issued":{"date-parts":[["2011"]]},"page":"2320-2335","title":"Real external predictivity of QSAR models: How to evaluate It? Comparison of different validation criteria and proposal of using the concordance correlation coefficient","type":"article-journal","volume":"51"},"uris":["http://www.mendeley.com/documents/?uuid=d4a64e5e-5fa4-4558-a7fa-5179714b3950"]},{"id":"ITEM-3","itemData":{"DOI":"10.1021/ci300084j","ISBN":"1549-960X (Electronic)\\r1549-9596 (Linking)","ISSN":"15499596","PMID":"22721530","abstract":"The evaluation of regression QSAR model performance, in fitting, robustness, and external prediction, is of pivotal importance. Over the past decade, different external validation parameters have been proposed: Q(F1)(2), Q(F2)(2), Q(F3)(2), r(m)(2), and the Golbraikh-Tropsha method. Recently, the concordance correlation coefficient (CCC, Lin), which simply verifies how small the differences are between experimental data and external data set predictions, independently of their range, was proposed by our group as an external validation parameter for use in QSAR studies. In our preliminary work, we demonstrated with thousands of simulated models that CCC is in good agreement with the compared validation criteria (except r(m)(2)) using the cutoff values normally applied for the acceptance of QSAR models as externally predictive. In this new work, we have studied and compared the general trends of the various criteria relative to different possible biases (scale and location shifts) in external data distributions, using a wide range of different simulated scenarios. This study, further supported by visual inspection of experimental vs predicted data scatter plots, has highlighted problems related to some criteria. Indeed, if based on the cutoff suggested by the proponent, r(m)(2) could also accept not predictive models in two of the possible biases (location, location plus scale), while in the case of scale shift bias, it appears to be the most restrictive. Moreover, Q(F1)(2) and Q(F2)(2) showed some problems in one of the possible biases (scale shift). This analysis allowed us to also propose recalibrated, and intercomparable for the same data scatter, new thresholds for each criterion in defining a QSAR model as really externally predictive in a more precautionary approach. An analysis of the results revealed that the scatter plot of experimental vs predicted external data must always be evaluated to support the statistical criteria values: in some cases high statistical parameter values could hide models with unacceptable predictions.","author":[{"dropping-particle":"","family":"Chirico","given":"Nicola","non-dropping-particle":"","parse-names":false,"suffix":""},{"dropping-particle":"","family":"Gramatica","given":"Paola","non-dropping-particle":"","parse-names":false,"suffix":""}],"container-title":"Journal of Chemical Information and Modeling","id":"ITEM-3","issue":"8","issued":{"date-parts":[["2012"]]},"page":"2044-2058","title":"Real external predictivity of QSAR models. Part 2. New intercomparable thresholds for different validation criteria and the need for scatter plot inspection","type":"article-journal","volume":"52"},"uris":["http://www.mendeley.com/documents/?uuid=47836e03-f252-47a1-bc07-924c596f7450"]},{"id":"ITEM-4","itemData":{"DOI":"10.1021/acs.jcim.5b00206","ISBN":"0000287431","ISSN":"15205142","PMID":"26099013","abstract":"The statistical metrics used to characterize the external predictivity of a model, i.e., how well it predicts the properties of an independent test set, have proliferated over the past decade. This paper clarifies some apparent confusion over the use of the coefficient of determination, R(2), as a measure of model fit and predictive power in QSAR and QSPR modeling. R(2) (or r(2)) has been used in various contexts in the literature in conjunction with training and test data for both ordinary linear regression and regression through the origin as well as with linear and nonlinear regression models. We analyze the widely adopted model fit criteria suggested by Golbraikh and Tropsha ( J. Mol. Graphics Modell. 2002 , 20 , 269 - 276 ) in a strict statistical manner. Shortcomings in these criteria are identified, and a clearer and simpler alternative method to characterize model predictivity is provided. The intent is not to repeat the well-documented arguments for model validation using test data but rather to guide the application of R(2) as a model fit statistic. Examples are used to illustrate both correct and incorrect uses of R(2). Reporting the root-mean-square error or equivalent measures of dispersion, which are typically of more practical importance than R(2), is also encouraged, and important challenges in addressing the needs of different categories of users such as computational chemists, experimental scientists, and regulatory decision support specialists are outlined.","author":[{"dropping-particle":"","family":"Alexander","given":"D. L.J.","non-dropping-particle":"","parse-names":false,"suffix":""},{"dropping-particle":"","family":"Tropsha","given":"A.","non-dropping-particle":"","parse-names":false,"suffix":""},{"dropping-particle":"","family":"Winkler","given":"David A.","non-dropping-particle":"","parse-names":false,"suffix":""}],"container-title":"Journal of Chemical Information and Modeling","id":"ITEM-4","issue":"7","issued":{"date-parts":[["2015"]]},"page":"1316-1322","title":"Beware of R&lt;sup&gt;2&lt;/sup&gt;: Simple, Unambiguous Assessment of the Prediction Accuracy of QSAR and QSPR Models","type":"article-journal","volume":"55"},"uris":["http://www.mendeley.com/documents/?uuid=e01a1963-6f2e-445e-84b4-325d708b2450"]},{"id":"ITEM-5","itemData":{"abstract":"To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information.","author":[{"dropping-particle":"","family":"Oecd","given":"","non-dropping-particle":"","parse-names":false,"suffix":""}],"container-title":"Biotechnology","id":"ITEM-5","issue":"November","issued":{"date-parts":[["2004"]]},"page":"1-2","title":"OECD principles for the validation, for regulatory purposes, of (quantitative) structure-activity relationships models.","type":"article-journal"},"uris":["http://www.mendeley.com/documents/?uuid=034476ca-3cba-46b4-b729-dde7543578e5"]},{"id":"ITEM-6","itemData":{"DOI":"10.1289/ehp.5758","ISBN":"0091-6765","ISSN":"00916765","PMID":"12896860","abstract":"This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Perspectives","id":"ITEM-6","issue":"10","issued":{"date-parts":[["2003"]]},"page":"1361-1375","title":"Methods for reliability and uncertainty assessment and for applicability evaluations of classification- and regression-based QSARs","type":"article","volume":"111"},"uris":["http://www.mendeley.com/documents/?uuid=4b76a516-1a5a-489b-b921-8417a85fadfa"]},{"id":"ITEM-7","itemData":{"DOI":"10.1016/S1093-3263(01)00123-1","ISBN":"1093-3263","ISSN":"10933263","PMID":"11858635","abstract":"Validation is a crucial aspect of any quantitative structure-activity relationship (QSAR) modeling. This paper examines one of the most popular validation criteria, leave-one-out cross-validated R2(LOO q2). Often, a high value of this statistical characteristic (q2&gt; 0.5) is considered as a proof of the high predictive ability of the model. In this paper, we show that this assumption is generally incorrect. In the case of 3D QSAR, the lack of the correlation between the high LOO q2and the high predictive ability of a QSAR model has been established earlier [Pharm. Acta Helv. 70 (1995) 149; J. Chemomet. 10 (1996) 95; J. Med. Chem. 41 (1998) 2553]. In this paper, we use two-dimensional (2D) molecular descriptors and k nearest neighbors (kNN) QSAR method for the analysis of several datasets. No correlation between the values of q2for the training set and predictive ability for the test set was found for any of the datasets. Thus, the high value of LOO q2appears to be the necessary but not the sufficient condition for the model to have a high predictive power. We argue that this is the general property of QSAR models developed using LOO cross-validation. We emphasize that the external validation is the only way to establish a reliable QSAR model. We formulate a set of criteria for evaluation of predictive ability of QSAR models. © 2002 Elsevier Science Inc. All rights reserved.","author":[{"dropping-particle":"","family":"Golbraikh","given":"Alexander","non-dropping-particle":"","parse-names":false,"suffix":""},{"dropping-particle":"","family":"Tropsha","given":"Alexander","non-dropping-particle":"","parse-names":false,"suffix":""}],"container-title":"Journal of Molecular Graphics and Modelling","id":"ITEM-7","issue":"4","issued":{"date-parts":[["2002"]]},"page":"269-276","title":"Beware of q2!","type":"paper-conference","volume":"20"},"uris":["http://www.mendeley.com/documents/?uuid=05a85e82-81f0-4f99-8f93-25209169fea8"]},{"id":"ITEM-8","itemData":{"DOI":"10.1021/acs.jcim.6b00088","ISSN":"15205142","PMID":"27218604","abstract":"In the last years, external validation of QSAR models was the subject of intensive debate in the scientific literature. Different groups have proposed different metrics to find \"the best\" parameter to characterize the external predictivity of a QSAR model. This editorial summarizes the history of parameter development for the external QSAR model validation and suggests, once again, the concurrent use of several different metrics to assess the real predictive capability of QSAR models.","author":[{"dropping-particle":"","family":"Gramatica","given":"Paola","non-dropping-particle":"","parse-names":false,"suffix":""},{"dropping-particle":"","family":"Sangion","given":"Alessandro","non-dropping-particle":"","parse-names":false,"suffix":""}],"container-title":"Journal of Chemical Information and Modeling","id":"ITEM-8","issue":"6","issued":{"date-parts":[["2016"]]},"page":"1127-1131","title":"A Historical Excursus on the Statistical Validation Parameters for QSAR Models: A Clarification Concerning Metrics and Terminology","type":"article","volume":"56"},"uris":["http://www.mendeley.com/documents/?uuid=db1351e2-1144-4e17-9423-c7a7e0fde0e1"]},{"id":"ITEM-9","itemData":{"DOI":"10.1002/qsar.200610151","ISBN":"1611-020X","ISSN":"1611020X","abstract":"The recent REACH Policy of the European Union has led to scientists and regulators to focus their attention on establishing general validation principles for QSAR models in the context of chemical regulation (previously known as the Setubal, nowadays, the OECD principles). This paper gives a brief analysis of some principles: unambiguous algorithm, Applicability Domain (AD), and statistical validation. Some concerns related to QSAR algorithm reproducibility and an example of a fast check of the applicability domain for MLR models are presented. Common myths and misconceptions related to popular techniques for verifying internal predictivity, particularly for MLR models (for instance cross-validation, bootstrap), are commented on and compared with commonly used statistical techniques for external validation. The differences in the two validating approaches are highlighted, and evidence is presented that only models that have been validated externally, after their internal validation, can be considered reliable and applicable for both external prediction and regulatory purposes.","author":[{"dropping-particle":"","family":"Gramatica","given":"Paola","non-dropping-particle":"","parse-names":false,"suffix":""}],"container-title":"QSAR and Combinatorial Science","id":"ITEM-9","issue":"5","issued":{"date-parts":[["2007"]]},"page":"694-701","title":"Principles of QSAR models validation: Internal and external","type":"article","volume":"26"},"uris":["http://www.mendeley.com/documents/?uuid=ab53cb48-2224-45c1-965b-0b370bf1636e"]},{"id":"ITEM-10","itemData":{"DOI":"10.1002/qsar.200390007","ISBN":"1611-020X","ISSN":"1611-020X","abstract":"This paper emphasizes the importance of rigorous validation as a crucial, integral component of Quantitative Structure Property Relationship (QSPR) model development. We consider some examples of published QSPR models, which in spite of their high fitted accuracy for the training sets and apparent mechanistic appeal, fail rigorous validation tests, and, thus, may lack practical utility as reliable screening tools. We present a set of simple guidelines for developing validated and predictive QSPR models. To this end, we discuss several validation strategies including (1) randomization of the modelled property, also called Y-scrambling, (2) multiple leave-many-out cross-validations, and (3) external validation using rational division of a dataset into training and test sets. We also highlight the need to establish the domain of model applicability in the chemical space to flag molecules for which predictions may be unreliable, and discuss some algorithms that can be used for this purpose. We advocate the broad use of these guidelines in the development of predictive QSPR models.","author":[{"dropping-particle":"","family":"Tropsha","given":"Alexander","non-dropping-particle":"","parse-names":false,"suffix":""},{"dropping-particle":"","family":"Gramatica","given":"Paola","non-dropping-particle":"","parse-names":false,"suffix":""},{"dropping-particle":"","family":"Gombar","given":"Vijay?K.","non-dropping-particle":"","parse-names":false,"suffix":""}],"container-title":"QSAR &amp; Combinatorial Science","id":"ITEM-10","issue":"1","issued":{"date-parts":[["2003"]]},"page":"69-77","title":"The Importance of Being Earnest: Validation is the Absolute Essential for Successful Application and Interpretation of QSPR Models","type":"article-journal","volume":"22"},"uris":["http://www.mendeley.com/documents/?uuid=bb6c21b0-9130-4aeb-885d-b376b8118f48"]},{"id":"ITEM-11","itemData":{"DOI":"10.1787/9789264085442-en","ISBN":"9789264085442","abstract":"FOREWORD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Assessment","container-title":"ENV/JM/MONO(2007)2","id":"ITEM-11","issue":"February","issued":{"date-parts":[["2007","9"]]},"number-of-pages":"1-154","publisher":"OECD Publishing","title":"Guidance Document on the Validation of (Quantitative) Structure-Activity Relationship [(Q)SAR] Models","type":"report","volume":"2"},"uris":["http://www.mendeley.com/documents/?uuid=3d44bd0e-1b2a-49f7-81be-3234a3f9a41e"]}],"mendeley":{"formattedCitation":"&lt;sup&gt;7,49,61,52,54–60&lt;/sup&gt;","plainTextFormattedCitation":"7,49,61,52,54–60","previouslyFormattedCitation":"&lt;sup&gt;7,49,52,54–61&lt;/sup&gt;"},"properties":{"noteIndex":0},"schema":"https://github.com/citation-style-language/schema/raw/master/csl-citation.json"}</w:instrText>
            </w:r>
            <w:r w:rsidRPr="008E5B32">
              <w:rPr>
                <w:szCs w:val="18"/>
              </w:rPr>
              <w:fldChar w:fldCharType="separate"/>
            </w:r>
            <w:r w:rsidR="00793E15" w:rsidRPr="00793E15">
              <w:rPr>
                <w:noProof/>
                <w:szCs w:val="18"/>
                <w:vertAlign w:val="superscript"/>
                <w:lang w:val="en-GB"/>
              </w:rPr>
              <w:t>7,49,61,52,54–60</w:t>
            </w:r>
            <w:r w:rsidRPr="008E5B32">
              <w:rPr>
                <w:szCs w:val="18"/>
              </w:rPr>
              <w:fldChar w:fldCharType="end"/>
            </w:r>
          </w:p>
        </w:tc>
      </w:tr>
      <w:tr w:rsidR="00FD729B" w:rsidRPr="008E5B32" w14:paraId="39CD61D7" w14:textId="77777777" w:rsidTr="00C2239C">
        <w:tc>
          <w:tcPr>
            <w:tcW w:w="1260" w:type="dxa"/>
          </w:tcPr>
          <w:p w14:paraId="6260CB32" w14:textId="77777777" w:rsidR="00FD729B" w:rsidRPr="008E5B32" w:rsidRDefault="00FD729B" w:rsidP="00C2239C">
            <w:pPr>
              <w:widowControl w:val="0"/>
              <w:spacing w:after="120"/>
              <w:rPr>
                <w:szCs w:val="18"/>
                <w:lang w:val="en-GB"/>
              </w:rPr>
            </w:pPr>
            <w:r w:rsidRPr="008E5B32">
              <w:rPr>
                <w:szCs w:val="18"/>
                <w:lang w:val="en-GB"/>
              </w:rPr>
              <w:t>Applicability Domain (AD) assessment</w:t>
            </w:r>
          </w:p>
        </w:tc>
        <w:tc>
          <w:tcPr>
            <w:tcW w:w="4230" w:type="dxa"/>
          </w:tcPr>
          <w:p w14:paraId="366025B1" w14:textId="77777777" w:rsidR="00FD729B" w:rsidRPr="008E5B32" w:rsidRDefault="00FD729B" w:rsidP="00C2239C">
            <w:pPr>
              <w:widowControl w:val="0"/>
              <w:spacing w:after="120"/>
              <w:jc w:val="both"/>
              <w:rPr>
                <w:szCs w:val="18"/>
                <w:lang w:val="en-GB"/>
              </w:rPr>
            </w:pPr>
            <w:r w:rsidRPr="008E5B32">
              <w:rPr>
                <w:szCs w:val="18"/>
                <w:lang w:val="en-GB"/>
              </w:rPr>
              <w:t xml:space="preserve">It is important to indicate the descriptor space in which the model has been trained: predictions extrapolated outside the AD, indeed, may be less accurate than prediction on data that fall into the AD of the model. </w:t>
            </w:r>
          </w:p>
        </w:tc>
        <w:tc>
          <w:tcPr>
            <w:tcW w:w="2430" w:type="dxa"/>
          </w:tcPr>
          <w:p w14:paraId="2192B9B0" w14:textId="77777777" w:rsidR="00FD729B" w:rsidRPr="008E5B32" w:rsidRDefault="00FD729B" w:rsidP="00C2239C">
            <w:pPr>
              <w:widowControl w:val="0"/>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AD have been assessed.</w:t>
            </w:r>
          </w:p>
          <w:p w14:paraId="14EA6C3B"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 xml:space="preserve">✗ </w:t>
            </w:r>
            <w:r w:rsidRPr="008E5B32">
              <w:rPr>
                <w:szCs w:val="18"/>
                <w:lang w:val="en-GB"/>
              </w:rPr>
              <w:t>AD have not been assessed.</w:t>
            </w:r>
          </w:p>
        </w:tc>
        <w:tc>
          <w:tcPr>
            <w:tcW w:w="1109" w:type="dxa"/>
          </w:tcPr>
          <w:p w14:paraId="0046DE5E" w14:textId="5F128E0B"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{"citationItems":[{"id":"ITEM-1","itemData":{"ISBN":"0261-1929 (Print)\\r0261-1929 (Linking)","ISSN":"02611929","PMID":"16268757","abstract":"As the use of Quantitative Structure Activity Relationship (QSAR) models for chemical management increases, the reliability of the predictions from such models is a matter of growing concern. The OECD QSAR Validation Principles recommend that a model should be used within its applicability domain (AD). The Setubal Workshop report provided conceptual guidance on defining a (Q)SAR AD, but it is difficult to use directly. The practical application of the AD concept requires an operational definition that permits the design of an automatic (computerised), quantitative procedure to determine a models AD. An attempt is made to address this need, and methods and criteria for estimating AD through training set interpolation in descriptor space are reviewed. It is proposed that response space should be included in the training set representation. Thus, training set chemicals are points in n-dimensional descriptor space and m-dimensional model response space. Four major approaches for estimating interpolation regions in a multivariate space are reviewed and compared: range, distance, geometrical, and probability density distribution.","author":[{"dropping-particle":"","family":"Jaworska","given":"Joanna","non-dropping-particle":"","parse-names":false,"suffix":""},{"dropping-particle":"","family":"Nikolova-Jeliazkova","given":"Nina","non-dropping-particle":"","parse-names":false,"suffix":""},{"dropping-particle":"","family":"Aldenberg","given":"Tom","non-dropping-particle":"","parse-names":false,"suffix":""}],"container-title":"ATLA Alternatives to Laboratory Animals","id":"ITEM-1","issue":"5","issued":{"date-parts":[["2005"]]},"page":"445-459","title":"QSAR applicability domain estimation by projection of the training set in descriptor space: A review","type":"article","volume":"33"},"uris":["http://www.mendeley.com/documents/?uuid=2f6f2893-29fb-4518-9d94-1fecad075cb6"]},{"id":"ITEM-2","itemData":{"abstract":"To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information.","author":[{"dropping-particle":"","family":"Oecd","given":"","non-dropping-particle":"","parse-names":false,"suffix":""}],"container-title":"Biotechnology","id":"ITEM-2","issue":"November","issued":{"date-parts":[["2004"]]},"page":"1-2","title":"OECD principles for the validation, for regulatory purposes, of (quantitative) structure-activity relationships models.","type":"article-journal"},"uris":["http://www.mendeley.com/documents/?uuid=034476ca-3cba-46b4-b729-dde7543578e5"]},{"id":"ITEM-3","itemData":{"DOI":"10.1289/ehp.5758","ISBN":"0091-6765","ISSN":"00916765","PMID":"12896860","abstract":"This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Perspectives","id":"ITEM-3","issue":"10","issued":{"date-parts":[["2003"]]},"page":"1361-1375","title":"Methods for reliability and uncertainty assessment and for applicability evaluations of classification- and regression-based QSARs","type":"article","volume":"111"},"uris":["http://www.mendeley.com/documents/?uuid=4b76a516-1a5a-489b-b921-8417a85fadfa"]},{"id":"ITEM-4","itemData":{"DOI":"10.1002/qsar.200610151","ISBN":"1611-020X","ISSN":"1611020X","abstract":"The recent REACH Policy of the European Union has led to scientists and regulators to focus their attention on establishing general validation principles for QSAR models in the context of chemical regulation (previously known as the Setubal, nowadays, the OECD principles). This paper gives a brief analysis of some principles: unambiguous algorithm, Applicability Domain (AD), and statistical validation. Some concerns related to QSAR algorithm reproducibility and an example of a fast check of the applicability domain for MLR models are presented. Common myths and misconceptions related to popular techniques for verifying internal predictivity, particularly for MLR models (for instance cross-validation, bootstrap), are commented on and compared with commonly used statistical techniques for external validation. The differences in the two validating approaches are highlighted, and evidence is presented that only models that have been validated externally, after their internal validation, can be considered reliable and applicable for both external prediction and regulatory purposes.","author":[{"dropping-particle":"","family":"Gramatica","given":"Paola","non-dropping-particle":"","parse-names":false,"suffix":""}],"container-title":"QSAR and Combinatorial Science","id":"ITEM-4","issue":"5","issued":{"date-parts":[["2007"]]},"page":"694-701","title":"Principles of QSAR models validation: Internal and external","type":"article","volume":"26"},"uris":["http://www.mendeley.com/documents/?uuid=ab53cb48-2224-45c1-965b-0b370bf1636e"]},{"id":"ITEM-5","itemData":{"DOI":"10.1787/9789264085442-en","ISBN":"9789264085442","abstract":"FOREWORD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Assessment","container-title":"ENV/JM/MONO(2007)2","id":"ITEM-5","issue":"February","issued":{"date-parts":[["2007","9"]]},"number-of-pages":"1-154","publisher":"OECD Publishing","title":"Guidance Document on the Validation of (Quantitative) Structure-Activity Relationship [(Q)SAR] Models","type":"report","volume":"2"},"uris":["http://www.mendeley.com/documents/?uuid=3d44bd0e-1b2a-49f7-81be-3234a3f9a41e"]}],"mendeley":{"formattedCitation":"&lt;sup&gt;7,49,52,56,62&lt;/sup&gt;","plainTextFormattedCitation":"7,49,52,56,62","previouslyFormattedCitation":"&lt;sup&gt;7,49,52,56,62&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7,49,52,56,62</w:t>
            </w:r>
            <w:r w:rsidRPr="008E5B32">
              <w:rPr>
                <w:szCs w:val="18"/>
              </w:rPr>
              <w:fldChar w:fldCharType="end"/>
            </w:r>
          </w:p>
        </w:tc>
      </w:tr>
      <w:tr w:rsidR="00FD729B" w:rsidRPr="008E5B32" w14:paraId="19D7EAE8" w14:textId="77777777" w:rsidTr="00C2239C">
        <w:tc>
          <w:tcPr>
            <w:tcW w:w="1260" w:type="dxa"/>
          </w:tcPr>
          <w:p w14:paraId="172F3699" w14:textId="77777777" w:rsidR="00FD729B" w:rsidRPr="008E5B32" w:rsidRDefault="00FD729B" w:rsidP="00C2239C">
            <w:pPr>
              <w:widowControl w:val="0"/>
              <w:spacing w:after="120"/>
              <w:rPr>
                <w:szCs w:val="18"/>
                <w:lang w:val="en-GB"/>
              </w:rPr>
            </w:pPr>
            <w:r w:rsidRPr="008E5B32">
              <w:rPr>
                <w:szCs w:val="18"/>
                <w:lang w:val="en-GB"/>
              </w:rPr>
              <w:t>Uncertainty and variability assessment</w:t>
            </w:r>
          </w:p>
        </w:tc>
        <w:tc>
          <w:tcPr>
            <w:tcW w:w="4230" w:type="dxa"/>
          </w:tcPr>
          <w:p w14:paraId="094E4402" w14:textId="77777777" w:rsidR="00FD729B" w:rsidRPr="008E5B32" w:rsidRDefault="00FD729B" w:rsidP="00C2239C">
            <w:pPr>
              <w:widowControl w:val="0"/>
              <w:spacing w:after="120"/>
              <w:jc w:val="both"/>
              <w:rPr>
                <w:szCs w:val="18"/>
                <w:lang w:val="en-GB"/>
              </w:rPr>
            </w:pPr>
            <w:r w:rsidRPr="008E5B32">
              <w:rPr>
                <w:szCs w:val="18"/>
                <w:lang w:val="en-GB"/>
              </w:rPr>
              <w:t>Information regarding robustness, sensitivity and variability help to better understand the uncertainty in model results, and hence facilitate subsequent decision making based on model predictions.</w:t>
            </w:r>
          </w:p>
        </w:tc>
        <w:tc>
          <w:tcPr>
            <w:tcW w:w="2430" w:type="dxa"/>
          </w:tcPr>
          <w:p w14:paraId="1A93AB97" w14:textId="77777777" w:rsidR="00FD729B" w:rsidRPr="008E5B32" w:rsidRDefault="00FD729B" w:rsidP="00C2239C">
            <w:pPr>
              <w:widowControl w:val="0"/>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Uncertainty and variability have been assessed.</w:t>
            </w:r>
          </w:p>
          <w:p w14:paraId="2E2A6F70" w14:textId="77777777" w:rsidR="00FD729B" w:rsidRPr="008E5B32" w:rsidRDefault="00FD729B" w:rsidP="00C2239C">
            <w:pPr>
              <w:widowControl w:val="0"/>
              <w:rPr>
                <w:szCs w:val="18"/>
                <w:lang w:val="en-GB"/>
              </w:rPr>
            </w:pPr>
            <w:r w:rsidRPr="008E5B32">
              <w:rPr>
                <w:szCs w:val="18"/>
                <w:lang w:val="en-GB"/>
              </w:rPr>
              <w:t>≈ Only a rough assessment has been provided.</w:t>
            </w:r>
          </w:p>
          <w:p w14:paraId="2D01DC47"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 xml:space="preserve">✗ </w:t>
            </w:r>
            <w:r w:rsidRPr="008E5B32">
              <w:rPr>
                <w:szCs w:val="18"/>
                <w:lang w:val="en-GB"/>
              </w:rPr>
              <w:t xml:space="preserve">Uncertainty and variability have not been </w:t>
            </w:r>
            <w:r w:rsidR="00BD0725" w:rsidRPr="008E5B32">
              <w:rPr>
                <w:szCs w:val="18"/>
                <w:lang w:val="en-GB"/>
              </w:rPr>
              <w:t>addressed</w:t>
            </w:r>
            <w:r w:rsidRPr="008E5B32">
              <w:rPr>
                <w:szCs w:val="18"/>
                <w:lang w:val="en-GB"/>
              </w:rPr>
              <w:t>.</w:t>
            </w:r>
          </w:p>
        </w:tc>
        <w:tc>
          <w:tcPr>
            <w:tcW w:w="1109" w:type="dxa"/>
          </w:tcPr>
          <w:p w14:paraId="3B6C594C" w14:textId="269D4134"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{"citationItems":[{"id":"ITEM-1","itemData":{"DOI":"10.3109/17435390.2016.1144827","ISSN":"17435404","PMID":"26853193","abstract":"Several tools to facilitate the risk assessment and management of manufactured nanomaterials (MN) have been developed. Most of them require input data on physicochemical properties, toxicity and scenario-specific exposure information. However, such data are yet not readily available, and tools that can handle data gaps in a structured way to ensure transparent risk analysis for industrial and regulatory decision making are needed. This paper proposes such a quantitative risk prioritisation tool, based on a multi-criteria decision analysis algorithm, which combines advanced exposure and dose-response modelling to calculate margins of exposure (MoE) for a number of MN in order to rank their occupational risks. We demonstrated the tool in a number of workplace exposure scenarios (ES) involving the production and handling of nanoscale titanium dioxide, zinc oxide (ZnO), silver and multi-walled carbon nanotubes. The results of this application demonstrated that bag/bin filling, manual un/loading and dumping of large amounts of dry powders led to high emissions, which resulted in high risk associated with these ES. The ZnO MN revealed considerable hazard potential in vivo, which significantly influenced the risk prioritisation results. In order to study how variations in the input data affect our results, we performed probabilistic Monte Carlo sensitivity/uncertainty analysis, which demonstrated that the performance of the proposed model is stable against changes in the exposure and hazard input variables. © 2016 Informa UK Limited, trading as Taylor &amp; Francis Group.","author":[{"dropping-particle":"","family":"Hristozov","given":"Danail","non-dropping-particle":"","parse-names":false,"suffix":""},{"dropping-particle":"","family":"Zabeo","given":"Alex","non-dropping-particle":"","parse-names":false,"suffix":""},{"dropping-particle":"","family":"Alstrup Jensen","given":"Keld","non-dropping-particle":"","parse-names":false,"suffix":""},{"dropping-particle":"","family":"Gottardo","given":"Stefania","non-dropping-particle":"","parse-names":false,"suffix":""},{"dropping-particle":"","family":"Isigonis","given":"Panagiotis","non-dropping-particle":"","parse-names":false,"suffix":""},{"dropping-particle":"","family":"Maccalman","given":"Laura","non-dropping-particle":"","parse-names":false,"suffix":""},{"dropping-particle":"","family":"Critto","given":"Andrea","non-dropping-particle":"","parse-names":false,"suffix":""},{"dropping-particle":"","family":"Marcomini","given":"Antonio","non-dropping-particle":"","parse-names":false,"suffix":""}],"container-title":"Nanotoxicology","id":"ITEM-1","issue":"9","issued":{"date-parts":[["2016"]]},"page":"1215-1228","title":"Demonstration of a modelling-based multi-criteria decision analysis procedure for prioritisation of occupational risks from manufactured nanomaterials","type":"article-journal","volume":"10"},"uris":["http://www.mendeley.com/documents/?uuid=3454fde4-661e-44ca-96e9-70c4e27daf1c"]},{"id":"ITEM-2","itemData":{"DOI":"10.1289/ehp.5758","ISBN":"0091-6765","ISSN":"00916765","PMID":"12896860","abstract":"This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Perspectives","id":"ITEM-2","issue":"10","issued":{"date-parts":[["2003"]]},"page":"1361-1375","title":"Methods for reliability and uncertainty assessment and for applicability evaluations of classification- and regression-based QSARs","type":"article","volume":"111"},"uris":["http://www.mendeley.com/documents/?uuid=4b76a516-1a5a-489b-b921-8417a85fadfa"]},{"id":"ITEM-3","itemData":{"DOI":"10.1016/j.envint.2016.07.016","ISBN":"0160-4120","ISSN":"18736750","PMID":"27523267","abstract":"Commercialization of nanotechnologies entails a regulatory requirement for understanding their environmental, health and safety (EHS) risks. Today we face challenges to assess these risks, which emerge from uncertainties around the interactions of manufactured nanomaterials (MNs) with humans and the environment. In order to reduce these uncertainties, it is necessary to generate sound scientific data on hazard and exposure by means of relevant frameworks and tools. The development of such approaches to facilitate the risk assessment (RA) of MNs has become a dynamic area of research. The aim of this paper was to review and critically analyse these approaches against a set of relevant criteria. The analysis concluded that none of the reviewed frameworks were able to fulfill all evaluation criteria. Many of the existing modelling tools are designed to provide screening-level assessments rather than to support regulatory RA and risk management. Nevertheless, there is a tendency towards developing more quantitative, higher-tier models, capable of incorporating uncertainty into their analyses. There is also a trend towards developing validated experimental protocols for material identification and hazard testing, reproducible across laboratories. These tools could enable a shift from a costly case-by-case RA of MNs towards a targeted, flexible and efficient process, based on grouping and read-across strategies and compliant with the 3R (Replacement, Reduction, Refinement) principles. In order to facilitate this process, it is important to transform the current efforts on developing databases and computational models into creating an integrated data and tools infrastructure to support the risk assessment and management of MNs.","author":[{"dropping-particle":"","family":"Hristozov","given":"Danail","non-dropping-particle":"","parse-names":false,"suffix":""},{"dropping-particle":"","family":"Gottardo","given":"Stefania","non-dropping-particle":"","parse-names":false,"suffix":""},{"dropping-particle":"","family":"Semenzin","given":"Elena","non-dropping-particle":"","parse-names":false,"suffix":""},{"dropping-particle":"","family":"Oomen","given":"Agnes","non-dropping-particle":"","parse-names":false,"suffix":""},{"dropping-particle":"","family":"Bos","given":"Peter","non-dropping-particle":"","parse-names":false,"suffix":""},{"dropping-particle":"","family":"Peijnenburg","given":"Willie","non-dropping-particle":"","parse-names":false,"suffix":""},{"dropping-particle":"","family":"Tongeren","given":"Martie","non-dropping-particle":"van","parse-names":false,"suffix":""},{"dropping-particle":"","family":"Nowack","given":"Bernd","non-dropping-particle":"","parse-names":false,"suffix":""},{"dropping-particle":"","family":"Hunt","given":"Neil","non-dropping-particle":"","parse-names":false,"suffix":""},{"dropping-particle":"","family":"Brunelli","given":"Andrea","non-dropping-particle":"","parse-names":false,"suffix":""},{"dropping-particle":"","family":"Scott-Fordsmand","given":"Janeck J.","non-dropping-particle":"","parse-names":false,"suffix":""},{"dropping-particle":"","family":"Tran","given":"Lang","non-dropping-particle":"","parse-names":false,"suffix":""},{"dropping-particle":"","family":"Marcomini","given":"Antonio","non-dropping-particle":"","parse-names":false,"suffix":""}],"container-title":"Environment International","id":"ITEM-3","issued":{"date-parts":[["2016"]]},"page":"36-53","title":"Frameworks and tools for risk assessment of manufactured nanomaterials","type":"article","volume":"95"},"uris":["http://www.mendeley.com/documents/?uuid=fe6bf45e-83ae-4193-84c2-fdc5f43e23ff"]}],"mendeley":{"formattedCitation":"&lt;sup&gt;6,52,63&lt;/sup&gt;","plainTextFormattedCitation":"6,52,63","previouslyFormattedCitation":"&lt;sup&gt;6,52,63&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6,52,63</w:t>
            </w:r>
            <w:r w:rsidRPr="008E5B32">
              <w:rPr>
                <w:szCs w:val="18"/>
              </w:rPr>
              <w:fldChar w:fldCharType="end"/>
            </w:r>
          </w:p>
          <w:p w14:paraId="46AA99B7" w14:textId="77777777" w:rsidR="00FD729B" w:rsidRPr="008E5B32" w:rsidRDefault="00FD729B" w:rsidP="00C2239C">
            <w:pPr>
              <w:widowControl w:val="0"/>
              <w:spacing w:after="120"/>
              <w:rPr>
                <w:szCs w:val="18"/>
                <w:lang w:val="en-GB"/>
              </w:rPr>
            </w:pPr>
          </w:p>
        </w:tc>
      </w:tr>
      <w:tr w:rsidR="00FD729B" w:rsidRPr="008E5B32" w14:paraId="5E903361" w14:textId="77777777" w:rsidTr="00C2239C">
        <w:tc>
          <w:tcPr>
            <w:tcW w:w="1260" w:type="dxa"/>
          </w:tcPr>
          <w:p w14:paraId="0B5B8F91" w14:textId="77777777" w:rsidR="00FD729B" w:rsidRPr="008E5B32" w:rsidRDefault="00FD729B" w:rsidP="00C2239C">
            <w:pPr>
              <w:widowControl w:val="0"/>
              <w:spacing w:after="120"/>
              <w:rPr>
                <w:szCs w:val="18"/>
                <w:lang w:val="en-GB"/>
              </w:rPr>
            </w:pPr>
            <w:r w:rsidRPr="008E5B32">
              <w:rPr>
                <w:szCs w:val="18"/>
                <w:lang w:val="en-GB"/>
              </w:rPr>
              <w:t>Model interpretation</w:t>
            </w:r>
          </w:p>
        </w:tc>
        <w:tc>
          <w:tcPr>
            <w:tcW w:w="4230" w:type="dxa"/>
          </w:tcPr>
          <w:p w14:paraId="529F5384" w14:textId="77777777" w:rsidR="00FD729B" w:rsidRPr="008E5B32" w:rsidRDefault="001D50D6" w:rsidP="00C2239C">
            <w:pPr>
              <w:widowControl w:val="0"/>
              <w:spacing w:after="120"/>
              <w:jc w:val="both"/>
              <w:rPr>
                <w:szCs w:val="18"/>
                <w:lang w:val="en-GB"/>
              </w:rPr>
            </w:pPr>
            <w:r w:rsidRPr="008E5B32">
              <w:rPr>
                <w:szCs w:val="18"/>
                <w:lang w:val="en-GB"/>
              </w:rPr>
              <w:t xml:space="preserve">A </w:t>
            </w:r>
            <w:r w:rsidR="00FD729B" w:rsidRPr="008E5B32">
              <w:rPr>
                <w:szCs w:val="18"/>
                <w:lang w:val="en-GB"/>
              </w:rPr>
              <w:t>mechanistic</w:t>
            </w:r>
            <w:r w:rsidRPr="008E5B32">
              <w:rPr>
                <w:szCs w:val="18"/>
                <w:lang w:val="en-GB"/>
              </w:rPr>
              <w:t xml:space="preserve"> interpretation of</w:t>
            </w:r>
            <w:r w:rsidR="00FD729B" w:rsidRPr="008E5B32">
              <w:rPr>
                <w:szCs w:val="18"/>
                <w:lang w:val="en-GB"/>
              </w:rPr>
              <w:t xml:space="preserve"> the model</w:t>
            </w:r>
            <w:r w:rsidRPr="008E5B32">
              <w:rPr>
                <w:szCs w:val="18"/>
                <w:lang w:val="en-GB"/>
              </w:rPr>
              <w:t xml:space="preserve"> is needed</w:t>
            </w:r>
            <w:r w:rsidR="00FD729B" w:rsidRPr="008E5B32">
              <w:rPr>
                <w:szCs w:val="18"/>
                <w:lang w:val="en-GB"/>
              </w:rPr>
              <w:t>, at least</w:t>
            </w:r>
            <w:r w:rsidRPr="008E5B32">
              <w:rPr>
                <w:szCs w:val="18"/>
                <w:lang w:val="en-GB"/>
              </w:rPr>
              <w:t xml:space="preserve"> by</w:t>
            </w:r>
            <w:r w:rsidR="00FD729B" w:rsidRPr="008E5B32">
              <w:rPr>
                <w:szCs w:val="18"/>
                <w:lang w:val="en-GB"/>
              </w:rPr>
              <w:t xml:space="preserve"> giving a justification to the relation between</w:t>
            </w:r>
            <w:r w:rsidR="00C64265" w:rsidRPr="008E5B32">
              <w:rPr>
                <w:szCs w:val="18"/>
                <w:lang w:val="en-GB"/>
              </w:rPr>
              <w:t xml:space="preserve"> selected</w:t>
            </w:r>
            <w:r w:rsidR="00FD729B" w:rsidRPr="008E5B32">
              <w:rPr>
                <w:szCs w:val="18"/>
                <w:lang w:val="en-GB"/>
              </w:rPr>
              <w:t xml:space="preserve"> descriptors and </w:t>
            </w:r>
            <w:r w:rsidR="00C64265" w:rsidRPr="008E5B32">
              <w:rPr>
                <w:szCs w:val="18"/>
                <w:lang w:val="en-GB"/>
              </w:rPr>
              <w:t>model output</w:t>
            </w:r>
            <w:r w:rsidR="00FD729B" w:rsidRPr="008E5B32">
              <w:rPr>
                <w:szCs w:val="18"/>
                <w:lang w:val="en-GB"/>
              </w:rPr>
              <w:t>, possibly enforc</w:t>
            </w:r>
            <w:r w:rsidR="00C64265" w:rsidRPr="008E5B32">
              <w:rPr>
                <w:szCs w:val="18"/>
                <w:lang w:val="en-GB"/>
              </w:rPr>
              <w:t>ed by evidence reported in the literature</w:t>
            </w:r>
            <w:r w:rsidR="00FD729B" w:rsidRPr="008E5B32">
              <w:rPr>
                <w:szCs w:val="18"/>
                <w:lang w:val="en-GB"/>
              </w:rPr>
              <w:t xml:space="preserve">. If this it is not </w:t>
            </w:r>
            <w:r w:rsidR="00C64265" w:rsidRPr="008E5B32">
              <w:rPr>
                <w:szCs w:val="18"/>
                <w:lang w:val="en-GB"/>
              </w:rPr>
              <w:t>reported</w:t>
            </w:r>
            <w:r w:rsidR="00FD729B" w:rsidRPr="008E5B32">
              <w:rPr>
                <w:szCs w:val="18"/>
                <w:lang w:val="en-GB"/>
              </w:rPr>
              <w:t xml:space="preserve">, </w:t>
            </w:r>
            <w:r w:rsidR="00C64265" w:rsidRPr="008E5B32">
              <w:rPr>
                <w:szCs w:val="18"/>
                <w:lang w:val="en-GB"/>
              </w:rPr>
              <w:t>the model application would be hardly acceptable in regulatory submissions and for research purposes</w:t>
            </w:r>
            <w:r w:rsidR="00FD729B" w:rsidRPr="008E5B32">
              <w:rPr>
                <w:szCs w:val="18"/>
                <w:lang w:val="en-GB"/>
              </w:rPr>
              <w:t>.</w:t>
            </w:r>
          </w:p>
        </w:tc>
        <w:tc>
          <w:tcPr>
            <w:tcW w:w="2430" w:type="dxa"/>
          </w:tcPr>
          <w:p w14:paraId="4553BE61" w14:textId="77777777" w:rsidR="00FD729B" w:rsidRPr="008E5B32" w:rsidRDefault="00FD729B" w:rsidP="00C2239C">
            <w:pPr>
              <w:widowControl w:val="0"/>
              <w:rPr>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A mechanistic interpretation of the model has been provided.</w:t>
            </w:r>
          </w:p>
          <w:p w14:paraId="38BB5765" w14:textId="77777777" w:rsidR="00FD729B" w:rsidRPr="008E5B32" w:rsidRDefault="00FD729B" w:rsidP="00C2239C">
            <w:pPr>
              <w:widowControl w:val="0"/>
              <w:jc w:val="both"/>
              <w:rPr>
                <w:szCs w:val="18"/>
                <w:lang w:val="en-GB"/>
              </w:rPr>
            </w:pPr>
            <w:r w:rsidRPr="008E5B32">
              <w:rPr>
                <w:rFonts w:ascii="Segoe UI Symbol" w:hAnsi="Segoe UI Symbol" w:cs="Segoe UI Symbol"/>
                <w:szCs w:val="18"/>
                <w:lang w:val="en-GB"/>
              </w:rPr>
              <w:t>✗</w:t>
            </w:r>
            <w:r w:rsidRPr="008E5B32">
              <w:rPr>
                <w:szCs w:val="18"/>
                <w:lang w:val="en-GB"/>
              </w:rPr>
              <w:t>A mechanistic interpretation of the model has not been provided.</w:t>
            </w:r>
          </w:p>
        </w:tc>
        <w:tc>
          <w:tcPr>
            <w:tcW w:w="1109" w:type="dxa"/>
          </w:tcPr>
          <w:p w14:paraId="06149476" w14:textId="58D893D3" w:rsidR="00FD729B" w:rsidRPr="008E5B32" w:rsidRDefault="00FD729B" w:rsidP="00C2239C">
            <w:pPr>
              <w:widowControl w:val="0"/>
              <w:spacing w:after="120"/>
              <w:rPr>
                <w:szCs w:val="18"/>
                <w:lang w:val="en-GB"/>
              </w:rPr>
            </w:pPr>
            <w:r w:rsidRPr="008E5B32">
              <w:rPr>
                <w:szCs w:val="18"/>
              </w:rPr>
              <w:fldChar w:fldCharType="begin" w:fldLock="1"/>
            </w:r>
            <w:r w:rsidR="004C12A8" w:rsidRPr="008E5B32">
              <w:rPr>
                <w:szCs w:val="18"/>
                <w:lang w:val="en-GB"/>
              </w:rPr>
              <w:instrText>ADDIN CSL_CITATION {"citationItems":[{"id":"ITEM-1","itemData":{"DOI":"10.1039/C5NR08279J","ISSN":"2040-3364","PMID":"26972917","abstract":"&lt;p&gt;In this paper, we suggest that causal inference methods could be efficiently used in Quantitative Structure–Activity Relationships (QSAR) modeling as additional validation criteria within quality evaluation of the model.&lt;/p&gt;","author":[{"dropping-particle":"","family":"Sizochenko","given":"Natalia","non-dropping-particle":"","parse-names":false,"suffix":""},{"dropping-particle":"","family":"Gajewicz","given":"Agnieszka","non-dropping-particle":"","parse-names":false,"suffix":""},{"dropping-particle":"","family":"Leszczynski","given":"Jerzy","non-dropping-particle":"","parse-names":false,"suffix":""},{"dropping-particle":"","family":"Puzyn","given":"Tomasz","non-dropping-particle":"","parse-names":false,"suffix":""}],"container-title":"Nanoscale","id":"ITEM-1","issue":"13","issued":{"date-parts":[["2016"]]},"page":"7203-7208","title":"Causation or only correlation? Application of causal inference graphs for evaluating causality in nano-QSAR models","type":"article-journal","volume":"8"},"uris":["http://www.mendeley.com/documents/?uuid=0d5ed792-3760-431c-9ffa-c877190674f0"]},{"id":"ITEM-2","itemData":{"DOI":"10.1039/c5ra11399g","ISBN":"8610825434","ISSN":"2046-2069","abstract":"Knowledge about the toxicity of nanomaterials and factors responsible for such phenomena are important tasks necessary for efficient human health protection and safety risk estimation associated with nanotechnology. In this study, the causation inference method within structure-activity relationship modeling for nanomaterials was introduced to elucidate the underlying structure of the nanotoxicity data. As case studies, the structure-activity relationships for toxicity of metal oxide nanoparticles (nano-SARs) towards BEAS-2B and RAW 264.7 cell lines were established. To describe the nanoparticles, the simple ionic, fragmental and \"liquid drop model\" based descriptors that represent the nanoparticles' structure and characteristics were applied. The developed classification nano-SAR models were validated to confirm reliability of predicting toxicity for all studied metal oxide nanoparticles. Developed models suggest different mechanisms of nanotoxicity for the two types of cells. © 2015 The Royal Society of Chemistry.","author":[{"dropping-particle":"","family":"Sizochenko","given":"N","non-dropping-particle":"","parse-names":false,"suffix":""},{"dropping-particle":"","family":"Rasulev","given":"B","non-dropping-particle":"","parse-names":false,"suffix":""},{"dropping-particle":"","family":"Gajewicz","given":"A","non-dropping-particle":"","parse-names":false,"suffix":""},{"dropping-particle":"","family":"Mokshyna","given":"E","non-dropping-particle":"","parse-names":false,"suffix":""},{"dropping-particle":"","family":"Kuz'min","given":"V E","non-dropping-particle":"","parse-names":false,"suffix":""},{"dropping-particle":"","family":"Leszczynski","given":"J","non-dropping-particle":"","parse-names":false,"suffix":""},{"dropping-particle":"","family":"Puzyn","given":"T","non-dropping-particle":"","parse-names":false,"suffix":""}],"container-title":"RSC Advances","id":"ITEM-2","issue":"95","issued":{"date-parts":[["2015"]]},"page":"77739-77745","title":"Causal inference methods to assist in mechanistic interpretation of classification nano-SAR models","type":"article-journal","volume":"5"},"uris":["http://www.mendeley.com/documents/?uuid=6243dcb3-1589-4fbf-98b3-e26d914a1d3f"]},{"id":"ITEM-3","itemData":{"abstract":"To facilitate the consideration of a (Q)SAR model for regulatory purposes, it should be associated with the following information: 1) a defined endpoint 1 2) an unambiguous algorithm 2 3) a defined domain of applicability 3 4) appropriate measures of goodness-of–fit, robustness and predictivity 4 5) a mechanistic interpretation, if possible 5 Notes 1. The intent of Principle 1 (defined endpoint) is to ensure clarity in the endpoint being predicted by a given model, since a given endpoint could be determined by different experimental protocols and under different experimental conditions. It is therefore important to identify the experimental system that is being modeled by the (Q)SAR. Further guidance is being developed regarding the interpretation of \" defined endpoint \" . For example, a no-observed-effect level might be considered to be a defined endpoint in the sense that it is a defined information requirement of a given regulatory guideline, but cannot be regarded as a defined endpoint in the scientific sense of referring to a specific effect within a specific tissue/organ under specified conditions. 2. The intent of Principle 2 (unambiguous algorithm) is to ensure transparency in the model algorithm that generates predictions of an endpoint from information on chemical structure and/or physicochemical properties. It is recognized that, in the case of commercially-developed models, this information is not always made publicly available. However, without this information, the performance of a model cannot be independently established, which is likely to represent a barrier for regulatory acceptance. The issue of reproducibility of the predictions is covered by this Principle, and will be explained further in the guidance material. 3. The need to define an applicability domain (Principle 3) expresses the fact that (Q)SARs are reductionist models which are inevitably associated with limitations in terms of the types of chemical structures, physicochemical properties and mechanisms of action for which the models can generate reliable predictions. Further work is recommended to define what types of information are needed to define (Q)SAR applicability domains, and to develop appropriate methods for obtaining this information.","author":[{"dropping-particle":"","family":"Oecd","given":"","non-dropping-particle":"","parse-names":false,"suffix":""}],"container-title":"Biotechnology","id":"ITEM-3","issue":"November","issued":{"date-parts":[["2004"]]},"page":"1-2","title":"OECD principles for the validation, for regulatory purposes, of (quantitative) structure-activity relationships models.","type":"article-journal"},"uris":["http://www.mendeley.com/documents/?uuid=034476ca-3cba-46b4-b729-dde7543578e5"]},{"id":"ITEM-4","itemData":{"DOI":"10.1787/9789264085442-en","ISBN":"9789264085442","abstract":"FOREWORD The introduction of a new technology into formal decision-making processes involving chemicals requires a solid scientific foundation and technical guidance on useful approaches for implementation. (Quantitative) Structure-Activity Relationship [(Q)SAR] technology is not really a new technology and it has enjoyed more than 20 years of use in some regulatory applications. However, advances in computers and the Internet together with the growing gap between the need for empirical data and the availability of testing resources seem to be ushering in a new international emphasis on (Q)SAR-based technologies for initial risk assessments. The solid scientific foundation for (Q)SAR technology is the underlying premise in chemistry that similar chemical structures are expected to exhibit similar chemical behaviour. This simple premise becomes especially important whenever there are not enough empirical data for hazard identification and risk assessment purposes. With tens of thousands of chemical structures to assess and many different empirical tests needed to understand chemical behaviour, the concept of grouping similar chemicals together and extending existing data through models for similar chemical structures which have not been tested seems to be a prudent approach. complexity of methods to measure similarity and the number of forms chemical behaviour can take in toxicology. The scientific underpinning of (Q)SAR technology is made complex, however, because of the To keep (Q)SAR applications on a solid scientific foundation, an international effort to articulate principles for (Q)SAR technology and to develop a guidance document for use of (Q)SAR in regulatory applications. This document presents those principles and helpful guides for validating (Q)SAR technology for a variety of applications. The reader will find that transparency in the validation process and objective determination of the reliability of (Q)SAR models are crucial to extending the regulatory acceptance of (Q)SAR models. The first draft of this document was produced by the Joint Research Centre (JRC) of the European Commission. The draft was developed by the OECD Steering Group for (Q)SARs and overseen by the OECD Ad Hoc Group on (Q)SARs. The second draft was circulated to the members of the Ad Hoc Group for their input in March 2006. Comments were received from Germany, Italy, Japan and the United States and discussed at the meeting of the Ad Hoc Group in June 2006, and the rev…","author":[{"dropping-particle":"","family":"OECD","given":"","non-dropping-particle":"","parse-names":false,"suffix":""}],"collection-title":"OECD Series on Testing and Assessment","container-title":"ENV/JM/MONO(2007)2","id":"ITEM-4","issue":"February","issued":{"date-parts":[["2007","9"]]},"number-of-pages":"1-154","publisher":"OECD Publishing","title":"Guidance Document on the Validation of (Quantitative) Structure-Activity Relationship [(Q)SAR] Models","type":"report","volume":"2"},"uris":["http://www.mendeley.com/documents/?uuid=3d44bd0e-1b2a-49f7-81be-3234a3f9a41e"]}],"mendeley":{"formattedCitation":"&lt;sup&gt;7,49,64,65&lt;/sup&gt;","plainTextFormattedCitation":"7,49,64,65","previouslyFormattedCitation":"&lt;sup&gt;7,49,64,65&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7,49,64,65</w:t>
            </w:r>
            <w:r w:rsidRPr="008E5B32">
              <w:rPr>
                <w:szCs w:val="18"/>
              </w:rPr>
              <w:fldChar w:fldCharType="end"/>
            </w:r>
          </w:p>
        </w:tc>
      </w:tr>
    </w:tbl>
    <w:p w14:paraId="5D0FF923" w14:textId="77777777" w:rsidR="000B7AC2" w:rsidRPr="008E5B32" w:rsidRDefault="00026661" w:rsidP="00B572F9">
      <w:pPr>
        <w:pStyle w:val="Heading1"/>
        <w:spacing w:line="312" w:lineRule="auto"/>
        <w:rPr>
          <w:lang w:val="en-GB"/>
        </w:rPr>
      </w:pPr>
      <w:bookmarkStart w:id="5" w:name="_Toc506370836"/>
      <w:bookmarkStart w:id="6" w:name="_Toc506370832"/>
      <w:r w:rsidRPr="008E5B32">
        <w:rPr>
          <w:lang w:val="en-GB"/>
        </w:rPr>
        <w:t>3</w:t>
      </w:r>
      <w:r w:rsidR="00B572F9" w:rsidRPr="008E5B32">
        <w:rPr>
          <w:lang w:val="en-GB"/>
        </w:rPr>
        <w:t xml:space="preserve"> </w:t>
      </w:r>
      <w:r w:rsidR="000B7AC2" w:rsidRPr="008E5B32">
        <w:rPr>
          <w:lang w:val="en-GB"/>
        </w:rPr>
        <w:t>Results</w:t>
      </w:r>
    </w:p>
    <w:p w14:paraId="48D598F1" w14:textId="77777777" w:rsidR="00B572F9" w:rsidRPr="008E5B32" w:rsidRDefault="000B7AC2" w:rsidP="00B572F9">
      <w:pPr>
        <w:pStyle w:val="Heading1"/>
        <w:spacing w:line="312" w:lineRule="auto"/>
        <w:rPr>
          <w:lang w:val="en-GB"/>
        </w:rPr>
      </w:pPr>
      <w:r w:rsidRPr="008E5B32">
        <w:rPr>
          <w:lang w:val="en-GB"/>
        </w:rPr>
        <w:t xml:space="preserve">3.1 </w:t>
      </w:r>
      <w:r w:rsidR="00B572F9" w:rsidRPr="008E5B32">
        <w:rPr>
          <w:lang w:val="en-GB"/>
        </w:rPr>
        <w:t xml:space="preserve">Data </w:t>
      </w:r>
      <w:r w:rsidR="00F221F7" w:rsidRPr="008E5B32">
        <w:rPr>
          <w:lang w:val="en-GB"/>
        </w:rPr>
        <w:t xml:space="preserve">storage </w:t>
      </w:r>
      <w:r w:rsidR="00B572F9" w:rsidRPr="008E5B32">
        <w:rPr>
          <w:lang w:val="en-GB"/>
        </w:rPr>
        <w:t>and curation</w:t>
      </w:r>
    </w:p>
    <w:p w14:paraId="45593E9A" w14:textId="2697C6AB" w:rsidR="00585571" w:rsidRPr="008E5B32" w:rsidRDefault="00B864E1" w:rsidP="00585571">
      <w:r w:rsidRPr="008E5B32">
        <w:rPr>
          <w:i/>
          <w:lang w:val="en-GB"/>
        </w:rPr>
        <w:t>In silico</w:t>
      </w:r>
      <w:r w:rsidRPr="008E5B32">
        <w:rPr>
          <w:lang w:val="en-GB"/>
        </w:rPr>
        <w:t xml:space="preserve"> modelling requires access to </w:t>
      </w:r>
      <w:r w:rsidR="00542ADA" w:rsidRPr="008E5B32">
        <w:rPr>
          <w:lang w:val="en-GB"/>
        </w:rPr>
        <w:t xml:space="preserve">data </w:t>
      </w:r>
      <w:r w:rsidRPr="008E5B32">
        <w:rPr>
          <w:lang w:val="en-GB"/>
        </w:rPr>
        <w:t>on the</w:t>
      </w:r>
      <w:r w:rsidR="00542ADA" w:rsidRPr="008E5B32">
        <w:rPr>
          <w:lang w:val="en-GB"/>
        </w:rPr>
        <w:t xml:space="preserve"> </w:t>
      </w:r>
      <w:r w:rsidRPr="008E5B32">
        <w:rPr>
          <w:lang w:val="en-GB"/>
        </w:rPr>
        <w:t xml:space="preserve">investigated </w:t>
      </w:r>
      <w:r w:rsidR="00542ADA" w:rsidRPr="008E5B32">
        <w:rPr>
          <w:lang w:val="en-GB"/>
        </w:rPr>
        <w:t>endpoint</w:t>
      </w:r>
      <w:r w:rsidRPr="008E5B32">
        <w:rPr>
          <w:lang w:val="en-GB"/>
        </w:rPr>
        <w:t>(s)</w:t>
      </w:r>
      <w:r w:rsidR="00542ADA" w:rsidRPr="008E5B32">
        <w:rPr>
          <w:lang w:val="en-GB"/>
        </w:rPr>
        <w:t xml:space="preserve"> </w:t>
      </w:r>
      <w:r w:rsidRPr="008E5B32">
        <w:rPr>
          <w:lang w:val="en-GB"/>
        </w:rPr>
        <w:t>that are sufficient both in terms of quantity and quality</w:t>
      </w:r>
      <w:r w:rsidR="00542ADA" w:rsidRPr="008E5B32">
        <w:rPr>
          <w:lang w:val="en-GB"/>
        </w:rPr>
        <w:t xml:space="preserve">. </w:t>
      </w:r>
      <w:r w:rsidR="00585571" w:rsidRPr="008E5B32">
        <w:rPr>
          <w:lang w:val="en-GB"/>
        </w:rPr>
        <w:t xml:space="preserve">Plenty of nano-EHS data have been generated over the last decade in </w:t>
      </w:r>
      <w:r w:rsidR="008E326E" w:rsidRPr="008E5B32">
        <w:rPr>
          <w:lang w:val="en-GB"/>
        </w:rPr>
        <w:t>many</w:t>
      </w:r>
      <w:r w:rsidR="00585571" w:rsidRPr="008E5B32">
        <w:rPr>
          <w:lang w:val="en-GB"/>
        </w:rPr>
        <w:t xml:space="preserve"> national, European and international research projects. </w:t>
      </w:r>
      <w:r w:rsidR="00A474D7" w:rsidRPr="008E5B32">
        <w:rPr>
          <w:lang w:val="en-GB"/>
        </w:rPr>
        <w:t xml:space="preserve">Unfortunately, </w:t>
      </w:r>
      <w:r w:rsidR="00D664BC" w:rsidRPr="008E5B32">
        <w:rPr>
          <w:lang w:val="en-GB"/>
        </w:rPr>
        <w:t>a lot of</w:t>
      </w:r>
      <w:r w:rsidR="00585571" w:rsidRPr="008E5B32">
        <w:rPr>
          <w:lang w:val="en-GB"/>
        </w:rPr>
        <w:t xml:space="preserve"> these data </w:t>
      </w:r>
      <w:r w:rsidR="00D664BC" w:rsidRPr="008E5B32">
        <w:rPr>
          <w:lang w:val="en-GB"/>
        </w:rPr>
        <w:t>were never published and are therefore lost to the community, but there</w:t>
      </w:r>
      <w:r w:rsidR="00A474D7" w:rsidRPr="008E5B32">
        <w:rPr>
          <w:lang w:val="en-GB"/>
        </w:rPr>
        <w:t xml:space="preserve"> </w:t>
      </w:r>
      <w:r w:rsidR="00D664BC" w:rsidRPr="008E5B32">
        <w:rPr>
          <w:lang w:val="en-GB"/>
        </w:rPr>
        <w:t xml:space="preserve">have </w:t>
      </w:r>
      <w:r w:rsidR="00A474D7" w:rsidRPr="008E5B32">
        <w:rPr>
          <w:lang w:val="en-GB"/>
        </w:rPr>
        <w:t xml:space="preserve">been </w:t>
      </w:r>
      <w:r w:rsidR="00D664BC" w:rsidRPr="008E5B32">
        <w:rPr>
          <w:lang w:val="en-GB"/>
        </w:rPr>
        <w:t xml:space="preserve">initiatives </w:t>
      </w:r>
      <w:r w:rsidR="00A474D7" w:rsidRPr="008E5B32">
        <w:rPr>
          <w:lang w:val="en-GB"/>
        </w:rPr>
        <w:t xml:space="preserve">to collect as </w:t>
      </w:r>
      <w:r w:rsidR="00D664BC" w:rsidRPr="008E5B32">
        <w:rPr>
          <w:lang w:val="en-GB"/>
        </w:rPr>
        <w:t xml:space="preserve">many </w:t>
      </w:r>
      <w:r w:rsidR="00A474D7" w:rsidRPr="008E5B32">
        <w:rPr>
          <w:lang w:val="en-GB"/>
        </w:rPr>
        <w:t>of the data as possible</w:t>
      </w:r>
      <w:r w:rsidR="00585571" w:rsidRPr="008E5B32">
        <w:rPr>
          <w:lang w:val="en-GB"/>
        </w:rPr>
        <w:t xml:space="preserve"> in </w:t>
      </w:r>
      <w:r w:rsidR="008E326E" w:rsidRPr="008E5B32">
        <w:rPr>
          <w:lang w:val="en-GB"/>
        </w:rPr>
        <w:t xml:space="preserve">the </w:t>
      </w:r>
      <w:r w:rsidR="00585571" w:rsidRPr="008E5B32">
        <w:rPr>
          <w:lang w:val="en-GB"/>
        </w:rPr>
        <w:t xml:space="preserve">inventories </w:t>
      </w:r>
      <w:r w:rsidR="008E326E" w:rsidRPr="008E5B32">
        <w:rPr>
          <w:lang w:val="en-GB"/>
        </w:rPr>
        <w:t>reported in</w:t>
      </w:r>
      <w:r w:rsidR="00585571" w:rsidRPr="008E5B32">
        <w:rPr>
          <w:lang w:val="en-GB"/>
        </w:rPr>
        <w:t xml:space="preserve"> Table 2 </w:t>
      </w:r>
      <w:r w:rsidR="00585571" w:rsidRPr="008E5B32">
        <w:fldChar w:fldCharType="begin" w:fldLock="1"/>
      </w:r>
      <w:r w:rsidR="004C12A8" w:rsidRPr="008E5B32">
        <w:rPr>
          <w:lang w:val="en-GB"/>
        </w:rPr>
        <w:instrText>ADDIN CSL_CITATION {"citationItems":[{"id":"ITEM-1","itemData":{"DOI":"10.3390/ijms15057158","ISBN":"8231219161","ISSN":"14220067","PMID":"24776761","abstract":"Nanotechnology has arisen as a key player in the field of nanomedicine. Although the use of engineered nanoparticles is rapidly increasing, safety assessment \\r\\nis also important for the beneficial use of new nanomaterials. Considering that the experimental assessment of new nanomaterials is costly and laborious, in silico approaches hold promise. Several major challenges in nanotechnology indicate a need for nanoinformatics. New database initiatives such as ISA-TAB-Nano, caNanoLab, and Nanomaterial Registry will help in data sharing and developing data standards, and, as the amount of nanomaterials data grows, will provide a way to develop methods and tools specific to the nanolevel. In this review, we describe emerging databases and tools that should aid in the progress of nanotechnology research.","author":[{"dropping-particle":"","family":"Panneerselvam","given":"Suresh","non-dropping-particle":"","parse-names":false,"suffix":""},{"dropping-particle":"","family":"Choi","given":"Sangdun","non-dropping-particle":"","parse-names":false,"suffix":""}],"container-title":"International Journal of Molecular Sciences","id":"ITEM-1","issue":"5","issued":{"date-parts":[["2014"]]},"page":"7158-7182","title":"Nanoinformatics: Emerging databases and available tools","type":"article-journal","volume":"15"},"uris":["http://www.mendeley.com/documents/?uuid=3af02906-de53-4e22-8bce-61abf54f8b33"]},{"id":"ITEM-2","itemData":{"DOI":"10.1111/bcpt.12257","ISSN":"17427843","PMID":"24779563","abstract":"Toxicological research faces the challenge of integrating knowledge from diverse fields and novel technological developments generally in the biological and medical sciences. We discuss herein the fact that the multiple facets of cancer research, including discovery related to mechanisms, treatment and diagnosis, overlap many up and coming interest areas in toxicology, including the need for improved methods and analysis tools. Common to both disciplines, in vitro and in silico methods serve as alternative investigation routes to animal studies. Knowledge on cancer development helps in understanding the relevance of chemical toxicity studies in cell models, and many bioinformatics-based cancer biomarker discovery tools are also applicable to computational toxicology. Robotics-aided, cell-based, high-throughput screening, microscale immunostaining techniques and gene expression profiling analyses are common tools in cancer research, and when sequentially combined, form a tiered approach to structured safety evaluation of thousands of environmental agents, novel chemicals or engineered nanomaterials. Comprehensive tumour data collections in databases have been translated into clinically useful data, and this concept serves as template for computer-driven evaluation of toxicity data into meaningful results. Future 'cancer research-inspired knowledge management' of toxicological data will aid the translation of basic discovery results and chemicals- and materials-testing data to information relevant to human health and environmental safety. (copyright) 2014 Nordic Association for the Publication of BCPT (former Nordic Pharmacological Society).","author":[{"dropping-particle":"","family":"Kohonen","given":"Pekka","non-dropping-particle":"","parse-names":false,"suffix":""},{"dropping-particle":"","family":"Ceder","given":"Rebecca","non-dropping-particle":"","parse-names":false,"suffix":""},{"dropping-particle":"","family":"Smit","given":"Ines","non-dropping-particle":"","parse-names":false,"suffix":""},{"dropping-particle":"","family":"Hongisto","given":"Vesa","non-dropping-particle":"","parse-names":false,"suffix":""},{"dropping-particle":"","family":"Myatt","given":"Glenn","non-dropping-particle":"","parse-names":false,"suffix":""},{"dropping-particle":"","family":"Hardy","given":"Barry","non-dropping-particle":"","parse-names":false,"suffix":""},{"dropping-particle":"","family":"Spjuth","given":"Ola","non-dropping-particle":"","parse-names":false,"suffix":""},{"dropping-particle":"","family":"Grafström","given":"Roland","non-dropping-particle":"","parse-names":false,"suffix":""}],"container-title":"Basic and Clinical Pharmacology and Toxicology","id":"ITEM-2","issue":"1","issued":{"date-parts":[["2014"]]},"page":"50-58","title":"Cancer biology, toxicology and alternative methods development go hand-in-hand","type":"article-journal","volume":"115"},"uris":["http://www.mendeley.com/documents/?uuid=485c64fc-dd1b-4df2-ae38-0105f96f9022"]},{"id":"ITEM-3","itemData":{"DOI":"10.1109/BIBM.2014.6999367","ISBN":"9781479956692","abstract":"The EU-funded eNanoMapper project proposes a computational infrastructure for toxicological data management of engineered nanomaterials (ENMs) based on open standards, ontologies and an interoperable design to enable a more effective, integrated approach to European research in nanotechnology. eNanoMapper's goal is to support the collaborative safety assessment for ENMs by creating a modular, extensible infrastructure for transparent data sharing, data analysis, and the creation of computational toxicology models for ENMs. The eNanoMapper database solution builds on previous experience of the consortium partners in supporting diverse data through flexible data storage, semantic web technologies, open source components and web services. A number of opportunities and challenges exist in nanomaterials representation and integration of ENM information, originating from diverse systems. A short summary, highlighting the pros and cons of the existing integration approaches and data models is presented. We demonstrate the approach of adopting an ontology-supported data model, describing the materials and measurements. The data sources supported include diverse formats (ISA-Tab, OECD Harmonized Templates, custom spreadsheet templates, various databases provided by consortia members). Besides retaining the data provenance, the focus on measurements provides insights into how to reuse the chemical structure database tools for nanomaterials characterization and safety.","author":[{"dropping-particle":"","family":"Jeliazkova","given":"Nina","non-dropping-particle":"","parse-names":false,"suffix":""},{"dropping-particle":"","family":"Doganis","given":"Philip","non-dropping-particle":"","parse-names":false,"suffix":""},{"dropping-particle":"","family":"Fadeel","given":"Bengt","non-dropping-particle":"","parse-names":false,"suffix":""},{"dropping-particle":"","family":"Grafstrom","given":"Roland","non-dropping-particle":"","parse-names":false,"suffix":""},{"dropping-particle":"","family":"Hastings","given":"Janna","non-dropping-particle":"","parse-names":false,"suffix":""},{"dropping-particle":"","family":"Jeliazkov","given":"Vedrin","non-dropping-particle":"","parse-names":false,"suffix":""},{"dropping-particle":"","family":"Kohonen","given":"Pekka","non-dropping-particle":"","parse-names":false,"suffix":""},{"dropping-particle":"","family":"Munteanu","given":"Cristian R.","non-dropping-particle":"","parse-names":false,"suffix":""},{"dropping-particle":"","family":"Sarimveis","given":"Haralambos","non-dropping-particle":"","parse-names":false,"suffix":""},{"dropping-particle":"","family":"Smeets","given":"Bart","non-dropping-particle":"","parse-names":false,"suffix":""},{"dropping-particle":"","family":"Tsiliki","given":"Georgia","non-dropping-particle":"","parse-names":false,"suffix":""},{"dropping-particle":"","family":"Vorgrimmler","given":"David","non-dropping-particle":"","parse-names":false,"suffix":""},{"dropping-particle":"","family":"Willighagen","given":"Egon","non-dropping-particle":"","parse-names":false,"suffix":""}],"container-title":"Proceedings - 2014 IEEE International Conference on Bioinformatics and Biomedicine, IEEE BIBM 2014","id":"ITEM-3","issued":{"date-parts":[["2014"]]},"page":"1-9","title":"The first eNanoMapper prototype: A substance database to support safe-by-design","type":"paper-conference"},"uris":["http://www.mendeley.com/documents/?uuid=1da4cef4-8c2c-4633-9f75-953ff6713383"]},{"id":"ITEM-4","itemData":{"DOI":"10.1080/1062936X.2014.993702","ISBN":"1029-046X (Electronic)\\r1026-776X (Linking)","ISSN":"1029046X","PMID":"25608859","abstract":"Recent developments in nanotechnology have not only increased the number of nanoproducts on the market, but also raised concerns about the safety of engineered nanomaterials (ENMs) for human health and the environment. As the production and use of ENMs increase, we are approaching the point at which it is impossible to individually assess the toxicity of a vast number of ENMs. Therefore, it is desirable to use time-effective computational methods, such as the quantitative structure-activity relationship (QSAR) models, to predict the toxicity of ENMs. However, the accuracy of the nano-(Q)SARs is directly tied to the quality of the data from which the model is estimated. Although the amount of available nanotoxicity data is insufficient for generating robust nano-(Q)SAR models in most cases, there are a handful of studies that provide appropriate experimental data for (Q)SAR-like modelling investigations. The aim of this study is to review the available literature data that are particularly suitable for nano-(Q)SAR modelling. We hope that this paper can serve as a starting point for those who would like to know more about the current availability of experimental data on the health effects of ENMs for future modelling purposes.","author":[{"dropping-particle":"","family":"Oksel","given":"C.","non-dropping-particle":"","parse-names":false,"suffix":""},{"dropping-particle":"","family":"Ma","given":"C. Y.","non-dropping-particle":"","parse-names":false,"suffix":""},{"dropping-particle":"","family":"Wang","given":"X. Z.","non-dropping-particle":"","parse-names":false,"suffix":""}],"container-title":"SAR and QSAR in Environmental Research","id":"ITEM-4","issue":"2","issued":{"date-parts":[["2015"]]},"page":"79-94","title":"Current situation on the availability of nanostructure–biological activity data","type":"article-journal","volume":"26"},"uris":["http://www.mendeley.com/documents/?uuid=c0d6d386-a94b-4a5b-b74d-6a9e9662018e"]}],"mendeley":{"formattedCitation":"&lt;sup&gt;66–69&lt;/sup&gt;","plainTextFormattedCitation":"66–69","previouslyFormattedCitation":"&lt;sup&gt;66–69&lt;/sup&gt;"},"properties":{"noteIndex":0},"schema":"https://github.com/citation-style-language/schema/raw/master/csl-citation.json"}</w:instrText>
      </w:r>
      <w:r w:rsidR="00585571" w:rsidRPr="008E5B32">
        <w:fldChar w:fldCharType="separate"/>
      </w:r>
      <w:r w:rsidR="005D1733" w:rsidRPr="008E5B32">
        <w:rPr>
          <w:noProof/>
          <w:vertAlign w:val="superscript"/>
        </w:rPr>
        <w:t>66–69</w:t>
      </w:r>
      <w:r w:rsidR="00585571" w:rsidRPr="008E5B32">
        <w:fldChar w:fldCharType="end"/>
      </w:r>
      <w:r w:rsidR="00585571" w:rsidRPr="008E5B32">
        <w:t xml:space="preserve">. </w:t>
      </w:r>
    </w:p>
    <w:p w14:paraId="0BC366C0" w14:textId="0CB04422" w:rsidR="00585571" w:rsidRPr="008E5B32" w:rsidRDefault="00585571" w:rsidP="00585571">
      <w:pPr>
        <w:pStyle w:val="Papercaption"/>
      </w:pPr>
      <w:bookmarkStart w:id="7" w:name="_Ref524537959"/>
      <w:r w:rsidRPr="008E5B32">
        <w:t xml:space="preserve">Table </w:t>
      </w:r>
      <w:r w:rsidR="007F5344" w:rsidRPr="008E5B32">
        <w:rPr>
          <w:noProof/>
        </w:rPr>
        <w:fldChar w:fldCharType="begin"/>
      </w:r>
      <w:r w:rsidR="007F5344" w:rsidRPr="008E5B32">
        <w:rPr>
          <w:noProof/>
        </w:rPr>
        <w:instrText xml:space="preserve"> SEQ Table \* ARABIC </w:instrText>
      </w:r>
      <w:r w:rsidR="007F5344" w:rsidRPr="008E5B32">
        <w:rPr>
          <w:noProof/>
        </w:rPr>
        <w:fldChar w:fldCharType="separate"/>
      </w:r>
      <w:r w:rsidR="00785247" w:rsidRPr="008E5B32">
        <w:rPr>
          <w:noProof/>
        </w:rPr>
        <w:t>2</w:t>
      </w:r>
      <w:r w:rsidR="007F5344" w:rsidRPr="008E5B32">
        <w:rPr>
          <w:noProof/>
        </w:rPr>
        <w:fldChar w:fldCharType="end"/>
      </w:r>
      <w:bookmarkEnd w:id="7"/>
      <w:r w:rsidRPr="008E5B32">
        <w:t>: Nano specific databases</w:t>
      </w:r>
      <w:r w:rsidR="00C426EC" w:rsidRPr="008E5B32">
        <w:t>.</w:t>
      </w:r>
    </w:p>
    <w:tbl>
      <w:tblPr>
        <w:tblStyle w:val="Paper"/>
        <w:tblW w:w="8485" w:type="dxa"/>
        <w:tblLayout w:type="fixed"/>
        <w:tblLook w:val="0620" w:firstRow="1" w:lastRow="0" w:firstColumn="0" w:lastColumn="0" w:noHBand="1" w:noVBand="1"/>
      </w:tblPr>
      <w:tblGrid>
        <w:gridCol w:w="1384"/>
        <w:gridCol w:w="2727"/>
        <w:gridCol w:w="1134"/>
        <w:gridCol w:w="3240"/>
      </w:tblGrid>
      <w:tr w:rsidR="00585571" w:rsidRPr="008E5B32" w14:paraId="5072485E" w14:textId="77777777" w:rsidTr="0026626E">
        <w:trPr>
          <w:cnfStyle w:val="100000000000" w:firstRow="1" w:lastRow="0" w:firstColumn="0" w:lastColumn="0" w:oddVBand="0" w:evenVBand="0" w:oddHBand="0" w:evenHBand="0" w:firstRowFirstColumn="0" w:firstRowLastColumn="0" w:lastRowFirstColumn="0" w:lastRowLastColumn="0"/>
        </w:trPr>
        <w:tc>
          <w:tcPr>
            <w:tcW w:w="1384" w:type="dxa"/>
          </w:tcPr>
          <w:p w14:paraId="62498E31" w14:textId="77777777" w:rsidR="00585571" w:rsidRPr="008E5B32" w:rsidRDefault="00585571" w:rsidP="0026626E">
            <w:pPr>
              <w:rPr>
                <w:rFonts w:eastAsia="Cambria"/>
                <w:szCs w:val="18"/>
              </w:rPr>
            </w:pPr>
            <w:r w:rsidRPr="008E5B32">
              <w:rPr>
                <w:rFonts w:eastAsia="Cambria"/>
                <w:szCs w:val="18"/>
              </w:rPr>
              <w:t>Name</w:t>
            </w:r>
          </w:p>
        </w:tc>
        <w:tc>
          <w:tcPr>
            <w:tcW w:w="2727" w:type="dxa"/>
          </w:tcPr>
          <w:p w14:paraId="3AE0E1B7" w14:textId="77777777" w:rsidR="00585571" w:rsidRPr="008E5B32" w:rsidRDefault="00585571" w:rsidP="0026626E">
            <w:pPr>
              <w:rPr>
                <w:rFonts w:eastAsia="Cambria"/>
                <w:szCs w:val="18"/>
              </w:rPr>
            </w:pPr>
            <w:r w:rsidRPr="008E5B32">
              <w:rPr>
                <w:rFonts w:eastAsia="Cambria"/>
                <w:szCs w:val="18"/>
              </w:rPr>
              <w:t>Address *</w:t>
            </w:r>
          </w:p>
        </w:tc>
        <w:tc>
          <w:tcPr>
            <w:tcW w:w="1134" w:type="dxa"/>
          </w:tcPr>
          <w:p w14:paraId="6040033E" w14:textId="77777777" w:rsidR="00585571" w:rsidRPr="008E5B32" w:rsidRDefault="00585571" w:rsidP="0026626E">
            <w:pPr>
              <w:rPr>
                <w:rFonts w:eastAsia="Cambria"/>
                <w:szCs w:val="18"/>
              </w:rPr>
            </w:pPr>
            <w:r w:rsidRPr="008E5B32">
              <w:rPr>
                <w:rFonts w:eastAsia="Cambria"/>
                <w:szCs w:val="18"/>
              </w:rPr>
              <w:t>Access</w:t>
            </w:r>
          </w:p>
        </w:tc>
        <w:tc>
          <w:tcPr>
            <w:tcW w:w="3240" w:type="dxa"/>
          </w:tcPr>
          <w:p w14:paraId="12C95298" w14:textId="77777777" w:rsidR="00585571" w:rsidRPr="008E5B32" w:rsidRDefault="00585571" w:rsidP="0026626E">
            <w:pPr>
              <w:jc w:val="both"/>
              <w:rPr>
                <w:rFonts w:eastAsia="Cambria"/>
                <w:szCs w:val="18"/>
              </w:rPr>
            </w:pPr>
            <w:r w:rsidRPr="008E5B32">
              <w:rPr>
                <w:rFonts w:eastAsia="Cambria"/>
                <w:szCs w:val="18"/>
              </w:rPr>
              <w:t>Description</w:t>
            </w:r>
          </w:p>
        </w:tc>
      </w:tr>
      <w:tr w:rsidR="00585571" w:rsidRPr="008E5B32" w14:paraId="00271437" w14:textId="77777777" w:rsidTr="0026626E">
        <w:tc>
          <w:tcPr>
            <w:tcW w:w="1384" w:type="dxa"/>
          </w:tcPr>
          <w:p w14:paraId="4B4F0C00" w14:textId="77777777" w:rsidR="00585571" w:rsidRPr="008E5B32" w:rsidRDefault="00585571" w:rsidP="0026626E">
            <w:pPr>
              <w:rPr>
                <w:rFonts w:eastAsia="Cambria"/>
                <w:szCs w:val="18"/>
              </w:rPr>
            </w:pPr>
            <w:r w:rsidRPr="008E5B32">
              <w:rPr>
                <w:rFonts w:eastAsia="Cambria"/>
                <w:szCs w:val="18"/>
              </w:rPr>
              <w:t>eNanoMapper</w:t>
            </w:r>
          </w:p>
        </w:tc>
        <w:tc>
          <w:tcPr>
            <w:tcW w:w="2727" w:type="dxa"/>
          </w:tcPr>
          <w:p w14:paraId="328C2B46" w14:textId="1AC14293" w:rsidR="00585571" w:rsidRPr="008E5B32" w:rsidRDefault="00585571" w:rsidP="00FF5594">
            <w:pPr>
              <w:rPr>
                <w:rFonts w:eastAsia="Cambria"/>
                <w:szCs w:val="18"/>
              </w:rPr>
            </w:pPr>
            <w:r w:rsidRPr="008E5B32">
              <w:rPr>
                <w:rFonts w:eastAsia="Cambria"/>
                <w:color w:val="auto"/>
                <w:szCs w:val="18"/>
              </w:rPr>
              <w:t>http://</w:t>
            </w:r>
            <w:r w:rsidR="00FF5594" w:rsidRPr="008E5B32">
              <w:rPr>
                <w:rFonts w:eastAsia="Cambria"/>
                <w:color w:val="auto"/>
                <w:szCs w:val="18"/>
              </w:rPr>
              <w:t>search.data.enanomapper.net</w:t>
            </w:r>
            <w:r w:rsidR="00FF5594" w:rsidRPr="008E5B32" w:rsidDel="00FF5594">
              <w:rPr>
                <w:rFonts w:eastAsia="Cambria"/>
                <w:color w:val="auto"/>
                <w:szCs w:val="18"/>
              </w:rPr>
              <w:t xml:space="preserve"> </w:t>
            </w:r>
            <w:r w:rsidR="00363E54" w:rsidRPr="008E5B32">
              <w:rPr>
                <w:rFonts w:eastAsia="Cambria"/>
                <w:color w:val="auto"/>
                <w:szCs w:val="18"/>
              </w:rPr>
              <w:t>/</w:t>
            </w:r>
            <w:r w:rsidRPr="008E5B32">
              <w:rPr>
                <w:rFonts w:eastAsia="Cambria"/>
                <w:color w:val="auto"/>
                <w:szCs w:val="18"/>
              </w:rPr>
              <w:t xml:space="preserve"> </w:t>
            </w:r>
          </w:p>
        </w:tc>
        <w:tc>
          <w:tcPr>
            <w:tcW w:w="1134" w:type="dxa"/>
          </w:tcPr>
          <w:p w14:paraId="7E294459" w14:textId="46E5AB13" w:rsidR="00585571" w:rsidRPr="008E5B32" w:rsidRDefault="00585571" w:rsidP="0026626E">
            <w:pPr>
              <w:rPr>
                <w:rFonts w:eastAsia="Cambria"/>
                <w:szCs w:val="18"/>
              </w:rPr>
            </w:pPr>
          </w:p>
          <w:p w14:paraId="4664FD03" w14:textId="1DE3D928" w:rsidR="00FF5594" w:rsidRPr="008E5B32" w:rsidRDefault="00FF5594" w:rsidP="00FF5594">
            <w:pPr>
              <w:rPr>
                <w:rFonts w:eastAsia="Cambria"/>
                <w:szCs w:val="18"/>
              </w:rPr>
            </w:pPr>
            <w:r w:rsidRPr="008E5B32">
              <w:rPr>
                <w:rFonts w:eastAsia="Cambria"/>
                <w:szCs w:val="18"/>
              </w:rPr>
              <w:t>Freely accessible</w:t>
            </w:r>
            <w:r w:rsidR="00363E54" w:rsidRPr="008E5B32">
              <w:rPr>
                <w:rFonts w:eastAsia="Cambria"/>
                <w:szCs w:val="18"/>
              </w:rPr>
              <w:t xml:space="preserve"> **</w:t>
            </w:r>
            <w:r w:rsidR="00946248" w:rsidRPr="008E5B32">
              <w:rPr>
                <w:rFonts w:eastAsia="Cambria"/>
                <w:szCs w:val="18"/>
              </w:rPr>
              <w:t xml:space="preserve"> </w:t>
            </w:r>
          </w:p>
        </w:tc>
        <w:tc>
          <w:tcPr>
            <w:tcW w:w="3240" w:type="dxa"/>
          </w:tcPr>
          <w:p w14:paraId="2B4B3B1A" w14:textId="176E5004" w:rsidR="00585571" w:rsidRPr="008E5B32" w:rsidRDefault="00585571" w:rsidP="0026626E">
            <w:pPr>
              <w:jc w:val="both"/>
              <w:rPr>
                <w:rFonts w:eastAsia="Cambria"/>
                <w:szCs w:val="18"/>
                <w:lang w:val="en-GB"/>
              </w:rPr>
            </w:pPr>
            <w:r w:rsidRPr="008E5B32">
              <w:rPr>
                <w:rFonts w:eastAsia="Cambria"/>
                <w:szCs w:val="18"/>
                <w:lang w:val="en-GB"/>
              </w:rPr>
              <w:t>Contains primary research data from various nano-EHS projects and from literature.</w:t>
            </w:r>
          </w:p>
        </w:tc>
      </w:tr>
      <w:tr w:rsidR="00B57B39" w:rsidRPr="008E5B32" w14:paraId="64C94026" w14:textId="77777777" w:rsidTr="0026626E">
        <w:tc>
          <w:tcPr>
            <w:tcW w:w="1384" w:type="dxa"/>
          </w:tcPr>
          <w:p w14:paraId="6C6D2D2F" w14:textId="082CB3AA" w:rsidR="00B57B39" w:rsidRPr="008E5B32" w:rsidRDefault="00B57B39" w:rsidP="0026626E">
            <w:pPr>
              <w:rPr>
                <w:rFonts w:eastAsia="Cambria"/>
                <w:szCs w:val="18"/>
              </w:rPr>
            </w:pPr>
            <w:r w:rsidRPr="008E5B32">
              <w:rPr>
                <w:rFonts w:eastAsia="Cambria"/>
                <w:szCs w:val="18"/>
              </w:rPr>
              <w:t>EUON</w:t>
            </w:r>
          </w:p>
        </w:tc>
        <w:tc>
          <w:tcPr>
            <w:tcW w:w="2727" w:type="dxa"/>
          </w:tcPr>
          <w:p w14:paraId="336B45B5" w14:textId="017380E7" w:rsidR="00B57B39" w:rsidRPr="008E5B32" w:rsidRDefault="00B57B39" w:rsidP="00FF5594">
            <w:pPr>
              <w:rPr>
                <w:rFonts w:eastAsia="Cambria"/>
                <w:color w:val="auto"/>
                <w:szCs w:val="18"/>
              </w:rPr>
            </w:pPr>
            <w:r w:rsidRPr="008E5B32">
              <w:rPr>
                <w:rFonts w:eastAsia="Cambria"/>
                <w:color w:val="auto"/>
                <w:szCs w:val="18"/>
              </w:rPr>
              <w:t>https://euon.echa.europa.eu/enanomapper</w:t>
            </w:r>
          </w:p>
        </w:tc>
        <w:tc>
          <w:tcPr>
            <w:tcW w:w="1134" w:type="dxa"/>
          </w:tcPr>
          <w:p w14:paraId="355DFE4E" w14:textId="7BB2E183" w:rsidR="00B57B39" w:rsidRPr="008E5B32" w:rsidRDefault="00B57B39" w:rsidP="0026626E">
            <w:pPr>
              <w:rPr>
                <w:rFonts w:eastAsia="Cambria"/>
                <w:szCs w:val="18"/>
              </w:rPr>
            </w:pPr>
            <w:r w:rsidRPr="008E5B32">
              <w:rPr>
                <w:rFonts w:eastAsia="Cambria"/>
                <w:szCs w:val="18"/>
              </w:rPr>
              <w:t>Freely accessible</w:t>
            </w:r>
          </w:p>
        </w:tc>
        <w:tc>
          <w:tcPr>
            <w:tcW w:w="3240" w:type="dxa"/>
          </w:tcPr>
          <w:p w14:paraId="71F1D019" w14:textId="399D7EBF" w:rsidR="00B57B39" w:rsidRPr="008E5B32" w:rsidRDefault="00B57B39" w:rsidP="00B57B39">
            <w:pPr>
              <w:jc w:val="both"/>
              <w:rPr>
                <w:rFonts w:eastAsia="Cambria"/>
                <w:szCs w:val="18"/>
                <w:lang w:val="en-GB"/>
              </w:rPr>
            </w:pPr>
            <w:r w:rsidRPr="008E5B32">
              <w:rPr>
                <w:rFonts w:eastAsia="Cambria"/>
                <w:szCs w:val="18"/>
                <w:lang w:val="en-GB"/>
              </w:rPr>
              <w:t>ECHA hosted user interface to eNanoMapper and NANoREG databases.</w:t>
            </w:r>
          </w:p>
        </w:tc>
      </w:tr>
      <w:tr w:rsidR="00585571" w:rsidRPr="008E5B32" w14:paraId="7E532BE9" w14:textId="77777777" w:rsidTr="0026626E">
        <w:tc>
          <w:tcPr>
            <w:tcW w:w="1384" w:type="dxa"/>
          </w:tcPr>
          <w:p w14:paraId="763F2532" w14:textId="77777777" w:rsidR="00585571" w:rsidRPr="008E5B32" w:rsidRDefault="00585571" w:rsidP="0026626E">
            <w:pPr>
              <w:rPr>
                <w:rFonts w:eastAsia="Cambria"/>
                <w:szCs w:val="18"/>
              </w:rPr>
            </w:pPr>
            <w:r w:rsidRPr="008E5B32">
              <w:rPr>
                <w:rFonts w:eastAsia="Cambria"/>
                <w:szCs w:val="18"/>
              </w:rPr>
              <w:t>OCHEM</w:t>
            </w:r>
          </w:p>
        </w:tc>
        <w:tc>
          <w:tcPr>
            <w:tcW w:w="2727" w:type="dxa"/>
          </w:tcPr>
          <w:p w14:paraId="6F82D73D" w14:textId="77777777" w:rsidR="00585571" w:rsidRPr="008E5B32" w:rsidRDefault="00585571" w:rsidP="0026626E">
            <w:pPr>
              <w:rPr>
                <w:szCs w:val="18"/>
              </w:rPr>
            </w:pPr>
            <w:r w:rsidRPr="008E5B32">
              <w:rPr>
                <w:szCs w:val="18"/>
              </w:rPr>
              <w:t>http://ochem.eu/</w:t>
            </w:r>
          </w:p>
        </w:tc>
        <w:tc>
          <w:tcPr>
            <w:tcW w:w="1134" w:type="dxa"/>
          </w:tcPr>
          <w:p w14:paraId="098832EE" w14:textId="77777777" w:rsidR="00585571" w:rsidRPr="008E5B32" w:rsidRDefault="00585571" w:rsidP="0026626E">
            <w:pPr>
              <w:rPr>
                <w:rFonts w:eastAsia="Cambria"/>
                <w:szCs w:val="18"/>
              </w:rPr>
            </w:pPr>
            <w:r w:rsidRPr="008E5B32">
              <w:rPr>
                <w:rFonts w:eastAsia="Cambria"/>
                <w:szCs w:val="18"/>
              </w:rPr>
              <w:t>Freely accessible</w:t>
            </w:r>
          </w:p>
        </w:tc>
        <w:tc>
          <w:tcPr>
            <w:tcW w:w="3240" w:type="dxa"/>
          </w:tcPr>
          <w:p w14:paraId="49167A00" w14:textId="77777777" w:rsidR="00585571" w:rsidRPr="008E5B32" w:rsidRDefault="00585571" w:rsidP="0026626E">
            <w:pPr>
              <w:jc w:val="both"/>
              <w:rPr>
                <w:rFonts w:eastAsia="Cambria"/>
                <w:szCs w:val="18"/>
                <w:lang w:val="en-GB"/>
              </w:rPr>
            </w:pPr>
            <w:r w:rsidRPr="008E5B32">
              <w:rPr>
                <w:szCs w:val="18"/>
                <w:lang w:val="en-GB"/>
              </w:rPr>
              <w:t>Contains experimental data on nano and non-nano materials. Allows to build and validate computational models from the available data using ML techniques.</w:t>
            </w:r>
          </w:p>
        </w:tc>
      </w:tr>
      <w:tr w:rsidR="00585571" w:rsidRPr="008E5B32" w14:paraId="13620229" w14:textId="77777777" w:rsidTr="0026626E">
        <w:tc>
          <w:tcPr>
            <w:tcW w:w="1384" w:type="dxa"/>
          </w:tcPr>
          <w:p w14:paraId="57C888A6" w14:textId="77777777" w:rsidR="00585571" w:rsidRPr="008E5B32" w:rsidRDefault="00585571" w:rsidP="0026626E">
            <w:pPr>
              <w:rPr>
                <w:rFonts w:eastAsia="Cambria"/>
                <w:szCs w:val="18"/>
              </w:rPr>
            </w:pPr>
            <w:r w:rsidRPr="008E5B32">
              <w:rPr>
                <w:rFonts w:eastAsia="Cambria"/>
                <w:szCs w:val="18"/>
              </w:rPr>
              <w:t>NECID</w:t>
            </w:r>
          </w:p>
        </w:tc>
        <w:tc>
          <w:tcPr>
            <w:tcW w:w="2727" w:type="dxa"/>
          </w:tcPr>
          <w:p w14:paraId="432F1DA6" w14:textId="77777777" w:rsidR="00585571" w:rsidRPr="008E5B32" w:rsidRDefault="00585571" w:rsidP="0026626E">
            <w:pPr>
              <w:rPr>
                <w:rFonts w:eastAsia="Cambria"/>
                <w:szCs w:val="18"/>
              </w:rPr>
            </w:pPr>
            <w:r w:rsidRPr="008E5B32">
              <w:rPr>
                <w:rFonts w:eastAsia="Cambria"/>
                <w:color w:val="auto"/>
                <w:szCs w:val="18"/>
              </w:rPr>
              <w:t>http://www.necid.eu/</w:t>
            </w:r>
          </w:p>
        </w:tc>
        <w:tc>
          <w:tcPr>
            <w:tcW w:w="1134" w:type="dxa"/>
          </w:tcPr>
          <w:p w14:paraId="01913EE0" w14:textId="77777777" w:rsidR="00585571" w:rsidRPr="008E5B32" w:rsidRDefault="00585571" w:rsidP="0026626E">
            <w:pPr>
              <w:rPr>
                <w:rFonts w:eastAsia="Cambria"/>
                <w:szCs w:val="18"/>
              </w:rPr>
            </w:pPr>
            <w:r w:rsidRPr="008E5B32">
              <w:rPr>
                <w:rFonts w:eastAsia="Cambria"/>
                <w:szCs w:val="18"/>
              </w:rPr>
              <w:t>Registration required</w:t>
            </w:r>
          </w:p>
        </w:tc>
        <w:tc>
          <w:tcPr>
            <w:tcW w:w="3240" w:type="dxa"/>
          </w:tcPr>
          <w:p w14:paraId="3C25DB7C" w14:textId="77777777" w:rsidR="00585571" w:rsidRPr="008E5B32" w:rsidRDefault="00585571" w:rsidP="0026626E">
            <w:pPr>
              <w:jc w:val="both"/>
              <w:rPr>
                <w:rFonts w:eastAsia="Cambria"/>
                <w:szCs w:val="18"/>
                <w:lang w:val="en-GB"/>
              </w:rPr>
            </w:pPr>
            <w:r w:rsidRPr="008E5B32">
              <w:rPr>
                <w:rFonts w:eastAsia="Cambria"/>
                <w:szCs w:val="18"/>
                <w:lang w:val="en-GB"/>
              </w:rPr>
              <w:t>Contains information on occupational exposure to manufactured NMs.</w:t>
            </w:r>
          </w:p>
        </w:tc>
      </w:tr>
      <w:tr w:rsidR="00585571" w:rsidRPr="008E5B32" w14:paraId="0DB65149" w14:textId="77777777" w:rsidTr="0026626E">
        <w:tc>
          <w:tcPr>
            <w:tcW w:w="1384" w:type="dxa"/>
          </w:tcPr>
          <w:p w14:paraId="31F9A33B" w14:textId="77777777" w:rsidR="00585571" w:rsidRPr="008E5B32" w:rsidRDefault="00585571" w:rsidP="0026626E">
            <w:pPr>
              <w:jc w:val="both"/>
              <w:rPr>
                <w:rFonts w:eastAsia="Cambria"/>
                <w:szCs w:val="18"/>
              </w:rPr>
            </w:pPr>
            <w:r w:rsidRPr="008E5B32">
              <w:rPr>
                <w:szCs w:val="18"/>
              </w:rPr>
              <w:t>NanoDatabank</w:t>
            </w:r>
          </w:p>
        </w:tc>
        <w:tc>
          <w:tcPr>
            <w:tcW w:w="2727" w:type="dxa"/>
          </w:tcPr>
          <w:p w14:paraId="50F7DB16" w14:textId="77777777" w:rsidR="00585571" w:rsidRPr="008E5B32" w:rsidRDefault="00585571" w:rsidP="0026626E">
            <w:pPr>
              <w:jc w:val="both"/>
              <w:rPr>
                <w:rFonts w:eastAsia="Cambria"/>
                <w:szCs w:val="18"/>
              </w:rPr>
            </w:pPr>
            <w:r w:rsidRPr="008E5B32">
              <w:rPr>
                <w:szCs w:val="18"/>
              </w:rPr>
              <w:t>http://nanoinfo.org/nanodatabank/</w:t>
            </w:r>
          </w:p>
        </w:tc>
        <w:tc>
          <w:tcPr>
            <w:tcW w:w="1134" w:type="dxa"/>
          </w:tcPr>
          <w:p w14:paraId="4F9CADDD" w14:textId="77777777" w:rsidR="00585571" w:rsidRPr="008E5B32" w:rsidRDefault="00585571" w:rsidP="0026626E">
            <w:pPr>
              <w:rPr>
                <w:rFonts w:eastAsia="Cambria"/>
                <w:szCs w:val="18"/>
              </w:rPr>
            </w:pPr>
            <w:r w:rsidRPr="008E5B32">
              <w:rPr>
                <w:rFonts w:eastAsia="Cambria"/>
                <w:szCs w:val="18"/>
              </w:rPr>
              <w:t>Registration required</w:t>
            </w:r>
          </w:p>
        </w:tc>
        <w:tc>
          <w:tcPr>
            <w:tcW w:w="3240" w:type="dxa"/>
          </w:tcPr>
          <w:p w14:paraId="48C6CD14" w14:textId="77777777" w:rsidR="00585571" w:rsidRPr="008E5B32" w:rsidRDefault="00585571" w:rsidP="0026626E">
            <w:pPr>
              <w:jc w:val="both"/>
              <w:rPr>
                <w:rFonts w:eastAsia="Cambria"/>
                <w:szCs w:val="18"/>
                <w:lang w:val="en-GB"/>
              </w:rPr>
            </w:pPr>
            <w:r w:rsidRPr="008E5B32">
              <w:rPr>
                <w:rFonts w:eastAsia="Cambria"/>
                <w:szCs w:val="18"/>
                <w:lang w:val="en-GB"/>
              </w:rPr>
              <w:t>Includes data on NMs toxicity, characterization, fate and transport.</w:t>
            </w:r>
          </w:p>
        </w:tc>
      </w:tr>
      <w:tr w:rsidR="00585571" w:rsidRPr="008E5B32" w14:paraId="0066EC09" w14:textId="77777777" w:rsidTr="0026626E">
        <w:tc>
          <w:tcPr>
            <w:tcW w:w="1384" w:type="dxa"/>
          </w:tcPr>
          <w:p w14:paraId="265908E8" w14:textId="77777777" w:rsidR="00585571" w:rsidRPr="008E5B32" w:rsidRDefault="00585571" w:rsidP="0026626E">
            <w:pPr>
              <w:rPr>
                <w:rFonts w:eastAsia="Cambria"/>
              </w:rPr>
            </w:pPr>
            <w:r w:rsidRPr="008E5B32">
              <w:rPr>
                <w:rFonts w:eastAsia="Cambria"/>
              </w:rPr>
              <w:t>Nanowerk</w:t>
            </w:r>
          </w:p>
        </w:tc>
        <w:tc>
          <w:tcPr>
            <w:tcW w:w="2727" w:type="dxa"/>
          </w:tcPr>
          <w:p w14:paraId="40B76647" w14:textId="77777777" w:rsidR="00585571" w:rsidRPr="008E5B32" w:rsidRDefault="00585571" w:rsidP="0026626E">
            <w:pPr>
              <w:rPr>
                <w:rFonts w:eastAsia="Cambria"/>
              </w:rPr>
            </w:pPr>
            <w:r w:rsidRPr="008E5B32">
              <w:rPr>
                <w:rFonts w:eastAsia="Cambria"/>
              </w:rPr>
              <w:t>https://www.nanowerk.com/nanomaterial-database.php</w:t>
            </w:r>
          </w:p>
        </w:tc>
        <w:tc>
          <w:tcPr>
            <w:tcW w:w="1134" w:type="dxa"/>
          </w:tcPr>
          <w:p w14:paraId="56DB7BE5" w14:textId="77777777" w:rsidR="00585571" w:rsidRPr="008E5B32" w:rsidRDefault="00585571" w:rsidP="0026626E">
            <w:pPr>
              <w:rPr>
                <w:rFonts w:eastAsia="Cambria"/>
                <w:color w:val="auto"/>
              </w:rPr>
            </w:pPr>
            <w:r w:rsidRPr="008E5B32">
              <w:rPr>
                <w:rFonts w:eastAsia="Cambria"/>
                <w:szCs w:val="18"/>
              </w:rPr>
              <w:t>Freely accessible</w:t>
            </w:r>
          </w:p>
        </w:tc>
        <w:tc>
          <w:tcPr>
            <w:tcW w:w="3240" w:type="dxa"/>
          </w:tcPr>
          <w:p w14:paraId="3D2CF2AF" w14:textId="6AB4E832" w:rsidR="00585571" w:rsidRPr="008E5B32" w:rsidRDefault="00585571" w:rsidP="0026626E">
            <w:pPr>
              <w:jc w:val="both"/>
              <w:rPr>
                <w:rFonts w:eastAsia="Cambria"/>
                <w:lang w:val="en-GB"/>
              </w:rPr>
            </w:pPr>
            <w:r w:rsidRPr="008E5B32">
              <w:rPr>
                <w:rFonts w:eastAsia="Cambria"/>
                <w:lang w:val="en-GB"/>
              </w:rPr>
              <w:t xml:space="preserve">Contains physicochemical information and details on manufacturers of 4000 </w:t>
            </w:r>
            <w:r w:rsidR="00C77E44" w:rsidRPr="008E5B32">
              <w:rPr>
                <w:rFonts w:eastAsia="Cambria"/>
                <w:lang w:val="en-GB"/>
              </w:rPr>
              <w:t>NMs</w:t>
            </w:r>
            <w:r w:rsidRPr="008E5B32">
              <w:rPr>
                <w:rFonts w:eastAsia="Cambria"/>
                <w:lang w:val="en-GB"/>
              </w:rPr>
              <w:t xml:space="preserve"> from more than 150 suppliers worldwide.</w:t>
            </w:r>
          </w:p>
        </w:tc>
      </w:tr>
      <w:tr w:rsidR="00585571" w:rsidRPr="008E5B32" w14:paraId="79F2C4CA" w14:textId="77777777" w:rsidTr="0026626E">
        <w:tc>
          <w:tcPr>
            <w:tcW w:w="1384" w:type="dxa"/>
          </w:tcPr>
          <w:p w14:paraId="0779BB30" w14:textId="77777777" w:rsidR="00585571" w:rsidRPr="008E5B32" w:rsidRDefault="00585571" w:rsidP="0026626E">
            <w:pPr>
              <w:rPr>
                <w:szCs w:val="18"/>
              </w:rPr>
            </w:pPr>
            <w:r w:rsidRPr="008E5B32">
              <w:rPr>
                <w:szCs w:val="18"/>
              </w:rPr>
              <w:t>NM-Biological</w:t>
            </w:r>
          </w:p>
          <w:p w14:paraId="640ED077" w14:textId="77777777" w:rsidR="00585571" w:rsidRPr="008E5B32" w:rsidRDefault="00585571" w:rsidP="0026626E">
            <w:pPr>
              <w:rPr>
                <w:szCs w:val="18"/>
              </w:rPr>
            </w:pPr>
            <w:r w:rsidRPr="008E5B32">
              <w:rPr>
                <w:szCs w:val="18"/>
              </w:rPr>
              <w:t>Interactions</w:t>
            </w:r>
          </w:p>
          <w:p w14:paraId="27605E02" w14:textId="77777777" w:rsidR="00585571" w:rsidRPr="008E5B32" w:rsidRDefault="00585571" w:rsidP="0026626E">
            <w:pPr>
              <w:rPr>
                <w:szCs w:val="18"/>
              </w:rPr>
            </w:pPr>
            <w:r w:rsidRPr="008E5B32">
              <w:rPr>
                <w:szCs w:val="18"/>
              </w:rPr>
              <w:t>Knowledgebase</w:t>
            </w:r>
          </w:p>
        </w:tc>
        <w:tc>
          <w:tcPr>
            <w:tcW w:w="2727" w:type="dxa"/>
          </w:tcPr>
          <w:p w14:paraId="370335CA" w14:textId="77777777" w:rsidR="00585571" w:rsidRPr="008E5B32" w:rsidRDefault="00585571" w:rsidP="0026626E">
            <w:pPr>
              <w:rPr>
                <w:szCs w:val="18"/>
              </w:rPr>
            </w:pPr>
            <w:r w:rsidRPr="008E5B32">
              <w:rPr>
                <w:szCs w:val="18"/>
              </w:rPr>
              <w:t>http://nbi.oregonstate.edu/</w:t>
            </w:r>
          </w:p>
        </w:tc>
        <w:tc>
          <w:tcPr>
            <w:tcW w:w="1134" w:type="dxa"/>
          </w:tcPr>
          <w:p w14:paraId="11334FAA" w14:textId="77777777" w:rsidR="00585571" w:rsidRPr="008E5B32" w:rsidRDefault="00585571" w:rsidP="0026626E">
            <w:pPr>
              <w:rPr>
                <w:rFonts w:eastAsia="Cambria"/>
                <w:szCs w:val="18"/>
              </w:rPr>
            </w:pPr>
            <w:r w:rsidRPr="008E5B32">
              <w:rPr>
                <w:rFonts w:eastAsia="Cambria"/>
                <w:szCs w:val="18"/>
              </w:rPr>
              <w:t>Freely accessible</w:t>
            </w:r>
          </w:p>
        </w:tc>
        <w:tc>
          <w:tcPr>
            <w:tcW w:w="3240" w:type="dxa"/>
          </w:tcPr>
          <w:p w14:paraId="61152967" w14:textId="77777777" w:rsidR="00B57B39" w:rsidRPr="008E5B32" w:rsidRDefault="00585571" w:rsidP="0026626E">
            <w:pPr>
              <w:jc w:val="both"/>
              <w:rPr>
                <w:szCs w:val="18"/>
                <w:lang w:val="en-GB"/>
              </w:rPr>
            </w:pPr>
            <w:r w:rsidRPr="008E5B32">
              <w:rPr>
                <w:szCs w:val="18"/>
                <w:lang w:val="en-GB"/>
              </w:rPr>
              <w:t>Contains annotated data on NMs characterization, synthesis methods, and NMs biological interactions.</w:t>
            </w:r>
          </w:p>
          <w:p w14:paraId="7883F8F5" w14:textId="2E1E7256" w:rsidR="00585571" w:rsidRPr="008E5B32" w:rsidRDefault="00585571" w:rsidP="0026626E">
            <w:pPr>
              <w:jc w:val="both"/>
              <w:rPr>
                <w:szCs w:val="18"/>
                <w:lang w:val="en-GB"/>
              </w:rPr>
            </w:pPr>
            <w:r w:rsidRPr="008E5B32">
              <w:rPr>
                <w:szCs w:val="18"/>
                <w:lang w:val="en-GB"/>
              </w:rPr>
              <w:t xml:space="preserve"> Computational and data mining tools are included.</w:t>
            </w:r>
          </w:p>
        </w:tc>
      </w:tr>
      <w:tr w:rsidR="00585571" w:rsidRPr="008E5B32" w14:paraId="00631B2C" w14:textId="77777777" w:rsidTr="0026626E">
        <w:tc>
          <w:tcPr>
            <w:tcW w:w="1384" w:type="dxa"/>
          </w:tcPr>
          <w:p w14:paraId="717467E6" w14:textId="77777777" w:rsidR="00585571" w:rsidRPr="008E5B32" w:rsidRDefault="00585571" w:rsidP="0026626E">
            <w:pPr>
              <w:rPr>
                <w:rFonts w:eastAsia="Cambria"/>
                <w:szCs w:val="18"/>
              </w:rPr>
            </w:pPr>
            <w:r w:rsidRPr="008E5B32">
              <w:rPr>
                <w:szCs w:val="18"/>
              </w:rPr>
              <w:t>NanoMILE</w:t>
            </w:r>
          </w:p>
        </w:tc>
        <w:tc>
          <w:tcPr>
            <w:tcW w:w="2727" w:type="dxa"/>
          </w:tcPr>
          <w:p w14:paraId="19C2DFC3" w14:textId="77777777" w:rsidR="00585571" w:rsidRPr="008E5B32" w:rsidRDefault="00585571" w:rsidP="0026626E">
            <w:pPr>
              <w:rPr>
                <w:rFonts w:eastAsia="Cambria"/>
                <w:szCs w:val="18"/>
              </w:rPr>
            </w:pPr>
            <w:r w:rsidRPr="008E5B32">
              <w:rPr>
                <w:szCs w:val="18"/>
              </w:rPr>
              <w:t>https://ssl.biomax.de/nanomile/</w:t>
            </w:r>
          </w:p>
        </w:tc>
        <w:tc>
          <w:tcPr>
            <w:tcW w:w="1134" w:type="dxa"/>
          </w:tcPr>
          <w:p w14:paraId="640F0365" w14:textId="77777777" w:rsidR="00585571" w:rsidRPr="008E5B32" w:rsidRDefault="00585571" w:rsidP="0026626E">
            <w:pPr>
              <w:rPr>
                <w:rFonts w:eastAsia="Cambria"/>
                <w:szCs w:val="18"/>
              </w:rPr>
            </w:pPr>
            <w:r w:rsidRPr="008E5B32">
              <w:rPr>
                <w:rFonts w:eastAsia="Cambria"/>
                <w:szCs w:val="18"/>
              </w:rPr>
              <w:t>Registration required</w:t>
            </w:r>
          </w:p>
        </w:tc>
        <w:tc>
          <w:tcPr>
            <w:tcW w:w="3240" w:type="dxa"/>
          </w:tcPr>
          <w:p w14:paraId="2F022571" w14:textId="77777777" w:rsidR="00585571" w:rsidRPr="008E5B32" w:rsidRDefault="00585571" w:rsidP="0026626E">
            <w:pPr>
              <w:jc w:val="both"/>
              <w:rPr>
                <w:rFonts w:eastAsia="Cambria"/>
                <w:szCs w:val="18"/>
                <w:lang w:val="en-GB"/>
              </w:rPr>
            </w:pPr>
            <w:r w:rsidRPr="008E5B32">
              <w:rPr>
                <w:rFonts w:eastAsia="Cambria"/>
                <w:szCs w:val="18"/>
                <w:lang w:val="en-GB"/>
              </w:rPr>
              <w:t>Contains characterisation data and high throughput screening toxicity data.</w:t>
            </w:r>
          </w:p>
        </w:tc>
      </w:tr>
      <w:tr w:rsidR="00585571" w:rsidRPr="008E5B32" w14:paraId="04058A4A" w14:textId="77777777" w:rsidTr="0026626E">
        <w:tc>
          <w:tcPr>
            <w:tcW w:w="1384" w:type="dxa"/>
          </w:tcPr>
          <w:p w14:paraId="75162685" w14:textId="77777777" w:rsidR="00585571" w:rsidRPr="008E5B32" w:rsidRDefault="00585571" w:rsidP="0026626E">
            <w:pPr>
              <w:rPr>
                <w:rFonts w:eastAsia="Cambria"/>
                <w:szCs w:val="18"/>
              </w:rPr>
            </w:pPr>
            <w:r w:rsidRPr="008E5B32">
              <w:rPr>
                <w:rFonts w:eastAsia="Cambria"/>
                <w:szCs w:val="18"/>
              </w:rPr>
              <w:t xml:space="preserve">ModNanoTox </w:t>
            </w:r>
          </w:p>
        </w:tc>
        <w:tc>
          <w:tcPr>
            <w:tcW w:w="2727" w:type="dxa"/>
          </w:tcPr>
          <w:p w14:paraId="6DD0BDB7" w14:textId="77777777" w:rsidR="00585571" w:rsidRPr="008E5B32" w:rsidRDefault="00585571" w:rsidP="0026626E">
            <w:pPr>
              <w:rPr>
                <w:rFonts w:eastAsia="Cambria"/>
                <w:szCs w:val="18"/>
              </w:rPr>
            </w:pPr>
            <w:r w:rsidRPr="008E5B32">
              <w:rPr>
                <w:rFonts w:eastAsia="Cambria"/>
                <w:szCs w:val="18"/>
              </w:rPr>
              <w:t>http://www.birmingham.ac.uk/generic/modnanotox</w:t>
            </w:r>
          </w:p>
        </w:tc>
        <w:tc>
          <w:tcPr>
            <w:tcW w:w="1134" w:type="dxa"/>
          </w:tcPr>
          <w:p w14:paraId="7C0B1860" w14:textId="77777777" w:rsidR="00585571" w:rsidRPr="008E5B32" w:rsidRDefault="00585571" w:rsidP="0026626E">
            <w:pPr>
              <w:rPr>
                <w:rFonts w:eastAsia="Cambria"/>
                <w:szCs w:val="18"/>
              </w:rPr>
            </w:pPr>
            <w:r w:rsidRPr="008E5B32">
              <w:rPr>
                <w:rFonts w:eastAsia="Cambria"/>
                <w:szCs w:val="18"/>
              </w:rPr>
              <w:t>Freely accessible</w:t>
            </w:r>
          </w:p>
        </w:tc>
        <w:tc>
          <w:tcPr>
            <w:tcW w:w="3240" w:type="dxa"/>
          </w:tcPr>
          <w:p w14:paraId="50B327AA" w14:textId="77777777" w:rsidR="00585571" w:rsidRPr="008E5B32" w:rsidRDefault="00585571" w:rsidP="0026626E">
            <w:pPr>
              <w:jc w:val="both"/>
              <w:rPr>
                <w:rFonts w:eastAsia="Cambria"/>
                <w:szCs w:val="18"/>
              </w:rPr>
            </w:pPr>
            <w:r w:rsidRPr="008E5B32">
              <w:rPr>
                <w:rFonts w:eastAsia="Cambria"/>
                <w:szCs w:val="18"/>
                <w:lang w:val="en-GB"/>
              </w:rPr>
              <w:t>Curated database on ecotox</w:t>
            </w:r>
            <w:r w:rsidR="009B2E86" w:rsidRPr="008E5B32">
              <w:rPr>
                <w:rFonts w:eastAsia="Cambria"/>
                <w:szCs w:val="18"/>
                <w:lang w:val="en-GB"/>
              </w:rPr>
              <w:t>icity</w:t>
            </w:r>
            <w:r w:rsidRPr="008E5B32">
              <w:rPr>
                <w:rFonts w:eastAsia="Cambria"/>
                <w:szCs w:val="18"/>
                <w:lang w:val="en-GB"/>
              </w:rPr>
              <w:t xml:space="preserve"> data, focussed mainly on silver NMs. </w:t>
            </w:r>
            <w:r w:rsidRPr="008E5B32">
              <w:rPr>
                <w:szCs w:val="18"/>
              </w:rPr>
              <w:t>Currently</w:t>
            </w:r>
            <w:r w:rsidRPr="008E5B32">
              <w:rPr>
                <w:rFonts w:eastAsia="Cambria"/>
                <w:szCs w:val="18"/>
              </w:rPr>
              <w:t xml:space="preserve"> included in the eNanoMapper database.</w:t>
            </w:r>
          </w:p>
        </w:tc>
      </w:tr>
      <w:tr w:rsidR="00585571" w:rsidRPr="008E5B32" w14:paraId="22B94A0E" w14:textId="77777777" w:rsidTr="0026626E">
        <w:tc>
          <w:tcPr>
            <w:tcW w:w="1384" w:type="dxa"/>
          </w:tcPr>
          <w:p w14:paraId="6396F114" w14:textId="77777777" w:rsidR="00585571" w:rsidRPr="008E5B32" w:rsidRDefault="00585571" w:rsidP="0026626E">
            <w:pPr>
              <w:rPr>
                <w:rFonts w:eastAsia="Cambria"/>
                <w:szCs w:val="18"/>
              </w:rPr>
            </w:pPr>
            <w:r w:rsidRPr="008E5B32">
              <w:rPr>
                <w:rFonts w:eastAsia="Cambria"/>
                <w:szCs w:val="18"/>
              </w:rPr>
              <w:t>MARINA</w:t>
            </w:r>
          </w:p>
        </w:tc>
        <w:tc>
          <w:tcPr>
            <w:tcW w:w="2727" w:type="dxa"/>
          </w:tcPr>
          <w:p w14:paraId="30AB6EF3" w14:textId="77777777" w:rsidR="00585571" w:rsidRPr="008E5B32" w:rsidRDefault="00585571" w:rsidP="0026626E">
            <w:pPr>
              <w:rPr>
                <w:rFonts w:eastAsia="Cambria"/>
                <w:szCs w:val="18"/>
              </w:rPr>
            </w:pPr>
            <w:r w:rsidRPr="008E5B32">
              <w:rPr>
                <w:rFonts w:eastAsia="Cambria"/>
                <w:szCs w:val="18"/>
              </w:rPr>
              <w:t>http://marina.iom-world.co.uk</w:t>
            </w:r>
          </w:p>
        </w:tc>
        <w:tc>
          <w:tcPr>
            <w:tcW w:w="1134" w:type="dxa"/>
          </w:tcPr>
          <w:p w14:paraId="3BCC1C38" w14:textId="77777777" w:rsidR="00585571" w:rsidRPr="008E5B32" w:rsidRDefault="00585571" w:rsidP="0026626E">
            <w:pPr>
              <w:rPr>
                <w:rFonts w:eastAsia="Cambria"/>
                <w:szCs w:val="18"/>
              </w:rPr>
            </w:pPr>
            <w:r w:rsidRPr="008E5B32">
              <w:rPr>
                <w:rFonts w:eastAsia="Cambria"/>
                <w:szCs w:val="18"/>
              </w:rPr>
              <w:t>Registration required</w:t>
            </w:r>
          </w:p>
        </w:tc>
        <w:tc>
          <w:tcPr>
            <w:tcW w:w="3240" w:type="dxa"/>
          </w:tcPr>
          <w:p w14:paraId="2063762C" w14:textId="77777777" w:rsidR="00585571" w:rsidRPr="008E5B32" w:rsidRDefault="00585571" w:rsidP="0026626E">
            <w:pPr>
              <w:jc w:val="both"/>
              <w:rPr>
                <w:rFonts w:eastAsia="Cambria"/>
                <w:szCs w:val="18"/>
              </w:rPr>
            </w:pPr>
            <w:r w:rsidRPr="008E5B32">
              <w:rPr>
                <w:lang w:val="en-GB"/>
              </w:rPr>
              <w:t xml:space="preserve">Inventory of occupational and consumer exposure scenarios for different NMs, together with their physicochemical characterization. </w:t>
            </w:r>
            <w:r w:rsidRPr="008E5B32">
              <w:rPr>
                <w:szCs w:val="18"/>
              </w:rPr>
              <w:t>Currently</w:t>
            </w:r>
            <w:r w:rsidRPr="008E5B32">
              <w:rPr>
                <w:rFonts w:eastAsia="Cambria"/>
                <w:szCs w:val="18"/>
              </w:rPr>
              <w:t xml:space="preserve"> included in the eNanoMapper database.</w:t>
            </w:r>
          </w:p>
        </w:tc>
      </w:tr>
      <w:tr w:rsidR="00585571" w:rsidRPr="008E5B32" w14:paraId="27348F7F" w14:textId="77777777" w:rsidTr="0026626E">
        <w:tc>
          <w:tcPr>
            <w:tcW w:w="1384" w:type="dxa"/>
          </w:tcPr>
          <w:p w14:paraId="395ACD48" w14:textId="77777777" w:rsidR="00585571" w:rsidRPr="008E5B32" w:rsidRDefault="00585571" w:rsidP="0026626E">
            <w:pPr>
              <w:rPr>
                <w:rFonts w:eastAsia="Cambria"/>
                <w:szCs w:val="18"/>
              </w:rPr>
            </w:pPr>
            <w:r w:rsidRPr="008E5B32">
              <w:rPr>
                <w:rFonts w:eastAsia="Cambria"/>
                <w:szCs w:val="18"/>
              </w:rPr>
              <w:t>SUN</w:t>
            </w:r>
          </w:p>
        </w:tc>
        <w:tc>
          <w:tcPr>
            <w:tcW w:w="2727" w:type="dxa"/>
          </w:tcPr>
          <w:p w14:paraId="6B8226F5" w14:textId="77777777" w:rsidR="00585571" w:rsidRPr="008E5B32" w:rsidRDefault="00585571" w:rsidP="0026626E">
            <w:pPr>
              <w:rPr>
                <w:rFonts w:eastAsia="Cambria"/>
                <w:szCs w:val="18"/>
              </w:rPr>
            </w:pPr>
            <w:r w:rsidRPr="008E5B32">
              <w:rPr>
                <w:rFonts w:eastAsia="Cambria"/>
                <w:szCs w:val="18"/>
              </w:rPr>
              <w:t>http://sun.iom-world.co.uk</w:t>
            </w:r>
          </w:p>
        </w:tc>
        <w:tc>
          <w:tcPr>
            <w:tcW w:w="1134" w:type="dxa"/>
          </w:tcPr>
          <w:p w14:paraId="7B1D831B" w14:textId="153D60A3" w:rsidR="00585571" w:rsidRPr="008E5B32" w:rsidRDefault="00585571" w:rsidP="0026626E">
            <w:pPr>
              <w:rPr>
                <w:rFonts w:eastAsia="Cambria"/>
                <w:szCs w:val="18"/>
              </w:rPr>
            </w:pPr>
            <w:r w:rsidRPr="008E5B32">
              <w:rPr>
                <w:rFonts w:eastAsia="Cambria"/>
                <w:szCs w:val="18"/>
              </w:rPr>
              <w:t>Registration required *</w:t>
            </w:r>
            <w:r w:rsidR="00363E54" w:rsidRPr="008E5B32">
              <w:rPr>
                <w:rFonts w:eastAsia="Cambria"/>
                <w:szCs w:val="18"/>
              </w:rPr>
              <w:t>*</w:t>
            </w:r>
            <w:r w:rsidRPr="008E5B32">
              <w:rPr>
                <w:rFonts w:eastAsia="Cambria"/>
                <w:szCs w:val="18"/>
              </w:rPr>
              <w:t>*</w:t>
            </w:r>
          </w:p>
        </w:tc>
        <w:tc>
          <w:tcPr>
            <w:tcW w:w="3240" w:type="dxa"/>
          </w:tcPr>
          <w:p w14:paraId="363B979F" w14:textId="77777777" w:rsidR="00585571" w:rsidRPr="008E5B32" w:rsidRDefault="00585571" w:rsidP="0026626E">
            <w:pPr>
              <w:jc w:val="both"/>
              <w:rPr>
                <w:rFonts w:eastAsia="Cambria"/>
                <w:szCs w:val="18"/>
                <w:lang w:val="en-GB"/>
              </w:rPr>
            </w:pPr>
            <w:r w:rsidRPr="008E5B32">
              <w:rPr>
                <w:lang w:val="en-GB"/>
              </w:rPr>
              <w:t xml:space="preserve">Includes physicochemical, release, exposure, in vitro and in vivo toxicological data. </w:t>
            </w:r>
          </w:p>
        </w:tc>
      </w:tr>
      <w:tr w:rsidR="00585571" w:rsidRPr="008E5B32" w14:paraId="34BB8EF8" w14:textId="77777777" w:rsidTr="0026626E">
        <w:tc>
          <w:tcPr>
            <w:tcW w:w="1384" w:type="dxa"/>
          </w:tcPr>
          <w:p w14:paraId="2671C1B9" w14:textId="77777777" w:rsidR="00585571" w:rsidRPr="008E5B32" w:rsidRDefault="00585571" w:rsidP="0026626E">
            <w:pPr>
              <w:rPr>
                <w:rFonts w:eastAsia="Cambria"/>
                <w:szCs w:val="18"/>
              </w:rPr>
            </w:pPr>
            <w:r w:rsidRPr="008E5B32">
              <w:rPr>
                <w:rFonts w:eastAsia="Cambria"/>
                <w:szCs w:val="18"/>
              </w:rPr>
              <w:t>NanoSolutions</w:t>
            </w:r>
          </w:p>
        </w:tc>
        <w:tc>
          <w:tcPr>
            <w:tcW w:w="2727" w:type="dxa"/>
          </w:tcPr>
          <w:p w14:paraId="75218DBA" w14:textId="77777777" w:rsidR="00585571" w:rsidRPr="008E5B32" w:rsidRDefault="00585571" w:rsidP="0026626E">
            <w:pPr>
              <w:rPr>
                <w:rFonts w:eastAsia="Cambria"/>
                <w:szCs w:val="18"/>
              </w:rPr>
            </w:pPr>
            <w:r w:rsidRPr="008E5B32">
              <w:rPr>
                <w:rFonts w:eastAsia="Cambria"/>
                <w:szCs w:val="18"/>
              </w:rPr>
              <w:t>-</w:t>
            </w:r>
          </w:p>
        </w:tc>
        <w:tc>
          <w:tcPr>
            <w:tcW w:w="1134" w:type="dxa"/>
          </w:tcPr>
          <w:p w14:paraId="23470944" w14:textId="1AE6D046" w:rsidR="00585571" w:rsidRPr="008E5B32" w:rsidRDefault="00585571" w:rsidP="0026626E">
            <w:pPr>
              <w:rPr>
                <w:rFonts w:eastAsia="Cambria"/>
                <w:szCs w:val="18"/>
              </w:rPr>
            </w:pPr>
            <w:r w:rsidRPr="008E5B32">
              <w:rPr>
                <w:rFonts w:eastAsia="Cambria"/>
                <w:szCs w:val="18"/>
              </w:rPr>
              <w:t>Registration required *</w:t>
            </w:r>
            <w:r w:rsidR="00363E54" w:rsidRPr="008E5B32">
              <w:rPr>
                <w:rFonts w:eastAsia="Cambria"/>
                <w:szCs w:val="18"/>
              </w:rPr>
              <w:t>*</w:t>
            </w:r>
            <w:r w:rsidRPr="008E5B32">
              <w:rPr>
                <w:rFonts w:eastAsia="Cambria"/>
                <w:szCs w:val="18"/>
              </w:rPr>
              <w:t>*</w:t>
            </w:r>
          </w:p>
        </w:tc>
        <w:tc>
          <w:tcPr>
            <w:tcW w:w="3240" w:type="dxa"/>
          </w:tcPr>
          <w:p w14:paraId="773B305E" w14:textId="6D11C006" w:rsidR="00C46CA9" w:rsidRPr="008E5B32" w:rsidRDefault="00585571" w:rsidP="0026626E">
            <w:pPr>
              <w:jc w:val="both"/>
              <w:rPr>
                <w:rFonts w:eastAsia="Cambria"/>
                <w:szCs w:val="18"/>
                <w:lang w:val="en-GB"/>
              </w:rPr>
            </w:pPr>
            <w:r w:rsidRPr="008E5B32">
              <w:rPr>
                <w:rFonts w:eastAsia="Cambria"/>
                <w:szCs w:val="18"/>
                <w:lang w:val="en-GB"/>
              </w:rPr>
              <w:t xml:space="preserve">Includes physicochemical and hazard data. </w:t>
            </w:r>
          </w:p>
        </w:tc>
      </w:tr>
      <w:tr w:rsidR="00C46CA9" w:rsidRPr="008E5B32" w14:paraId="6771F339" w14:textId="77777777" w:rsidTr="0026626E">
        <w:tc>
          <w:tcPr>
            <w:tcW w:w="1384" w:type="dxa"/>
          </w:tcPr>
          <w:p w14:paraId="635C3906" w14:textId="4BEAD9D1" w:rsidR="00C46CA9" w:rsidRPr="008E5B32" w:rsidRDefault="00C46CA9" w:rsidP="0026626E">
            <w:pPr>
              <w:rPr>
                <w:rFonts w:eastAsia="Cambria"/>
                <w:szCs w:val="18"/>
              </w:rPr>
            </w:pPr>
            <w:r w:rsidRPr="008E5B32">
              <w:rPr>
                <w:rFonts w:eastAsia="Cambria"/>
                <w:szCs w:val="18"/>
              </w:rPr>
              <w:t>NIKC</w:t>
            </w:r>
          </w:p>
        </w:tc>
        <w:tc>
          <w:tcPr>
            <w:tcW w:w="2727" w:type="dxa"/>
          </w:tcPr>
          <w:p w14:paraId="64048341" w14:textId="307D0AE4" w:rsidR="00C46CA9" w:rsidRPr="008E5B32" w:rsidRDefault="00C46CA9" w:rsidP="0026626E">
            <w:pPr>
              <w:rPr>
                <w:rFonts w:eastAsia="Cambria"/>
                <w:szCs w:val="18"/>
              </w:rPr>
            </w:pPr>
            <w:r w:rsidRPr="008E5B32">
              <w:rPr>
                <w:rFonts w:eastAsia="Cambria"/>
                <w:szCs w:val="18"/>
              </w:rPr>
              <w:t>http://nikc.egr.duke.edu/</w:t>
            </w:r>
            <w:r w:rsidR="001809F0" w:rsidRPr="008E5B32">
              <w:rPr>
                <w:rFonts w:eastAsia="Cambria"/>
                <w:szCs w:val="18"/>
              </w:rPr>
              <w:t xml:space="preserve"> </w:t>
            </w:r>
          </w:p>
        </w:tc>
        <w:tc>
          <w:tcPr>
            <w:tcW w:w="1134" w:type="dxa"/>
          </w:tcPr>
          <w:p w14:paraId="1C2C39EB" w14:textId="3A1FB613" w:rsidR="00C46CA9" w:rsidRPr="008E5B32" w:rsidRDefault="000A7714" w:rsidP="0026626E">
            <w:pPr>
              <w:rPr>
                <w:rFonts w:eastAsia="Cambria"/>
                <w:szCs w:val="18"/>
              </w:rPr>
            </w:pPr>
            <w:r w:rsidRPr="008E5B32">
              <w:rPr>
                <w:rFonts w:eastAsia="Cambria"/>
                <w:szCs w:val="18"/>
              </w:rPr>
              <w:t>Freely accessible</w:t>
            </w:r>
          </w:p>
        </w:tc>
        <w:tc>
          <w:tcPr>
            <w:tcW w:w="3240" w:type="dxa"/>
          </w:tcPr>
          <w:p w14:paraId="67B6B606" w14:textId="044D8526" w:rsidR="00C46CA9" w:rsidRPr="008E5B32" w:rsidRDefault="00C46CA9" w:rsidP="004C12A8">
            <w:pPr>
              <w:jc w:val="both"/>
              <w:rPr>
                <w:rFonts w:eastAsia="Cambria"/>
                <w:szCs w:val="18"/>
                <w:lang w:val="en-GB"/>
              </w:rPr>
            </w:pPr>
            <w:r w:rsidRPr="008E5B32">
              <w:rPr>
                <w:rFonts w:eastAsia="Cambria"/>
                <w:szCs w:val="18"/>
                <w:lang w:val="en-GB"/>
              </w:rPr>
              <w:t xml:space="preserve">The CEINT NanoInformatics Knowledge Commons (NIKC) </w:t>
            </w:r>
            <w:r w:rsidR="000A7714" w:rsidRPr="008E5B32">
              <w:rPr>
                <w:rFonts w:eastAsia="Cambria"/>
                <w:szCs w:val="18"/>
                <w:lang w:val="en-GB"/>
              </w:rPr>
              <w:t xml:space="preserve">platform </w:t>
            </w:r>
            <w:r w:rsidRPr="008E5B32">
              <w:rPr>
                <w:rFonts w:eastAsia="Cambria"/>
                <w:szCs w:val="18"/>
                <w:lang w:val="en-GB"/>
              </w:rPr>
              <w:t xml:space="preserve">consists of a data repository and associated analytical tools </w:t>
            </w:r>
            <w:r w:rsidR="000A7714" w:rsidRPr="008E5B32">
              <w:rPr>
                <w:rFonts w:eastAsia="Cambria"/>
                <w:szCs w:val="18"/>
                <w:lang w:val="en-GB"/>
              </w:rPr>
              <w:t>that allows visualizing and interrogating integrated datasets</w:t>
            </w:r>
            <w:r w:rsidRPr="008E5B32">
              <w:rPr>
                <w:rFonts w:eastAsia="Cambria"/>
                <w:szCs w:val="18"/>
                <w:lang w:val="en-GB"/>
              </w:rPr>
              <w:t>.</w:t>
            </w:r>
          </w:p>
        </w:tc>
      </w:tr>
      <w:tr w:rsidR="00BD55C9" w:rsidRPr="008E5B32" w14:paraId="3181217A" w14:textId="77777777" w:rsidTr="0026626E">
        <w:tc>
          <w:tcPr>
            <w:tcW w:w="1384" w:type="dxa"/>
          </w:tcPr>
          <w:p w14:paraId="4523EE9A" w14:textId="4BFA450B" w:rsidR="00BD55C9" w:rsidRPr="008E5B32" w:rsidRDefault="00BD55C9" w:rsidP="00BD55C9">
            <w:pPr>
              <w:rPr>
                <w:rFonts w:eastAsia="Cambria"/>
                <w:szCs w:val="18"/>
              </w:rPr>
            </w:pPr>
            <w:r w:rsidRPr="008E5B32">
              <w:rPr>
                <w:rFonts w:eastAsia="Cambria"/>
                <w:szCs w:val="18"/>
              </w:rPr>
              <w:t>DaNa</w:t>
            </w:r>
          </w:p>
        </w:tc>
        <w:tc>
          <w:tcPr>
            <w:tcW w:w="2727" w:type="dxa"/>
          </w:tcPr>
          <w:p w14:paraId="0E8567D5" w14:textId="7F12B870" w:rsidR="00BD55C9" w:rsidRPr="008E5B32" w:rsidRDefault="00BD55C9" w:rsidP="00BD55C9">
            <w:pPr>
              <w:rPr>
                <w:rFonts w:eastAsia="Cambria"/>
                <w:szCs w:val="18"/>
              </w:rPr>
            </w:pPr>
            <w:r w:rsidRPr="008E5B32">
              <w:rPr>
                <w:rFonts w:eastAsia="Cambria"/>
                <w:szCs w:val="18"/>
              </w:rPr>
              <w:t>https://www.nanopartikel.info/en/</w:t>
            </w:r>
          </w:p>
        </w:tc>
        <w:tc>
          <w:tcPr>
            <w:tcW w:w="1134" w:type="dxa"/>
          </w:tcPr>
          <w:p w14:paraId="2EED20B6" w14:textId="609AF212" w:rsidR="00BD55C9" w:rsidRPr="008E5B32" w:rsidRDefault="00BD55C9" w:rsidP="00BD55C9">
            <w:pPr>
              <w:rPr>
                <w:rFonts w:eastAsia="Cambria"/>
                <w:szCs w:val="18"/>
              </w:rPr>
            </w:pPr>
            <w:r w:rsidRPr="008E5B32">
              <w:rPr>
                <w:rFonts w:eastAsia="Cambria"/>
                <w:szCs w:val="18"/>
              </w:rPr>
              <w:t>Freely accessible</w:t>
            </w:r>
          </w:p>
        </w:tc>
        <w:tc>
          <w:tcPr>
            <w:tcW w:w="3240" w:type="dxa"/>
          </w:tcPr>
          <w:p w14:paraId="5A0CA0C9" w14:textId="5FDD7448" w:rsidR="00BD55C9" w:rsidRPr="008E5B32" w:rsidRDefault="00BD55C9" w:rsidP="00BD55C9">
            <w:pPr>
              <w:jc w:val="both"/>
              <w:rPr>
                <w:rFonts w:eastAsia="Cambria"/>
                <w:szCs w:val="18"/>
                <w:lang w:val="en-US"/>
              </w:rPr>
            </w:pPr>
            <w:r w:rsidRPr="008E5B32">
              <w:rPr>
                <w:rFonts w:eastAsia="Cambria"/>
                <w:szCs w:val="18"/>
                <w:lang w:val="en-US"/>
              </w:rPr>
              <w:t>Contains information about products and applications with nanomaterials, including physicochemical properties and EHS information.</w:t>
            </w:r>
          </w:p>
        </w:tc>
      </w:tr>
      <w:tr w:rsidR="00BD55C9" w:rsidRPr="008E5B32" w14:paraId="58CBDE8D" w14:textId="77777777" w:rsidTr="0026626E">
        <w:tc>
          <w:tcPr>
            <w:tcW w:w="1384" w:type="dxa"/>
          </w:tcPr>
          <w:p w14:paraId="5694B274" w14:textId="7C644B27" w:rsidR="00BD55C9" w:rsidRPr="008E5B32" w:rsidRDefault="00BD55C9" w:rsidP="00BD55C9">
            <w:pPr>
              <w:rPr>
                <w:rFonts w:eastAsia="Cambria"/>
                <w:szCs w:val="18"/>
              </w:rPr>
            </w:pPr>
            <w:r w:rsidRPr="008E5B32">
              <w:rPr>
                <w:rFonts w:eastAsia="Cambria"/>
                <w:szCs w:val="18"/>
              </w:rPr>
              <w:t>Nanomaterial Registry</w:t>
            </w:r>
          </w:p>
        </w:tc>
        <w:tc>
          <w:tcPr>
            <w:tcW w:w="2727" w:type="dxa"/>
          </w:tcPr>
          <w:p w14:paraId="218F0274" w14:textId="29FB96F7" w:rsidR="00BD55C9" w:rsidRPr="008E5B32" w:rsidRDefault="00BD55C9" w:rsidP="00BD55C9">
            <w:pPr>
              <w:rPr>
                <w:rFonts w:eastAsia="Cambria"/>
                <w:szCs w:val="18"/>
              </w:rPr>
            </w:pPr>
            <w:r w:rsidRPr="008E5B32">
              <w:rPr>
                <w:rFonts w:eastAsia="Cambria"/>
                <w:szCs w:val="18"/>
              </w:rPr>
              <w:t>http://www.nanomaterialregistry.org/</w:t>
            </w:r>
          </w:p>
        </w:tc>
        <w:tc>
          <w:tcPr>
            <w:tcW w:w="1134" w:type="dxa"/>
          </w:tcPr>
          <w:p w14:paraId="065DEEB7" w14:textId="23CE98A9" w:rsidR="00BD55C9" w:rsidRPr="008E5B32" w:rsidRDefault="00BD55C9" w:rsidP="00BD55C9">
            <w:pPr>
              <w:rPr>
                <w:rFonts w:eastAsia="Cambria"/>
                <w:szCs w:val="18"/>
              </w:rPr>
            </w:pPr>
            <w:r w:rsidRPr="008E5B32">
              <w:rPr>
                <w:rFonts w:eastAsia="Cambria"/>
                <w:szCs w:val="18"/>
              </w:rPr>
              <w:t>Freely accessible</w:t>
            </w:r>
          </w:p>
        </w:tc>
        <w:tc>
          <w:tcPr>
            <w:tcW w:w="3240" w:type="dxa"/>
          </w:tcPr>
          <w:p w14:paraId="5C9B9C66" w14:textId="7895A809" w:rsidR="00BD55C9" w:rsidRPr="008E5B32" w:rsidRDefault="00BD55C9" w:rsidP="00BD55C9">
            <w:pPr>
              <w:jc w:val="both"/>
              <w:rPr>
                <w:rFonts w:eastAsia="Cambria"/>
                <w:szCs w:val="18"/>
                <w:lang w:val="en-GB"/>
              </w:rPr>
            </w:pPr>
            <w:r w:rsidRPr="008E5B32">
              <w:rPr>
                <w:rFonts w:eastAsia="Cambria"/>
                <w:szCs w:val="18"/>
                <w:lang w:val="en-GB"/>
              </w:rPr>
              <w:t>Contains data related to NMs characterization and biological environmental interactions</w:t>
            </w:r>
            <w:r w:rsidR="008E7A2A" w:rsidRPr="008E5B32">
              <w:rPr>
                <w:rFonts w:eastAsia="Cambria"/>
                <w:szCs w:val="18"/>
                <w:lang w:val="en-GB"/>
              </w:rPr>
              <w:t>.</w:t>
            </w:r>
          </w:p>
        </w:tc>
      </w:tr>
      <w:tr w:rsidR="00BD55C9" w:rsidRPr="008E5B32" w14:paraId="4583F9B1" w14:textId="77777777" w:rsidTr="0026626E">
        <w:tc>
          <w:tcPr>
            <w:tcW w:w="1384" w:type="dxa"/>
          </w:tcPr>
          <w:p w14:paraId="613AD33E" w14:textId="1A4E85FC" w:rsidR="00BD55C9" w:rsidRPr="008E5B32" w:rsidRDefault="00BD55C9" w:rsidP="00BD55C9">
            <w:pPr>
              <w:rPr>
                <w:rFonts w:eastAsia="Cambria"/>
                <w:szCs w:val="18"/>
              </w:rPr>
            </w:pPr>
            <w:r w:rsidRPr="008E5B32">
              <w:rPr>
                <w:rFonts w:eastAsia="Cambria"/>
                <w:szCs w:val="18"/>
              </w:rPr>
              <w:t>Nanoparticle Information Library</w:t>
            </w:r>
          </w:p>
        </w:tc>
        <w:tc>
          <w:tcPr>
            <w:tcW w:w="2727" w:type="dxa"/>
          </w:tcPr>
          <w:p w14:paraId="28C6D627" w14:textId="1245B4BD" w:rsidR="00BD55C9" w:rsidRPr="008E5B32" w:rsidRDefault="00BD55C9" w:rsidP="00BD55C9">
            <w:pPr>
              <w:rPr>
                <w:rFonts w:eastAsia="Cambria"/>
                <w:szCs w:val="18"/>
              </w:rPr>
            </w:pPr>
            <w:r w:rsidRPr="008E5B32">
              <w:rPr>
                <w:rFonts w:eastAsia="Cambria"/>
                <w:szCs w:val="18"/>
              </w:rPr>
              <w:t>http://nanoparticlelibrary.net/</w:t>
            </w:r>
          </w:p>
        </w:tc>
        <w:tc>
          <w:tcPr>
            <w:tcW w:w="1134" w:type="dxa"/>
          </w:tcPr>
          <w:p w14:paraId="6F126DD5" w14:textId="7E1F4E0D" w:rsidR="00BD55C9" w:rsidRPr="008E5B32" w:rsidRDefault="00BD55C9" w:rsidP="00BD55C9">
            <w:pPr>
              <w:rPr>
                <w:rFonts w:eastAsia="Cambria"/>
                <w:szCs w:val="18"/>
              </w:rPr>
            </w:pPr>
            <w:r w:rsidRPr="008E5B32">
              <w:rPr>
                <w:rFonts w:eastAsia="Cambria"/>
                <w:szCs w:val="18"/>
              </w:rPr>
              <w:t>Freely Accessible</w:t>
            </w:r>
          </w:p>
        </w:tc>
        <w:tc>
          <w:tcPr>
            <w:tcW w:w="3240" w:type="dxa"/>
          </w:tcPr>
          <w:p w14:paraId="310C7226" w14:textId="3CACA528" w:rsidR="00BD55C9" w:rsidRPr="008E5B32" w:rsidRDefault="00BD55C9" w:rsidP="00BD55C9">
            <w:pPr>
              <w:jc w:val="both"/>
              <w:rPr>
                <w:rFonts w:eastAsia="Cambria"/>
                <w:szCs w:val="18"/>
                <w:lang w:val="en-GB"/>
              </w:rPr>
            </w:pPr>
            <w:r w:rsidRPr="008E5B32">
              <w:rPr>
                <w:rFonts w:eastAsia="Cambria"/>
                <w:color w:val="auto"/>
                <w:szCs w:val="18"/>
                <w:lang w:val="en-GB"/>
              </w:rPr>
              <w:t>Data resource for NMs properties (including chemical composition, size, surface area and morphology) and nanoEHS information.</w:t>
            </w:r>
          </w:p>
        </w:tc>
      </w:tr>
    </w:tbl>
    <w:p w14:paraId="1A688DA6" w14:textId="3AB47D48" w:rsidR="00585571" w:rsidRPr="008E5B32" w:rsidRDefault="00585571" w:rsidP="00585571">
      <w:pPr>
        <w:rPr>
          <w:sz w:val="18"/>
          <w:szCs w:val="18"/>
          <w:lang w:val="en-GB"/>
        </w:rPr>
      </w:pPr>
      <w:r w:rsidRPr="008E5B32">
        <w:rPr>
          <w:sz w:val="18"/>
          <w:szCs w:val="18"/>
          <w:lang w:val="en-GB"/>
        </w:rPr>
        <w:t>* Web addresses were accessed in the summer of 2018;</w:t>
      </w:r>
      <w:r w:rsidR="00363E54" w:rsidRPr="008E5B32">
        <w:rPr>
          <w:sz w:val="18"/>
          <w:szCs w:val="18"/>
          <w:lang w:val="en-GB"/>
        </w:rPr>
        <w:t xml:space="preserve"> ** No registration needed for public available eNanoMapper and NANoREG data. Private access after registration for project specific data;</w:t>
      </w:r>
      <w:r w:rsidRPr="008E5B32">
        <w:rPr>
          <w:sz w:val="18"/>
          <w:szCs w:val="18"/>
          <w:lang w:val="en-GB"/>
        </w:rPr>
        <w:t xml:space="preserve"> *</w:t>
      </w:r>
      <w:r w:rsidR="00363E54" w:rsidRPr="008E5B32">
        <w:rPr>
          <w:sz w:val="18"/>
          <w:szCs w:val="18"/>
          <w:lang w:val="en-GB"/>
        </w:rPr>
        <w:t>*</w:t>
      </w:r>
      <w:r w:rsidRPr="008E5B32">
        <w:rPr>
          <w:sz w:val="18"/>
          <w:szCs w:val="18"/>
          <w:lang w:val="en-GB"/>
        </w:rPr>
        <w:t>* Data access is currently granted only to project partners, but the data will be made publicly available by the end of 2018.</w:t>
      </w:r>
    </w:p>
    <w:p w14:paraId="380ECCB5" w14:textId="53A18663" w:rsidR="009B2E86" w:rsidRPr="008E5B32" w:rsidRDefault="00736470" w:rsidP="00B16F14">
      <w:pPr>
        <w:rPr>
          <w:lang w:val="en-GB"/>
        </w:rPr>
      </w:pPr>
      <w:r w:rsidRPr="008E5B32">
        <w:rPr>
          <w:lang w:val="en-GB"/>
        </w:rPr>
        <w:t>Today these repositories contain a huge amount of data, but in most cases, there is need for substantial curation efforts as the data are often incomplete and their quality has not been properly verified.</w:t>
      </w:r>
      <w:r w:rsidR="00C60653" w:rsidRPr="008E5B32">
        <w:rPr>
          <w:lang w:val="en-GB"/>
        </w:rPr>
        <w:t xml:space="preserve"> </w:t>
      </w:r>
      <w:r w:rsidR="00C426EC" w:rsidRPr="008E5B32">
        <w:rPr>
          <w:lang w:val="en-GB"/>
        </w:rPr>
        <w:t xml:space="preserve">This is a critical issue as proper data curation is essential to ensure robust model predictions. The role of data curation in nanoinformatics was </w:t>
      </w:r>
      <w:r w:rsidR="00AD7085" w:rsidRPr="008E5B32">
        <w:rPr>
          <w:lang w:val="en-GB"/>
        </w:rPr>
        <w:t xml:space="preserve">comprehensively </w:t>
      </w:r>
      <w:r w:rsidR="00C426EC" w:rsidRPr="008E5B32">
        <w:rPr>
          <w:lang w:val="en-GB"/>
        </w:rPr>
        <w:t xml:space="preserve">studied </w:t>
      </w:r>
      <w:r w:rsidR="00AD7085" w:rsidRPr="008E5B32">
        <w:rPr>
          <w:lang w:val="en-GB"/>
        </w:rPr>
        <w:t xml:space="preserve">in the USA </w:t>
      </w:r>
      <w:r w:rsidR="00C426EC" w:rsidRPr="008E5B32">
        <w:rPr>
          <w:lang w:val="en-GB"/>
        </w:rPr>
        <w:t xml:space="preserve">as part of the Nanomaterial Data Curation Initiative (NDCI) </w:t>
      </w:r>
      <w:r w:rsidR="00C426EC" w:rsidRPr="008E5B32">
        <w:fldChar w:fldCharType="begin" w:fldLock="1"/>
      </w:r>
      <w:r w:rsidR="004C12A8" w:rsidRPr="008E5B32">
        <w:rPr>
          <w:lang w:val="en-GB"/>
        </w:rPr>
        <w:instrText>ADDIN CSL_CITATION {"citationItems":[{"id":"ITEM-1","itemData":{"DOI":"10.3762/bjnano.6.179","ISSN":"21904286","abstract":"The Nanomaterial Data Curation Initiative (NDCI), a project of the National Cancer Informatics Program Nanotechnology Working Group (NCIP NanoWG), explores the critical aspect of data curation within the development of informatics approaches to understanding nanomaterial behavior. Data repositories and tools for integrating and interrogating complex nanomaterial datasets are gaining widespread interest, with multiple projects now appearing in the US and the EU. Even in these early stages of development, a single common aspect shared across all nanoinformatics resources is that data must be curated into them. Through exploration of sub-topics related to all activities necessary to enable, execute, and improve the curation process, the NDCI will provide a substantive analysis of nanomaterial data curation itself, as well as a platform for multiple other important discussions to advance the field of nanoinformatics. This article outlines the NDCI project and lays the foundation for a series of papers on nanomaterial data curation. The NDCI purpose is to: 1) present and evaluate the current state of nanomaterial data curation across the field on multiple specific data curation topics, 2) propose ways to leverage and advance progress for both individual efforts and the nanomaterial data community as a whole, and 3) provide opportunities for similar publication series on the details of the interactive needs and workflows of data customers, data creators, and data analysts. Initial responses from stakeholder liaisons throughout the nanoinformatics community reveal a shared view that it will be critical to focus on integration of datasets with specific orientation toward the purposes for which the individual resources were created, as well as the purpose for integrating multiple resources. Early acknowledgement and undertaking of complex topics such as uncertainty, reproducibility, and interoperability is proposed as an important path to addressing key challenges within the nanomaterial community, such as reducing collateral negative impacts and decreasing the time from development to market for this new class of technologies.","author":[{"dropping-particle":"","family":"Hendren","given":"Christine Ogilvie","non-dropping-particle":"","parse-names":false,"suffix":""},{"dropping-particle":"","family":"Powers","given":"Christina M.","non-dropping-particle":"","parse-names":false,"suffix":""},{"dropping-particle":"","family":"Hoover","given":"Mark D.","non-dropping-particle":"","parse-names":false,"suffix":""},{"dropping-particle":"","family":"Harper","given":"Stacey L.","non-dropping-particle":"","parse-names":false,"suffix":""}],"container-title":"Beilstein Journal of Nanotechnology","id":"ITEM-1","issue":"1","issued":{"date-parts":[["2015"]]},"page":"1752-1762","title":"The Nanomaterial Data Curation Initiative: A collaborative approach to assessing, evaluating, and advancing the state of the field","type":"article-journal","volume":"6"},"uris":["http://www.mendeley.com/documents/?uuid=6a031c73-ebf2-4721-8383-a1a7155f3f0d"]}],"mendeley":{"formattedCitation":"&lt;sup&gt;70&lt;/sup&gt;","plainTextFormattedCitation":"70","previouslyFormattedCitation":"&lt;sup&gt;70&lt;/sup&gt;"},"properties":{"noteIndex":0},"schema":"https://github.com/citation-style-language/schema/raw/master/csl-citation.json"}</w:instrText>
      </w:r>
      <w:r w:rsidR="00C426EC" w:rsidRPr="008E5B32">
        <w:fldChar w:fldCharType="separate"/>
      </w:r>
      <w:r w:rsidR="005D1733" w:rsidRPr="008E5B32">
        <w:rPr>
          <w:noProof/>
          <w:vertAlign w:val="superscript"/>
          <w:lang w:val="en-GB"/>
        </w:rPr>
        <w:t>70</w:t>
      </w:r>
      <w:r w:rsidR="00C426EC" w:rsidRPr="008E5B32">
        <w:fldChar w:fldCharType="end"/>
      </w:r>
      <w:r w:rsidR="00C426EC" w:rsidRPr="008E5B32">
        <w:rPr>
          <w:lang w:val="en-GB"/>
        </w:rPr>
        <w:t>. This study resulted in a p</w:t>
      </w:r>
      <w:r w:rsidR="003D691B" w:rsidRPr="008E5B32">
        <w:rPr>
          <w:lang w:val="en-GB"/>
        </w:rPr>
        <w:t>ropos</w:t>
      </w:r>
      <w:r w:rsidR="00C426EC" w:rsidRPr="008E5B32">
        <w:rPr>
          <w:lang w:val="en-GB"/>
        </w:rPr>
        <w:t>al for</w:t>
      </w:r>
      <w:r w:rsidR="003D691B" w:rsidRPr="008E5B32">
        <w:rPr>
          <w:lang w:val="en-GB"/>
        </w:rPr>
        <w:t xml:space="preserve"> </w:t>
      </w:r>
      <w:r w:rsidR="00B16F14" w:rsidRPr="008E5B32">
        <w:rPr>
          <w:lang w:val="en-GB"/>
        </w:rPr>
        <w:t xml:space="preserve">a data curation </w:t>
      </w:r>
      <w:r w:rsidR="003D691B" w:rsidRPr="008E5B32">
        <w:rPr>
          <w:lang w:val="en-GB"/>
        </w:rPr>
        <w:t xml:space="preserve">workflow </w:t>
      </w:r>
      <w:r w:rsidR="00B16F14" w:rsidRPr="008E5B32">
        <w:fldChar w:fldCharType="begin" w:fldLock="1"/>
      </w:r>
      <w:r w:rsidR="004C12A8" w:rsidRPr="008E5B32">
        <w:rPr>
          <w:lang w:val="en-GB"/>
        </w:rPr>
        <w:instrText>ADDIN CSL_CITATION {"citationItems":[{"id":"ITEM-1","itemData":{"DOI":"10.3762/bjnano.6.189","ISBN":"2190-4286 (Electronic)\\r2190-4286 (Linking)","ISSN":"21904286","PMID":"26425437","abstract":"There is a critical opportunity in the field of nanoscience to compare and integrate information across diverse fields of study through informatics (i.e., nanoinformatics). This paper is one in a series of articles on the data curation process in nanoinformatics (nanocuration). Other articles in this series discuss key aspects of nanocuration (temporal metadata, data completeness, database integration), while the focus of this article is on the nanocuration workflow, or the process of identifying, inputting, and reviewing nanomaterial data in a data repository. In particular, the article discusses: 1) the rationale and importance of a defined workflow in nanocuration, 2) the influence of organizational goals or purpose on the workflow, 3) established workflow practices in other fields, 4) current workflow practices in nanocuration, 5) key challenges for workflows in emerging fields like nanomaterials, 6) examples to make these challenges more tangible, and 7) recommendations to address the identified challenges. Throughout the article, there is an emphasis on illustrating key concepts and current practices in the field. Data on current practices in the field are from a group of stakeholders active in nanocuration. In general, the development of workflows for nanocuration is nascent, with few individuals formally trained in data curation or utilizing available nanocuration resources (e.g., ISA-TAB-Nano). Additional emphasis on the potential benefits of cultivating nanomaterial data via nanocuration processes (e.g., capability to analyze data from across research groups) and providing nanocuration resources (e.g., training) will likely prove crucial for the wider application of nanocuration workflows in the scientific community.","author":[{"dropping-particle":"","family":"Powers","given":"Christina M.","non-dropping-particle":"","parse-names":false,"suffix":""},{"dropping-particle":"","family":"Mills","given":"Karmann A.","non-dropping-particle":"","parse-names":false,"suffix":""},{"dropping-particle":"","family":"Morris","given":"Stephanie A.","non-dropping-particle":"","parse-names":false,"suffix":""},{"dropping-particle":"","family":"Klaessig","given":"Fred","non-dropping-particle":"","parse-names":false,"suffix":""},{"dropping-particle":"","family":"Gaheen","given":"Sharon","non-dropping-particle":"","parse-names":false,"suffix":""},{"dropping-particle":"","family":"Lewinski","given":"Nastassja","non-dropping-particle":"","parse-names":false,"suffix":""},{"dropping-particle":"","family":"Hendren","given":"Christine Ogilvie","non-dropping-particle":"","parse-names":false,"suffix":""}],"container-title":"Beilstein Journal of Nanotechnology","id":"ITEM-1","issue":"1","issued":{"date-parts":[["2015"]]},"page":"1860-1871","title":"Nanocuration workflows: Establishing best practices for identifying, inputting, and sharing data to inform decisions on nanomaterials","type":"article-journal","volume":"6"},"uris":["http://www.mendeley.com/documents/?uuid=804a616b-72e4-4fb6-85fb-40aade24dbc0"]}],"mendeley":{"formattedCitation":"&lt;sup&gt;71&lt;/sup&gt;","plainTextFormattedCitation":"71","previouslyFormattedCitation":"&lt;sup&gt;71&lt;/sup&gt;"},"properties":{"noteIndex":0},"schema":"https://github.com/citation-style-language/schema/raw/master/csl-citation.json"}</w:instrText>
      </w:r>
      <w:r w:rsidR="00B16F14" w:rsidRPr="008E5B32">
        <w:fldChar w:fldCharType="separate"/>
      </w:r>
      <w:r w:rsidR="005D1733" w:rsidRPr="008E5B32">
        <w:rPr>
          <w:noProof/>
          <w:vertAlign w:val="superscript"/>
          <w:lang w:val="en-GB"/>
        </w:rPr>
        <w:t>71</w:t>
      </w:r>
      <w:r w:rsidR="00B16F14" w:rsidRPr="008E5B32">
        <w:fldChar w:fldCharType="end"/>
      </w:r>
      <w:r w:rsidR="00B16F14" w:rsidRPr="008E5B32">
        <w:rPr>
          <w:lang w:val="en-GB"/>
        </w:rPr>
        <w:t xml:space="preserve"> </w:t>
      </w:r>
      <w:r w:rsidR="00C426EC" w:rsidRPr="008E5B32">
        <w:rPr>
          <w:lang w:val="en-GB"/>
        </w:rPr>
        <w:t>that consists</w:t>
      </w:r>
      <w:r w:rsidR="003D691B" w:rsidRPr="008E5B32">
        <w:rPr>
          <w:lang w:val="en-GB"/>
        </w:rPr>
        <w:t xml:space="preserve"> of</w:t>
      </w:r>
      <w:r w:rsidR="00332515" w:rsidRPr="008E5B32">
        <w:rPr>
          <w:lang w:val="en-GB"/>
        </w:rPr>
        <w:t>:</w:t>
      </w:r>
      <w:r w:rsidR="003D691B" w:rsidRPr="008E5B32">
        <w:rPr>
          <w:lang w:val="en-GB"/>
        </w:rPr>
        <w:t xml:space="preserve"> </w:t>
      </w:r>
      <w:r w:rsidR="00B16F14" w:rsidRPr="008E5B32">
        <w:rPr>
          <w:lang w:val="en-GB"/>
        </w:rPr>
        <w:t>(</w:t>
      </w:r>
      <w:r w:rsidR="00AC0D77" w:rsidRPr="008E5B32">
        <w:rPr>
          <w:lang w:val="en-GB"/>
        </w:rPr>
        <w:t>i</w:t>
      </w:r>
      <w:r w:rsidR="00B16F14" w:rsidRPr="008E5B32">
        <w:rPr>
          <w:lang w:val="en-GB"/>
        </w:rPr>
        <w:t>) assess</w:t>
      </w:r>
      <w:r w:rsidR="00C426EC" w:rsidRPr="008E5B32">
        <w:rPr>
          <w:lang w:val="en-GB"/>
        </w:rPr>
        <w:t>ing the</w:t>
      </w:r>
      <w:r w:rsidR="006A26BD" w:rsidRPr="008E5B32">
        <w:rPr>
          <w:lang w:val="en-GB"/>
        </w:rPr>
        <w:t xml:space="preserve"> </w:t>
      </w:r>
      <w:r w:rsidR="00B16F14" w:rsidRPr="008E5B32">
        <w:rPr>
          <w:lang w:val="en-GB"/>
        </w:rPr>
        <w:t xml:space="preserve">quality and completeness of </w:t>
      </w:r>
      <w:r w:rsidR="00C426EC" w:rsidRPr="008E5B32">
        <w:rPr>
          <w:lang w:val="en-GB"/>
        </w:rPr>
        <w:t xml:space="preserve">the </w:t>
      </w:r>
      <w:r w:rsidR="00B16F14" w:rsidRPr="008E5B32">
        <w:rPr>
          <w:lang w:val="en-GB"/>
        </w:rPr>
        <w:t>selected data, (</w:t>
      </w:r>
      <w:r w:rsidR="00AC0D77" w:rsidRPr="008E5B32">
        <w:rPr>
          <w:lang w:val="en-GB"/>
        </w:rPr>
        <w:t>ii</w:t>
      </w:r>
      <w:r w:rsidR="00B16F14" w:rsidRPr="008E5B32">
        <w:rPr>
          <w:lang w:val="en-GB"/>
        </w:rPr>
        <w:t>) extract</w:t>
      </w:r>
      <w:r w:rsidR="00C426EC" w:rsidRPr="008E5B32">
        <w:rPr>
          <w:lang w:val="en-GB"/>
        </w:rPr>
        <w:t>ing</w:t>
      </w:r>
      <w:r w:rsidR="00B16F14" w:rsidRPr="008E5B32">
        <w:rPr>
          <w:lang w:val="en-GB"/>
        </w:rPr>
        <w:t xml:space="preserve"> and </w:t>
      </w:r>
      <w:r w:rsidR="00C426EC" w:rsidRPr="008E5B32">
        <w:rPr>
          <w:lang w:val="en-GB"/>
        </w:rPr>
        <w:t xml:space="preserve">annotating the </w:t>
      </w:r>
      <w:r w:rsidR="00B16F14" w:rsidRPr="008E5B32">
        <w:rPr>
          <w:lang w:val="en-GB"/>
        </w:rPr>
        <w:t>data, (</w:t>
      </w:r>
      <w:r w:rsidR="00AC0D77" w:rsidRPr="008E5B32">
        <w:rPr>
          <w:lang w:val="en-GB"/>
        </w:rPr>
        <w:t>iii</w:t>
      </w:r>
      <w:r w:rsidR="00B16F14" w:rsidRPr="008E5B32">
        <w:rPr>
          <w:lang w:val="en-GB"/>
        </w:rPr>
        <w:t>) contact</w:t>
      </w:r>
      <w:r w:rsidR="00C426EC" w:rsidRPr="008E5B32">
        <w:rPr>
          <w:lang w:val="en-GB"/>
        </w:rPr>
        <w:t>ing</w:t>
      </w:r>
      <w:r w:rsidR="00B16F14" w:rsidRPr="008E5B32">
        <w:rPr>
          <w:lang w:val="en-GB"/>
        </w:rPr>
        <w:t xml:space="preserve"> authors</w:t>
      </w:r>
      <w:r w:rsidR="00C426EC" w:rsidRPr="008E5B32">
        <w:rPr>
          <w:lang w:val="en-GB"/>
        </w:rPr>
        <w:t xml:space="preserve"> </w:t>
      </w:r>
      <w:r w:rsidR="00B16F14" w:rsidRPr="008E5B32">
        <w:rPr>
          <w:lang w:val="en-GB"/>
        </w:rPr>
        <w:t>for any missing data, (</w:t>
      </w:r>
      <w:r w:rsidR="00AC0D77" w:rsidRPr="008E5B32">
        <w:rPr>
          <w:lang w:val="en-GB"/>
        </w:rPr>
        <w:t>iv</w:t>
      </w:r>
      <w:r w:rsidR="00B16F14" w:rsidRPr="008E5B32">
        <w:rPr>
          <w:lang w:val="en-GB"/>
        </w:rPr>
        <w:t xml:space="preserve">) </w:t>
      </w:r>
      <w:r w:rsidR="00C426EC" w:rsidRPr="008E5B32">
        <w:rPr>
          <w:lang w:val="en-GB"/>
        </w:rPr>
        <w:t>formatting</w:t>
      </w:r>
      <w:r w:rsidR="00B16F14" w:rsidRPr="008E5B32">
        <w:rPr>
          <w:lang w:val="en-GB"/>
        </w:rPr>
        <w:t xml:space="preserve"> </w:t>
      </w:r>
      <w:r w:rsidR="00C426EC" w:rsidRPr="008E5B32">
        <w:rPr>
          <w:lang w:val="en-GB"/>
        </w:rPr>
        <w:t xml:space="preserve">the </w:t>
      </w:r>
      <w:r w:rsidR="00B16F14" w:rsidRPr="008E5B32">
        <w:rPr>
          <w:lang w:val="en-GB"/>
        </w:rPr>
        <w:t xml:space="preserve">data </w:t>
      </w:r>
      <w:r w:rsidR="00C426EC" w:rsidRPr="008E5B32">
        <w:rPr>
          <w:lang w:val="en-GB"/>
        </w:rPr>
        <w:t>for</w:t>
      </w:r>
      <w:r w:rsidR="00B16F14" w:rsidRPr="008E5B32">
        <w:rPr>
          <w:lang w:val="en-GB"/>
        </w:rPr>
        <w:t xml:space="preserve"> </w:t>
      </w:r>
      <w:r w:rsidR="009B2E86" w:rsidRPr="008E5B32">
        <w:rPr>
          <w:lang w:val="en-GB"/>
        </w:rPr>
        <w:t>inclusion</w:t>
      </w:r>
      <w:r w:rsidR="00B16F14" w:rsidRPr="008E5B32">
        <w:rPr>
          <w:lang w:val="en-GB"/>
        </w:rPr>
        <w:t xml:space="preserve"> into </w:t>
      </w:r>
      <w:r w:rsidR="00C426EC" w:rsidRPr="008E5B32">
        <w:rPr>
          <w:lang w:val="en-GB"/>
        </w:rPr>
        <w:t xml:space="preserve">the </w:t>
      </w:r>
      <w:r w:rsidR="00B16F14" w:rsidRPr="008E5B32">
        <w:rPr>
          <w:lang w:val="en-GB"/>
        </w:rPr>
        <w:t>databases, (</w:t>
      </w:r>
      <w:r w:rsidR="00AC0D77" w:rsidRPr="008E5B32">
        <w:rPr>
          <w:lang w:val="en-GB"/>
        </w:rPr>
        <w:t>v</w:t>
      </w:r>
      <w:r w:rsidR="00B16F14" w:rsidRPr="008E5B32">
        <w:rPr>
          <w:lang w:val="en-GB"/>
        </w:rPr>
        <w:t>) review</w:t>
      </w:r>
      <w:r w:rsidR="00C426EC" w:rsidRPr="008E5B32">
        <w:rPr>
          <w:lang w:val="en-GB"/>
        </w:rPr>
        <w:t>ing the</w:t>
      </w:r>
      <w:r w:rsidR="00B16F14" w:rsidRPr="008E5B32">
        <w:rPr>
          <w:lang w:val="en-GB"/>
        </w:rPr>
        <w:t xml:space="preserve"> data, (</w:t>
      </w:r>
      <w:r w:rsidR="00AC0D77" w:rsidRPr="008E5B32">
        <w:rPr>
          <w:lang w:val="en-GB"/>
        </w:rPr>
        <w:t>vi</w:t>
      </w:r>
      <w:r w:rsidR="00B16F14" w:rsidRPr="008E5B32">
        <w:rPr>
          <w:lang w:val="en-GB"/>
        </w:rPr>
        <w:t xml:space="preserve">) </w:t>
      </w:r>
      <w:r w:rsidR="00C426EC" w:rsidRPr="008E5B32">
        <w:rPr>
          <w:lang w:val="en-GB"/>
        </w:rPr>
        <w:t xml:space="preserve">releasing the </w:t>
      </w:r>
      <w:r w:rsidR="00B16F14" w:rsidRPr="008E5B32">
        <w:rPr>
          <w:lang w:val="en-GB"/>
        </w:rPr>
        <w:t xml:space="preserve">curated data to target </w:t>
      </w:r>
      <w:r w:rsidR="00C426EC" w:rsidRPr="008E5B32">
        <w:rPr>
          <w:lang w:val="en-GB"/>
        </w:rPr>
        <w:t>communities</w:t>
      </w:r>
      <w:r w:rsidR="00B16F14" w:rsidRPr="008E5B32">
        <w:rPr>
          <w:lang w:val="en-GB"/>
        </w:rPr>
        <w:t>, and (</w:t>
      </w:r>
      <w:r w:rsidR="00AC0D77" w:rsidRPr="008E5B32">
        <w:rPr>
          <w:lang w:val="en-GB"/>
        </w:rPr>
        <w:t>vii</w:t>
      </w:r>
      <w:r w:rsidR="00B16F14" w:rsidRPr="008E5B32">
        <w:rPr>
          <w:lang w:val="en-GB"/>
        </w:rPr>
        <w:t xml:space="preserve">) </w:t>
      </w:r>
      <w:r w:rsidR="00C426EC" w:rsidRPr="008E5B32">
        <w:rPr>
          <w:lang w:val="en-GB"/>
        </w:rPr>
        <w:t xml:space="preserve">updating </w:t>
      </w:r>
      <w:r w:rsidR="009B2E86" w:rsidRPr="008E5B32">
        <w:rPr>
          <w:lang w:val="en-GB"/>
        </w:rPr>
        <w:t>the</w:t>
      </w:r>
      <w:r w:rsidR="00C426EC" w:rsidRPr="008E5B32">
        <w:rPr>
          <w:lang w:val="en-GB"/>
        </w:rPr>
        <w:t xml:space="preserve"> </w:t>
      </w:r>
      <w:r w:rsidR="00B16F14" w:rsidRPr="008E5B32">
        <w:rPr>
          <w:lang w:val="en-GB"/>
        </w:rPr>
        <w:t xml:space="preserve">curated data as </w:t>
      </w:r>
      <w:r w:rsidR="009B2E86" w:rsidRPr="008E5B32">
        <w:rPr>
          <w:lang w:val="en-GB"/>
        </w:rPr>
        <w:t xml:space="preserve">new </w:t>
      </w:r>
      <w:r w:rsidR="00B16F14" w:rsidRPr="008E5B32">
        <w:rPr>
          <w:lang w:val="en-GB"/>
        </w:rPr>
        <w:t xml:space="preserve">information is provided by </w:t>
      </w:r>
      <w:r w:rsidR="009B2E86" w:rsidRPr="008E5B32">
        <w:rPr>
          <w:lang w:val="en-GB"/>
        </w:rPr>
        <w:t xml:space="preserve">the </w:t>
      </w:r>
      <w:r w:rsidR="00B16F14" w:rsidRPr="008E5B32">
        <w:rPr>
          <w:lang w:val="en-GB"/>
        </w:rPr>
        <w:t>authors.</w:t>
      </w:r>
      <w:r w:rsidR="006A26BD" w:rsidRPr="008E5B32">
        <w:rPr>
          <w:lang w:val="en-GB"/>
        </w:rPr>
        <w:t xml:space="preserve"> </w:t>
      </w:r>
    </w:p>
    <w:p w14:paraId="2AD00676" w14:textId="59691C88" w:rsidR="00B16F14" w:rsidRPr="008E5B32" w:rsidRDefault="00B16F14" w:rsidP="00B16F14">
      <w:pPr>
        <w:rPr>
          <w:lang w:val="en-GB"/>
        </w:rPr>
      </w:pPr>
      <w:r w:rsidRPr="008E5B32">
        <w:rPr>
          <w:lang w:val="en-GB"/>
        </w:rPr>
        <w:t xml:space="preserve">Within the same initiative, the question </w:t>
      </w:r>
      <w:r w:rsidR="003D691B" w:rsidRPr="008E5B32">
        <w:rPr>
          <w:lang w:val="en-GB"/>
        </w:rPr>
        <w:t xml:space="preserve">of </w:t>
      </w:r>
      <w:r w:rsidRPr="008E5B32">
        <w:rPr>
          <w:lang w:val="en-GB"/>
        </w:rPr>
        <w:t xml:space="preserve">how </w:t>
      </w:r>
      <w:r w:rsidR="003D691B" w:rsidRPr="008E5B32">
        <w:rPr>
          <w:lang w:val="en-GB"/>
        </w:rPr>
        <w:t xml:space="preserve">to </w:t>
      </w:r>
      <w:r w:rsidRPr="008E5B32">
        <w:rPr>
          <w:lang w:val="en-GB"/>
        </w:rPr>
        <w:t xml:space="preserve">evaluate and score the degree of completeness and quality of curated NM data was addressed by reviewing existing approaches and </w:t>
      </w:r>
      <w:r w:rsidR="003D691B" w:rsidRPr="008E5B32">
        <w:rPr>
          <w:lang w:val="en-GB"/>
        </w:rPr>
        <w:t xml:space="preserve">proposing </w:t>
      </w:r>
      <w:r w:rsidRPr="008E5B32">
        <w:rPr>
          <w:lang w:val="en-GB"/>
        </w:rPr>
        <w:t xml:space="preserve">guidelines </w:t>
      </w:r>
      <w:r w:rsidRPr="008E5B32">
        <w:fldChar w:fldCharType="begin" w:fldLock="1"/>
      </w:r>
      <w:r w:rsidR="004C12A8" w:rsidRPr="008E5B32">
        <w:rPr>
          <w:lang w:val="en-GB"/>
        </w:rPr>
        <w:instrText>ADDIN CSL_CITATION {"citationItems":[{"id":"ITEM-1","itemData":{"DOI":"10.1039/C5NR08944A","ISBN":"8620871129","ISSN":"2040-3364","PMID":"26584204","abstract":"&lt;p&gt;The challenge of evaluating the completeness and quality of (curated) nanomaterial data is addressed.&lt;/p&gt;","author":[{"dropping-particle":"","family":"Marchese Robinson","given":"Richard L.","non-dropping-particle":"","parse-names":false,"suffix":""},{"dropping-particle":"","family":"Lynch","given":"Iseult","non-dropping-particle":"","parse-names":false,"suffix":""},{"dropping-particle":"","family":"Peijnenburg","given":"Willie","non-dropping-particle":"","parse-names":false,"suffix":""},{"dropping-particle":"","family":"Rumble","given":"John","non-dropping-particle":"","parse-names":false,"suffix":""},{"dropping-particle":"","family":"Klaessig","given":"Fred","non-dropping-particle":"","parse-names":false,"suffix":""},{"dropping-particle":"","family":"Marquardt","given":"Clarissa","non-dropping-particle":"","parse-names":false,"suffix":""},{"dropping-particle":"","family":"Rauscher","given":"Hubert","non-dropping-particle":"","parse-names":false,"suffix":""},{"dropping-particle":"","family":"Puzyn","given":"Tomasz","non-dropping-particle":"","parse-names":false,"suffix":""},{"dropping-particle":"","family":"Purian","given":"Ronit","non-dropping-particle":"","parse-names":false,"suffix":""},{"dropping-particle":"","family":"Åberg","given":"Christoffer","non-dropping-particle":"","parse-names":false,"suffix":""},{"dropping-particle":"","family":"Karcher","given":"Sandra","non-dropping-particle":"","parse-names":false,"suffix":""},{"dropping-particle":"","family":"Vriens","given":"Hanne","non-dropping-particle":"","parse-names":false,"suffix":""},{"dropping-particle":"","family":"Hoet","given":"Peter","non-dropping-particle":"","parse-names":false,"suffix":""},{"dropping-particle":"","family":"Hoover","given":"Mark D.","non-dropping-particle":"","parse-names":false,"suffix":""},{"dropping-particle":"","family":"Hendren","given":"Christine Ogilvie","non-dropping-particle":"","parse-names":false,"suffix":""},{"dropping-particle":"","family":"Harper","given":"Stacey L.","non-dropping-particle":"","parse-names":false,"suffix":""}],"container-title":"Nanoscale","id":"ITEM-1","issue":"19","issued":{"date-parts":[["2016"]]},"page":"9919-9943","title":"How should the completeness and quality of curated nanomaterial data be evaluated?","type":"article-journal","volume":"8"},"uris":["http://www.mendeley.com/documents/?uuid=75014911-2b52-409d-9318-57da0fddc23e"]}],"mendeley":{"formattedCitation":"&lt;sup&gt;72&lt;/sup&gt;","plainTextFormattedCitation":"72","previouslyFormattedCitation":"&lt;sup&gt;72&lt;/sup&gt;"},"properties":{"noteIndex":0},"schema":"https://github.com/citation-style-language/schema/raw/master/csl-citation.json"}</w:instrText>
      </w:r>
      <w:r w:rsidRPr="008E5B32">
        <w:fldChar w:fldCharType="separate"/>
      </w:r>
      <w:r w:rsidR="005D1733" w:rsidRPr="008E5B32">
        <w:rPr>
          <w:noProof/>
          <w:vertAlign w:val="superscript"/>
          <w:lang w:val="en-GB"/>
        </w:rPr>
        <w:t>72</w:t>
      </w:r>
      <w:r w:rsidRPr="008E5B32">
        <w:fldChar w:fldCharType="end"/>
      </w:r>
      <w:r w:rsidRPr="008E5B32">
        <w:rPr>
          <w:lang w:val="en-GB"/>
        </w:rPr>
        <w:t xml:space="preserve">. </w:t>
      </w:r>
      <w:r w:rsidR="00D664BC" w:rsidRPr="008E5B32">
        <w:rPr>
          <w:lang w:val="en-GB"/>
        </w:rPr>
        <w:t>“</w:t>
      </w:r>
      <w:r w:rsidRPr="008E5B32">
        <w:rPr>
          <w:lang w:val="en-GB"/>
        </w:rPr>
        <w:t>Data completeness</w:t>
      </w:r>
      <w:r w:rsidR="00D664BC" w:rsidRPr="008E5B32">
        <w:rPr>
          <w:lang w:val="en-GB"/>
        </w:rPr>
        <w:t>”</w:t>
      </w:r>
      <w:r w:rsidRPr="008E5B32">
        <w:rPr>
          <w:lang w:val="en-GB"/>
        </w:rPr>
        <w:t xml:space="preserve"> was defined as the measure of the extent to which data and metadata addressing a specific need are available, </w:t>
      </w:r>
      <w:r w:rsidR="00AD7085" w:rsidRPr="008E5B32">
        <w:rPr>
          <w:lang w:val="en-GB"/>
        </w:rPr>
        <w:t xml:space="preserve">while </w:t>
      </w:r>
      <w:r w:rsidR="00D664BC" w:rsidRPr="008E5B32">
        <w:rPr>
          <w:lang w:val="en-GB"/>
        </w:rPr>
        <w:t>“</w:t>
      </w:r>
      <w:r w:rsidRPr="008E5B32">
        <w:rPr>
          <w:lang w:val="en-GB"/>
        </w:rPr>
        <w:t>data quality</w:t>
      </w:r>
      <w:r w:rsidR="00D664BC" w:rsidRPr="008E5B32">
        <w:rPr>
          <w:lang w:val="en-GB"/>
        </w:rPr>
        <w:t>”</w:t>
      </w:r>
      <w:r w:rsidRPr="008E5B32">
        <w:rPr>
          <w:i/>
          <w:lang w:val="en-GB"/>
        </w:rPr>
        <w:t xml:space="preserve"> </w:t>
      </w:r>
      <w:r w:rsidR="00D664BC" w:rsidRPr="008E5B32">
        <w:rPr>
          <w:lang w:val="en-GB"/>
        </w:rPr>
        <w:t>is</w:t>
      </w:r>
      <w:r w:rsidRPr="008E5B32">
        <w:rPr>
          <w:lang w:val="en-GB"/>
        </w:rPr>
        <w:t xml:space="preserve"> the measure of the degree to which a single datum or finding is clear and can be considered correct. </w:t>
      </w:r>
      <w:r w:rsidR="00AD7085" w:rsidRPr="008E5B32">
        <w:rPr>
          <w:lang w:val="en-GB"/>
        </w:rPr>
        <w:t xml:space="preserve">The NDCI </w:t>
      </w:r>
      <w:r w:rsidRPr="008E5B32">
        <w:rPr>
          <w:lang w:val="en-GB"/>
        </w:rPr>
        <w:t>also highlighted the importance of metadata in allowing the assessment of uniqueness and equivalence of data derived from different sources and different studies, thus making data integration for subsequent modelling</w:t>
      </w:r>
      <w:r w:rsidR="003D691B" w:rsidRPr="008E5B32">
        <w:rPr>
          <w:lang w:val="en-GB"/>
        </w:rPr>
        <w:t xml:space="preserve"> possible</w:t>
      </w:r>
      <w:r w:rsidRPr="008E5B32">
        <w:rPr>
          <w:lang w:val="en-GB"/>
        </w:rPr>
        <w:t xml:space="preserve">. This is an important </w:t>
      </w:r>
      <w:r w:rsidR="003D691B" w:rsidRPr="008E5B32">
        <w:rPr>
          <w:lang w:val="en-GB"/>
        </w:rPr>
        <w:t>point as</w:t>
      </w:r>
      <w:r w:rsidRPr="008E5B32">
        <w:rPr>
          <w:lang w:val="en-GB"/>
        </w:rPr>
        <w:t xml:space="preserve"> while a single </w:t>
      </w:r>
      <w:r w:rsidR="00AD7085" w:rsidRPr="008E5B32">
        <w:rPr>
          <w:lang w:val="en-GB"/>
        </w:rPr>
        <w:t>datum</w:t>
      </w:r>
      <w:r w:rsidRPr="008E5B32">
        <w:rPr>
          <w:lang w:val="en-GB"/>
        </w:rPr>
        <w:t xml:space="preserve"> can be considered of insufficient quality for certain purpose, it can become useful if combined with other (</w:t>
      </w:r>
      <w:r w:rsidR="00FC24AF" w:rsidRPr="008E5B32">
        <w:rPr>
          <w:lang w:val="en-GB"/>
        </w:rPr>
        <w:t xml:space="preserve">e.g. </w:t>
      </w:r>
      <w:r w:rsidRPr="008E5B32">
        <w:rPr>
          <w:lang w:val="en-GB"/>
        </w:rPr>
        <w:t>more reliable) data.</w:t>
      </w:r>
    </w:p>
    <w:p w14:paraId="09949405" w14:textId="2914731E" w:rsidR="00240FD2" w:rsidRPr="008E5B32" w:rsidRDefault="00240FD2" w:rsidP="00240FD2">
      <w:pPr>
        <w:rPr>
          <w:lang w:val="en-GB"/>
        </w:rPr>
      </w:pPr>
      <w:r w:rsidRPr="008E5B32">
        <w:rPr>
          <w:lang w:val="en-GB"/>
        </w:rPr>
        <w:t xml:space="preserve">Due to the heterogeneity of methods and </w:t>
      </w:r>
      <w:r w:rsidR="003846DD" w:rsidRPr="008E5B32">
        <w:rPr>
          <w:lang w:val="en-GB"/>
        </w:rPr>
        <w:t xml:space="preserve">the paucity of standard operating procedures (SOPs) available </w:t>
      </w:r>
      <w:r w:rsidRPr="008E5B32">
        <w:rPr>
          <w:lang w:val="en-GB"/>
        </w:rPr>
        <w:t xml:space="preserve">to derive related (eco)toxicological data, standard specifications to represent and share data are </w:t>
      </w:r>
      <w:r w:rsidR="00AD7085" w:rsidRPr="008E5B32">
        <w:rPr>
          <w:lang w:val="en-GB"/>
        </w:rPr>
        <w:t>needed</w:t>
      </w:r>
      <w:r w:rsidRPr="008E5B32">
        <w:rPr>
          <w:lang w:val="en-GB"/>
        </w:rPr>
        <w:t xml:space="preserve">: ISA-TAB-NANO is the most popular specification aimed at reaching this goal </w:t>
      </w:r>
      <w:r w:rsidRPr="008E5B32">
        <w:fldChar w:fldCharType="begin" w:fldLock="1"/>
      </w:r>
      <w:r w:rsidR="004C12A8" w:rsidRPr="008E5B32">
        <w:rPr>
          <w:lang w:val="en-GB"/>
        </w:rPr>
        <w:instrText>ADDIN CSL_CITATION {"citationItems":[{"id":"ITEM-1","itemData":{"DOI":"10.1186/1472-6750-13-2","ISBN":"1472-6750","ISSN":"1472-6750","PMID":"23311978","abstract":"BACKGROUND AND MOTIVATION: The high-throughput genomics communities have been successfully using standardized spreadsheet-based formats to capture and share data within labs and among public repositories. The nanomedicine community has yet to adopt similar standards to share the diverse and multi-dimensional types of data (including metadata) pertaining to the description and characterization of nanomaterials. Owing to the lack of standardization in representing and sharing nanomaterial data, most of the data currently shared via publications and data resources are incomplete, poorly-integrated, and not suitable for meaningful interpretation and re-use of the data. Specifically, in its current state, data cannot be effectively utilized for the development of predictive models that will inform the rational design of nanomaterials. RESULTS: We have developed a specification called ISA-TAB-Nano, which comprises four spreadsheet-based file formats for representing and integrating various types of nanomaterial data. Three file formats (Investigation, Study, and Assay files) have been adapted from the established ISA-TAB specification; while the Material file format was developed de novo to more readily describe the complexity of nanomaterials and associated small molecules. In this paper, we have discussed the main features of each file format and how to use them for sharing nanomaterial descriptions and assay metadata. CONCLUSION: The ISA-TAB-Nano file formats provide a general and flexible framework to record and integrate nanomaterial descriptions, assay data (metadata and endpoint measurements) and protocol information. Like ISA-TAB, ISA-TAB-Nano supports the use of ontology terms to promote standardized descriptions and to facilitate search and integration of the data. The ISA-TAB-Nano specification has been submitted as an ASTM work item to obtain community feedback and to provide a nanotechnology data-sharing standard for public development and adoption.","author":[{"dropping-particle":"","family":"Thomas","given":"Dennis G","non-dropping-particle":"","parse-names":false,"suffix":""},{"dropping-particle":"","family":"Gaheen","given":"Sharon","non-dropping-particle":"","parse-names":false,"suffix":""},{"dropping-particle":"","family":"Harper","given":"Stacey L","non-dropping-particle":"","parse-names":false,"suffix":""},{"dropping-particle":"","family":"Fritts","given":"Martin","non-dropping-particle":"","parse-names":false,"suffix":""},{"dropping-particle":"","family":"Klaessig","given":"Fred","non-dropping-particle":"","parse-names":false,"suffix":""},{"dropping-particle":"","family":"Hahn-Dantona","given":"Elizabeth","non-dropping-particle":"","parse-names":false,"suffix":""},{"dropping-particle":"","family":"Paik","given":"David","non-dropping-particle":"","parse-names":false,"suffix":""},{"dropping-particle":"","family":"Pan","given":"Sue","non-dropping-particle":"","parse-names":false,"suffix":""},{"dropping-particle":"","family":"Stafford","given":"Grace A","non-dropping-particle":"","parse-names":false,"suffix":""},{"dropping-particle":"","family":"Freund","given":"Elaine T","non-dropping-particle":"","parse-names":false,"suffix":""},{"dropping-particle":"","family":"Klemm","given":"Juli D","non-dropping-particle":"","parse-names":false,"suffix":""},{"dropping-particle":"","family":"Baker","given":"Nathan A","non-dropping-particle":"","parse-names":false,"suffix":""}],"container-title":"BMC Biotechnology","id":"ITEM-1","issue":"1","issued":{"date-parts":[["2013"]]},"page":"2","title":"ISA-TAB-Nano: A Specification for Sharing Nanomaterial Research Data in Spreadsheet-based Format","type":"article-journal","volume":"13"},"uris":["http://www.mendeley.com/documents/?uuid=d87d0e9e-d9cd-487e-b3a1-afc506386eb9"]}],"mendeley":{"formattedCitation":"&lt;sup&gt;73&lt;/sup&gt;","plainTextFormattedCitation":"73","previouslyFormattedCitation":"&lt;sup&gt;73&lt;/sup&gt;"},"properties":{"noteIndex":0},"schema":"https://github.com/citation-style-language/schema/raw/master/csl-citation.json"}</w:instrText>
      </w:r>
      <w:r w:rsidRPr="008E5B32">
        <w:fldChar w:fldCharType="separate"/>
      </w:r>
      <w:r w:rsidR="005D1733" w:rsidRPr="008E5B32">
        <w:rPr>
          <w:noProof/>
          <w:vertAlign w:val="superscript"/>
          <w:lang w:val="en-GB"/>
        </w:rPr>
        <w:t>73</w:t>
      </w:r>
      <w:r w:rsidRPr="008E5B32">
        <w:fldChar w:fldCharType="end"/>
      </w:r>
      <w:r w:rsidRPr="008E5B32">
        <w:rPr>
          <w:lang w:val="en-GB"/>
        </w:rPr>
        <w:t xml:space="preserve">. Moreover, when evaluating completeness and quality of nano-EHS data, it is important to address several challenges related to uncertainties </w:t>
      </w:r>
      <w:r w:rsidR="00044AC8" w:rsidRPr="008E5B32">
        <w:rPr>
          <w:lang w:val="en-GB"/>
        </w:rPr>
        <w:t>associated with</w:t>
      </w:r>
      <w:r w:rsidRPr="008E5B32">
        <w:rPr>
          <w:lang w:val="en-GB"/>
        </w:rPr>
        <w:t xml:space="preserve"> the complex physicochemical identity of the NMs and the variability in the outputs of (eco)toxicological assays </w:t>
      </w:r>
      <w:r w:rsidRPr="008E5B32">
        <w:fldChar w:fldCharType="begin" w:fldLock="1"/>
      </w:r>
      <w:r w:rsidR="004C12A8" w:rsidRPr="008E5B32">
        <w:rPr>
          <w:lang w:val="en-GB"/>
        </w:rPr>
        <w:instrText>ADDIN CSL_CITATION {"citationItems":[{"id":"ITEM-1","itemData":{"DOI":"10.1039/C5NR08944A","ISBN":"8620871129","ISSN":"2040-3364","PMID":"26584204","abstract":"&lt;p&gt;The challenge of evaluating the completeness and quality of (curated) nanomaterial data is addressed.&lt;/p&gt;","author":[{"dropping-particle":"","family":"Marchese Robinson","given":"Richard L.","non-dropping-particle":"","parse-names":false,"suffix":""},{"dropping-particle":"","family":"Lynch","given":"Iseult","non-dropping-particle":"","parse-names":false,"suffix":""},{"dropping-particle":"","family":"Peijnenburg","given":"Willie","non-dropping-particle":"","parse-names":false,"suffix":""},{"dropping-particle":"","family":"Rumble","given":"John","non-dropping-particle":"","parse-names":false,"suffix":""},{"dropping-particle":"","family":"Klaessig","given":"Fred","non-dropping-particle":"","parse-names":false,"suffix":""},{"dropping-particle":"","family":"Marquardt","given":"Clarissa","non-dropping-particle":"","parse-names":false,"suffix":""},{"dropping-particle":"","family":"Rauscher","given":"Hubert","non-dropping-particle":"","parse-names":false,"suffix":""},{"dropping-particle":"","family":"Puzyn","given":"Tomasz","non-dropping-particle":"","parse-names":false,"suffix":""},{"dropping-particle":"","family":"Purian","given":"Ronit","non-dropping-particle":"","parse-names":false,"suffix":""},{"dropping-particle":"","family":"Åberg","given":"Christoffer","non-dropping-particle":"","parse-names":false,"suffix":""},{"dropping-particle":"","family":"Karcher","given":"Sandra","non-dropping-particle":"","parse-names":false,"suffix":""},{"dropping-particle":"","family":"Vriens","given":"Hanne","non-dropping-particle":"","parse-names":false,"suffix":""},{"dropping-particle":"","family":"Hoet","given":"Peter","non-dropping-particle":"","parse-names":false,"suffix":""},{"dropping-particle":"","family":"Hoover","given":"Mark D.","non-dropping-particle":"","parse-names":false,"suffix":""},{"dropping-particle":"","family":"Hendren","given":"Christine Ogilvie","non-dropping-particle":"","parse-names":false,"suffix":""},{"dropping-particle":"","family":"Harper","given":"Stacey L.","non-dropping-particle":"","parse-names":false,"suffix":""}],"container-title":"Nanoscale","id":"ITEM-1","issue":"19","issued":{"date-parts":[["2016"]]},"page":"9919-9943","title":"How should the completeness and quality of curated nanomaterial data be evaluated?","type":"article-journal","volume":"8"},"uris":["http://www.mendeley.com/documents/?uuid=75014911-2b52-409d-9318-57da0fddc23e"]}],"mendeley":{"formattedCitation":"&lt;sup&gt;72&lt;/sup&gt;","plainTextFormattedCitation":"72","previouslyFormattedCitation":"&lt;sup&gt;72&lt;/sup&gt;"},"properties":{"noteIndex":0},"schema":"https://github.com/citation-style-language/schema/raw/master/csl-citation.json"}</w:instrText>
      </w:r>
      <w:r w:rsidRPr="008E5B32">
        <w:fldChar w:fldCharType="separate"/>
      </w:r>
      <w:r w:rsidR="005D1733" w:rsidRPr="008E5B32">
        <w:rPr>
          <w:noProof/>
          <w:vertAlign w:val="superscript"/>
          <w:lang w:val="en-GB"/>
        </w:rPr>
        <w:t>72</w:t>
      </w:r>
      <w:r w:rsidRPr="008E5B32">
        <w:fldChar w:fldCharType="end"/>
      </w:r>
      <w:r w:rsidRPr="008E5B32">
        <w:rPr>
          <w:lang w:val="en-GB"/>
        </w:rPr>
        <w:t xml:space="preserve">. </w:t>
      </w:r>
    </w:p>
    <w:p w14:paraId="17AECDA5" w14:textId="45894449" w:rsidR="00C60653" w:rsidRPr="008E5B32" w:rsidRDefault="00C60653" w:rsidP="00240FD2">
      <w:pPr>
        <w:rPr>
          <w:lang w:val="en-US"/>
        </w:rPr>
      </w:pPr>
      <w:r w:rsidRPr="008E5B32">
        <w:rPr>
          <w:lang w:val="en-US"/>
        </w:rPr>
        <w:t>Another known issue is related to data fragmentation</w:t>
      </w:r>
      <w:r w:rsidR="00AD3A5A" w:rsidRPr="008E5B32">
        <w:rPr>
          <w:lang w:val="en-US"/>
        </w:rPr>
        <w:t xml:space="preserve">. Indeed, being nanotechnology an intrinsically interdisciplinary field </w:t>
      </w:r>
      <w:r w:rsidR="00AD3A5A" w:rsidRPr="008E5B32">
        <w:rPr>
          <w:lang w:val="en-US"/>
        </w:rPr>
        <w:fldChar w:fldCharType="begin" w:fldLock="1"/>
      </w:r>
      <w:r w:rsidR="004C12A8" w:rsidRPr="008E5B32">
        <w:rPr>
          <w:lang w:val="en-US"/>
        </w:rPr>
        <w:instrText>ADDIN CSL_CITATION {"citationItems":[{"id":"ITEM-1","itemData":{"DOI":"10.1016/j.jbi.2010.03.001","ISBN":"9781424432967","ISSN":"15320464","PMID":"19964619","abstract":"Data generated from cancer nanotechnology research are so diverse and large in volume that it is difficult to share and efficiently use them without informatics tools. In particular, ontologies that provide a unifying knowledge framework for annotating the data are required to facilitate the semantic integration, knowledge-based searching, unambiguous interpretation, mining and inferencing of the data using informatics methods. In this paper, we discuss the design and development of NanoParticle Ontology (NPO), which is developed within the framework of the Basic Formal Ontology (BFO), and implemented in the Ontology Web Language (OWL) using well-defined ontology design principles. The NPO was developed to represent knowledge underlying the preparation, chemical composition, and characterization of nanomaterials involved in cancer research. Public releases of the NPO are available through BioPortal website, maintained by the National Center for Biomedical Ontology. Mechanisms for editorial and governance processes are being developed for the maintenance, review, and growth of the NPO. © 2010 Elsevier Inc.","author":[{"dropping-particle":"","family":"Thomas","given":"Dennis G.","non-dropping-particle":"","parse-names":false,"suffix":""},{"dropping-particle":"V.","family":"Pappu","given":"Rohit","non-dropping-particle":"","parse-names":false,"suffix":""},{"dropping-particle":"","family":"Baker","given":"Nathan A.","non-dropping-particle":"","parse-names":false,"suffix":""}],"container-title":"Journal of Biomedical Informatics","id":"ITEM-1","issued":{"date-parts":[["2011"]]},"title":"NanoParticle Ontology for cancer nanotechnology research","type":"article-journal"},"uris":["http://www.mendeley.com/documents/?uuid=83698898-b54b-4686-9395-773ec61dc8d6","http://www.mendeley.com/documents/?uuid=6f0eaa69-0379-4cfb-a002-e5d668d61663"]}],"mendeley":{"formattedCitation":"&lt;sup&gt;74&lt;/sup&gt;","plainTextFormattedCitation":"74","previouslyFormattedCitation":"&lt;sup&gt;74&lt;/sup&gt;"},"properties":{"noteIndex":0},"schema":"https://github.com/citation-style-language/schema/raw/master/csl-citation.json"}</w:instrText>
      </w:r>
      <w:r w:rsidR="00AD3A5A" w:rsidRPr="008E5B32">
        <w:rPr>
          <w:lang w:val="en-US"/>
        </w:rPr>
        <w:fldChar w:fldCharType="separate"/>
      </w:r>
      <w:r w:rsidR="005D1733" w:rsidRPr="008E5B32">
        <w:rPr>
          <w:noProof/>
          <w:vertAlign w:val="superscript"/>
          <w:lang w:val="en-US"/>
        </w:rPr>
        <w:t>74</w:t>
      </w:r>
      <w:r w:rsidR="00AD3A5A" w:rsidRPr="008E5B32">
        <w:rPr>
          <w:lang w:val="en-US"/>
        </w:rPr>
        <w:fldChar w:fldCharType="end"/>
      </w:r>
      <w:r w:rsidR="002C0701" w:rsidRPr="008E5B32">
        <w:rPr>
          <w:lang w:val="en-US"/>
        </w:rPr>
        <w:t>, researchers need to use data from different sources across diverse domains</w:t>
      </w:r>
      <w:r w:rsidR="009A2477" w:rsidRPr="008E5B32">
        <w:rPr>
          <w:lang w:val="en-US"/>
        </w:rPr>
        <w:t>.</w:t>
      </w:r>
      <w:r w:rsidR="002C0701" w:rsidRPr="008E5B32">
        <w:rPr>
          <w:lang w:val="en-US"/>
        </w:rPr>
        <w:t xml:space="preserve"> This results in the fac</w:t>
      </w:r>
      <w:r w:rsidR="002168CE" w:rsidRPr="008E5B32">
        <w:rPr>
          <w:lang w:val="en-US"/>
        </w:rPr>
        <w:t xml:space="preserve">t that often the same concept (e.g. material composition, material core, surface modifiers, but also the relationship among them) is referred using completely different names, or incomplete. At the same time, the </w:t>
      </w:r>
      <w:r w:rsidR="00BB78BE" w:rsidRPr="008E5B32">
        <w:rPr>
          <w:lang w:val="en-US"/>
        </w:rPr>
        <w:t xml:space="preserve">methods and techniques adopted to characterize the NM are often not accurately reported, or not comparable </w:t>
      </w:r>
      <w:r w:rsidR="00BB78BE" w:rsidRPr="008E5B32">
        <w:rPr>
          <w:lang w:val="en-US"/>
        </w:rPr>
        <w:fldChar w:fldCharType="begin" w:fldLock="1"/>
      </w:r>
      <w:r w:rsidR="004C12A8" w:rsidRPr="008E5B32">
        <w:rPr>
          <w:lang w:val="en-US"/>
        </w:rPr>
        <w:instrText>ADDIN CSL_CITATION {"citationItems":[{"id":"ITEM-1","itemData":{"DOI":"10.1039/C5NR08944A","ISBN":"8620871129","ISSN":"2040-3364","PMID":"26584204","abstract":"&lt;p&gt;The challenge of evaluating the completeness and quality of (curated) nanomaterial data is addressed.&lt;/p&gt;","author":[{"dropping-particle":"","family":"Marchese Robinson","given":"Richard L.","non-dropping-particle":"","parse-names":false,"suffix":""},{"dropping-particle":"","family":"Lynch","given":"Iseult","non-dropping-particle":"","parse-names":false,"suffix":""},{"dropping-particle":"","family":"Peijnenburg","given":"Willie","non-dropping-particle":"","parse-names":false,"suffix":""},{"dropping-particle":"","family":"Rumble","given":"John","non-dropping-particle":"","parse-names":false,"suffix":""},{"dropping-particle":"","family":"Klaessig","given":"Fred","non-dropping-particle":"","parse-names":false,"suffix":""},{"dropping-particle":"","family":"Marquardt","given":"Clarissa","non-dropping-particle":"","parse-names":false,"suffix":""},{"dropping-particle":"","family":"Rauscher","given":"Hubert","non-dropping-particle":"","parse-names":false,"suffix":""},{"dropping-particle":"","family":"Puzyn","given":"Tomasz","non-dropping-particle":"","parse-names":false,"suffix":""},{"dropping-particle":"","family":"Purian","given":"Ronit","non-dropping-particle":"","parse-names":false,"suffix":""},{"dropping-particle":"","family":"Åberg","given":"Christoffer","non-dropping-particle":"","parse-names":false,"suffix":""},{"dropping-particle":"","family":"Karcher","given":"Sandra","non-dropping-particle":"","parse-names":false,"suffix":""},{"dropping-particle":"","family":"Vriens","given":"Hanne","non-dropping-particle":"","parse-names":false,"suffix":""},{"dropping-particle":"","family":"Hoet","given":"Peter","non-dropping-particle":"","parse-names":false,"suffix":""},{"dropping-particle":"","family":"Hoover","given":"Mark D.","non-dropping-particle":"","parse-names":false,"suffix":""},{"dropping-particle":"","family":"Hendren","given":"Christine Ogilvie","non-dropping-particle":"","parse-names":false,"suffix":""},{"dropping-particle":"","family":"Harper","given":"Stacey L.","non-dropping-particle":"","parse-names":false,"suffix":""}],"container-title":"Nanoscale","id":"ITEM-1","issue":"19","issued":{"date-parts":[["2016"]]},"page":"9919-9943","title":"How should the completeness and quality of curated nanomaterial data be evaluated?","type":"article-journal","volume":"8"},"uris":["http://www.mendeley.com/documents/?uuid=75014911-2b52-409d-9318-57da0fddc23e"]}],"mendeley":{"formattedCitation":"&lt;sup&gt;72&lt;/sup&gt;","plainTextFormattedCitation":"72","previouslyFormattedCitation":"&lt;sup&gt;72&lt;/sup&gt;"},"properties":{"noteIndex":0},"schema":"https://github.com/citation-style-language/schema/raw/master/csl-citation.json"}</w:instrText>
      </w:r>
      <w:r w:rsidR="00BB78BE" w:rsidRPr="008E5B32">
        <w:rPr>
          <w:lang w:val="en-US"/>
        </w:rPr>
        <w:fldChar w:fldCharType="separate"/>
      </w:r>
      <w:r w:rsidR="005D1733" w:rsidRPr="008E5B32">
        <w:rPr>
          <w:noProof/>
          <w:vertAlign w:val="superscript"/>
          <w:lang w:val="en-US"/>
        </w:rPr>
        <w:t>72</w:t>
      </w:r>
      <w:r w:rsidR="00BB78BE" w:rsidRPr="008E5B32">
        <w:rPr>
          <w:lang w:val="en-US"/>
        </w:rPr>
        <w:fldChar w:fldCharType="end"/>
      </w:r>
      <w:r w:rsidR="00BB78BE" w:rsidRPr="008E5B32">
        <w:rPr>
          <w:lang w:val="en-US"/>
        </w:rPr>
        <w:t xml:space="preserve">. It is thus important to develop common ontologies to be able to integrate such different sources </w:t>
      </w:r>
      <w:r w:rsidR="00BB78BE" w:rsidRPr="008E5B32">
        <w:rPr>
          <w:lang w:val="en-US"/>
        </w:rPr>
        <w:fldChar w:fldCharType="begin" w:fldLock="1"/>
      </w:r>
      <w:r w:rsidR="004C12A8" w:rsidRPr="008E5B32">
        <w:rPr>
          <w:lang w:val="en-US"/>
        </w:rPr>
        <w:instrText>ADDIN CSL_CITATION {"citationItems":[{"id":"ITEM-1","itemData":{"DOI":"10.1016/j.jbi.2010.03.001","ISBN":"9781424432967","ISSN":"15320464","PMID":"19964619","abstract":"Data generated from cancer nanotechnology research are so diverse and large in volume that it is difficult to share and efficiently use them without informatics tools. In particular, ontologies that provide a unifying knowledge framework for annotating the data are required to facilitate the semantic integration, knowledge-based searching, unambiguous interpretation, mining and inferencing of the data using informatics methods. In this paper, we discuss the design and development of NanoParticle Ontology (NPO), which is developed within the framework of the Basic Formal Ontology (BFO), and implemented in the Ontology Web Language (OWL) using well-defined ontology design principles. The NPO was developed to represent knowledge underlying the preparation, chemical composition, and characterization of nanomaterials involved in cancer research. Public releases of the NPO are available through BioPortal website, maintained by the National Center for Biomedical Ontology. Mechanisms for editorial and governance processes are being developed for the maintenance, review, and growth of the NPO. © 2010 Elsevier Inc.","author":[{"dropping-particle":"","family":"Thomas","given":"Dennis G.","non-dropping-particle":"","parse-names":false,"suffix":""},{"dropping-particle":"V.","family":"Pappu","given":"Rohit","non-dropping-particle":"","parse-names":false,"suffix":""},{"dropping-particle":"","family":"Baker","given":"Nathan A.","non-dropping-particle":"","parse-names":false,"suffix":""}],"container-title":"Journal of Biomedical Informatics","id":"ITEM-1","issued":{"date-parts":[["2011"]]},"title":"NanoParticle Ontology for cancer nanotechnology research","type":"article-journal"},"uris":["http://www.mendeley.com/documents/?uuid=6f0eaa69-0379-4cfb-a002-e5d668d61663","http://www.mendeley.com/documents/?uuid=83698898-b54b-4686-9395-773ec61dc8d6"]}],"mendeley":{"formattedCitation":"&lt;sup&gt;74&lt;/sup&gt;","plainTextFormattedCitation":"74","previouslyFormattedCitation":"&lt;sup&gt;74&lt;/sup&gt;"},"properties":{"noteIndex":0},"schema":"https://github.com/citation-style-language/schema/raw/master/csl-citation.json"}</w:instrText>
      </w:r>
      <w:r w:rsidR="00BB78BE" w:rsidRPr="008E5B32">
        <w:rPr>
          <w:lang w:val="en-US"/>
        </w:rPr>
        <w:fldChar w:fldCharType="separate"/>
      </w:r>
      <w:r w:rsidR="005D1733" w:rsidRPr="008E5B32">
        <w:rPr>
          <w:noProof/>
          <w:vertAlign w:val="superscript"/>
          <w:lang w:val="en-US"/>
        </w:rPr>
        <w:t>74</w:t>
      </w:r>
      <w:r w:rsidR="00BB78BE" w:rsidRPr="008E5B32">
        <w:rPr>
          <w:lang w:val="en-US"/>
        </w:rPr>
        <w:fldChar w:fldCharType="end"/>
      </w:r>
      <w:r w:rsidR="00C822AA" w:rsidRPr="008E5B32">
        <w:rPr>
          <w:lang w:val="en-US"/>
        </w:rPr>
        <w:t>, paying attention on providing unique identifiers for describing simple concepts</w:t>
      </w:r>
      <w:r w:rsidR="00BB78BE" w:rsidRPr="008E5B32">
        <w:rPr>
          <w:lang w:val="en-US"/>
        </w:rPr>
        <w:t>.</w:t>
      </w:r>
      <w:r w:rsidR="009A2477" w:rsidRPr="008E5B32">
        <w:rPr>
          <w:lang w:val="en-US"/>
        </w:rPr>
        <w:t xml:space="preserve"> </w:t>
      </w:r>
      <w:r w:rsidR="003E5459" w:rsidRPr="008E5B32">
        <w:rPr>
          <w:lang w:val="en-US"/>
        </w:rPr>
        <w:t xml:space="preserve">A recent article by </w:t>
      </w:r>
      <w:r w:rsidRPr="008E5B32">
        <w:rPr>
          <w:lang w:val="en-US"/>
        </w:rPr>
        <w:t xml:space="preserve">Karcher et al. (2018) </w:t>
      </w:r>
      <w:r w:rsidRPr="008E5B32">
        <w:rPr>
          <w:lang w:val="en-US"/>
        </w:rPr>
        <w:fldChar w:fldCharType="begin" w:fldLock="1"/>
      </w:r>
      <w:r w:rsidR="004C12A8" w:rsidRPr="008E5B32">
        <w:rPr>
          <w:lang w:val="en-US"/>
        </w:rPr>
        <w:instrText>ADDIN CSL_CITATION {"citationItems":[{"id":"ITEM-1","itemData":{"DOI":"10.1016/j.impact.2017.11.002","ISSN":"24520748","abstract":"Many groups within the broad field of nanoinformatics are already developing data repositories and analytical tools driven by their individual organizational goals. Integrating these data resources across disciplines and with non-nanotechnology resources can support multiple objectives by enabling the reuse of the same information. Integration can also serve as the impetus for novel scientific discoveries by providing the framework to support deeper data analyses. This article discusses current data integration practices in nanoinformatics and in comparable mature fields, and nanotechnology-specific challenges impacting data integration. Based on results from a nanoinformatics-community-wide survey, recommendations for achieving integration of existing operational nanotechnology resources are presented. Nanotechnology-specific data integration challenges, if effectively resolved, can foster the application and validation of nanotechnology within and across disciplines. This paper is one of a series of articles by the Nanomaterial Data Curation Initiative that address data issues such as data curation workflows, data completeness and quality, curator responsibilities, and metadata.","author":[{"dropping-particle":"","family":"Karcher","given":"Sandra","non-dropping-particle":"","parse-names":false,"suffix":""},{"dropping-particle":"","family":"Willighagen","given":"Egon L.","non-dropping-particle":"","parse-names":false,"suffix":""},{"dropping-particle":"","family":"Rumble","given":"John","non-dropping-particle":"","parse-names":false,"suffix":""},{"dropping-particle":"","family":"Ehrhart","given":"Friederike","non-dropping-particle":"","parse-names":false,"suffix":""},{"dropping-particle":"","family":"Evelo","given":"Chris T.","non-dropping-particle":"","parse-names":false,"suffix":""},{"dropping-particle":"","family":"Fritts","given":"Martin","non-dropping-particle":"","parse-names":false,"suffix":""},{"dropping-particle":"","family":"Gaheen","given":"Sharon","non-dropping-particle":"","parse-names":false,"suffix":""},{"dropping-particle":"","family":"Harper","given":"Stacey L.","non-dropping-particle":"","parse-names":false,"suffix":""},{"dropping-particle":"","family":"Hoover","given":"Mark D.","non-dropping-particle":"","parse-names":false,"suffix":""},{"dropping-particle":"","family":"Jeliazkova","given":"Nina","non-dropping-particle":"","parse-names":false,"suffix":""},{"dropping-particle":"","family":"Lewinski","given":"Nastassja","non-dropping-particle":"","parse-names":false,"suffix":""},{"dropping-particle":"","family":"Marchese Robinson","given":"Richard L.","non-dropping-particle":"","parse-names":false,"suffix":""},{"dropping-particle":"","family":"Mills","given":"Karmann C.","non-dropping-particle":"","parse-names":false,"suffix":""},{"dropping-particle":"","family":"Mustad","given":"Axel P.","non-dropping-particle":"","parse-names":false,"suffix":""},{"dropping-particle":"","family":"Thomas","given":"Dennis G.","non-dropping-particle":"","parse-names":false,"suffix":""},{"dropping-particle":"","family":"Tsiliki","given":"Georgia","non-dropping-particle":"","parse-names":false,"suffix":""},{"dropping-particle":"","family":"Hendren","given":"Christine Ogilvie","non-dropping-particle":"","parse-names":false,"suffix":""}],"container-title":"NanoImpact","id":"ITEM-1","issued":{"date-parts":[["2018"]]},"title":"Integration among databases and data sets to support productive nanotechnology: Challenges and recommendations","type":"article-journal"},"uris":["http://www.mendeley.com/documents/?uuid=b73c56a9-f401-4274-9caa-22dd65d114aa","http://www.mendeley.com/documents/?uuid=c0ea03bf-bd18-4b36-acd4-aa6de38e141d"]}],"mendeley":{"formattedCitation":"&lt;sup&gt;75&lt;/sup&gt;","plainTextFormattedCitation":"75","previouslyFormattedCitation":"&lt;sup&gt;75&lt;/sup&gt;"},"properties":{"noteIndex":0},"schema":"https://github.com/citation-style-language/schema/raw/master/csl-citation.json"}</w:instrText>
      </w:r>
      <w:r w:rsidRPr="008E5B32">
        <w:rPr>
          <w:lang w:val="en-US"/>
        </w:rPr>
        <w:fldChar w:fldCharType="separate"/>
      </w:r>
      <w:r w:rsidR="005D1733" w:rsidRPr="008E5B32">
        <w:rPr>
          <w:noProof/>
          <w:vertAlign w:val="superscript"/>
          <w:lang w:val="en-US"/>
        </w:rPr>
        <w:t>75</w:t>
      </w:r>
      <w:r w:rsidRPr="008E5B32">
        <w:rPr>
          <w:lang w:val="en-US"/>
        </w:rPr>
        <w:fldChar w:fldCharType="end"/>
      </w:r>
      <w:r w:rsidR="003E5459" w:rsidRPr="008E5B32">
        <w:rPr>
          <w:lang w:val="en-US"/>
        </w:rPr>
        <w:t xml:space="preserve"> addressed such issues</w:t>
      </w:r>
      <w:r w:rsidR="009A2477" w:rsidRPr="008E5B32">
        <w:rPr>
          <w:lang w:val="en-US"/>
        </w:rPr>
        <w:t>, proposing strategies to accelerate the process of integrati</w:t>
      </w:r>
      <w:r w:rsidR="00A173F8" w:rsidRPr="008E5B32">
        <w:rPr>
          <w:lang w:val="en-US"/>
        </w:rPr>
        <w:t xml:space="preserve">ng </w:t>
      </w:r>
      <w:r w:rsidR="009A2477" w:rsidRPr="008E5B32">
        <w:rPr>
          <w:lang w:val="en-US"/>
        </w:rPr>
        <w:t>the available data</w:t>
      </w:r>
      <w:r w:rsidR="00BB78BE" w:rsidRPr="008E5B32">
        <w:rPr>
          <w:lang w:val="en-US"/>
        </w:rPr>
        <w:t xml:space="preserve"> sources</w:t>
      </w:r>
      <w:r w:rsidR="009A2477" w:rsidRPr="008E5B32">
        <w:rPr>
          <w:lang w:val="en-US"/>
        </w:rPr>
        <w:t>.</w:t>
      </w:r>
    </w:p>
    <w:p w14:paraId="33FC3B7E" w14:textId="20542EFF" w:rsidR="0061784F" w:rsidRPr="008E5B32" w:rsidRDefault="00573E6F" w:rsidP="0061784F">
      <w:pPr>
        <w:rPr>
          <w:lang w:val="en-GB"/>
        </w:rPr>
      </w:pPr>
      <w:r w:rsidRPr="008E5B32">
        <w:rPr>
          <w:lang w:val="en-GB"/>
        </w:rPr>
        <w:t>The NDCI guidance on assessing data completeness and quality</w:t>
      </w:r>
      <w:r w:rsidR="00240FD2" w:rsidRPr="008E5B32">
        <w:rPr>
          <w:lang w:val="en-GB"/>
        </w:rPr>
        <w:t xml:space="preserve">, the respective challenges and the ISA-TAB-NANO protocol </w:t>
      </w:r>
      <w:r w:rsidR="00AD7085" w:rsidRPr="008E5B32">
        <w:rPr>
          <w:lang w:val="en-GB"/>
        </w:rPr>
        <w:t>have been taken into account</w:t>
      </w:r>
      <w:r w:rsidRPr="008E5B32">
        <w:rPr>
          <w:lang w:val="en-GB"/>
        </w:rPr>
        <w:t xml:space="preserve"> </w:t>
      </w:r>
      <w:r w:rsidR="00AD7085" w:rsidRPr="008E5B32">
        <w:rPr>
          <w:lang w:val="en-GB"/>
        </w:rPr>
        <w:t xml:space="preserve">in the process of </w:t>
      </w:r>
      <w:r w:rsidRPr="008E5B32">
        <w:rPr>
          <w:lang w:val="en-GB"/>
        </w:rPr>
        <w:t xml:space="preserve">developing the GRACIOUS data curation system. This system will be </w:t>
      </w:r>
      <w:r w:rsidRPr="008E5B32">
        <w:rPr>
          <w:lang w:val="en-US"/>
        </w:rPr>
        <w:t>based on the eNanoMapper</w:t>
      </w:r>
      <w:r w:rsidRPr="008E5B32">
        <w:rPr>
          <w:lang w:val="en-GB"/>
        </w:rPr>
        <w:t xml:space="preserve"> database and ontologies </w:t>
      </w:r>
      <w:r w:rsidR="00240FD2" w:rsidRPr="008E5B32">
        <w:rPr>
          <w:lang w:val="en-GB"/>
        </w:rPr>
        <w:t>and will assemble m</w:t>
      </w:r>
      <w:r w:rsidRPr="008E5B32">
        <w:rPr>
          <w:lang w:val="en-US"/>
        </w:rPr>
        <w:t>uch of the</w:t>
      </w:r>
      <w:r w:rsidR="00240934" w:rsidRPr="008E5B32">
        <w:rPr>
          <w:lang w:val="en-US"/>
        </w:rPr>
        <w:t xml:space="preserve"> data </w:t>
      </w:r>
      <w:r w:rsidRPr="008E5B32">
        <w:rPr>
          <w:lang w:val="en-GB"/>
        </w:rPr>
        <w:t>currently in the repositories reported in Table 2</w:t>
      </w:r>
      <w:r w:rsidR="00240FD2" w:rsidRPr="008E5B32">
        <w:rPr>
          <w:lang w:val="en-GB"/>
        </w:rPr>
        <w:t xml:space="preserve">. </w:t>
      </w:r>
      <w:r w:rsidR="00240934" w:rsidRPr="008E5B32">
        <w:rPr>
          <w:lang w:val="en-GB"/>
        </w:rPr>
        <w:t xml:space="preserve">The curation system will offer users a number of </w:t>
      </w:r>
      <w:r w:rsidRPr="008E5B32">
        <w:rPr>
          <w:lang w:val="en-GB"/>
        </w:rPr>
        <w:t xml:space="preserve">data </w:t>
      </w:r>
      <w:r w:rsidR="00240FD2" w:rsidRPr="008E5B32">
        <w:rPr>
          <w:lang w:val="en-GB"/>
        </w:rPr>
        <w:t>analytical tools: it</w:t>
      </w:r>
      <w:r w:rsidR="00240934" w:rsidRPr="008E5B32">
        <w:rPr>
          <w:lang w:val="en-GB"/>
        </w:rPr>
        <w:t xml:space="preserve"> will </w:t>
      </w:r>
      <w:r w:rsidR="00AD7085" w:rsidRPr="008E5B32">
        <w:rPr>
          <w:lang w:val="en-GB"/>
        </w:rPr>
        <w:t>apply</w:t>
      </w:r>
      <w:r w:rsidR="00240934" w:rsidRPr="008E5B32">
        <w:rPr>
          <w:lang w:val="en-GB"/>
        </w:rPr>
        <w:t xml:space="preserve"> quality assessment algorithms</w:t>
      </w:r>
      <w:r w:rsidR="00240FD2" w:rsidRPr="008E5B32">
        <w:rPr>
          <w:lang w:val="en-GB"/>
        </w:rPr>
        <w:t xml:space="preserve"> and will automatically enable </w:t>
      </w:r>
      <w:r w:rsidR="00AD7085" w:rsidRPr="008E5B32">
        <w:rPr>
          <w:lang w:val="en-GB"/>
        </w:rPr>
        <w:t xml:space="preserve">the </w:t>
      </w:r>
      <w:r w:rsidR="00240FD2" w:rsidRPr="008E5B32">
        <w:rPr>
          <w:lang w:val="en-GB"/>
        </w:rPr>
        <w:t xml:space="preserve">use the data in combination with </w:t>
      </w:r>
      <w:r w:rsidR="00240934" w:rsidRPr="008E5B32">
        <w:rPr>
          <w:lang w:val="en-GB"/>
        </w:rPr>
        <w:t>statistical methods (e.g. principal</w:t>
      </w:r>
      <w:r w:rsidRPr="008E5B32">
        <w:rPr>
          <w:lang w:val="en-GB"/>
        </w:rPr>
        <w:t xml:space="preserve"> </w:t>
      </w:r>
      <w:r w:rsidR="00240934" w:rsidRPr="008E5B32">
        <w:rPr>
          <w:lang w:val="en-GB"/>
        </w:rPr>
        <w:t xml:space="preserve">component analysis, partial least squares regression, cluster analysis), and </w:t>
      </w:r>
      <w:r w:rsidR="00240934" w:rsidRPr="008E5B32">
        <w:rPr>
          <w:i/>
          <w:lang w:val="en-GB"/>
        </w:rPr>
        <w:t>in silico</w:t>
      </w:r>
      <w:r w:rsidR="00240934" w:rsidRPr="008E5B32">
        <w:rPr>
          <w:lang w:val="en-GB"/>
        </w:rPr>
        <w:t xml:space="preserve"> modelling </w:t>
      </w:r>
      <w:r w:rsidR="00240FD2" w:rsidRPr="008E5B32">
        <w:rPr>
          <w:lang w:val="en-GB"/>
        </w:rPr>
        <w:t xml:space="preserve">tools </w:t>
      </w:r>
      <w:r w:rsidR="00240934" w:rsidRPr="008E5B32">
        <w:rPr>
          <w:lang w:val="en-GB"/>
        </w:rPr>
        <w:t xml:space="preserve">(e.g. </w:t>
      </w:r>
      <w:r w:rsidR="00C70222" w:rsidRPr="008E5B32">
        <w:rPr>
          <w:lang w:val="en-GB"/>
        </w:rPr>
        <w:t>(</w:t>
      </w:r>
      <w:r w:rsidR="00240934" w:rsidRPr="008E5B32">
        <w:rPr>
          <w:lang w:val="en-GB"/>
        </w:rPr>
        <w:t>Q</w:t>
      </w:r>
      <w:r w:rsidR="00C70222" w:rsidRPr="008E5B32">
        <w:rPr>
          <w:lang w:val="en-GB"/>
        </w:rPr>
        <w:t>)</w:t>
      </w:r>
      <w:r w:rsidR="00240934" w:rsidRPr="008E5B32">
        <w:rPr>
          <w:lang w:val="en-GB"/>
        </w:rPr>
        <w:t>S</w:t>
      </w:r>
      <w:r w:rsidR="00E946D6" w:rsidRPr="008E5B32">
        <w:rPr>
          <w:lang w:val="en-GB"/>
        </w:rPr>
        <w:t>AR</w:t>
      </w:r>
      <w:r w:rsidR="00240934" w:rsidRPr="008E5B32">
        <w:rPr>
          <w:lang w:val="en-GB"/>
        </w:rPr>
        <w:t>,</w:t>
      </w:r>
      <w:r w:rsidRPr="008E5B32">
        <w:rPr>
          <w:lang w:val="en-GB"/>
        </w:rPr>
        <w:t xml:space="preserve"> </w:t>
      </w:r>
      <w:r w:rsidR="00240934" w:rsidRPr="008E5B32">
        <w:rPr>
          <w:lang w:val="en-GB"/>
        </w:rPr>
        <w:t xml:space="preserve">physiologically-based pharmacokinetic (PBPK) modelling) </w:t>
      </w:r>
      <w:r w:rsidR="00240FD2" w:rsidRPr="008E5B32">
        <w:rPr>
          <w:lang w:val="en-GB"/>
        </w:rPr>
        <w:t>for predicting the toxicokinetics and hazard of NMs for the purposes of Grouping</w:t>
      </w:r>
      <w:r w:rsidR="00373CDF" w:rsidRPr="008E5B32">
        <w:rPr>
          <w:lang w:val="en-GB"/>
        </w:rPr>
        <w:t xml:space="preserve"> </w:t>
      </w:r>
      <w:r w:rsidR="00F8689A" w:rsidRPr="008E5B32">
        <w:rPr>
          <w:lang w:val="en-GB"/>
        </w:rPr>
        <w:t>and</w:t>
      </w:r>
      <w:r w:rsidR="00373CDF" w:rsidRPr="008E5B32">
        <w:rPr>
          <w:lang w:val="en-GB"/>
        </w:rPr>
        <w:t xml:space="preserve"> </w:t>
      </w:r>
      <w:r w:rsidR="00240FD2" w:rsidRPr="008E5B32">
        <w:rPr>
          <w:lang w:val="en-GB"/>
        </w:rPr>
        <w:t>Re</w:t>
      </w:r>
      <w:r w:rsidR="00373CDF" w:rsidRPr="008E5B32">
        <w:rPr>
          <w:lang w:val="en-GB"/>
        </w:rPr>
        <w:t>a</w:t>
      </w:r>
      <w:r w:rsidR="00240FD2" w:rsidRPr="008E5B32">
        <w:rPr>
          <w:lang w:val="en-GB"/>
        </w:rPr>
        <w:t xml:space="preserve">d-Across </w:t>
      </w:r>
      <w:r w:rsidR="00373CDF" w:rsidRPr="008E5B32">
        <w:rPr>
          <w:lang w:val="en-GB"/>
        </w:rPr>
        <w:t>to inform nanosafety assessments</w:t>
      </w:r>
      <w:r w:rsidR="0061784F" w:rsidRPr="008E5B32">
        <w:rPr>
          <w:lang w:val="en-GB"/>
        </w:rPr>
        <w:t>. Moreover, a lot of attention is being paid by the team developing the NIKC database</w:t>
      </w:r>
      <w:r w:rsidR="00027A9F" w:rsidRPr="008E5B32">
        <w:rPr>
          <w:lang w:val="en-GB"/>
        </w:rPr>
        <w:t xml:space="preserve"> (which allows a mapping to the ISA-TAB-nano file sharing format)</w:t>
      </w:r>
      <w:r w:rsidR="0061784F" w:rsidRPr="008E5B32">
        <w:rPr>
          <w:lang w:val="en-GB"/>
        </w:rPr>
        <w:t xml:space="preserve"> for curating the existing data</w:t>
      </w:r>
      <w:r w:rsidR="00027A9F" w:rsidRPr="008E5B32">
        <w:rPr>
          <w:lang w:val="en-GB"/>
        </w:rPr>
        <w:t>, and in future the system will include a web-enabled curation tool</w:t>
      </w:r>
      <w:r w:rsidR="0061784F" w:rsidRPr="008E5B32">
        <w:rPr>
          <w:lang w:val="en-GB"/>
        </w:rPr>
        <w:t>.</w:t>
      </w:r>
      <w:r w:rsidR="004C12A8" w:rsidRPr="008E5B32">
        <w:rPr>
          <w:lang w:val="en-GB"/>
        </w:rPr>
        <w:t xml:space="preserve"> Data curation based on a set of information about NMs </w:t>
      </w:r>
      <w:r w:rsidR="004C12A8" w:rsidRPr="008E5B32">
        <w:rPr>
          <w:lang w:val="en-GB"/>
        </w:rPr>
        <w:fldChar w:fldCharType="begin" w:fldLock="1"/>
      </w:r>
      <w:r w:rsidR="00434385" w:rsidRPr="008E5B32">
        <w:rPr>
          <w:lang w:val="en-GB"/>
        </w:rPr>
        <w:instrText>ADDIN CSL_CITATION {"citationItems":[{"id":"ITEM-1","itemData":{"DOI":"10.1007/s11051-013-2219-8","ISBN":"0960-9822","ISSN":"13880764","PMID":"17307042","abstract":"Evaluating the implications of nanomaterials in biological and environmental systems can be difficult without sufficient characterization of the nanomaterials’ physico-chemical characteristics (PCC). Additionally, while nanomaterials possess inherent characteristics, their acquired characteristics can change based on the system under consideration or even the test method or protocol used for the characterization. The Nanomaterial Registry, an authoritative resource for nanomaterial data, has established minimal information about nanomaterials (MIAN) for PCC. The MIAN is used as a guideline for curating and archiving the nanomaterial information that is vital to understanding the biological and environmental implications of these materials. This manuscript details the MIAN developed and provides examples of curated data. The MIAN and Registry data model are flexible, and can accommodate new information and insights as scientific discovery regarding nanomaterials evolves. Through the use of the MIAN, the Registry archives sufficient metadata to allow the user to easily access the original/source study records of interest.","author":[{"dropping-particle":"","family":"Mills","given":"Karmann C.","non-dropping-particle":"","parse-names":false,"suffix":""},{"dropping-particle":"","family":"Murry","given":"Damaris","non-dropping-particle":"","parse-names":false,"suffix":""},{"dropping-particle":"","family":"Guzan","given":"Kimberly A.","non-dropping-particle":"","parse-names":false,"suffix":""},{"dropping-particle":"","family":"Ostraat","given":"Michele L.","non-dropping-particle":"","parse-names":false,"suffix":""}],"container-title":"Journal of Nanoparticle Research","id":"ITEM-1","issued":{"date-parts":[["2014"]]},"title":"Nanomaterial registry: Database that captures the minimal information about nanomaterial physico-chemical characteristics","type":"article-journal"},"uris":["http://www.mendeley.com/documents/?uuid=7f6c909c-0f1a-4477-8994-632d21c79e7a"]}],"mendeley":{"formattedCitation":"&lt;sup&gt;76&lt;/sup&gt;","plainTextFormattedCitation":"76","previouslyFormattedCitation":"&lt;sup&gt;76&lt;/sup&gt;"},"properties":{"noteIndex":0},"schema":"https://github.com/citation-style-language/schema/raw/master/csl-citation.json"}</w:instrText>
      </w:r>
      <w:r w:rsidR="004C12A8" w:rsidRPr="008E5B32">
        <w:rPr>
          <w:lang w:val="en-GB"/>
        </w:rPr>
        <w:fldChar w:fldCharType="separate"/>
      </w:r>
      <w:r w:rsidR="004C12A8" w:rsidRPr="008E5B32">
        <w:rPr>
          <w:noProof/>
          <w:vertAlign w:val="superscript"/>
          <w:lang w:val="en-GB"/>
        </w:rPr>
        <w:t>76</w:t>
      </w:r>
      <w:r w:rsidR="004C12A8" w:rsidRPr="008E5B32">
        <w:rPr>
          <w:lang w:val="en-GB"/>
        </w:rPr>
        <w:fldChar w:fldCharType="end"/>
      </w:r>
      <w:r w:rsidR="004C12A8" w:rsidRPr="008E5B32">
        <w:rPr>
          <w:lang w:val="en-GB"/>
        </w:rPr>
        <w:t xml:space="preserve"> is performed also for the Nanomaterial Registry database.</w:t>
      </w:r>
      <w:r w:rsidR="00240FD2" w:rsidRPr="008E5B32">
        <w:rPr>
          <w:lang w:val="en-GB"/>
        </w:rPr>
        <w:t xml:space="preserve"> </w:t>
      </w:r>
      <w:r w:rsidR="0061784F" w:rsidRPr="008E5B32">
        <w:rPr>
          <w:lang w:val="en-GB"/>
        </w:rPr>
        <w:t>S</w:t>
      </w:r>
      <w:r w:rsidR="00F358E4" w:rsidRPr="008E5B32">
        <w:rPr>
          <w:lang w:val="en-GB"/>
        </w:rPr>
        <w:t xml:space="preserve">imilar efforts </w:t>
      </w:r>
      <w:r w:rsidR="00587D37" w:rsidRPr="008E5B32">
        <w:rPr>
          <w:lang w:val="en-GB"/>
        </w:rPr>
        <w:t xml:space="preserve">for curating and integrating the existing data in publicy available databases </w:t>
      </w:r>
      <w:r w:rsidR="00DB794D" w:rsidRPr="008E5B32">
        <w:rPr>
          <w:lang w:val="en-GB"/>
        </w:rPr>
        <w:t xml:space="preserve">are being </w:t>
      </w:r>
      <w:r w:rsidR="00587D37" w:rsidRPr="008E5B32">
        <w:rPr>
          <w:lang w:val="en-GB"/>
        </w:rPr>
        <w:t>conducted in</w:t>
      </w:r>
      <w:r w:rsidR="00587477" w:rsidRPr="008E5B32">
        <w:rPr>
          <w:lang w:val="en-GB"/>
        </w:rPr>
        <w:t xml:space="preserve"> </w:t>
      </w:r>
      <w:r w:rsidR="00587D37" w:rsidRPr="008E5B32">
        <w:rPr>
          <w:lang w:val="en-GB"/>
        </w:rPr>
        <w:t xml:space="preserve">international projects such as NanoFASE </w:t>
      </w:r>
      <w:r w:rsidR="00587D37" w:rsidRPr="008E5B32">
        <w:rPr>
          <w:rStyle w:val="FootnoteReference"/>
          <w:lang w:val="en-GB"/>
        </w:rPr>
        <w:footnoteReference w:id="4"/>
      </w:r>
      <w:r w:rsidR="00587D37" w:rsidRPr="008E5B32">
        <w:rPr>
          <w:lang w:val="en-GB"/>
        </w:rPr>
        <w:t>, NanoCommons</w:t>
      </w:r>
      <w:r w:rsidR="000D399B" w:rsidRPr="008E5B32">
        <w:rPr>
          <w:lang w:val="en-GB"/>
        </w:rPr>
        <w:t xml:space="preserve"> </w:t>
      </w:r>
      <w:r w:rsidR="000D399B" w:rsidRPr="008E5B32">
        <w:rPr>
          <w:rStyle w:val="FootnoteReference"/>
          <w:lang w:val="en-GB"/>
        </w:rPr>
        <w:footnoteReference w:id="5"/>
      </w:r>
      <w:r w:rsidR="00587D37" w:rsidRPr="008E5B32">
        <w:rPr>
          <w:lang w:val="en-GB"/>
        </w:rPr>
        <w:t xml:space="preserve"> and ACENano</w:t>
      </w:r>
      <w:r w:rsidR="000D399B" w:rsidRPr="008E5B32">
        <w:rPr>
          <w:lang w:val="en-GB"/>
        </w:rPr>
        <w:t xml:space="preserve"> </w:t>
      </w:r>
      <w:r w:rsidR="000D399B" w:rsidRPr="008E5B32">
        <w:rPr>
          <w:rStyle w:val="FootnoteReference"/>
          <w:lang w:val="en-GB"/>
        </w:rPr>
        <w:footnoteReference w:id="6"/>
      </w:r>
      <w:r w:rsidR="00587D37" w:rsidRPr="008E5B32">
        <w:rPr>
          <w:lang w:val="en-GB"/>
        </w:rPr>
        <w:t>.</w:t>
      </w:r>
      <w:r w:rsidR="0061784F" w:rsidRPr="008E5B32">
        <w:rPr>
          <w:lang w:val="en-GB"/>
        </w:rPr>
        <w:t xml:space="preserve"> </w:t>
      </w:r>
    </w:p>
    <w:p w14:paraId="0F2D1E9D" w14:textId="77777777" w:rsidR="00B572F9" w:rsidRPr="008E5B32" w:rsidRDefault="00AA3DDB" w:rsidP="00BB685A">
      <w:pPr>
        <w:pStyle w:val="Heading1"/>
        <w:spacing w:line="312" w:lineRule="auto"/>
        <w:rPr>
          <w:lang w:val="en-GB"/>
        </w:rPr>
      </w:pPr>
      <w:r w:rsidRPr="008E5B32">
        <w:rPr>
          <w:lang w:val="en-GB"/>
        </w:rPr>
        <w:t xml:space="preserve">3.2 </w:t>
      </w:r>
      <w:r w:rsidR="00F27058" w:rsidRPr="008E5B32">
        <w:rPr>
          <w:lang w:val="en-GB"/>
        </w:rPr>
        <w:t>G</w:t>
      </w:r>
      <w:r w:rsidR="00B572F9" w:rsidRPr="008E5B32">
        <w:rPr>
          <w:lang w:val="en-GB"/>
        </w:rPr>
        <w:t>rouping</w:t>
      </w:r>
      <w:r w:rsidR="00ED6F70" w:rsidRPr="008E5B32">
        <w:rPr>
          <w:lang w:val="en-GB"/>
        </w:rPr>
        <w:t xml:space="preserve"> for </w:t>
      </w:r>
      <w:r w:rsidR="00650B32" w:rsidRPr="008E5B32">
        <w:rPr>
          <w:lang w:val="en-GB"/>
        </w:rPr>
        <w:t>Read-Across</w:t>
      </w:r>
      <w:bookmarkEnd w:id="5"/>
      <w:r w:rsidR="00C2239C" w:rsidRPr="008E5B32">
        <w:rPr>
          <w:lang w:val="en-GB"/>
        </w:rPr>
        <w:t xml:space="preserve"> </w:t>
      </w:r>
      <w:r w:rsidR="00BB685A" w:rsidRPr="008E5B32">
        <w:rPr>
          <w:lang w:val="en-GB"/>
        </w:rPr>
        <w:t>of</w:t>
      </w:r>
      <w:r w:rsidR="004A25D9" w:rsidRPr="008E5B32">
        <w:rPr>
          <w:lang w:val="en-GB"/>
        </w:rPr>
        <w:t xml:space="preserve"> NMs</w:t>
      </w:r>
      <w:bookmarkStart w:id="8" w:name="_Toc506370840"/>
    </w:p>
    <w:p w14:paraId="7D4D687B" w14:textId="6134B998" w:rsidR="008F07DF" w:rsidRPr="008E5B32" w:rsidRDefault="000778E8">
      <w:pPr>
        <w:rPr>
          <w:lang w:val="en-GB"/>
        </w:rPr>
      </w:pPr>
      <w:r w:rsidRPr="008E5B32">
        <w:rPr>
          <w:lang w:val="en-GB"/>
        </w:rPr>
        <w:t xml:space="preserve">Once </w:t>
      </w:r>
      <w:r w:rsidR="00C4003D" w:rsidRPr="008E5B32">
        <w:rPr>
          <w:lang w:val="en-GB"/>
        </w:rPr>
        <w:t xml:space="preserve">suitable </w:t>
      </w:r>
      <w:r w:rsidRPr="008E5B32">
        <w:rPr>
          <w:lang w:val="en-GB"/>
        </w:rPr>
        <w:t xml:space="preserve">curated data </w:t>
      </w:r>
      <w:r w:rsidR="00BD6EA1" w:rsidRPr="008E5B32">
        <w:rPr>
          <w:lang w:val="en-GB"/>
        </w:rPr>
        <w:t xml:space="preserve">are </w:t>
      </w:r>
      <w:r w:rsidRPr="008E5B32">
        <w:rPr>
          <w:lang w:val="en-GB"/>
        </w:rPr>
        <w:t xml:space="preserve">selected from one or more of the available sources, it is possible to start </w:t>
      </w:r>
      <w:r w:rsidR="00C4003D" w:rsidRPr="008E5B32">
        <w:rPr>
          <w:lang w:val="en-GB"/>
        </w:rPr>
        <w:t xml:space="preserve">modelling </w:t>
      </w:r>
      <w:r w:rsidRPr="008E5B32">
        <w:rPr>
          <w:lang w:val="en-GB"/>
        </w:rPr>
        <w:t xml:space="preserve">to </w:t>
      </w:r>
      <w:r w:rsidR="00E415D3" w:rsidRPr="008E5B32">
        <w:rPr>
          <w:lang w:val="en-GB"/>
        </w:rPr>
        <w:t xml:space="preserve">predict </w:t>
      </w:r>
      <w:r w:rsidRPr="008E5B32">
        <w:rPr>
          <w:lang w:val="en-GB"/>
        </w:rPr>
        <w:t>(eco)toxicity, kinetics, fate, and</w:t>
      </w:r>
      <w:r w:rsidR="00E415D3" w:rsidRPr="008E5B32">
        <w:rPr>
          <w:lang w:val="en-GB"/>
        </w:rPr>
        <w:t xml:space="preserve">/or </w:t>
      </w:r>
      <w:r w:rsidRPr="008E5B32">
        <w:rPr>
          <w:lang w:val="en-GB"/>
        </w:rPr>
        <w:t xml:space="preserve">exposure. A detailed and unambiguous </w:t>
      </w:r>
      <w:r w:rsidR="00C4003D" w:rsidRPr="008E5B32">
        <w:rPr>
          <w:lang w:val="en-GB"/>
        </w:rPr>
        <w:t xml:space="preserve">physicochemical and structural </w:t>
      </w:r>
      <w:r w:rsidRPr="008E5B32">
        <w:rPr>
          <w:lang w:val="en-GB"/>
        </w:rPr>
        <w:t xml:space="preserve">characterization </w:t>
      </w:r>
      <w:r w:rsidR="00C4003D" w:rsidRPr="008E5B32">
        <w:rPr>
          <w:lang w:val="en-GB"/>
        </w:rPr>
        <w:t>of the materials</w:t>
      </w:r>
      <w:r w:rsidR="00E946D6" w:rsidRPr="008E5B32">
        <w:rPr>
          <w:lang w:val="en-GB"/>
        </w:rPr>
        <w:t xml:space="preserve"> </w:t>
      </w:r>
      <w:r w:rsidRPr="008E5B32">
        <w:rPr>
          <w:lang w:val="en-GB"/>
        </w:rPr>
        <w:t xml:space="preserve">is a fundamental prerequisite to correctly predict </w:t>
      </w:r>
      <w:r w:rsidR="00E415D3" w:rsidRPr="008E5B32">
        <w:rPr>
          <w:lang w:val="en-GB"/>
        </w:rPr>
        <w:t xml:space="preserve">human health </w:t>
      </w:r>
      <w:r w:rsidR="00867FA3" w:rsidRPr="008E5B32">
        <w:rPr>
          <w:lang w:val="en-GB"/>
        </w:rPr>
        <w:t xml:space="preserve">or </w:t>
      </w:r>
      <w:r w:rsidR="00E415D3" w:rsidRPr="008E5B32">
        <w:rPr>
          <w:lang w:val="en-GB"/>
        </w:rPr>
        <w:t xml:space="preserve">environmental </w:t>
      </w:r>
      <w:r w:rsidRPr="008E5B32">
        <w:rPr>
          <w:lang w:val="en-GB"/>
        </w:rPr>
        <w:t>endpoints</w:t>
      </w:r>
      <w:r w:rsidR="0061063C" w:rsidRPr="008E5B32">
        <w:rPr>
          <w:lang w:val="en-GB"/>
        </w:rPr>
        <w:t>, as</w:t>
      </w:r>
      <w:r w:rsidR="00E415D3" w:rsidRPr="008E5B32">
        <w:rPr>
          <w:lang w:val="en-GB"/>
        </w:rPr>
        <w:t xml:space="preserve"> required by the</w:t>
      </w:r>
      <w:r w:rsidRPr="008E5B32">
        <w:rPr>
          <w:lang w:val="en-GB"/>
        </w:rPr>
        <w:t xml:space="preserve"> REACH Annex XI</w:t>
      </w:r>
      <w:r w:rsidR="00E256AD" w:rsidRPr="008E5B32">
        <w:rPr>
          <w:lang w:val="en-GB"/>
        </w:rPr>
        <w:t xml:space="preserve">. Specifically, when Grouping </w:t>
      </w:r>
      <w:r w:rsidR="00E946D6" w:rsidRPr="008E5B32">
        <w:rPr>
          <w:lang w:val="en-GB"/>
        </w:rPr>
        <w:t xml:space="preserve">for </w:t>
      </w:r>
      <w:r w:rsidR="00E256AD" w:rsidRPr="008E5B32">
        <w:rPr>
          <w:lang w:val="en-GB"/>
        </w:rPr>
        <w:t>Read-Across</w:t>
      </w:r>
      <w:r w:rsidR="00E946D6" w:rsidRPr="008E5B32">
        <w:rPr>
          <w:lang w:val="en-GB"/>
        </w:rPr>
        <w:t xml:space="preserve"> is applied</w:t>
      </w:r>
      <w:r w:rsidR="00E256AD" w:rsidRPr="008E5B32">
        <w:rPr>
          <w:lang w:val="en-GB"/>
        </w:rPr>
        <w:t>, information on (at least) chemical and physicochemical properties on source and target substance,</w:t>
      </w:r>
      <w:r w:rsidR="00C4003D" w:rsidRPr="008E5B32">
        <w:rPr>
          <w:lang w:val="en-GB"/>
        </w:rPr>
        <w:t xml:space="preserve"> </w:t>
      </w:r>
      <w:r w:rsidR="00E256AD" w:rsidRPr="008E5B32">
        <w:rPr>
          <w:lang w:val="en-GB"/>
        </w:rPr>
        <w:t>hazard/toxicokinetic data of the source materials relevant to the endpoint of interest, good data quality and a well described</w:t>
      </w:r>
      <w:r w:rsidR="00C4003D" w:rsidRPr="008E5B32">
        <w:rPr>
          <w:lang w:val="en-GB"/>
        </w:rPr>
        <w:t>/documented</w:t>
      </w:r>
      <w:r w:rsidR="00E256AD" w:rsidRPr="008E5B32">
        <w:rPr>
          <w:lang w:val="en-GB"/>
        </w:rPr>
        <w:t xml:space="preserve"> test procedure</w:t>
      </w:r>
      <w:r w:rsidR="000117C9" w:rsidRPr="008E5B32">
        <w:rPr>
          <w:lang w:val="en-GB"/>
        </w:rPr>
        <w:t xml:space="preserve"> are needed.</w:t>
      </w:r>
      <w:r w:rsidR="006A26BD" w:rsidRPr="008E5B32">
        <w:rPr>
          <w:lang w:val="en-GB"/>
        </w:rPr>
        <w:t xml:space="preserve"> </w:t>
      </w:r>
      <w:bookmarkStart w:id="9" w:name="_Toc506370835"/>
    </w:p>
    <w:p w14:paraId="3CEA31E7" w14:textId="125F53B3" w:rsidR="00B572F9" w:rsidRPr="008E5B32" w:rsidRDefault="009D2B9B" w:rsidP="00B572F9">
      <w:pPr>
        <w:rPr>
          <w:lang w:val="en-GB"/>
        </w:rPr>
        <w:sectPr w:rsidR="00B572F9" w:rsidRPr="008E5B32" w:rsidSect="00F33873">
          <w:footerReference w:type="default" r:id="rId8"/>
          <w:footnotePr>
            <w:numFmt w:val="lowerLetter"/>
          </w:footnotePr>
          <w:pgSz w:w="11909" w:h="16834"/>
          <w:pgMar w:top="1440" w:right="1440" w:bottom="1440" w:left="1440" w:header="0" w:footer="720" w:gutter="0"/>
          <w:lnNumType w:countBy="1" w:restart="continuous"/>
          <w:cols w:space="720"/>
          <w:docGrid w:linePitch="326"/>
        </w:sectPr>
      </w:pPr>
      <w:r w:rsidRPr="008E5B32">
        <w:rPr>
          <w:lang w:val="en-GB"/>
        </w:rPr>
        <w:t xml:space="preserve">There are not many </w:t>
      </w:r>
      <w:r w:rsidR="00C4003D" w:rsidRPr="008E5B32">
        <w:rPr>
          <w:lang w:val="en-GB"/>
        </w:rPr>
        <w:t>case studies on</w:t>
      </w:r>
      <w:r w:rsidRPr="008E5B32">
        <w:rPr>
          <w:lang w:val="en-GB"/>
        </w:rPr>
        <w:t xml:space="preserve"> Grouping for Read-Across of NMs</w:t>
      </w:r>
      <w:r w:rsidR="00C4003D" w:rsidRPr="008E5B32">
        <w:rPr>
          <w:lang w:val="en-GB"/>
        </w:rPr>
        <w:t xml:space="preserve"> as defined </w:t>
      </w:r>
      <w:r w:rsidRPr="008E5B32">
        <w:rPr>
          <w:lang w:val="en-GB"/>
        </w:rPr>
        <w:t xml:space="preserve">by </w:t>
      </w:r>
      <w:r w:rsidR="00C4003D" w:rsidRPr="008E5B32">
        <w:rPr>
          <w:lang w:val="en-GB"/>
        </w:rPr>
        <w:t xml:space="preserve">the </w:t>
      </w:r>
      <w:r w:rsidRPr="008E5B32">
        <w:rPr>
          <w:lang w:val="en-GB"/>
        </w:rPr>
        <w:t xml:space="preserve">REACH Annex XI </w:t>
      </w:r>
      <w:r w:rsidRPr="008E5B32">
        <w:fldChar w:fldCharType="begin" w:fldLock="1"/>
      </w:r>
      <w:r w:rsidR="004C12A8" w:rsidRPr="008E5B32">
        <w:rPr>
          <w:lang w:val="en-GB"/>
        </w:rPr>
        <w:instrText>ADDIN CSL_CITATION {"citationItems":[{"id":"ITEM-1","itemData":{"author":[{"dropping-particle":"","family":"Lamon","given":"Lara","non-dropping-particle":"","parse-names":false,"suffix":""},{"dropping-particle":"","family":"Aschberger","given":"Karin","non-dropping-particle":"","parse-names":false,"suffix":""},{"dropping-particle":"","family":"Asturiol","given":"David","non-dropping-particle":"","parse-names":false,"suffix":""},{"dropping-particle":"","family":"Richarz","given":"Andrea-Nicole","non-dropping-particle":"","parse-names":false,"suffix":""},{"dropping-particle":"","family":"Worth","given":"Andrew","non-dropping-particle":"","parse-names":false,"suffix":""}],"container-title":"Accepted by Nanotoxicology","id":"ITEM-1","issued":{"date-parts":[["0"]]},"title":"Grouping of nanomaterials to read-across hazard endpoints: a review","type":"article-journal"},"uris":["http://www.mendeley.com/documents/?uuid=a0186483-e4cb-44f8-8d62-b0be5511216c","http://www.mendeley.com/documents/?uuid=720422f0-d331-4072-affa-b93d9a2a78eb","http://www.mendeley.com/documents/?uuid=194a0d98-2b90-47cd-a019-e684f1120d75"]}],"mendeley":{"formattedCitation":"&lt;sup&gt;18&lt;/sup&gt;","plainTextFormattedCitation":"18","previouslyFormattedCitation":"&lt;sup&gt;18&lt;/sup&gt;"},"properties":{"noteIndex":0},"schema":"https://github.com/citation-style-language/schema/raw/master/csl-citation.json"}</w:instrText>
      </w:r>
      <w:r w:rsidRPr="008E5B32">
        <w:fldChar w:fldCharType="separate"/>
      </w:r>
      <w:r w:rsidR="005D1733" w:rsidRPr="008E5B32">
        <w:rPr>
          <w:noProof/>
          <w:vertAlign w:val="superscript"/>
          <w:lang w:val="en-GB"/>
        </w:rPr>
        <w:t>18</w:t>
      </w:r>
      <w:r w:rsidRPr="008E5B32">
        <w:fldChar w:fldCharType="end"/>
      </w:r>
      <w:r w:rsidRPr="008E5B32">
        <w:rPr>
          <w:lang w:val="en-GB"/>
        </w:rPr>
        <w:t xml:space="preserve">. </w:t>
      </w:r>
      <w:r w:rsidR="00F7199A" w:rsidRPr="008E5B32">
        <w:rPr>
          <w:lang w:val="en-GB"/>
        </w:rPr>
        <w:t xml:space="preserve">The </w:t>
      </w:r>
      <w:r w:rsidR="00AE0599" w:rsidRPr="008E5B32">
        <w:rPr>
          <w:i/>
          <w:lang w:val="en-GB"/>
        </w:rPr>
        <w:t>in silico</w:t>
      </w:r>
      <w:r w:rsidR="00AE0599" w:rsidRPr="008E5B32">
        <w:rPr>
          <w:lang w:val="en-GB"/>
        </w:rPr>
        <w:t xml:space="preserve"> modelling </w:t>
      </w:r>
      <w:r w:rsidR="00C4003D" w:rsidRPr="008E5B32">
        <w:rPr>
          <w:lang w:val="en-GB"/>
        </w:rPr>
        <w:t xml:space="preserve">approaches </w:t>
      </w:r>
      <w:r w:rsidR="00AE0599" w:rsidRPr="008E5B32">
        <w:rPr>
          <w:lang w:val="en-GB"/>
        </w:rPr>
        <w:t xml:space="preserve">adopted in </w:t>
      </w:r>
      <w:r w:rsidR="00C4003D" w:rsidRPr="008E5B32">
        <w:rPr>
          <w:lang w:val="en-GB"/>
        </w:rPr>
        <w:t>the few reported cases</w:t>
      </w:r>
      <w:r w:rsidR="006A26BD" w:rsidRPr="008E5B32">
        <w:rPr>
          <w:lang w:val="en-GB"/>
        </w:rPr>
        <w:t xml:space="preserve"> </w:t>
      </w:r>
      <w:r w:rsidR="008F07DF" w:rsidRPr="008E5B32">
        <w:rPr>
          <w:lang w:val="en-GB"/>
        </w:rPr>
        <w:t xml:space="preserve">are </w:t>
      </w:r>
      <w:r w:rsidR="00F65685" w:rsidRPr="008E5B32">
        <w:rPr>
          <w:lang w:val="en-GB"/>
        </w:rPr>
        <w:t>critically evaluate</w:t>
      </w:r>
      <w:r w:rsidR="00F7199A" w:rsidRPr="008E5B32">
        <w:rPr>
          <w:lang w:val="en-GB"/>
        </w:rPr>
        <w:t>d</w:t>
      </w:r>
      <w:r w:rsidR="00F65685" w:rsidRPr="008E5B32">
        <w:rPr>
          <w:lang w:val="en-GB"/>
        </w:rPr>
        <w:t xml:space="preserve"> i</w:t>
      </w:r>
      <w:r w:rsidR="00B572F9" w:rsidRPr="008E5B32">
        <w:rPr>
          <w:lang w:val="en-GB"/>
        </w:rPr>
        <w:t xml:space="preserve">n </w:t>
      </w:r>
      <w:r w:rsidR="0063660B" w:rsidRPr="008E5B32">
        <w:fldChar w:fldCharType="begin"/>
      </w:r>
      <w:r w:rsidR="0063660B" w:rsidRPr="008E5B32">
        <w:rPr>
          <w:lang w:val="en-GB"/>
        </w:rPr>
        <w:instrText xml:space="preserve"> REF _Ref517446312 \h </w:instrText>
      </w:r>
      <w:r w:rsidR="00B868EB" w:rsidRPr="008E5B32">
        <w:rPr>
          <w:lang w:val="en-GB"/>
        </w:rPr>
        <w:instrText xml:space="preserve"> \* MERGEFORMAT </w:instrText>
      </w:r>
      <w:r w:rsidR="0063660B" w:rsidRPr="008E5B32">
        <w:fldChar w:fldCharType="separate"/>
      </w:r>
      <w:r w:rsidR="00785247" w:rsidRPr="008E5B32">
        <w:rPr>
          <w:lang w:val="en-GB"/>
        </w:rPr>
        <w:t>Table 3</w:t>
      </w:r>
      <w:r w:rsidR="0063660B" w:rsidRPr="008E5B32">
        <w:fldChar w:fldCharType="end"/>
      </w:r>
      <w:r w:rsidR="00B572F9" w:rsidRPr="008E5B32">
        <w:rPr>
          <w:lang w:val="en-GB"/>
        </w:rPr>
        <w:t xml:space="preserve">, </w:t>
      </w:r>
      <w:r w:rsidR="0057444B" w:rsidRPr="008E5B32">
        <w:rPr>
          <w:lang w:val="en-GB"/>
        </w:rPr>
        <w:t xml:space="preserve">by applying the </w:t>
      </w:r>
      <w:r w:rsidR="00F65685" w:rsidRPr="008E5B32">
        <w:rPr>
          <w:lang w:val="en-GB"/>
        </w:rPr>
        <w:t>criteria</w:t>
      </w:r>
      <w:r w:rsidR="00414462" w:rsidRPr="008E5B32">
        <w:rPr>
          <w:lang w:val="en-GB"/>
        </w:rPr>
        <w:t xml:space="preserve"> </w:t>
      </w:r>
      <w:r w:rsidR="00C4003D" w:rsidRPr="008E5B32">
        <w:rPr>
          <w:lang w:val="en-GB"/>
        </w:rPr>
        <w:t>from</w:t>
      </w:r>
      <w:r w:rsidR="00F65685" w:rsidRPr="008E5B32">
        <w:rPr>
          <w:lang w:val="en-GB"/>
        </w:rPr>
        <w:t xml:space="preserve"> </w:t>
      </w:r>
      <w:r w:rsidR="00B572F9" w:rsidRPr="008E5B32">
        <w:fldChar w:fldCharType="begin"/>
      </w:r>
      <w:r w:rsidR="00B572F9" w:rsidRPr="008E5B32">
        <w:rPr>
          <w:lang w:val="en-GB"/>
        </w:rPr>
        <w:instrText xml:space="preserve"> REF _Ref506551752 \h </w:instrText>
      </w:r>
      <w:r w:rsidR="00B637FA" w:rsidRPr="008E5B32">
        <w:rPr>
          <w:lang w:val="en-GB"/>
        </w:rPr>
        <w:instrText xml:space="preserve"> \* MERGEFORMAT </w:instrText>
      </w:r>
      <w:r w:rsidR="00B572F9" w:rsidRPr="008E5B32">
        <w:fldChar w:fldCharType="separate"/>
      </w:r>
      <w:r w:rsidR="00785247" w:rsidRPr="008E5B32">
        <w:rPr>
          <w:lang w:val="en-GB"/>
        </w:rPr>
        <w:t>Table 1</w:t>
      </w:r>
      <w:r w:rsidR="00B572F9" w:rsidRPr="008E5B32">
        <w:fldChar w:fldCharType="end"/>
      </w:r>
      <w:r w:rsidR="00C72095" w:rsidRPr="008E5B32">
        <w:rPr>
          <w:lang w:val="en-GB"/>
        </w:rPr>
        <w:t>.</w:t>
      </w:r>
      <w:r w:rsidR="004B2A40" w:rsidRPr="008E5B32">
        <w:rPr>
          <w:lang w:val="en-GB"/>
        </w:rPr>
        <w:t xml:space="preserve"> In addition of such criteria, the descriptors used for modelling and other information (such as whether the developed model is available as a web tool,</w:t>
      </w:r>
      <w:r w:rsidR="00FA045B" w:rsidRPr="008E5B32">
        <w:rPr>
          <w:lang w:val="en-GB"/>
        </w:rPr>
        <w:t xml:space="preserve"> or</w:t>
      </w:r>
      <w:r w:rsidR="004B2A40" w:rsidRPr="008E5B32">
        <w:rPr>
          <w:lang w:val="en-GB"/>
        </w:rPr>
        <w:t xml:space="preserve"> the approach is contextualized into an existing Grouping framework, cfr. Section 1) are highlighted, together with a brief description of the reviewed approach.</w:t>
      </w:r>
    </w:p>
    <w:p w14:paraId="7F8942E1" w14:textId="5A8B1EE8" w:rsidR="00B572F9" w:rsidRPr="008E5B32" w:rsidRDefault="00B572F9" w:rsidP="00827E3E">
      <w:pPr>
        <w:pStyle w:val="Papercaption"/>
        <w:rPr>
          <w:lang w:val="en-GB"/>
        </w:rPr>
      </w:pPr>
      <w:bookmarkStart w:id="10" w:name="_Ref517446312"/>
      <w:bookmarkStart w:id="11" w:name="_Ref517446303"/>
      <w:r w:rsidRPr="008E5B32">
        <w:rPr>
          <w:lang w:val="en-GB"/>
        </w:rPr>
        <w:t xml:space="preserve">Table </w:t>
      </w:r>
      <w:r w:rsidRPr="008E5B32">
        <w:fldChar w:fldCharType="begin"/>
      </w:r>
      <w:r w:rsidRPr="008E5B32">
        <w:rPr>
          <w:lang w:val="en-GB"/>
        </w:rPr>
        <w:instrText xml:space="preserve"> SEQ Table \* ARABIC </w:instrText>
      </w:r>
      <w:r w:rsidRPr="008E5B32">
        <w:fldChar w:fldCharType="separate"/>
      </w:r>
      <w:r w:rsidR="00785247" w:rsidRPr="008E5B32">
        <w:rPr>
          <w:noProof/>
          <w:lang w:val="en-GB"/>
        </w:rPr>
        <w:t>3</w:t>
      </w:r>
      <w:r w:rsidRPr="008E5B32">
        <w:fldChar w:fldCharType="end"/>
      </w:r>
      <w:bookmarkEnd w:id="10"/>
      <w:r w:rsidRPr="008E5B32">
        <w:rPr>
          <w:lang w:val="en-GB"/>
        </w:rPr>
        <w:t xml:space="preserve">: </w:t>
      </w:r>
      <w:r w:rsidR="00246300" w:rsidRPr="008E5B32">
        <w:rPr>
          <w:lang w:val="en-GB"/>
        </w:rPr>
        <w:t>Selection</w:t>
      </w:r>
      <w:r w:rsidRPr="008E5B32">
        <w:rPr>
          <w:lang w:val="en-GB"/>
        </w:rPr>
        <w:t xml:space="preserve"> of</w:t>
      </w:r>
      <w:r w:rsidR="00246300" w:rsidRPr="008E5B32">
        <w:rPr>
          <w:lang w:val="en-GB"/>
        </w:rPr>
        <w:t xml:space="preserve"> peer-reviewed studies</w:t>
      </w:r>
      <w:r w:rsidRPr="008E5B32">
        <w:rPr>
          <w:lang w:val="en-GB"/>
        </w:rPr>
        <w:t xml:space="preserve"> </w:t>
      </w:r>
      <w:r w:rsidR="00ED6F70" w:rsidRPr="008E5B32">
        <w:rPr>
          <w:lang w:val="en-GB"/>
        </w:rPr>
        <w:t>Grouping</w:t>
      </w:r>
      <w:r w:rsidRPr="008E5B32">
        <w:rPr>
          <w:lang w:val="en-GB"/>
        </w:rPr>
        <w:t xml:space="preserve"> for </w:t>
      </w:r>
      <w:r w:rsidR="00650B32" w:rsidRPr="008E5B32">
        <w:rPr>
          <w:lang w:val="en-GB"/>
        </w:rPr>
        <w:t>Read-</w:t>
      </w:r>
      <w:bookmarkEnd w:id="11"/>
      <w:r w:rsidR="00246300" w:rsidRPr="008E5B32">
        <w:rPr>
          <w:lang w:val="en-GB"/>
        </w:rPr>
        <w:t xml:space="preserve">Across of hazard endpoints, evaluated using the criteria described in </w:t>
      </w:r>
      <w:r w:rsidR="00246300" w:rsidRPr="008E5B32">
        <w:fldChar w:fldCharType="begin"/>
      </w:r>
      <w:r w:rsidR="00246300" w:rsidRPr="008E5B32">
        <w:rPr>
          <w:lang w:val="en-GB"/>
        </w:rPr>
        <w:instrText xml:space="preserve"> REF _Ref506551752 \h  \* MERGEFORMAT </w:instrText>
      </w:r>
      <w:r w:rsidR="00246300" w:rsidRPr="008E5B32">
        <w:fldChar w:fldCharType="separate"/>
      </w:r>
      <w:r w:rsidR="00785247" w:rsidRPr="008E5B32">
        <w:rPr>
          <w:lang w:val="en-GB"/>
        </w:rPr>
        <w:t>Table 1</w:t>
      </w:r>
      <w:r w:rsidR="00246300" w:rsidRPr="008E5B32">
        <w:fldChar w:fldCharType="end"/>
      </w:r>
      <w:r w:rsidRPr="008E5B32">
        <w:rPr>
          <w:lang w:val="en-GB"/>
        </w:rPr>
        <w:t xml:space="preserve"> </w:t>
      </w:r>
    </w:p>
    <w:tbl>
      <w:tblPr>
        <w:tblStyle w:val="Paper"/>
        <w:tblW w:w="0" w:type="auto"/>
        <w:tblLook w:val="0620" w:firstRow="1" w:lastRow="0" w:firstColumn="0" w:lastColumn="0" w:noHBand="1" w:noVBand="1"/>
      </w:tblPr>
      <w:tblGrid>
        <w:gridCol w:w="537"/>
        <w:gridCol w:w="4151"/>
        <w:gridCol w:w="1778"/>
        <w:gridCol w:w="1320"/>
        <w:gridCol w:w="1428"/>
        <w:gridCol w:w="795"/>
        <w:gridCol w:w="709"/>
        <w:gridCol w:w="1239"/>
        <w:gridCol w:w="1370"/>
        <w:gridCol w:w="627"/>
      </w:tblGrid>
      <w:tr w:rsidR="004C12A8" w:rsidRPr="008E5B32" w14:paraId="52452431" w14:textId="77777777" w:rsidTr="008A1247">
        <w:trPr>
          <w:cnfStyle w:val="100000000000" w:firstRow="1" w:lastRow="0" w:firstColumn="0" w:lastColumn="0" w:oddVBand="0" w:evenVBand="0" w:oddHBand="0" w:evenHBand="0" w:firstRowFirstColumn="0" w:firstRowLastColumn="0" w:lastRowFirstColumn="0" w:lastRowLastColumn="0"/>
          <w:cantSplit/>
          <w:trHeight w:val="1365"/>
          <w:tblHeader/>
        </w:trPr>
        <w:tc>
          <w:tcPr>
            <w:tcW w:w="537" w:type="dxa"/>
            <w:textDirection w:val="btLr"/>
          </w:tcPr>
          <w:p w14:paraId="4FD7BB62" w14:textId="77777777" w:rsidR="002E17B3" w:rsidRPr="008E5B32" w:rsidRDefault="002E17B3" w:rsidP="00D73FD4">
            <w:pPr>
              <w:ind w:left="113" w:right="113"/>
              <w:jc w:val="center"/>
            </w:pPr>
            <w:r w:rsidRPr="008E5B32">
              <w:t>Ref</w:t>
            </w:r>
            <w:r w:rsidR="00D73FD4" w:rsidRPr="008E5B32">
              <w:t>erence</w:t>
            </w:r>
          </w:p>
        </w:tc>
        <w:tc>
          <w:tcPr>
            <w:tcW w:w="4151" w:type="dxa"/>
          </w:tcPr>
          <w:p w14:paraId="223C6C01" w14:textId="77777777" w:rsidR="002E17B3" w:rsidRPr="008E5B32" w:rsidRDefault="002E17B3" w:rsidP="00302BDF">
            <w:r w:rsidRPr="008E5B32">
              <w:t>Description</w:t>
            </w:r>
          </w:p>
        </w:tc>
        <w:tc>
          <w:tcPr>
            <w:tcW w:w="1778" w:type="dxa"/>
            <w:textDirection w:val="btLr"/>
          </w:tcPr>
          <w:p w14:paraId="03082E32" w14:textId="77777777" w:rsidR="002E17B3" w:rsidRPr="008E5B32" w:rsidRDefault="002E17B3" w:rsidP="00D73FD4">
            <w:pPr>
              <w:ind w:left="113" w:right="113"/>
              <w:jc w:val="center"/>
            </w:pPr>
            <w:r w:rsidRPr="008E5B32">
              <w:t>Modelled endpoint</w:t>
            </w:r>
          </w:p>
        </w:tc>
        <w:tc>
          <w:tcPr>
            <w:tcW w:w="1320" w:type="dxa"/>
            <w:textDirection w:val="btLr"/>
          </w:tcPr>
          <w:p w14:paraId="6BE0E0BE" w14:textId="77777777" w:rsidR="002E17B3" w:rsidRPr="008E5B32" w:rsidRDefault="002E17B3" w:rsidP="00D73FD4">
            <w:pPr>
              <w:ind w:left="113" w:right="113"/>
              <w:jc w:val="center"/>
            </w:pPr>
            <w:r w:rsidRPr="008E5B32">
              <w:t>Dataset size</w:t>
            </w:r>
          </w:p>
        </w:tc>
        <w:tc>
          <w:tcPr>
            <w:tcW w:w="1428" w:type="dxa"/>
            <w:textDirection w:val="btLr"/>
          </w:tcPr>
          <w:p w14:paraId="2D1ADC27" w14:textId="77777777" w:rsidR="002E17B3" w:rsidRPr="008E5B32" w:rsidRDefault="002E17B3" w:rsidP="00D73FD4">
            <w:pPr>
              <w:ind w:left="113" w:right="113"/>
              <w:jc w:val="center"/>
            </w:pPr>
            <w:r w:rsidRPr="008E5B32">
              <w:t>Modelling approach</w:t>
            </w:r>
          </w:p>
        </w:tc>
        <w:tc>
          <w:tcPr>
            <w:tcW w:w="795" w:type="dxa"/>
            <w:textDirection w:val="btLr"/>
          </w:tcPr>
          <w:p w14:paraId="7A7C89C6" w14:textId="77777777" w:rsidR="002E17B3" w:rsidRPr="008E5B32" w:rsidRDefault="002E17B3" w:rsidP="00D73FD4">
            <w:pPr>
              <w:ind w:left="113" w:right="113"/>
              <w:jc w:val="center"/>
            </w:pPr>
            <w:r w:rsidRPr="008E5B32">
              <w:t>Model validation</w:t>
            </w:r>
          </w:p>
        </w:tc>
        <w:tc>
          <w:tcPr>
            <w:tcW w:w="709" w:type="dxa"/>
            <w:textDirection w:val="btLr"/>
          </w:tcPr>
          <w:p w14:paraId="16BE6752" w14:textId="77777777" w:rsidR="002E17B3" w:rsidRPr="008E5B32" w:rsidRDefault="002E17B3" w:rsidP="00D73FD4">
            <w:pPr>
              <w:ind w:left="113" w:right="113"/>
              <w:jc w:val="center"/>
            </w:pPr>
            <w:r w:rsidRPr="008E5B32">
              <w:t>Statistics and metrics</w:t>
            </w:r>
          </w:p>
        </w:tc>
        <w:tc>
          <w:tcPr>
            <w:tcW w:w="1239" w:type="dxa"/>
            <w:textDirection w:val="btLr"/>
          </w:tcPr>
          <w:p w14:paraId="218E67F8" w14:textId="77777777" w:rsidR="002E17B3" w:rsidRPr="008E5B32" w:rsidRDefault="002E17B3" w:rsidP="00D73FD4">
            <w:pPr>
              <w:ind w:left="113" w:right="113"/>
              <w:jc w:val="center"/>
            </w:pPr>
            <w:r w:rsidRPr="008E5B32">
              <w:t>AD assessment</w:t>
            </w:r>
          </w:p>
        </w:tc>
        <w:tc>
          <w:tcPr>
            <w:tcW w:w="1370" w:type="dxa"/>
            <w:textDirection w:val="btLr"/>
          </w:tcPr>
          <w:p w14:paraId="6F374AE4" w14:textId="77777777" w:rsidR="002E17B3" w:rsidRPr="008E5B32" w:rsidRDefault="002E17B3" w:rsidP="00D73FD4">
            <w:pPr>
              <w:ind w:left="113" w:right="113"/>
              <w:jc w:val="center"/>
            </w:pPr>
            <w:r w:rsidRPr="008E5B32">
              <w:t>Uncertainty and variability assessment</w:t>
            </w:r>
          </w:p>
        </w:tc>
        <w:tc>
          <w:tcPr>
            <w:tcW w:w="627" w:type="dxa"/>
            <w:textDirection w:val="btLr"/>
          </w:tcPr>
          <w:p w14:paraId="3740F6B4" w14:textId="77777777" w:rsidR="002E17B3" w:rsidRPr="008E5B32" w:rsidRDefault="002E17B3" w:rsidP="002E5328">
            <w:pPr>
              <w:ind w:left="113" w:right="113"/>
              <w:jc w:val="center"/>
            </w:pPr>
            <w:r w:rsidRPr="008E5B32">
              <w:t>Model interpretation</w:t>
            </w:r>
          </w:p>
        </w:tc>
      </w:tr>
      <w:tr w:rsidR="004C12A8" w:rsidRPr="008E5B32" w14:paraId="23863820" w14:textId="77777777" w:rsidTr="008A1247">
        <w:tc>
          <w:tcPr>
            <w:tcW w:w="537" w:type="dxa"/>
          </w:tcPr>
          <w:p w14:paraId="418A4C9C" w14:textId="3E99DE08" w:rsidR="00742C9E" w:rsidRPr="008E5B32" w:rsidRDefault="00742C9E" w:rsidP="00BA08CB">
            <w:pPr>
              <w:jc w:val="center"/>
              <w:rPr>
                <w:lang w:val="en-GB"/>
              </w:rPr>
            </w:pPr>
            <w:r w:rsidRPr="008E5B32">
              <w:fldChar w:fldCharType="begin" w:fldLock="1"/>
            </w:r>
            <w:r w:rsidR="00434385" w:rsidRPr="008E5B32">
              <w:rPr>
                <w:szCs w:val="18"/>
              </w:rPr>
              <w:instrText>ADDIN CSL_CITATION {"citationItems":[{"id":"ITEM-1","itemData":{"DOI":"10.1021/nn102734s","ISBN":"1936-0851","ISSN":"19360851","PMID":"21323332","abstract":"Because of concerns about the safety of a growing number of engineered nanomaterials (ENM), it is necessary to develop high-throughput screening and in silico data transformation tools that can speed up in vitro hazard ranking. Here, we report the use of a multiparametric, automated screening assay that incorporates sublethal and lethal cellular injury responses to perform high-throughput analysis of a batch of commercial metal/metal oxide nanoparticles (NP) with the inclusion of a quantum dot (QD1). The responses chosen for tracking cellular injury through automated epifluorescence microscopy included ROS production, intracellular calcium flux, mitochondrial depolarization, and plasma membrane permeability. The z-score transformed high volume data set was used to construct heat maps for in vitro hazard ranking as well as showing the similarity patterns of NPs and response parameters through the use of self-organizing maps (SOM). Among the materials analyzed, QD1 and nano-ZnO showed the most prominent lethality, while Pt, Ag, SiO2, Al2O3, and Au triggered sublethal effects but without cytotoxicity. In order to compare the in vitro with the in vivo response outcomes in zebrafish embryos, NPs were used to assess their impact on mortality rate, hatching rate, cardiac rate, and morphological defects. While QDs, ZnO, and Ag induced morphological abnormalities or interfered in embryo hatching, Pt and Ag exerted inhibitory effects on cardiac rate. Ag toxicity in zebrafish differed from the in vitro results, which is congruent with this material's designation as extremely dangerous in the environment. Interestingly, while toxicity in the initially selected QD formulation was due to a solvent (toluene), supplementary testing of additional QDs selections yielded in vitro hazard profiling that reflect the release of chalcogenides. In conclusion, the use of a high-throughput screening, in silico data handling and zebrafish testing may constitute a paradigm for rapid and integrated ENM toxicological screening.","author":[{"dropping-particle":"","family":"George","given":"Saji","non-dropping-particle":"","parse-names":false,"suffix":""},{"dropping-particle":"","family":"Xia","given":"Tian","non-dropping-particle":"","parse-names":false,"suffix":""},{"dropping-particle":"","family":"Rallo","given":"Robert","non-dropping-particle":"","parse-names":false,"suffix":""},{"dropping-particle":"","family":"Zhao","given":"Yan","non-dropping-particle":"","parse-names":false,"suffix":""},{"dropping-particle":"","family":"Ji","given":"Zhaoxia","non-dropping-particle":"","parse-names":false,"suffix":""},{"dropping-particle":"","family":"Lin","given":"Sijie","non-dropping-particle":"","parse-names":false,"suffix":""},{"dropping-particle":"","family":"Wang","given":"Xiang","non-dropping-particle":"","parse-names":false,"suffix":""},{"dropping-particle":"","family":"Zhang","given":"Haiyuan","non-dropping-particle":"","parse-names":false,"suffix":""},{"dropping-particle":"","family":"France","given":"Bryan","non-dropping-particle":"","parse-names":false,"suffix":""},{"dropping-particle":"","family":"Schoenfeld","given":"David","non-dropping-particle":"","parse-names":false,"suffix":""},{"dropping-particle":"","family":"Damoiseaux","given":"Robert","non-dropping-particle":"","parse-names":false,"s</w:instrText>
            </w:r>
            <w:r w:rsidR="00434385" w:rsidRPr="008E5B32">
              <w:rPr>
                <w:szCs w:val="18"/>
                <w:lang w:val="en-US"/>
              </w:rPr>
              <w:instrText>uffix":""},{"dropping-particle":"","family":"Liu","given":"Rong","non-dropping-particle":"","parse-names":false,"suffix":""},{"dropping-particle":"","family":"Lin","given":"Shuo","non-dropping-particle":"","parse-names":false,"suffix":""},{"dropping-particle":"","family":"Bradley","given":"Kenneth a.","non-dropping-particle":"","parse-names":false,"suffix":""},{"dropping-particle":"","family":"Cohen","given":"Yoram","non-dropping-particle":"","parse-names":false,"suffix":""},{"dropping-particle":"","family":"Nel","given":"André E.","non-dropping-particle":"","parse-names":false,"suffix":""}],"container-title":"ACS Nano","id":"ITEM-1","issue":"3","issued":{"date-parts":[["2011"]]},"page":"1805-1817","title":"Use of a high-throughput screening approach coupled with in vivo zebrafish embryo screening to develop hazard ranking for engineered nanomaterials","type":"article-journal","volume":"5"},"suppress-author":1,"uris":["http://www.mendeley.com/documents/?uuid=5b988b3c-a598-4b06-9b2f-0addd284e357","http://www.mendeley.com/documents/?uuid=b3170df1-3d17-4af9-9f40-a4b437a13f2a","http://www.mendeley.com/documents/?uuid=acae678c-5735-42c5-b373-aa42b84b1567","http://www.mendeley.com/documents/?uuid=b7dd40e8-06e3-4de0-ba0b-6a7a566fe92c"]}],"mendeley":{"formattedCitation":"&lt;sup&gt;77&lt;/sup&gt;","plainTextFormattedCitation":"77","previouslyFormattedCitation":"&lt;sup&gt;77&lt;/sup&gt;"},"properties":{"noteIndex":0},"schema":"https://github.com/citation-style-language/schema/raw/master/csl-citation.json"}</w:instrText>
            </w:r>
            <w:r w:rsidRPr="008E5B32">
              <w:rPr>
                <w:sz w:val="24"/>
                <w:szCs w:val="18"/>
              </w:rPr>
              <w:fldChar w:fldCharType="separate"/>
            </w:r>
            <w:r w:rsidR="004C12A8" w:rsidRPr="008E5B32">
              <w:rPr>
                <w:noProof/>
                <w:szCs w:val="18"/>
                <w:vertAlign w:val="superscript"/>
                <w:lang w:val="en-GB"/>
              </w:rPr>
              <w:t>77</w:t>
            </w:r>
            <w:r w:rsidRPr="008E5B32">
              <w:fldChar w:fldCharType="end"/>
            </w:r>
          </w:p>
        </w:tc>
        <w:tc>
          <w:tcPr>
            <w:tcW w:w="4151" w:type="dxa"/>
          </w:tcPr>
          <w:p w14:paraId="71A9CA38" w14:textId="2C6730BA" w:rsidR="00742C9E" w:rsidRPr="008E5B32" w:rsidRDefault="00742C9E" w:rsidP="00BA08CB">
            <w:pPr>
              <w:jc w:val="both"/>
              <w:rPr>
                <w:szCs w:val="18"/>
                <w:lang w:val="en-GB"/>
              </w:rPr>
            </w:pPr>
            <w:r w:rsidRPr="008E5B32">
              <w:rPr>
                <w:i/>
                <w:szCs w:val="18"/>
                <w:lang w:val="en-GB"/>
              </w:rPr>
              <w:t>In vitro</w:t>
            </w:r>
            <w:r w:rsidRPr="008E5B32">
              <w:rPr>
                <w:szCs w:val="18"/>
                <w:lang w:val="en-GB"/>
              </w:rPr>
              <w:t xml:space="preserve"> tests in combination with computational data analysis (heat maps and </w:t>
            </w:r>
            <w:r w:rsidR="00DD456E" w:rsidRPr="008E5B32">
              <w:rPr>
                <w:szCs w:val="18"/>
                <w:lang w:val="en-GB"/>
              </w:rPr>
              <w:t>SOM</w:t>
            </w:r>
            <w:r w:rsidR="00B17088" w:rsidRPr="008E5B32">
              <w:rPr>
                <w:szCs w:val="18"/>
                <w:lang w:val="en-GB"/>
              </w:rPr>
              <w:t>s</w:t>
            </w:r>
            <w:r w:rsidR="004B2A40" w:rsidRPr="008E5B32">
              <w:rPr>
                <w:szCs w:val="18"/>
                <w:lang w:val="en-GB"/>
              </w:rPr>
              <w:t xml:space="preserve"> of</w:t>
            </w:r>
            <w:r w:rsidR="00D834B8" w:rsidRPr="008E5B32">
              <w:rPr>
                <w:szCs w:val="18"/>
                <w:lang w:val="en-GB"/>
              </w:rPr>
              <w:t xml:space="preserve"> cell responses at different doses and exposure times</w:t>
            </w:r>
            <w:r w:rsidRPr="008E5B32">
              <w:rPr>
                <w:szCs w:val="18"/>
                <w:lang w:val="en-GB"/>
              </w:rPr>
              <w:t>) and zebrafish embryo screening are combined for hazard assessment, for metal oxides and a quantum dot.</w:t>
            </w:r>
          </w:p>
        </w:tc>
        <w:tc>
          <w:tcPr>
            <w:tcW w:w="1778" w:type="dxa"/>
          </w:tcPr>
          <w:p w14:paraId="19BFC679" w14:textId="77777777" w:rsidR="00742C9E" w:rsidRPr="008E5B32" w:rsidRDefault="00742C9E" w:rsidP="00BA08CB">
            <w:pPr>
              <w:jc w:val="center"/>
              <w:rPr>
                <w:rFonts w:ascii="Segoe UI Symbol" w:hAnsi="Segoe UI Symbol" w:cs="Segoe UI Symbol"/>
                <w:szCs w:val="18"/>
                <w:lang w:val="en-GB"/>
              </w:rPr>
            </w:pPr>
            <w:r w:rsidRPr="008E5B32">
              <w:rPr>
                <w:rFonts w:ascii="Segoe UI Symbol" w:hAnsi="Segoe UI Symbol" w:cs="Segoe UI Symbol"/>
                <w:szCs w:val="18"/>
                <w:lang w:val="en-GB"/>
              </w:rPr>
              <w:t>✗</w:t>
            </w:r>
          </w:p>
          <w:p w14:paraId="6D2DDACF" w14:textId="77777777" w:rsidR="00742C9E" w:rsidRPr="008E5B32" w:rsidRDefault="00742C9E" w:rsidP="00BA08CB">
            <w:pPr>
              <w:jc w:val="center"/>
              <w:rPr>
                <w:lang w:val="en-GB"/>
              </w:rPr>
            </w:pPr>
            <w:r w:rsidRPr="008E5B32">
              <w:rPr>
                <w:szCs w:val="18"/>
                <w:lang w:val="en-GB"/>
              </w:rPr>
              <w:t>(</w:t>
            </w:r>
            <w:r w:rsidRPr="008E5B32">
              <w:rPr>
                <w:i/>
                <w:szCs w:val="18"/>
                <w:lang w:val="en-GB"/>
              </w:rPr>
              <w:t>In vitro</w:t>
            </w:r>
            <w:r w:rsidRPr="008E5B32">
              <w:rPr>
                <w:szCs w:val="18"/>
                <w:lang w:val="en-GB"/>
              </w:rPr>
              <w:t xml:space="preserve"> sublethal and lethal endpoints and </w:t>
            </w:r>
            <w:r w:rsidRPr="008E5B32">
              <w:rPr>
                <w:i/>
                <w:szCs w:val="18"/>
                <w:lang w:val="en-GB"/>
              </w:rPr>
              <w:t>in vivo</w:t>
            </w:r>
            <w:r w:rsidRPr="008E5B32">
              <w:rPr>
                <w:szCs w:val="18"/>
                <w:lang w:val="en-GB"/>
              </w:rPr>
              <w:t xml:space="preserve"> response on Zebrafish embryo)</w:t>
            </w:r>
          </w:p>
        </w:tc>
        <w:tc>
          <w:tcPr>
            <w:tcW w:w="1320" w:type="dxa"/>
          </w:tcPr>
          <w:p w14:paraId="133022A6" w14:textId="6C518864" w:rsidR="00742C9E" w:rsidRPr="008E5B32" w:rsidRDefault="00742C9E" w:rsidP="00BA08CB">
            <w:pPr>
              <w:jc w:val="center"/>
            </w:pPr>
            <w:r w:rsidRPr="008E5B32">
              <w:rPr>
                <w:szCs w:val="18"/>
                <w:lang w:val="en-GB"/>
              </w:rPr>
              <w:t>7 + 1</w:t>
            </w:r>
            <w:r w:rsidR="005C0843" w:rsidRPr="008E5B32">
              <w:rPr>
                <w:szCs w:val="18"/>
                <w:lang w:val="en-GB"/>
              </w:rPr>
              <w:t xml:space="preserve"> </w:t>
            </w:r>
            <w:r w:rsidR="005C0843" w:rsidRPr="008E5B32">
              <w:rPr>
                <w:szCs w:val="18"/>
              </w:rPr>
              <w:fldChar w:fldCharType="begin" w:fldLock="1"/>
            </w:r>
            <w:r w:rsidR="00434385" w:rsidRPr="008E5B32">
              <w:rPr>
                <w:szCs w:val="18"/>
                <w:lang w:val="en-GB"/>
              </w:rPr>
              <w:instrText>ADDIN CSL_CITATION {"citationItems":[{"id":"ITEM-1","itemData":{"DOI":"10.1021/nn901503q","ISBN":"1936-0851","ISSN":"19360851","PMID":"20043640","abstract":"The establishment of verifiably safe nanotechnology requires the development of assessment tools to identify hazardous nanomaterial properties that could be modified to improve nanomaterial safety. While there is a lot of debate of what constitutes appropriate safety screening methods, one approach is to use the assessment of cellular injury pathways to collect knowledge about hazardous material properties that could lead to harm to humans and the environment. We demonstrate the use of a multiparameter cytotoxicity assay that evaluates toxic oxidative stress to compare the effects of titanium dioxide (TiO(2)), cerium oxide (CeO(2)), and zinc oxide (ZnO) nanoparticles in bronchial epithelial and macrophage cell lines. The nanoparticles were chosen on the basis of their volume of production and likelihood of spread to the environment. Among the materials, dissolution of ZnO nanoparticles and Zn(2+) release were capable of ROS generation and activation of an integrated cytotoxic pathway that includes intracellular calcium flux, mitochondrial depolarization, and plasma membrane leakage. These responses were chosen on the basis of the compatibility of the fluorescent dyes that contemporaneously assess their response characteristics by a semiautomated epifluorescence procedure. Purposeful reduction of ZnO cytotoxicity was achieved by iron doping, which changed the material matrix to slow Zn(2+) release. In summary, we demonstrate the utility of a rapid throughput, integrated biological oxidative stress response pathway to perform hazard ranking of a small batch of metal oxide nanoparticles, in addition to showing how this assay can be used to improve nanosafety by decreasing ZnO dissolution through Fe doping.","author":[{"dropping-particle":"","family":"George","given":"Saji","non-dropping-particle":"","parse-names":false,"suffix":""},{"dropping-particle":"","family":"Pokhrel","given":"Suman","non-dropping-particle":"","parse-names":false,"suffix":""},{"dropping-particle":"","family":"Xia","given":"Tian","non-dropping-particle":"","parse-names":false,"suffix":""},{"dropping-particle":"","family":"Gilbert","given":"Benjamin","non-dropping-particle":"","parse-names":false,"suffix":""},{"dropping-particle":"","family":"Ji","given":"Zhaoxia","non-dropping-particle":"","parse-names":false,"suffix":""},{"dropping-particle":"","family":"Schowalter","given":"Marco","non-dropping-particle":"","parse-names":false,"suffix":""},{"dropping-particle":"","family":"Rosenauer","given":"Andreas","non-dropping-particle":"","parse-names":false,"suffix":""},{"dropping-particle":"","family":"Damoiseaux","given":"Robert","non-dropping-particle":"","parse-names":false,"suffix":""},{"dropping-particle":"","family":"Bradley","given":"Kenneth A.","non-dropping-particle":"","parse-names":false,"suffix":""},{"dropping-particle":"","family":"M??dler","given":"Lutz","non-dropping-particle":"","parse-names":false,"suffix":""},{"dropping-particle":"","family":"Nel","given":"Andr?? E.","non-dropping-particle":"","parse-names":false,"suffix":""}],"container-title":"ACS Nano","id":"ITEM-1","issued":{"date-parts":[["2010"]]},"title":"Use of a rapid cytotoxicity screening approach to engineer a safer zinc oxide nanoparticle through iron doping","type":"article-journal"},"uris":["http://www.mendeley.com/documents/?uuid=5e5f2032-2634-4873-9e0e-0b877b5a48b3","http://www.mendeley.com/documents/?uuid=ecc18e61-600b-4075-b318-6ccf88e0a38f","http://www.mendeley.com/documents/?uuid=a4f8ac1d-0564-4d7b-a5f0-621f7573c1da"]}],"mendeley":{"formattedCitation":"&lt;sup&gt;78&lt;/sup&gt;","plainTextFormattedCitation":"78","previouslyFormattedCitation":"&lt;sup&gt;78&lt;/sup&gt;"},"properties":{"noteIndex":0},"schema":"https://github.com/citation-style-language/schema/raw/master/csl-citation.json"}</w:instrText>
            </w:r>
            <w:r w:rsidR="005C0843" w:rsidRPr="008E5B32">
              <w:rPr>
                <w:szCs w:val="18"/>
              </w:rPr>
              <w:fldChar w:fldCharType="separate"/>
            </w:r>
            <w:r w:rsidR="004C12A8" w:rsidRPr="008E5B32">
              <w:rPr>
                <w:noProof/>
                <w:szCs w:val="18"/>
                <w:vertAlign w:val="superscript"/>
              </w:rPr>
              <w:t>78</w:t>
            </w:r>
            <w:r w:rsidR="005C0843" w:rsidRPr="008E5B32">
              <w:rPr>
                <w:szCs w:val="18"/>
              </w:rPr>
              <w:fldChar w:fldCharType="end"/>
            </w:r>
          </w:p>
        </w:tc>
        <w:tc>
          <w:tcPr>
            <w:tcW w:w="1428" w:type="dxa"/>
          </w:tcPr>
          <w:p w14:paraId="38AE0010" w14:textId="77777777" w:rsidR="00742C9E" w:rsidRPr="008E5B32" w:rsidRDefault="00742C9E" w:rsidP="00BA08CB">
            <w:pPr>
              <w:jc w:val="center"/>
            </w:pPr>
            <w:r w:rsidRPr="008E5B32">
              <w:rPr>
                <w:rFonts w:ascii="Segoe UI Symbol" w:hAnsi="Segoe UI Symbol" w:cs="Segoe UI Symbol"/>
              </w:rPr>
              <w:t>✓</w:t>
            </w:r>
          </w:p>
          <w:p w14:paraId="064543C7" w14:textId="77777777" w:rsidR="00742C9E" w:rsidRPr="008E5B32" w:rsidRDefault="00742C9E" w:rsidP="00BA08CB">
            <w:pPr>
              <w:jc w:val="center"/>
              <w:rPr>
                <w:i/>
              </w:rPr>
            </w:pPr>
            <w:r w:rsidRPr="008E5B32">
              <w:rPr>
                <w:i/>
                <w:szCs w:val="18"/>
              </w:rPr>
              <w:t xml:space="preserve">(SOM) </w:t>
            </w:r>
          </w:p>
        </w:tc>
        <w:tc>
          <w:tcPr>
            <w:tcW w:w="795" w:type="dxa"/>
          </w:tcPr>
          <w:p w14:paraId="2A45D43B" w14:textId="77777777" w:rsidR="00742C9E" w:rsidRPr="008E5B32" w:rsidRDefault="00742C9E"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709" w:type="dxa"/>
          </w:tcPr>
          <w:p w14:paraId="53EB91FB" w14:textId="77777777" w:rsidR="00742C9E" w:rsidRPr="008E5B32" w:rsidRDefault="00742C9E" w:rsidP="00BA08CB">
            <w:pPr>
              <w:jc w:val="center"/>
              <w:rPr>
                <w:rFonts w:ascii="Segoe UI Symbol" w:eastAsia="Segoe UI Symbol" w:hAnsi="Segoe UI Symbol" w:cs="Segoe UI Symbol"/>
                <w:color w:val="222222"/>
              </w:rPr>
            </w:pPr>
            <w:r w:rsidRPr="008E5B32">
              <w:rPr>
                <w:rFonts w:ascii="Segoe UI Symbol" w:hAnsi="Segoe UI Symbol" w:cs="Segoe UI Symbol"/>
                <w:szCs w:val="18"/>
              </w:rPr>
              <w:t>✗</w:t>
            </w:r>
          </w:p>
        </w:tc>
        <w:tc>
          <w:tcPr>
            <w:tcW w:w="1239" w:type="dxa"/>
          </w:tcPr>
          <w:p w14:paraId="0F4C2D04" w14:textId="77777777" w:rsidR="00742C9E" w:rsidRPr="008E5B32" w:rsidRDefault="00742C9E" w:rsidP="00BA08CB">
            <w:pPr>
              <w:jc w:val="center"/>
              <w:rPr>
                <w:rFonts w:ascii="Segoe UI Symbol" w:eastAsia="Segoe UI Symbol" w:hAnsi="Segoe UI Symbol" w:cs="Segoe UI Symbol"/>
                <w:color w:val="222222"/>
              </w:rPr>
            </w:pPr>
            <w:r w:rsidRPr="008E5B32">
              <w:rPr>
                <w:rFonts w:ascii="Segoe UI Symbol" w:hAnsi="Segoe UI Symbol" w:cs="Segoe UI Symbol"/>
                <w:szCs w:val="18"/>
              </w:rPr>
              <w:t>✗</w:t>
            </w:r>
          </w:p>
        </w:tc>
        <w:tc>
          <w:tcPr>
            <w:tcW w:w="1370" w:type="dxa"/>
          </w:tcPr>
          <w:p w14:paraId="7867BC54" w14:textId="77777777" w:rsidR="00742C9E" w:rsidRPr="008E5B32" w:rsidRDefault="00742C9E" w:rsidP="00BA08CB">
            <w:pPr>
              <w:jc w:val="center"/>
            </w:pPr>
            <w:r w:rsidRPr="008E5B32">
              <w:rPr>
                <w:rFonts w:ascii="Segoe UI Symbol" w:hAnsi="Segoe UI Symbol" w:cs="Segoe UI Symbol"/>
                <w:szCs w:val="18"/>
              </w:rPr>
              <w:t>✗</w:t>
            </w:r>
          </w:p>
        </w:tc>
        <w:tc>
          <w:tcPr>
            <w:tcW w:w="627" w:type="dxa"/>
          </w:tcPr>
          <w:p w14:paraId="3EB0E677" w14:textId="77777777" w:rsidR="00742C9E" w:rsidRPr="008E5B32" w:rsidRDefault="00742C9E" w:rsidP="00BA08CB">
            <w:pPr>
              <w:jc w:val="center"/>
              <w:rPr>
                <w:rFonts w:ascii="Segoe UI Symbol" w:eastAsia="Segoe UI Symbol" w:hAnsi="Segoe UI Symbol" w:cs="Segoe UI Symbol"/>
                <w:color w:val="222222"/>
              </w:rPr>
            </w:pPr>
            <w:r w:rsidRPr="008E5B32">
              <w:rPr>
                <w:rFonts w:ascii="Segoe UI Symbol" w:eastAsia="Segoe UI Symbol" w:hAnsi="Segoe UI Symbol" w:cs="Segoe UI Symbol"/>
                <w:color w:val="222222"/>
              </w:rPr>
              <w:t>✓</w:t>
            </w:r>
          </w:p>
        </w:tc>
      </w:tr>
      <w:tr w:rsidR="004C12A8" w:rsidRPr="008E5B32" w14:paraId="564089B5" w14:textId="77777777" w:rsidTr="008A1247">
        <w:tc>
          <w:tcPr>
            <w:tcW w:w="537" w:type="dxa"/>
          </w:tcPr>
          <w:p w14:paraId="6F23F5BE" w14:textId="6D27B272" w:rsidR="00742C9E" w:rsidRPr="008E5B32" w:rsidRDefault="00742C9E" w:rsidP="00BA08CB">
            <w:pPr>
              <w:jc w:val="center"/>
              <w:rPr>
                <w:lang w:val="en-GB"/>
              </w:rPr>
            </w:pPr>
            <w:r w:rsidRPr="008E5B32">
              <w:rPr>
                <w:lang w:eastAsia="en-GB"/>
              </w:rPr>
              <w:fldChar w:fldCharType="begin" w:fldLock="1"/>
            </w:r>
            <w:r w:rsidR="00434385" w:rsidRPr="008E5B32">
              <w:rPr>
                <w:szCs w:val="18"/>
              </w:rPr>
              <w:instrText>ADDIN CSL_CITATION {"citationItems":[{"id":"ITEM-1","itemData":{"DOI":"10.1021/nn3010087","abstract":"We demonstrate for 24 metal oxide (MOx) nanoparticles that it is possible to use conduction band energy levels to delineate their toxicological potential at cellular and whole animal levels. Among the materials, the overlap of conduction band energy (E c ) levels with the cellular redox potential (-4.12 to-4.84 eV) was strongly correlated to the ability of Co 3 O 4 , Cr 2 O 3 , Ni 2 O 3 , Mn 2 O 3 ,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 3 O 4 , Ni 2 O 3 , Mn 2 O 3 , and CoO nanoparticles could also oxidize cytochrome c as a representative redox couple involved in redox homeostasis. While CuO and ZnO generated oxidative stress and acute pulmonary inflammation that is not predicted by E 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 © 2012 American Chemical Society.","author":[{"dropping-particle":"","family":"Zhang","given":"H.","non-dropping-particle":"","parse-names":false,"suffix":""},{"dropping-particle":"","family":"Ji","given":"Z.","non-dropping-particle":"","parse-names":false,"suffix":""},{"dropping-particle":"","family":"Xia","given":"T.","non-dropping-particle":"","parse-names":false,"suffix":""},{"dropping-particle":"","family":"Meng","given":"H.","non-dropping-particle":"","parse-names":false,"suffix":""},{"dropping-particle":"","family":"Low-Kam","given":"C.","non-dropping-particle":"","parse-names":false,"suffix":""},{"dropping-particle":"","family":"Liu","given":"R.","non-dropping-particle":"","parse-names":false,"suffix":""},{"dropping-particle":"","family":"Pokhrel","given":"S.","non-dropping-particle":"","parse-names":false,"suffix":""},{"dropping-particle":"","family":"Lin","given":"S.","non-dropping-particle":"","parse-names":false,"suffix":""},{"dropping-particle":"","family":"Wang","given":"X.","non-dropping-particle":"","parse-names":false,"suffix":""},{"dropping-particle":"","family":"Liao","given":"Y.-P.","non-dropping-particle":"","parse-names":false,"suffix":""},{"dropping-particle":"","family":"Wang","given":"M.","non-dropping-particle":"","parse-names":false,"suffix":""},{"dropping-particle":"","family":"Li","given":"L.","non-dropping-particle":"","parse-names":false,"suffix":""},{"dropping-particle":"","family":"Rallo","given":"R.","non-dropping-particle":"","parse-names":false,"suffix":""},{"dropping-particle":"","family":"Damoiseaux","given":"R.","non-dropping-par</w:instrText>
            </w:r>
            <w:r w:rsidR="00434385" w:rsidRPr="008E5B32">
              <w:rPr>
                <w:szCs w:val="18"/>
                <w:lang w:val="en-US"/>
              </w:rPr>
              <w:instrText>ticle":"","parse-names":false,"suffix":""},{"dropping-particle":"","family":"Telesca","given":"D.","non-dropping-particle":"","parse-names":false,"suffix":""},{"dropping-particle":"","family":"Mädler","given":"L.","non-dropping-particle":"","parse-names":false,"suffix":""},{"dropping-particle":"","family":"Cohen","given":"Y.","non-dropping-particle":"","parse-names":false,"suffix":""},{"dropping-particle":"","family":"Zink","given":"J.I.","non-dropping-particle":"","parse-names":false,"suffix":""},{"dropping-particle":"","family":"Nel","given":"A.E.","non-dropping-particle":"","parse-names":false,"suffix":""}],"container-title":"ACS Nano","id":"ITEM-1","issue":"5","issued":{"date-parts":[["2012"]]},"page":"4349-4368","title":"Use of metal oxide nanoparticle band gap to develop a predictive paradigm for oxidative stress and acute pulmonary inflammation","type":"article-journal","volume":"6"},"suppress-author":1,"uris":["http://www.mendeley.com/documents/?uuid=f4f37ca8-6efa-385b-b6b5-13109c66b3db","http://www.mendeley.com/documents/?uuid=e20c4152-e743-4eb8-9cb0-94b201b9e9a0","http://www.mendeley.com/documents/?uuid=bd940e61-3c9a-4e68-a4de-98c8ed4bd96e","http://www.mendeley.com/documents/?uuid=8706a161-7c2b-4766-9c71-d26d86fcd506"]}],"mendeley":{"formattedCitation":"&lt;sup&gt;79&lt;/sup&gt;","plainTextFormattedCitation":"79","previouslyFormattedCitation":"&lt;sup&gt;79&lt;/sup&gt;"},"properties":{"noteIndex":0},"schema":"https://github.com/citation-style-language/schema/raw/master/csl-citation.json"}</w:instrText>
            </w:r>
            <w:r w:rsidRPr="008E5B32">
              <w:rPr>
                <w:sz w:val="24"/>
                <w:szCs w:val="18"/>
              </w:rPr>
              <w:fldChar w:fldCharType="separate"/>
            </w:r>
            <w:r w:rsidR="004C12A8" w:rsidRPr="008E5B32">
              <w:rPr>
                <w:noProof/>
                <w:szCs w:val="18"/>
                <w:vertAlign w:val="superscript"/>
                <w:lang w:val="en-GB"/>
              </w:rPr>
              <w:t>79</w:t>
            </w:r>
            <w:r w:rsidRPr="008E5B32">
              <w:rPr>
                <w:lang w:eastAsia="en-GB"/>
              </w:rPr>
              <w:fldChar w:fldCharType="end"/>
            </w:r>
          </w:p>
        </w:tc>
        <w:tc>
          <w:tcPr>
            <w:tcW w:w="4151" w:type="dxa"/>
          </w:tcPr>
          <w:p w14:paraId="51977D39" w14:textId="479C32FA" w:rsidR="00742C9E" w:rsidRPr="008E5B32" w:rsidRDefault="00742C9E" w:rsidP="00BA08CB">
            <w:pPr>
              <w:jc w:val="both"/>
              <w:rPr>
                <w:szCs w:val="18"/>
                <w:lang w:val="en-GB"/>
              </w:rPr>
            </w:pPr>
            <w:r w:rsidRPr="008E5B32">
              <w:rPr>
                <w:lang w:val="en-GB"/>
              </w:rPr>
              <w:t>Predictive regression tree analysis</w:t>
            </w:r>
            <w:r w:rsidR="00F317D9" w:rsidRPr="008E5B32">
              <w:rPr>
                <w:lang w:val="en-GB"/>
              </w:rPr>
              <w:t>, using as descriptors</w:t>
            </w:r>
            <w:r w:rsidRPr="008E5B32">
              <w:rPr>
                <w:lang w:val="en-GB"/>
              </w:rPr>
              <w:t xml:space="preserve"> </w:t>
            </w:r>
            <w:r w:rsidR="00963F30" w:rsidRPr="008E5B32">
              <w:rPr>
                <w:lang w:val="en-GB"/>
              </w:rPr>
              <w:t xml:space="preserve">material </w:t>
            </w:r>
            <w:r w:rsidRPr="008E5B32">
              <w:rPr>
                <w:szCs w:val="18"/>
                <w:lang w:val="en-GB"/>
              </w:rPr>
              <w:t>conduction band</w:t>
            </w:r>
            <w:r w:rsidR="00963F30" w:rsidRPr="008E5B32">
              <w:rPr>
                <w:szCs w:val="18"/>
                <w:lang w:val="en-GB"/>
              </w:rPr>
              <w:t xml:space="preserve"> gap</w:t>
            </w:r>
            <w:r w:rsidRPr="008E5B32">
              <w:rPr>
                <w:szCs w:val="18"/>
                <w:lang w:val="en-GB"/>
              </w:rPr>
              <w:t xml:space="preserve"> </w:t>
            </w:r>
            <w:r w:rsidR="00963F30" w:rsidRPr="008E5B32">
              <w:rPr>
                <w:szCs w:val="18"/>
                <w:lang w:val="en-GB"/>
              </w:rPr>
              <w:t xml:space="preserve">and metal </w:t>
            </w:r>
            <w:r w:rsidRPr="008E5B32">
              <w:rPr>
                <w:szCs w:val="18"/>
                <w:lang w:val="en-GB"/>
              </w:rPr>
              <w:t>dissolution</w:t>
            </w:r>
            <w:r w:rsidR="00963F30" w:rsidRPr="008E5B32">
              <w:rPr>
                <w:szCs w:val="18"/>
                <w:lang w:val="en-GB"/>
              </w:rPr>
              <w:t>,</w:t>
            </w:r>
            <w:r w:rsidRPr="008E5B32">
              <w:rPr>
                <w:szCs w:val="18"/>
                <w:lang w:val="en-GB"/>
              </w:rPr>
              <w:t xml:space="preserve"> </w:t>
            </w:r>
            <w:r w:rsidR="00963F30" w:rsidRPr="008E5B32">
              <w:rPr>
                <w:szCs w:val="18"/>
                <w:lang w:val="en-GB"/>
              </w:rPr>
              <w:t>to predict</w:t>
            </w:r>
            <w:r w:rsidRPr="008E5B32">
              <w:rPr>
                <w:szCs w:val="18"/>
                <w:lang w:val="en-GB"/>
              </w:rPr>
              <w:t xml:space="preserve"> </w:t>
            </w:r>
            <w:r w:rsidRPr="008E5B32">
              <w:rPr>
                <w:lang w:val="en-GB"/>
              </w:rPr>
              <w:t>acute pulmonary inflammation caused by metal oxide NMs.</w:t>
            </w:r>
          </w:p>
        </w:tc>
        <w:tc>
          <w:tcPr>
            <w:tcW w:w="1778" w:type="dxa"/>
          </w:tcPr>
          <w:p w14:paraId="3BABCFA5" w14:textId="77777777" w:rsidR="00742C9E" w:rsidRPr="008E5B32" w:rsidRDefault="00742C9E" w:rsidP="00BA08CB">
            <w:pPr>
              <w:jc w:val="center"/>
              <w:rPr>
                <w:rFonts w:ascii="Segoe UI Symbol" w:hAnsi="Segoe UI Symbol" w:cs="Segoe UI Symbol"/>
                <w:szCs w:val="18"/>
                <w:lang w:val="en-GB"/>
              </w:rPr>
            </w:pPr>
            <w:r w:rsidRPr="008E5B32">
              <w:rPr>
                <w:rFonts w:ascii="Segoe UI Symbol" w:hAnsi="Segoe UI Symbol" w:cs="Segoe UI Symbol"/>
                <w:szCs w:val="18"/>
                <w:lang w:val="en-GB"/>
              </w:rPr>
              <w:t>✗</w:t>
            </w:r>
          </w:p>
          <w:p w14:paraId="4949C1E9" w14:textId="77777777" w:rsidR="00742C9E" w:rsidRPr="008E5B32" w:rsidRDefault="00742C9E" w:rsidP="00BA08CB">
            <w:pPr>
              <w:jc w:val="center"/>
              <w:rPr>
                <w:lang w:val="en-GB"/>
              </w:rPr>
            </w:pPr>
            <w:r w:rsidRPr="008E5B32">
              <w:rPr>
                <w:szCs w:val="18"/>
                <w:lang w:val="en-GB"/>
              </w:rPr>
              <w:t>(</w:t>
            </w:r>
            <w:r w:rsidRPr="008E5B32">
              <w:rPr>
                <w:i/>
                <w:szCs w:val="18"/>
                <w:lang w:val="en-GB"/>
              </w:rPr>
              <w:t>In vitro</w:t>
            </w:r>
            <w:r w:rsidRPr="008E5B32">
              <w:rPr>
                <w:szCs w:val="18"/>
                <w:lang w:val="en-GB"/>
              </w:rPr>
              <w:t xml:space="preserve"> oxidative stress; acute pulmonary inflammation)</w:t>
            </w:r>
          </w:p>
        </w:tc>
        <w:tc>
          <w:tcPr>
            <w:tcW w:w="1320" w:type="dxa"/>
          </w:tcPr>
          <w:p w14:paraId="2DA0E0BC" w14:textId="77777777" w:rsidR="00742C9E" w:rsidRPr="008E5B32" w:rsidRDefault="00742C9E" w:rsidP="00BA08CB">
            <w:pPr>
              <w:jc w:val="center"/>
              <w:rPr>
                <w:lang w:val="en-GB"/>
              </w:rPr>
            </w:pPr>
            <w:r w:rsidRPr="008E5B32">
              <w:rPr>
                <w:szCs w:val="18"/>
                <w:lang w:val="en-GB"/>
              </w:rPr>
              <w:t xml:space="preserve">24 </w:t>
            </w:r>
          </w:p>
        </w:tc>
        <w:tc>
          <w:tcPr>
            <w:tcW w:w="1428" w:type="dxa"/>
          </w:tcPr>
          <w:p w14:paraId="0FDA6504" w14:textId="77777777" w:rsidR="00742C9E" w:rsidRPr="008E5B32" w:rsidRDefault="00742C9E" w:rsidP="00BA08CB">
            <w:pPr>
              <w:jc w:val="center"/>
              <w:rPr>
                <w:rFonts w:ascii="Segoe UI Symbol" w:hAnsi="Segoe UI Symbol" w:cs="Segoe UI Symbol"/>
                <w:lang w:val="en-GB"/>
              </w:rPr>
            </w:pPr>
            <w:r w:rsidRPr="008E5B32">
              <w:rPr>
                <w:rFonts w:ascii="Segoe UI Symbol" w:hAnsi="Segoe UI Symbol" w:cs="Segoe UI Symbol"/>
                <w:lang w:val="en-GB"/>
              </w:rPr>
              <w:t>✓</w:t>
            </w:r>
          </w:p>
          <w:p w14:paraId="48620054" w14:textId="77777777" w:rsidR="00742C9E" w:rsidRPr="008E5B32" w:rsidRDefault="00742C9E" w:rsidP="00BA08CB">
            <w:pPr>
              <w:jc w:val="center"/>
              <w:rPr>
                <w:lang w:val="en-GB"/>
              </w:rPr>
            </w:pPr>
            <w:r w:rsidRPr="008E5B32">
              <w:rPr>
                <w:szCs w:val="18"/>
                <w:lang w:val="en-GB"/>
              </w:rPr>
              <w:t>(Regression tree)</w:t>
            </w:r>
          </w:p>
        </w:tc>
        <w:tc>
          <w:tcPr>
            <w:tcW w:w="795" w:type="dxa"/>
          </w:tcPr>
          <w:p w14:paraId="72B360FE" w14:textId="77777777" w:rsidR="00742C9E" w:rsidRPr="008E5B32" w:rsidRDefault="00742C9E" w:rsidP="00BA08CB">
            <w:pPr>
              <w:jc w:val="center"/>
              <w:rPr>
                <w:rFonts w:ascii="Segoe UI Symbol" w:hAnsi="Segoe UI Symbol" w:cs="Segoe UI Symbol"/>
                <w:szCs w:val="18"/>
                <w:lang w:val="en-GB"/>
              </w:rPr>
            </w:pPr>
            <w:r w:rsidRPr="008E5B32">
              <w:rPr>
                <w:rFonts w:ascii="Segoe UI Symbol" w:hAnsi="Segoe UI Symbol" w:cs="Segoe UI Symbol"/>
                <w:szCs w:val="18"/>
                <w:lang w:val="en-GB"/>
              </w:rPr>
              <w:t>✗</w:t>
            </w:r>
          </w:p>
        </w:tc>
        <w:tc>
          <w:tcPr>
            <w:tcW w:w="709" w:type="dxa"/>
          </w:tcPr>
          <w:p w14:paraId="669CDF3D" w14:textId="77777777" w:rsidR="00742C9E" w:rsidRPr="008E5B32" w:rsidRDefault="00742C9E" w:rsidP="00BA08CB">
            <w:pPr>
              <w:jc w:val="center"/>
              <w:rPr>
                <w:rFonts w:ascii="Segoe UI Symbol" w:eastAsia="Segoe UI Symbol" w:hAnsi="Segoe UI Symbol" w:cs="Segoe UI Symbol"/>
                <w:color w:val="222222"/>
                <w:lang w:val="en-GB"/>
              </w:rPr>
            </w:pPr>
            <w:r w:rsidRPr="008E5B32">
              <w:rPr>
                <w:rFonts w:ascii="Segoe UI Symbol" w:hAnsi="Segoe UI Symbol" w:cs="Segoe UI Symbol"/>
                <w:szCs w:val="18"/>
                <w:lang w:val="en-GB"/>
              </w:rPr>
              <w:t>✗</w:t>
            </w:r>
          </w:p>
        </w:tc>
        <w:tc>
          <w:tcPr>
            <w:tcW w:w="1239" w:type="dxa"/>
          </w:tcPr>
          <w:p w14:paraId="2B2D27D0" w14:textId="77777777" w:rsidR="00742C9E" w:rsidRPr="008E5B32" w:rsidRDefault="00742C9E" w:rsidP="00BA08CB">
            <w:pPr>
              <w:jc w:val="center"/>
              <w:rPr>
                <w:rFonts w:ascii="Segoe UI Symbol" w:eastAsia="Segoe UI Symbol" w:hAnsi="Segoe UI Symbol" w:cs="Segoe UI Symbol"/>
                <w:color w:val="222222"/>
                <w:lang w:val="en-GB"/>
              </w:rPr>
            </w:pPr>
            <w:r w:rsidRPr="008E5B32">
              <w:rPr>
                <w:rFonts w:ascii="Segoe UI Symbol" w:hAnsi="Segoe UI Symbol" w:cs="Segoe UI Symbol"/>
                <w:szCs w:val="18"/>
                <w:lang w:val="en-GB"/>
              </w:rPr>
              <w:t>✗</w:t>
            </w:r>
          </w:p>
        </w:tc>
        <w:tc>
          <w:tcPr>
            <w:tcW w:w="1370" w:type="dxa"/>
          </w:tcPr>
          <w:p w14:paraId="7E5D2BAD" w14:textId="77777777" w:rsidR="00742C9E" w:rsidRPr="008E5B32" w:rsidRDefault="00742C9E" w:rsidP="00BA08CB">
            <w:pPr>
              <w:jc w:val="center"/>
              <w:rPr>
                <w:lang w:val="en-GB"/>
              </w:rPr>
            </w:pPr>
            <w:r w:rsidRPr="008E5B32">
              <w:rPr>
                <w:rFonts w:ascii="Segoe UI Symbol" w:hAnsi="Segoe UI Symbol" w:cs="Segoe UI Symbol"/>
                <w:szCs w:val="18"/>
                <w:lang w:val="en-GB"/>
              </w:rPr>
              <w:t>✗</w:t>
            </w:r>
          </w:p>
        </w:tc>
        <w:tc>
          <w:tcPr>
            <w:tcW w:w="627" w:type="dxa"/>
          </w:tcPr>
          <w:p w14:paraId="5761993C" w14:textId="77777777" w:rsidR="00742C9E" w:rsidRPr="008E5B32" w:rsidRDefault="00742C9E" w:rsidP="00BA08CB">
            <w:pPr>
              <w:jc w:val="center"/>
              <w:rPr>
                <w:rFonts w:ascii="Segoe UI Symbol" w:eastAsia="Segoe UI Symbol" w:hAnsi="Segoe UI Symbol" w:cs="Segoe UI Symbol"/>
                <w:color w:val="222222"/>
                <w:lang w:val="en-GB"/>
              </w:rPr>
            </w:pPr>
            <w:r w:rsidRPr="008E5B32">
              <w:rPr>
                <w:rFonts w:ascii="Segoe UI Symbol" w:eastAsia="Segoe UI Symbol" w:hAnsi="Segoe UI Symbol" w:cs="Segoe UI Symbol"/>
                <w:color w:val="222222"/>
                <w:lang w:val="en-GB"/>
              </w:rPr>
              <w:t>✓</w:t>
            </w:r>
          </w:p>
        </w:tc>
      </w:tr>
      <w:tr w:rsidR="004C12A8" w:rsidRPr="008E5B32" w14:paraId="4966B6E1" w14:textId="77777777" w:rsidTr="008A1247">
        <w:tc>
          <w:tcPr>
            <w:tcW w:w="537" w:type="dxa"/>
          </w:tcPr>
          <w:p w14:paraId="04EFC8B6" w14:textId="2A53469A" w:rsidR="00742C9E" w:rsidRPr="008E5B32" w:rsidRDefault="00742C9E" w:rsidP="00BA08CB">
            <w:pPr>
              <w:jc w:val="center"/>
              <w:rPr>
                <w:lang w:val="en-GB"/>
              </w:rPr>
            </w:pPr>
            <w:r w:rsidRPr="008E5B32">
              <w:rPr>
                <w:szCs w:val="18"/>
              </w:rPr>
              <w:fldChar w:fldCharType="begin" w:fldLock="1"/>
            </w:r>
            <w:r w:rsidR="00434385" w:rsidRPr="008E5B32">
              <w:rPr>
                <w:szCs w:val="18"/>
                <w:lang w:val="en-GB"/>
              </w:rPr>
              <w:instrText>ADDIN CSL_CITATION {"citationItems":[{"id":"ITEM-1","itemData":{"DOI":"10.1021/nn503573s","ISSN":"1936-086X","PMID":"25133703","abstract":"Quantitative characterization of nanoparticle interactions with their surrounding environment is vital for safe nanotechnological development and standardization. A recent quantitative measure, the biological surface adsorption index (BSAI), has demonstrated promising applications in nanomaterial surface characterization and biological/environmental prediction. This paper further advances the approach beyond the application of five descriptors in the original BSAI to address the concentration dependence of the descriptors, enabling better prediction of the adsorption profile and more accurate categorization of nanomaterials based on their surface properties. Statistical analysis on the obtained adsorption data was performed based on three different models: the original BSAI, a concentration-dependent polynomial model, and an infinite dilution model. These advancements in BSAI modeling showed a promising development in the application of quantitative predictive modeling in biological applications, nanomedicine, and environmental safety assessment of nanomaterials.","author":[{"dropping-particle":"","family":"Chen","given":"Ran","non-dropping-particle":"","parse-names":false,"suffix":""},{"dropping-particle":"","family":"Zhang","given":"Yuntao","non-dropping-particle":"","parse-names":false,"suffix":""},{"dropping-particle":"","family":"Sahneh","given":"Faryad Darabi","non-dropping-particle":"","parse-names":false,"suffix":""},{"dropping-particle":"","family":"Scoglio","given":"Caterina M","non-dropping-particle":"","parse-names":false,"suffix":""},{"dropping-particle":"","family":"Wohlleben","given":"Wendel","non-dropping-particle":"","parse-names":false,"suffix":""},{"dropping-particle":"","family":"Haase","given":"Andrea","non-dropping-particle":"","parse-names":false,"suffix":""},{"dropping-particle":"","family":"Monteiro-Riviere","given":"Nancy A","non-dropping-particle":"","parse-names":false,"suffix":""},{"dropping-particle":"","family":"Riviere","given":"Jim E","non-dropping-particle":"","parse-names":false,"suffix":""}],"container-title":"ACS nano","id":"ITEM-1","issue":"9","issued":{"date-parts":[["2014","9"]]},"page":"9446-56","publisher":"American Chemical Society","title":"Nanoparticle surface characterization and clustering through concentration-dependent surface adsorption modeling","type":"article-journal","volume":"8"},"suppress-author":1,"uris":["http://www.mendeley.com/documents/?uuid=db290e52-e293-4518-82c6-4dc3fc8f0859","http://www.mendeley.com/documents/?uuid=99742ece-02b7-477b-a32d-a2da4b2e4dab","http://www.mendeley.com/documents/?uuid=ab0c6807-02dd-4b98-9549-f5eda6dbb0d4","http://www.mendeley.com/documents/?uuid=aa0cae4c-ece1-434d-afa3-463472d10d41"]}],"mendeley":{"formattedCitation":"&lt;sup&gt;80&lt;/sup&gt;","plainTextFormattedCitation":"80","previouslyFormattedCitation":"&lt;sup&gt;80&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80</w:t>
            </w:r>
            <w:r w:rsidRPr="008E5B32">
              <w:rPr>
                <w:szCs w:val="18"/>
              </w:rPr>
              <w:fldChar w:fldCharType="end"/>
            </w:r>
          </w:p>
        </w:tc>
        <w:tc>
          <w:tcPr>
            <w:tcW w:w="4151" w:type="dxa"/>
          </w:tcPr>
          <w:p w14:paraId="7DF3AD6E" w14:textId="0F1963E4" w:rsidR="00742C9E" w:rsidRPr="008E5B32" w:rsidRDefault="00742C9E" w:rsidP="00BA08CB">
            <w:pPr>
              <w:jc w:val="both"/>
              <w:rPr>
                <w:szCs w:val="18"/>
                <w:lang w:val="en-GB"/>
              </w:rPr>
            </w:pPr>
            <w:r w:rsidRPr="008E5B32">
              <w:rPr>
                <w:lang w:val="en-GB"/>
              </w:rPr>
              <w:t xml:space="preserve">Biological surface adsorption index </w:t>
            </w:r>
            <w:r w:rsidR="00C66A42" w:rsidRPr="008E5B32">
              <w:rPr>
                <w:lang w:val="en-GB"/>
              </w:rPr>
              <w:t xml:space="preserve">(BSAI) </w:t>
            </w:r>
            <w:r w:rsidRPr="008E5B32">
              <w:rPr>
                <w:lang w:val="en-GB"/>
              </w:rPr>
              <w:t xml:space="preserve">for </w:t>
            </w:r>
            <w:r w:rsidR="00377869" w:rsidRPr="008E5B32">
              <w:rPr>
                <w:lang w:val="en-GB"/>
              </w:rPr>
              <w:t xml:space="preserve">NMs </w:t>
            </w:r>
            <w:r w:rsidRPr="008E5B32">
              <w:rPr>
                <w:lang w:val="en-GB"/>
              </w:rPr>
              <w:t xml:space="preserve">surface characterization and biological/environmental prediction of </w:t>
            </w:r>
            <w:r w:rsidRPr="008E5B32">
              <w:rPr>
                <w:szCs w:val="18"/>
                <w:lang w:val="en-GB"/>
              </w:rPr>
              <w:t>metal oxides, Ag, and organic NMs</w:t>
            </w:r>
            <w:r w:rsidR="00551F18" w:rsidRPr="008E5B32">
              <w:rPr>
                <w:szCs w:val="18"/>
                <w:lang w:val="en-GB"/>
              </w:rPr>
              <w:t>, using five descriptors</w:t>
            </w:r>
            <w:r w:rsidR="002A1D75" w:rsidRPr="008E5B32">
              <w:rPr>
                <w:szCs w:val="18"/>
                <w:lang w:val="en-GB"/>
              </w:rPr>
              <w:t xml:space="preserve"> (molar refraction, polarity, hydrogen-bond acidity and basicity, and McGowan characteristic volume)</w:t>
            </w:r>
            <w:r w:rsidR="00551F18" w:rsidRPr="008E5B32">
              <w:rPr>
                <w:szCs w:val="18"/>
                <w:lang w:val="en-GB"/>
              </w:rPr>
              <w:t xml:space="preserve"> obtained from</w:t>
            </w:r>
            <w:r w:rsidR="002A1D75" w:rsidRPr="008E5B32">
              <w:rPr>
                <w:szCs w:val="18"/>
                <w:lang w:val="en-GB"/>
              </w:rPr>
              <w:t xml:space="preserve"> </w:t>
            </w:r>
            <w:r w:rsidR="00551F18" w:rsidRPr="008E5B32">
              <w:rPr>
                <w:szCs w:val="18"/>
                <w:lang w:val="en-GB"/>
              </w:rPr>
              <w:t xml:space="preserve">adsorption measurements </w:t>
            </w:r>
            <w:r w:rsidR="002A1D75" w:rsidRPr="008E5B32">
              <w:rPr>
                <w:szCs w:val="18"/>
                <w:lang w:val="en-GB"/>
              </w:rPr>
              <w:t>of a set of organic molecules.</w:t>
            </w:r>
          </w:p>
        </w:tc>
        <w:tc>
          <w:tcPr>
            <w:tcW w:w="1778" w:type="dxa"/>
          </w:tcPr>
          <w:p w14:paraId="08514176" w14:textId="77777777" w:rsidR="00742C9E" w:rsidRPr="008E5B32" w:rsidRDefault="00742C9E" w:rsidP="00BA08CB">
            <w:pPr>
              <w:jc w:val="center"/>
              <w:rPr>
                <w:szCs w:val="18"/>
                <w:lang w:val="en-GB"/>
              </w:rPr>
            </w:pPr>
            <w:r w:rsidRPr="008E5B32">
              <w:rPr>
                <w:rFonts w:ascii="Segoe UI Symbol" w:hAnsi="Segoe UI Symbol" w:cs="Segoe UI Symbol"/>
                <w:szCs w:val="18"/>
                <w:lang w:val="en-GB"/>
              </w:rPr>
              <w:t>✗</w:t>
            </w:r>
          </w:p>
          <w:p w14:paraId="3048FFF2" w14:textId="77777777" w:rsidR="00742C9E" w:rsidRPr="008E5B32" w:rsidRDefault="00742C9E" w:rsidP="00BA08CB">
            <w:pPr>
              <w:jc w:val="center"/>
              <w:rPr>
                <w:lang w:val="en-GB"/>
              </w:rPr>
            </w:pPr>
            <w:r w:rsidRPr="008E5B32">
              <w:rPr>
                <w:szCs w:val="18"/>
                <w:lang w:val="en-GB"/>
              </w:rPr>
              <w:t>(Biological surface adsorption index)</w:t>
            </w:r>
          </w:p>
        </w:tc>
        <w:tc>
          <w:tcPr>
            <w:tcW w:w="1320" w:type="dxa"/>
          </w:tcPr>
          <w:p w14:paraId="7B8FA39A" w14:textId="77777777" w:rsidR="00742C9E" w:rsidRPr="008E5B32" w:rsidRDefault="00742C9E" w:rsidP="00BA08CB">
            <w:pPr>
              <w:jc w:val="center"/>
              <w:rPr>
                <w:lang w:val="en-GB"/>
              </w:rPr>
            </w:pPr>
            <w:r w:rsidRPr="008E5B32">
              <w:rPr>
                <w:szCs w:val="18"/>
                <w:lang w:val="en-GB"/>
              </w:rPr>
              <w:t>23</w:t>
            </w:r>
          </w:p>
        </w:tc>
        <w:tc>
          <w:tcPr>
            <w:tcW w:w="1428" w:type="dxa"/>
          </w:tcPr>
          <w:p w14:paraId="50845018" w14:textId="77777777" w:rsidR="00742C9E" w:rsidRPr="008E5B32" w:rsidRDefault="00742C9E" w:rsidP="00BA08CB">
            <w:pPr>
              <w:jc w:val="center"/>
              <w:rPr>
                <w:rFonts w:ascii="Segoe UI Symbol" w:hAnsi="Segoe UI Symbol" w:cs="Segoe UI Symbol"/>
                <w:color w:val="auto"/>
                <w:lang w:val="en-GB"/>
              </w:rPr>
            </w:pPr>
            <w:r w:rsidRPr="008E5B32">
              <w:rPr>
                <w:rFonts w:ascii="Segoe UI Symbol" w:hAnsi="Segoe UI Symbol" w:cs="Segoe UI Symbol"/>
                <w:color w:val="auto"/>
                <w:lang w:val="en-GB"/>
              </w:rPr>
              <w:t>✓</w:t>
            </w:r>
          </w:p>
          <w:p w14:paraId="7F017A03" w14:textId="1ED44F9C" w:rsidR="00742C9E" w:rsidRPr="008E5B32" w:rsidRDefault="00187960" w:rsidP="00BA08CB">
            <w:pPr>
              <w:jc w:val="center"/>
              <w:rPr>
                <w:color w:val="auto"/>
                <w:szCs w:val="18"/>
              </w:rPr>
            </w:pPr>
            <w:r w:rsidRPr="008E5B32">
              <w:rPr>
                <w:color w:val="auto"/>
                <w:szCs w:val="18"/>
                <w:lang w:val="en-GB"/>
              </w:rPr>
              <w:t xml:space="preserve">(BSAI </w:t>
            </w:r>
            <w:r w:rsidR="008D1FC6" w:rsidRPr="008E5B32">
              <w:rPr>
                <w:color w:val="auto"/>
                <w:szCs w:val="18"/>
                <w:lang w:val="en-GB"/>
              </w:rPr>
              <w:t>model</w:t>
            </w:r>
            <w:r w:rsidR="0033222E" w:rsidRPr="008E5B32">
              <w:rPr>
                <w:color w:val="auto"/>
                <w:szCs w:val="18"/>
                <w:lang w:val="en-GB"/>
              </w:rPr>
              <w:t>ling</w:t>
            </w:r>
            <w:r w:rsidR="008D1FC6" w:rsidRPr="008E5B32">
              <w:rPr>
                <w:color w:val="auto"/>
                <w:szCs w:val="18"/>
                <w:lang w:val="en-GB"/>
              </w:rPr>
              <w:t xml:space="preserve"> </w:t>
            </w:r>
            <w:r w:rsidR="008D1FC6" w:rsidRPr="008E5B32">
              <w:rPr>
                <w:color w:val="auto"/>
                <w:szCs w:val="18"/>
              </w:rPr>
              <w:fldChar w:fldCharType="begin" w:fldLock="1"/>
            </w:r>
            <w:r w:rsidR="00434385" w:rsidRPr="008E5B32">
              <w:rPr>
                <w:color w:val="auto"/>
                <w:szCs w:val="18"/>
                <w:lang w:val="en-GB"/>
              </w:rPr>
              <w:instrText>ADDIN CSL_CITATION {"citationItems":[{"id":"ITEM-1","itemData":{"DOI":"10.1038/nnano.2010.164","ISBN":"1748-3395","ISSN":"17483395","PMID":"20711178","abstract":"In a physiological environment, nanoparticles selectively absorb proteins to form 'nanoparticle-protein coronas', a process governed by molecular interactions between chemical groups on the nanoparticle surfaces and the amino-acid residues of the proteins. Here, we propose a biological surface adsorption index to characterize these interactions by quantifying the competitive adsorption of a set of small molecule probes onto the nanoparticles. The adsorption properties of nanomaterials are assumed to be governed by Coulomb forces, London dispersion, hydrogen-bond acidity and basicity, polarizability and lone-pair electrons. Adsorption coefficients of the probe compounds were measured and used to create a set of nanodescriptors representing the contributions and relative strengths of each molecular interaction. The method successfully predicted the adsorption of various small molecules onto carbon nanotubes, and the nanodescriptors were also measured for 12 other nanomaterials. The biological surface adsorption index nanodescriptors can be used to develop pharmacokinetic and safety assessment models for nanomaterials.","author":[{"dropping-particle":"","family":"Xia","given":"Xin Rui","non-dropping-particle":"","parse-names":false,"suffix":""},{"dropping-particle":"","family":"Monteiro-Riviere","given":"Nancy A.","non-dropping-particle":"","parse-names":false,"suffix":""},{"dropping-particle":"","family":"Riviere","given":"Jim E.","non-dropping-particle":"","parse-names":false,"suffix":""}],"container-title":"Nature Nanotechnology","id":"ITEM-1","issued":{"date-parts":[["2010"]]},"title":"An index for characterization of nanomaterials in biological systems","type":"article-journal"},"uris":["http://www.mendeley.com/documents/?uuid=f9933fc4-7369-4e20-add4-8eec25b762ad","http://www.mendeley.com/documents/?uuid=156f6d9c-f3c1-40ca-8660-99ea19d54a30","http://www.mendeley.com/documents/?uuid=828c6b2b-781e-42c5-894e-76bcaf10c9d3"]}],"mendeley":{"formattedCitation":"&lt;sup&gt;81&lt;/sup&gt;","plainTextFormattedCitation":"81","previouslyFormattedCitation":"&lt;sup&gt;81&lt;/sup&gt;"},"properties":{"noteIndex":0},"schema":"https://github.com/citation-style-language/schema/raw/master/csl-citation.json"}</w:instrText>
            </w:r>
            <w:r w:rsidR="008D1FC6" w:rsidRPr="008E5B32">
              <w:rPr>
                <w:color w:val="auto"/>
                <w:szCs w:val="18"/>
              </w:rPr>
              <w:fldChar w:fldCharType="separate"/>
            </w:r>
            <w:r w:rsidR="004C12A8" w:rsidRPr="008E5B32">
              <w:rPr>
                <w:noProof/>
                <w:color w:val="auto"/>
                <w:szCs w:val="18"/>
                <w:vertAlign w:val="superscript"/>
              </w:rPr>
              <w:t>81</w:t>
            </w:r>
            <w:r w:rsidR="008D1FC6" w:rsidRPr="008E5B32">
              <w:rPr>
                <w:color w:val="auto"/>
                <w:szCs w:val="18"/>
              </w:rPr>
              <w:fldChar w:fldCharType="end"/>
            </w:r>
            <w:r w:rsidR="00DD456E" w:rsidRPr="008E5B32">
              <w:rPr>
                <w:color w:val="auto"/>
                <w:szCs w:val="18"/>
              </w:rPr>
              <w:t xml:space="preserve"> and</w:t>
            </w:r>
            <w:r w:rsidR="00FA3F95" w:rsidRPr="008E5B32">
              <w:rPr>
                <w:color w:val="auto"/>
                <w:szCs w:val="18"/>
              </w:rPr>
              <w:t xml:space="preserve"> </w:t>
            </w:r>
            <w:r w:rsidR="0033222E" w:rsidRPr="008E5B32">
              <w:rPr>
                <w:color w:val="auto"/>
                <w:szCs w:val="18"/>
              </w:rPr>
              <w:t>PCA</w:t>
            </w:r>
            <w:r w:rsidRPr="008E5B32">
              <w:rPr>
                <w:color w:val="auto"/>
                <w:szCs w:val="18"/>
              </w:rPr>
              <w:t>)</w:t>
            </w:r>
            <w:r w:rsidR="00742C9E" w:rsidRPr="008E5B32">
              <w:rPr>
                <w:color w:val="auto"/>
                <w:szCs w:val="18"/>
              </w:rPr>
              <w:t xml:space="preserve"> </w:t>
            </w:r>
          </w:p>
        </w:tc>
        <w:tc>
          <w:tcPr>
            <w:tcW w:w="795" w:type="dxa"/>
          </w:tcPr>
          <w:p w14:paraId="76B2C85C" w14:textId="77777777" w:rsidR="00742C9E" w:rsidRPr="008E5B32" w:rsidRDefault="00D212C1" w:rsidP="00BA08CB">
            <w:pPr>
              <w:jc w:val="center"/>
              <w:rPr>
                <w:rFonts w:ascii="Segoe UI Symbol" w:hAnsi="Segoe UI Symbol" w:cs="Segoe UI Symbol"/>
                <w:szCs w:val="18"/>
              </w:rPr>
            </w:pPr>
            <w:r w:rsidRPr="008E5B32">
              <w:rPr>
                <w:szCs w:val="18"/>
              </w:rPr>
              <w:t>≈</w:t>
            </w:r>
          </w:p>
        </w:tc>
        <w:tc>
          <w:tcPr>
            <w:tcW w:w="709" w:type="dxa"/>
          </w:tcPr>
          <w:p w14:paraId="43BD7A9E" w14:textId="77777777" w:rsidR="00742C9E" w:rsidRPr="008E5B32" w:rsidRDefault="001A29C5" w:rsidP="00BA08CB">
            <w:pPr>
              <w:jc w:val="center"/>
              <w:rPr>
                <w:rFonts w:ascii="Segoe UI Symbol" w:hAnsi="Segoe UI Symbol" w:cs="Segoe UI Symbol"/>
                <w:szCs w:val="18"/>
              </w:rPr>
            </w:pPr>
            <w:r w:rsidRPr="008E5B32">
              <w:rPr>
                <w:szCs w:val="18"/>
              </w:rPr>
              <w:t>≈</w:t>
            </w:r>
          </w:p>
        </w:tc>
        <w:tc>
          <w:tcPr>
            <w:tcW w:w="1239" w:type="dxa"/>
          </w:tcPr>
          <w:p w14:paraId="5715C95A" w14:textId="77777777" w:rsidR="00742C9E" w:rsidRPr="008E5B32" w:rsidRDefault="00742C9E" w:rsidP="00BA08CB">
            <w:pPr>
              <w:jc w:val="center"/>
              <w:rPr>
                <w:rFonts w:ascii="Segoe UI Symbol" w:eastAsia="Segoe UI Symbol" w:hAnsi="Segoe UI Symbol" w:cs="Segoe UI Symbol"/>
                <w:color w:val="222222"/>
              </w:rPr>
            </w:pPr>
            <w:r w:rsidRPr="008E5B32">
              <w:rPr>
                <w:rFonts w:ascii="Segoe UI Symbol" w:hAnsi="Segoe UI Symbol" w:cs="Segoe UI Symbol"/>
                <w:szCs w:val="18"/>
              </w:rPr>
              <w:t>✗</w:t>
            </w:r>
          </w:p>
        </w:tc>
        <w:tc>
          <w:tcPr>
            <w:tcW w:w="1370" w:type="dxa"/>
          </w:tcPr>
          <w:p w14:paraId="79DA663F" w14:textId="77777777" w:rsidR="00742C9E" w:rsidRPr="008E5B32" w:rsidRDefault="00742C9E" w:rsidP="00BA08CB">
            <w:pPr>
              <w:jc w:val="center"/>
            </w:pPr>
            <w:r w:rsidRPr="008E5B32">
              <w:rPr>
                <w:rFonts w:ascii="Segoe UI Symbol" w:hAnsi="Segoe UI Symbol" w:cs="Segoe UI Symbol"/>
                <w:szCs w:val="18"/>
              </w:rPr>
              <w:t>✗</w:t>
            </w:r>
          </w:p>
        </w:tc>
        <w:tc>
          <w:tcPr>
            <w:tcW w:w="627" w:type="dxa"/>
          </w:tcPr>
          <w:p w14:paraId="4A9175F3" w14:textId="0E650247" w:rsidR="00742C9E" w:rsidRPr="008E5B32" w:rsidRDefault="00CE198C" w:rsidP="00BA08CB">
            <w:pPr>
              <w:jc w:val="center"/>
              <w:rPr>
                <w:szCs w:val="18"/>
              </w:rPr>
            </w:pPr>
            <w:r w:rsidRPr="008E5B32">
              <w:rPr>
                <w:rFonts w:ascii="Segoe UI Symbol" w:eastAsia="Segoe UI Symbol" w:hAnsi="Segoe UI Symbol" w:cs="Segoe UI Symbol"/>
                <w:color w:val="222222"/>
              </w:rPr>
              <w:t>✓</w:t>
            </w:r>
          </w:p>
        </w:tc>
      </w:tr>
      <w:tr w:rsidR="004C12A8" w:rsidRPr="008E5B32" w14:paraId="3EEB8FA6" w14:textId="77777777" w:rsidTr="008A1247">
        <w:tc>
          <w:tcPr>
            <w:tcW w:w="537" w:type="dxa"/>
          </w:tcPr>
          <w:p w14:paraId="0482BA25" w14:textId="71FFC9CD" w:rsidR="008C032E" w:rsidRPr="008E5B32" w:rsidRDefault="008C032E" w:rsidP="00BA08CB">
            <w:pPr>
              <w:jc w:val="center"/>
              <w:rPr>
                <w:lang w:val="en-GB"/>
              </w:rPr>
            </w:pPr>
            <w:r w:rsidRPr="008E5B32">
              <w:rPr>
                <w:szCs w:val="18"/>
              </w:rPr>
              <w:fldChar w:fldCharType="begin" w:fldLock="1"/>
            </w:r>
            <w:r w:rsidR="00434385" w:rsidRPr="008E5B32">
              <w:rPr>
                <w:szCs w:val="18"/>
              </w:rPr>
              <w:instrText>ADDIN CSL_CITATION {"citationItems":[{"id":"ITEM-1","itemData":{"DOI":"10.1021/acsnano.5b04420","ISSN":"1936-086X","PMID":"26284985","abstract":"It has been argued that in vitro toxicity testing of engineered nanoparticles (NPs) should consider delivered dose (i.e., NP mass settled per suspension volume) rather than relying exclusively on administered dose (initial NP mass concentration). Delivered dose calculations require quantification of NP sedimentation in tissue cell culture media, taking into consideration fundamental suspension properties. In this article, we calculate delivered dose using a first-principles \"particles in a box\" sedimentation model, which accounts for the particle size distribution, fractal dimension, and permeability of agglomerated NPs. The sedimentation model was evaluated against external and our own experimental sedimentation data for metal oxide NPs. We then utilized the model to construct delivered dose-response analysis for a library of metal oxide NPs (previously used for hazard ranking and prediction making) in different cell culture media. Hierarchical hazard ranking of the seven (out of 24) toxic metal oxide NPs in our library, using EC50 calculated on the basis of delivered dose, did not measurably differ from our ranking based on administered dose. In contrast, simplified sedimentation calculations based on the assumption of impermeable NP agglomerates of a single average size significantly underestimated the settled NPs' mass, resulting in misinterpretation of toxicity ranking. It is acknowledged that in vitro dose-response outcomes are likely to be shaped by complex toxicodynamics, which include NP/cellular association, triggering of dynamic cell response pathways involved in NP uptake, and multiple physicochemical parameters that influence NP sedimentation and internalization.","author":[{"dropping-particle":"","family":"Liu","given":"Rong","non-dropping-particle":"","parse-names":false,"suffix":""},{"dropping-particle":"","family":"Liu","given":"Haoyang Haven","non-dropping-particle":"","parse-names":false,"suffi</w:instrText>
            </w:r>
            <w:r w:rsidR="00434385" w:rsidRPr="008E5B32">
              <w:rPr>
                <w:szCs w:val="18"/>
                <w:lang w:val="en-US"/>
              </w:rPr>
              <w:instrText>x":""},{"dropping-particle":"","family":"Ji","given":"Zhaoxia","non-dropping-particle":"","parse-names":false,"suffix":""},{"dropping-particle":"","family":"Chang","given":"Chong Hyun","non-dropping-particle":"","parse-names":false,"suffix":""},{"dropping-particle":"","family":"Xia","given":"Tian","non-dropping-particle":"","parse-names":false,"suffix":""},{"dropping-particle":"","family":"Nel","given":"Andre E","non-dropping-particle":"","parse-names":false,"suffix":""},{"dropping-particle":"","family":"Cohen","given":"Yoram","non-dropping-particle":"","parse-names":false,"suffix":""}],"container-title":"ACS nano","id":"ITEM-1","issue":"9","issued":{"date-parts":[["2015","9"]]},"language":"EN","page":"9303-13","publisher":"American Chemical Society","title":"Evaluation of Toxicity Ranking for Metal Oxide Nanoparticles via an in Vitro Dosimetry Model.","type":"article-journal","volume":"9"},"suppress-author":1,"uris":["http://www.mendeley.com/documents/?uuid=f2dfb1c7-111b-4ae5-a26b-6493d098f2bf","http://www.mendeley.com/documents/?uuid=3a70ebe8-ca03-41f0-95ef-652d29bba4a1","http://www.mendeley.com/documents/?uuid=c4eaa5f4-c329-48c3-be19-d523b5baa5e1","http://www.mendeley.com/documents/?uuid=1d128681-a23a-48db-a0a2-13d156c1ff27"]}],"mendeley":{"formattedCitation":"&lt;sup&gt;82&lt;/sup&gt;","plainTextFormattedCitation":"82","previouslyFormattedCitation":"&lt;sup&gt;82&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82</w:t>
            </w:r>
            <w:r w:rsidRPr="008E5B32">
              <w:rPr>
                <w:szCs w:val="18"/>
              </w:rPr>
              <w:fldChar w:fldCharType="end"/>
            </w:r>
          </w:p>
        </w:tc>
        <w:tc>
          <w:tcPr>
            <w:tcW w:w="4151" w:type="dxa"/>
          </w:tcPr>
          <w:p w14:paraId="262BE034" w14:textId="20528024" w:rsidR="008C032E" w:rsidRPr="008E5B32" w:rsidRDefault="008C032E" w:rsidP="00BA08CB">
            <w:pPr>
              <w:jc w:val="both"/>
              <w:rPr>
                <w:szCs w:val="18"/>
                <w:lang w:val="en-GB"/>
              </w:rPr>
            </w:pPr>
            <w:r w:rsidRPr="008E5B32">
              <w:rPr>
                <w:lang w:val="en-GB"/>
              </w:rPr>
              <w:t>Ranking of metal oxide NMs for hazard assessment (EC50 of human and murine cell lines)</w:t>
            </w:r>
            <w:r w:rsidR="009D3729" w:rsidRPr="008E5B32">
              <w:rPr>
                <w:lang w:val="en-GB"/>
              </w:rPr>
              <w:t>, by dose response analysis on different cell lines.</w:t>
            </w:r>
          </w:p>
        </w:tc>
        <w:tc>
          <w:tcPr>
            <w:tcW w:w="1778" w:type="dxa"/>
          </w:tcPr>
          <w:p w14:paraId="7C44FEA8" w14:textId="77777777" w:rsidR="008C032E" w:rsidRPr="008E5B32" w:rsidRDefault="008C032E" w:rsidP="00BA08CB">
            <w:pPr>
              <w:jc w:val="center"/>
              <w:rPr>
                <w:szCs w:val="18"/>
                <w:lang w:val="en-GB"/>
              </w:rPr>
            </w:pPr>
            <w:r w:rsidRPr="008E5B32">
              <w:rPr>
                <w:rFonts w:ascii="Segoe UI Symbol" w:hAnsi="Segoe UI Symbol" w:cs="Segoe UI Symbol"/>
                <w:szCs w:val="18"/>
                <w:lang w:val="en-GB"/>
              </w:rPr>
              <w:t>✗</w:t>
            </w:r>
          </w:p>
          <w:p w14:paraId="7DEA7614" w14:textId="77777777" w:rsidR="008C032E" w:rsidRPr="008E5B32" w:rsidRDefault="008C032E" w:rsidP="00BA08CB">
            <w:pPr>
              <w:jc w:val="center"/>
              <w:rPr>
                <w:lang w:val="en-GB"/>
              </w:rPr>
            </w:pPr>
            <w:r w:rsidRPr="008E5B32">
              <w:rPr>
                <w:szCs w:val="18"/>
                <w:lang w:val="en-GB"/>
              </w:rPr>
              <w:t xml:space="preserve"> (</w:t>
            </w:r>
            <w:r w:rsidRPr="008E5B32">
              <w:rPr>
                <w:lang w:val="en-GB"/>
              </w:rPr>
              <w:t>EC50 of different cell lines</w:t>
            </w:r>
            <w:r w:rsidRPr="008E5B32">
              <w:rPr>
                <w:szCs w:val="18"/>
                <w:lang w:val="en-GB"/>
              </w:rPr>
              <w:t>)</w:t>
            </w:r>
          </w:p>
        </w:tc>
        <w:tc>
          <w:tcPr>
            <w:tcW w:w="1320" w:type="dxa"/>
          </w:tcPr>
          <w:p w14:paraId="26C0D1A2" w14:textId="77777777" w:rsidR="008C032E" w:rsidRPr="008E5B32" w:rsidRDefault="008C032E" w:rsidP="00BA08CB">
            <w:pPr>
              <w:jc w:val="center"/>
              <w:rPr>
                <w:lang w:val="en-GB"/>
              </w:rPr>
            </w:pPr>
            <w:r w:rsidRPr="008E5B32">
              <w:rPr>
                <w:szCs w:val="18"/>
                <w:lang w:val="en-GB"/>
              </w:rPr>
              <w:t>7</w:t>
            </w:r>
          </w:p>
        </w:tc>
        <w:tc>
          <w:tcPr>
            <w:tcW w:w="1428" w:type="dxa"/>
          </w:tcPr>
          <w:p w14:paraId="4E36EAC6" w14:textId="77777777" w:rsidR="008C032E" w:rsidRPr="008E5B32" w:rsidRDefault="008C032E" w:rsidP="00BA08CB">
            <w:pPr>
              <w:jc w:val="center"/>
              <w:rPr>
                <w:rFonts w:ascii="Segoe UI Symbol" w:hAnsi="Segoe UI Symbol" w:cs="Segoe UI Symbol"/>
                <w:lang w:val="en-GB"/>
              </w:rPr>
            </w:pPr>
            <w:r w:rsidRPr="008E5B32">
              <w:rPr>
                <w:rFonts w:ascii="Segoe UI Symbol" w:hAnsi="Segoe UI Symbol" w:cs="Segoe UI Symbol"/>
                <w:lang w:val="en-GB"/>
              </w:rPr>
              <w:t>✓</w:t>
            </w:r>
          </w:p>
          <w:p w14:paraId="2BD98D3D" w14:textId="77777777" w:rsidR="008C032E" w:rsidRPr="008E5B32" w:rsidRDefault="008C032E" w:rsidP="00BA08CB">
            <w:pPr>
              <w:jc w:val="center"/>
              <w:rPr>
                <w:lang w:val="en-GB"/>
              </w:rPr>
            </w:pPr>
            <w:r w:rsidRPr="008E5B32">
              <w:rPr>
                <w:szCs w:val="18"/>
                <w:lang w:val="en-GB"/>
              </w:rPr>
              <w:t>(</w:t>
            </w:r>
            <w:r w:rsidR="00B84F64" w:rsidRPr="008E5B32">
              <w:rPr>
                <w:szCs w:val="18"/>
                <w:lang w:val="en-GB"/>
              </w:rPr>
              <w:t>Dose-Response analysis</w:t>
            </w:r>
            <w:r w:rsidRPr="008E5B32">
              <w:rPr>
                <w:szCs w:val="18"/>
                <w:lang w:val="en-GB"/>
              </w:rPr>
              <w:t>)</w:t>
            </w:r>
          </w:p>
        </w:tc>
        <w:tc>
          <w:tcPr>
            <w:tcW w:w="795" w:type="dxa"/>
          </w:tcPr>
          <w:p w14:paraId="540C38CC" w14:textId="77777777" w:rsidR="008C032E" w:rsidRPr="008E5B32" w:rsidRDefault="008C032E" w:rsidP="00BA08CB">
            <w:pPr>
              <w:jc w:val="center"/>
              <w:rPr>
                <w:rFonts w:ascii="Segoe UI Symbol" w:hAnsi="Segoe UI Symbol" w:cs="Segoe UI Symbol"/>
                <w:szCs w:val="18"/>
                <w:lang w:val="en-GB"/>
              </w:rPr>
            </w:pPr>
            <w:r w:rsidRPr="008E5B32">
              <w:rPr>
                <w:rFonts w:ascii="Segoe UI Symbol" w:hAnsi="Segoe UI Symbol" w:cs="Segoe UI Symbol"/>
                <w:szCs w:val="18"/>
                <w:lang w:val="en-GB"/>
              </w:rPr>
              <w:t>✗</w:t>
            </w:r>
          </w:p>
        </w:tc>
        <w:tc>
          <w:tcPr>
            <w:tcW w:w="709" w:type="dxa"/>
          </w:tcPr>
          <w:p w14:paraId="73EBC991" w14:textId="77777777" w:rsidR="008C032E" w:rsidRPr="008E5B32" w:rsidRDefault="008C032E" w:rsidP="00BA08CB">
            <w:pPr>
              <w:jc w:val="center"/>
              <w:rPr>
                <w:rFonts w:ascii="Segoe UI Symbol" w:eastAsia="Segoe UI Symbol" w:hAnsi="Segoe UI Symbol" w:cs="Segoe UI Symbol"/>
                <w:color w:val="222222"/>
                <w:lang w:val="en-GB"/>
              </w:rPr>
            </w:pPr>
            <w:r w:rsidRPr="008E5B32">
              <w:rPr>
                <w:rFonts w:ascii="Segoe UI Symbol" w:hAnsi="Segoe UI Symbol" w:cs="Segoe UI Symbol"/>
                <w:szCs w:val="18"/>
                <w:lang w:val="en-GB"/>
              </w:rPr>
              <w:t>✗</w:t>
            </w:r>
          </w:p>
        </w:tc>
        <w:tc>
          <w:tcPr>
            <w:tcW w:w="1239" w:type="dxa"/>
          </w:tcPr>
          <w:p w14:paraId="37A0A940" w14:textId="77777777" w:rsidR="008C032E" w:rsidRPr="008E5B32" w:rsidRDefault="008C032E" w:rsidP="00BA08CB">
            <w:pPr>
              <w:jc w:val="center"/>
              <w:rPr>
                <w:rFonts w:ascii="Segoe UI Symbol" w:eastAsia="Segoe UI Symbol" w:hAnsi="Segoe UI Symbol" w:cs="Segoe UI Symbol"/>
                <w:color w:val="222222"/>
                <w:lang w:val="en-GB"/>
              </w:rPr>
            </w:pPr>
            <w:r w:rsidRPr="008E5B32">
              <w:rPr>
                <w:rFonts w:ascii="Segoe UI Symbol" w:hAnsi="Segoe UI Symbol" w:cs="Segoe UI Symbol"/>
                <w:szCs w:val="18"/>
                <w:lang w:val="en-GB"/>
              </w:rPr>
              <w:t>✗</w:t>
            </w:r>
          </w:p>
        </w:tc>
        <w:tc>
          <w:tcPr>
            <w:tcW w:w="1370" w:type="dxa"/>
          </w:tcPr>
          <w:p w14:paraId="2989D38B" w14:textId="77777777" w:rsidR="008C032E" w:rsidRPr="008E5B32" w:rsidRDefault="008C032E" w:rsidP="00BA08CB">
            <w:pPr>
              <w:jc w:val="center"/>
              <w:rPr>
                <w:lang w:val="en-GB"/>
              </w:rPr>
            </w:pPr>
            <w:r w:rsidRPr="008E5B32">
              <w:rPr>
                <w:rFonts w:ascii="Segoe UI Symbol" w:hAnsi="Segoe UI Symbol" w:cs="Segoe UI Symbol"/>
                <w:szCs w:val="18"/>
                <w:lang w:val="en-GB"/>
              </w:rPr>
              <w:t>✗</w:t>
            </w:r>
          </w:p>
        </w:tc>
        <w:tc>
          <w:tcPr>
            <w:tcW w:w="627" w:type="dxa"/>
          </w:tcPr>
          <w:p w14:paraId="2785466D" w14:textId="77777777" w:rsidR="008C032E" w:rsidRPr="008E5B32" w:rsidRDefault="008C032E" w:rsidP="00BA08CB">
            <w:pPr>
              <w:jc w:val="center"/>
              <w:rPr>
                <w:rFonts w:ascii="Segoe UI Symbol" w:eastAsia="Segoe UI Symbol" w:hAnsi="Segoe UI Symbol" w:cs="Segoe UI Symbol"/>
                <w:color w:val="222222"/>
                <w:lang w:val="en-GB"/>
              </w:rPr>
            </w:pPr>
            <w:r w:rsidRPr="008E5B32">
              <w:rPr>
                <w:rFonts w:ascii="Segoe UI Symbol" w:eastAsia="Segoe UI Symbol" w:hAnsi="Segoe UI Symbol" w:cs="Segoe UI Symbol"/>
                <w:color w:val="222222"/>
                <w:lang w:val="en-GB"/>
              </w:rPr>
              <w:t>✓</w:t>
            </w:r>
          </w:p>
        </w:tc>
      </w:tr>
      <w:tr w:rsidR="004C12A8" w:rsidRPr="008E5B32" w14:paraId="2BD1AFEE" w14:textId="77777777" w:rsidTr="008A1247">
        <w:tc>
          <w:tcPr>
            <w:tcW w:w="537" w:type="dxa"/>
          </w:tcPr>
          <w:p w14:paraId="6DF2BB27" w14:textId="2D04D2C9" w:rsidR="00833921" w:rsidRPr="008E5B32" w:rsidRDefault="00833921" w:rsidP="00BA08CB">
            <w:pPr>
              <w:jc w:val="center"/>
            </w:pPr>
            <w:r w:rsidRPr="008E5B32">
              <w:rPr>
                <w:szCs w:val="18"/>
              </w:rPr>
              <w:fldChar w:fldCharType="begin" w:fldLock="1"/>
            </w:r>
            <w:r w:rsidR="004C12A8" w:rsidRPr="008E5B32">
              <w:rPr>
                <w:szCs w:val="18"/>
                <w:lang w:val="en-GB"/>
              </w:rPr>
              <w:instrText>ADDIN CSL_CITATION {"citationItems":[{"id":"ITEM-1","itemData":{"DOI":"10.1088/0957-4484/26/1/015701","ISBN":"0957-4484","ISSN":"13616528","PMID":"25473798","abstract":"Creating suitable chemical categories and developing read-across methods, supported by quantum mechanical calculations, can be an effective solution to solving key problems related to current scarcity of data on the toxicity of various nanoparticles. This study has demonstrated that by applying a nano-read-across, the cytotoxicity of nano-sized metal oxides could be estimated with a similar level of accuracy as provided by quantitative structure-activity relationship for nanomaterials (nano-QSAR model(s)). The method presented is a suitable computational tool for the preliminary hazard assessment of nanomaterials. It also could be used for the identification of nanomaterials that may pose potential negative impact to human health and the environment. Such approaches are especially necessary when there is paucity of relevant and reliable data points to develop and validate nano-QSAR models.","author":[{"dropping-particle":"","family":"Gajewicz","given":"Agnieszka","non-dropping-particle":"","parse-names":false,"suffix":""},{"dropping-particle":"","family":"Cronin","given":"Mark T.D.","non-dropping-particle":"","parse-names":false,"suffix":""},{"dropping-particle":"","family":"Rasulev","given":"Bakhtiyor","non-dropping-particle":"","parse-names":false,"suffix":""},{"dropping-particle":"","family":"Leszczynski","given":"Jerzy","non-dropping-particle":"","parse-names":false,"suffix":""},{"dropping-particle":"","family":"Puzyn","given":"Tomasz","non-dropping-particle":"","parse-names":false,"suffix":""}],"container-title":"Nanotechnology","id":"ITEM-1","issue":"1","issued":{"date-parts":[["2015"]]},"title":"Novel approach for efficient predictions properties of large pool of nanomaterials based on limited set of species: Nano-read-across","type":"article-journal","volume":"26"},"uris":["http://www.mendeley.com/documents/?uuid=c813faf0-b149-47df-8105-408c98398069"]}],"mendeley":{"formattedCitation":"&lt;sup&gt;32&lt;/sup&gt;","plainTextFormattedCitation":"32","previouslyFormattedCitation":"&lt;sup&gt;32&lt;/sup&gt;"},"properties":{"noteIndex":0},"schema":"https://github.com/citation-style-language/schema/raw/master/csl-citation.json"}</w:instrText>
            </w:r>
            <w:r w:rsidRPr="008E5B32">
              <w:rPr>
                <w:szCs w:val="18"/>
              </w:rPr>
              <w:fldChar w:fldCharType="separate"/>
            </w:r>
            <w:r w:rsidR="005D1733" w:rsidRPr="008E5B32">
              <w:rPr>
                <w:noProof/>
                <w:szCs w:val="18"/>
                <w:vertAlign w:val="superscript"/>
              </w:rPr>
              <w:t>32</w:t>
            </w:r>
            <w:r w:rsidRPr="008E5B32">
              <w:rPr>
                <w:szCs w:val="18"/>
              </w:rPr>
              <w:fldChar w:fldCharType="end"/>
            </w:r>
          </w:p>
        </w:tc>
        <w:tc>
          <w:tcPr>
            <w:tcW w:w="4151" w:type="dxa"/>
          </w:tcPr>
          <w:p w14:paraId="1402BDEF" w14:textId="5ABEAF7A" w:rsidR="00833921" w:rsidRPr="008E5B32" w:rsidRDefault="00DE03C8" w:rsidP="00BA08CB">
            <w:pPr>
              <w:jc w:val="both"/>
              <w:rPr>
                <w:lang w:val="en-GB"/>
              </w:rPr>
            </w:pPr>
            <w:r w:rsidRPr="008E5B32">
              <w:rPr>
                <w:lang w:val="en-GB"/>
              </w:rPr>
              <w:t xml:space="preserve">Approach for </w:t>
            </w:r>
            <w:r w:rsidR="00B978F7" w:rsidRPr="008E5B32">
              <w:rPr>
                <w:lang w:val="en-GB"/>
              </w:rPr>
              <w:t xml:space="preserve">Quantitative </w:t>
            </w:r>
            <w:r w:rsidR="00650B32" w:rsidRPr="008E5B32">
              <w:rPr>
                <w:lang w:val="en-GB"/>
              </w:rPr>
              <w:t>Read-Across</w:t>
            </w:r>
            <w:r w:rsidR="00E926FE" w:rsidRPr="008E5B32">
              <w:rPr>
                <w:lang w:val="en-GB"/>
              </w:rPr>
              <w:t xml:space="preserve"> applied on two case studies</w:t>
            </w:r>
            <w:r w:rsidR="00833921" w:rsidRPr="008E5B32">
              <w:rPr>
                <w:lang w:val="en-GB"/>
              </w:rPr>
              <w:t xml:space="preserve"> on E. Coli and HaCaT cell line cytotoxicity (reduction of cells viability, EC50) of metal oxide NMs</w:t>
            </w:r>
            <w:r w:rsidRPr="008E5B32">
              <w:rPr>
                <w:lang w:val="en-GB"/>
              </w:rPr>
              <w:t xml:space="preserve">, </w:t>
            </w:r>
            <w:r w:rsidR="00E926FE" w:rsidRPr="008E5B32">
              <w:rPr>
                <w:lang w:val="en-GB"/>
              </w:rPr>
              <w:t>read</w:t>
            </w:r>
            <w:r w:rsidRPr="008E5B32">
              <w:rPr>
                <w:lang w:val="en-GB"/>
              </w:rPr>
              <w:t>ing</w:t>
            </w:r>
            <w:r w:rsidR="00E926FE" w:rsidRPr="008E5B32">
              <w:rPr>
                <w:lang w:val="en-GB"/>
              </w:rPr>
              <w:t xml:space="preserve">-across toxicity using </w:t>
            </w:r>
            <w:r w:rsidRPr="008E5B32">
              <w:rPr>
                <w:lang w:val="en-GB"/>
              </w:rPr>
              <w:t>two</w:t>
            </w:r>
            <w:r w:rsidR="00E926FE" w:rsidRPr="008E5B32">
              <w:rPr>
                <w:lang w:val="en-GB"/>
              </w:rPr>
              <w:t xml:space="preserve"> quantum-mechanical</w:t>
            </w:r>
            <w:r w:rsidRPr="008E5B32">
              <w:rPr>
                <w:lang w:val="en-GB"/>
              </w:rPr>
              <w:t xml:space="preserve"> calculated</w:t>
            </w:r>
            <w:r w:rsidR="00E926FE" w:rsidRPr="008E5B32">
              <w:rPr>
                <w:lang w:val="en-GB"/>
              </w:rPr>
              <w:t xml:space="preserve"> descriptor</w:t>
            </w:r>
            <w:r w:rsidRPr="008E5B32">
              <w:rPr>
                <w:lang w:val="en-GB"/>
              </w:rPr>
              <w:t>s</w:t>
            </w:r>
            <w:r w:rsidR="00E926FE" w:rsidRPr="008E5B32">
              <w:rPr>
                <w:lang w:val="en-GB"/>
              </w:rPr>
              <w:t xml:space="preserve"> (</w:t>
            </w:r>
            <w:r w:rsidRPr="008E5B32">
              <w:rPr>
                <w:lang w:val="en-GB"/>
              </w:rPr>
              <w:t xml:space="preserve">in CS1 </w:t>
            </w:r>
            <w:r w:rsidR="00E926FE" w:rsidRPr="008E5B32">
              <w:rPr>
                <w:lang w:val="en-GB"/>
              </w:rPr>
              <w:t>enthalpy of formation of a gaseous cation</w:t>
            </w:r>
            <w:r w:rsidRPr="008E5B32">
              <w:rPr>
                <w:lang w:val="en-GB"/>
              </w:rPr>
              <w:t>, in CS2 Mulliken’s electronegativity of the cluster</w:t>
            </w:r>
            <w:r w:rsidR="00E926FE" w:rsidRPr="008E5B32">
              <w:rPr>
                <w:lang w:val="en-GB"/>
              </w:rPr>
              <w:t>)</w:t>
            </w:r>
            <w:r w:rsidRPr="008E5B32">
              <w:rPr>
                <w:lang w:val="en-GB"/>
              </w:rPr>
              <w:t>.</w:t>
            </w:r>
          </w:p>
        </w:tc>
        <w:tc>
          <w:tcPr>
            <w:tcW w:w="1778" w:type="dxa"/>
          </w:tcPr>
          <w:p w14:paraId="483D298E" w14:textId="77777777" w:rsidR="00C66A42" w:rsidRPr="008E5B32" w:rsidRDefault="008E039D" w:rsidP="00C66A42">
            <w:pPr>
              <w:jc w:val="center"/>
              <w:rPr>
                <w:szCs w:val="18"/>
                <w:lang w:val="en-GB"/>
              </w:rPr>
            </w:pPr>
            <w:r w:rsidRPr="008E5B32">
              <w:rPr>
                <w:rFonts w:ascii="Segoe UI Symbol" w:eastAsia="Segoe UI Symbol" w:hAnsi="Segoe UI Symbol" w:cs="Segoe UI Symbol"/>
                <w:color w:val="222222"/>
                <w:szCs w:val="18"/>
                <w:lang w:val="en-GB"/>
              </w:rPr>
              <w:t>✓</w:t>
            </w:r>
            <w:r w:rsidR="00C66A42" w:rsidRPr="008E5B32">
              <w:rPr>
                <w:szCs w:val="18"/>
                <w:lang w:val="en-GB"/>
              </w:rPr>
              <w:t xml:space="preserve"> </w:t>
            </w:r>
          </w:p>
          <w:p w14:paraId="6D6FFB1C" w14:textId="77777777" w:rsidR="00833921" w:rsidRPr="008E5B32" w:rsidRDefault="00C66A42" w:rsidP="00C66A42">
            <w:pPr>
              <w:jc w:val="center"/>
              <w:rPr>
                <w:szCs w:val="18"/>
                <w:lang w:val="en-GB"/>
              </w:rPr>
            </w:pPr>
            <w:r w:rsidRPr="008E5B32">
              <w:rPr>
                <w:szCs w:val="18"/>
                <w:lang w:val="en-GB"/>
              </w:rPr>
              <w:t xml:space="preserve"> </w:t>
            </w:r>
            <w:r w:rsidR="00833921" w:rsidRPr="008E5B32">
              <w:rPr>
                <w:szCs w:val="18"/>
                <w:lang w:val="en-GB"/>
              </w:rPr>
              <w:t xml:space="preserve">(Cytotoxicity via reduction of </w:t>
            </w:r>
            <w:r w:rsidR="00833921" w:rsidRPr="008E5B32">
              <w:rPr>
                <w:i/>
                <w:iCs/>
                <w:szCs w:val="18"/>
                <w:lang w:val="en-GB"/>
              </w:rPr>
              <w:t>E. Coli</w:t>
            </w:r>
            <w:r w:rsidR="00833921" w:rsidRPr="008E5B32">
              <w:rPr>
                <w:szCs w:val="18"/>
                <w:lang w:val="en-GB"/>
              </w:rPr>
              <w:t xml:space="preserve"> viability and cytotoxicity via cellular uptake of HaCaT cells)</w:t>
            </w:r>
          </w:p>
        </w:tc>
        <w:tc>
          <w:tcPr>
            <w:tcW w:w="1320" w:type="dxa"/>
          </w:tcPr>
          <w:p w14:paraId="7C0148CB" w14:textId="45102E3C" w:rsidR="00833921" w:rsidRPr="008E5B32" w:rsidRDefault="00833921" w:rsidP="00BA08CB">
            <w:pPr>
              <w:jc w:val="center"/>
              <w:rPr>
                <w:szCs w:val="18"/>
              </w:rPr>
            </w:pPr>
            <w:r w:rsidRPr="008E5B32">
              <w:rPr>
                <w:szCs w:val="18"/>
              </w:rPr>
              <w:t xml:space="preserve">CS1: 17 </w:t>
            </w:r>
            <w:r w:rsidRPr="008E5B32">
              <w:rPr>
                <w:szCs w:val="18"/>
              </w:rPr>
              <w:fldChar w:fldCharType="begin" w:fldLock="1"/>
            </w:r>
            <w:r w:rsidR="004C12A8" w:rsidRPr="008E5B32">
              <w:rPr>
                <w:szCs w:val="18"/>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rPr>
                <w:szCs w:val="18"/>
              </w:rPr>
              <w:fldChar w:fldCharType="separate"/>
            </w:r>
            <w:r w:rsidR="005D1733" w:rsidRPr="008E5B32">
              <w:rPr>
                <w:noProof/>
                <w:szCs w:val="18"/>
                <w:vertAlign w:val="superscript"/>
              </w:rPr>
              <w:t>23</w:t>
            </w:r>
            <w:r w:rsidRPr="008E5B32">
              <w:rPr>
                <w:szCs w:val="18"/>
              </w:rPr>
              <w:fldChar w:fldCharType="end"/>
            </w:r>
            <w:r w:rsidRPr="008E5B32">
              <w:rPr>
                <w:szCs w:val="18"/>
              </w:rPr>
              <w:t xml:space="preserve">, CS2: 18 </w:t>
            </w:r>
            <w:r w:rsidRPr="008E5B32">
              <w:rPr>
                <w:szCs w:val="18"/>
              </w:rPr>
              <w:fldChar w:fldCharType="begin" w:fldLock="1"/>
            </w:r>
            <w:r w:rsidR="00434385" w:rsidRPr="008E5B32">
              <w:rPr>
                <w:szCs w:val="18"/>
              </w:rPr>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83</w:t>
            </w:r>
            <w:r w:rsidRPr="008E5B32">
              <w:rPr>
                <w:szCs w:val="18"/>
              </w:rPr>
              <w:fldChar w:fldCharType="end"/>
            </w:r>
          </w:p>
        </w:tc>
        <w:tc>
          <w:tcPr>
            <w:tcW w:w="1428" w:type="dxa"/>
          </w:tcPr>
          <w:p w14:paraId="58529C0A" w14:textId="77777777" w:rsidR="00833921" w:rsidRPr="008E5B32" w:rsidRDefault="00833921" w:rsidP="00BA08CB">
            <w:pPr>
              <w:jc w:val="center"/>
              <w:rPr>
                <w:rFonts w:ascii="Segoe UI Symbol" w:hAnsi="Segoe UI Symbol" w:cs="Segoe UI Symbol"/>
                <w:lang w:val="en-US"/>
              </w:rPr>
            </w:pPr>
            <w:r w:rsidRPr="008E5B32">
              <w:rPr>
                <w:rFonts w:ascii="Segoe UI Symbol" w:hAnsi="Segoe UI Symbol" w:cs="Segoe UI Symbol"/>
                <w:lang w:val="en-US"/>
              </w:rPr>
              <w:t>✓</w:t>
            </w:r>
          </w:p>
          <w:p w14:paraId="7439150E" w14:textId="77777777" w:rsidR="007F541C" w:rsidRPr="008E5B32" w:rsidRDefault="007F541C" w:rsidP="00BA08CB">
            <w:pPr>
              <w:jc w:val="center"/>
              <w:rPr>
                <w:lang w:val="en-US"/>
              </w:rPr>
            </w:pPr>
            <w:r w:rsidRPr="008E5B32">
              <w:rPr>
                <w:lang w:val="en-US"/>
              </w:rPr>
              <w:t>(One-to-one, one-to-many, -many-to-one, and many-to-many class assignment after hierarchical clustering)</w:t>
            </w:r>
          </w:p>
        </w:tc>
        <w:tc>
          <w:tcPr>
            <w:tcW w:w="795" w:type="dxa"/>
          </w:tcPr>
          <w:p w14:paraId="4CE9A9BB" w14:textId="77777777" w:rsidR="00833921" w:rsidRPr="008E5B32" w:rsidRDefault="00833921" w:rsidP="00BA08CB">
            <w:pPr>
              <w:jc w:val="center"/>
              <w:rPr>
                <w:rFonts w:ascii="Segoe UI Symbol" w:hAnsi="Segoe UI Symbol" w:cs="Segoe UI Symbol"/>
              </w:rPr>
            </w:pPr>
            <w:r w:rsidRPr="008E5B32">
              <w:rPr>
                <w:szCs w:val="18"/>
              </w:rPr>
              <w:t>≈</w:t>
            </w:r>
          </w:p>
        </w:tc>
        <w:tc>
          <w:tcPr>
            <w:tcW w:w="709" w:type="dxa"/>
          </w:tcPr>
          <w:p w14:paraId="3B213749" w14:textId="77777777" w:rsidR="00833921" w:rsidRPr="008E5B32" w:rsidRDefault="00833921" w:rsidP="00BA08CB">
            <w:pPr>
              <w:jc w:val="center"/>
              <w:rPr>
                <w:rFonts w:ascii="Segoe UI Symbol" w:hAnsi="Segoe UI Symbol" w:cs="Segoe UI Symbol"/>
              </w:rPr>
            </w:pPr>
            <w:r w:rsidRPr="008E5B32">
              <w:rPr>
                <w:szCs w:val="18"/>
              </w:rPr>
              <w:t>≈</w:t>
            </w:r>
          </w:p>
        </w:tc>
        <w:tc>
          <w:tcPr>
            <w:tcW w:w="1239" w:type="dxa"/>
          </w:tcPr>
          <w:p w14:paraId="0452C8E2" w14:textId="77777777" w:rsidR="00833921" w:rsidRPr="008E5B32" w:rsidRDefault="00833921" w:rsidP="00BA08CB">
            <w:pPr>
              <w:jc w:val="center"/>
              <w:rPr>
                <w:szCs w:val="18"/>
              </w:rPr>
            </w:pPr>
            <w:r w:rsidRPr="008E5B32">
              <w:rPr>
                <w:rFonts w:ascii="Segoe UI Symbol" w:hAnsi="Segoe UI Symbol" w:cs="Segoe UI Symbol"/>
                <w:szCs w:val="18"/>
              </w:rPr>
              <w:t>✗</w:t>
            </w:r>
          </w:p>
        </w:tc>
        <w:tc>
          <w:tcPr>
            <w:tcW w:w="1370" w:type="dxa"/>
          </w:tcPr>
          <w:p w14:paraId="76F14603" w14:textId="77777777" w:rsidR="00833921" w:rsidRPr="008E5B32" w:rsidRDefault="00646263" w:rsidP="00BA08CB">
            <w:pPr>
              <w:jc w:val="center"/>
            </w:pPr>
            <w:r w:rsidRPr="008E5B32">
              <w:rPr>
                <w:rFonts w:ascii="Segoe UI Symbol" w:hAnsi="Segoe UI Symbol" w:cs="Segoe UI Symbol"/>
                <w:szCs w:val="18"/>
              </w:rPr>
              <w:t>✗</w:t>
            </w:r>
          </w:p>
        </w:tc>
        <w:tc>
          <w:tcPr>
            <w:tcW w:w="627" w:type="dxa"/>
          </w:tcPr>
          <w:p w14:paraId="2117DEF9" w14:textId="77777777" w:rsidR="00833921" w:rsidRPr="008E5B32" w:rsidRDefault="00833921" w:rsidP="00BA08CB">
            <w:pPr>
              <w:jc w:val="center"/>
              <w:rPr>
                <w:rFonts w:ascii="Segoe UI Symbol" w:eastAsia="Segoe UI Symbol" w:hAnsi="Segoe UI Symbol" w:cs="Segoe UI Symbol"/>
                <w:color w:val="222222"/>
              </w:rPr>
            </w:pPr>
            <w:r w:rsidRPr="008E5B32">
              <w:rPr>
                <w:rFonts w:ascii="Segoe UI Symbol" w:eastAsia="Segoe UI Symbol" w:hAnsi="Segoe UI Symbol" w:cs="Segoe UI Symbol"/>
                <w:color w:val="222222"/>
              </w:rPr>
              <w:t>✓</w:t>
            </w:r>
          </w:p>
        </w:tc>
      </w:tr>
      <w:tr w:rsidR="004C12A8" w:rsidRPr="008E5B32" w14:paraId="5D1A5996" w14:textId="77777777" w:rsidTr="008A1247">
        <w:tc>
          <w:tcPr>
            <w:tcW w:w="537" w:type="dxa"/>
          </w:tcPr>
          <w:p w14:paraId="2656FD27" w14:textId="704B64A4" w:rsidR="00833921" w:rsidRPr="008E5B32" w:rsidRDefault="00833921" w:rsidP="00BA08CB">
            <w:pPr>
              <w:jc w:val="center"/>
              <w:rPr>
                <w:szCs w:val="18"/>
                <w:lang w:val="en-GB"/>
              </w:rPr>
            </w:pPr>
            <w:r w:rsidRPr="008E5B32">
              <w:rPr>
                <w:szCs w:val="18"/>
              </w:rPr>
              <w:fldChar w:fldCharType="begin" w:fldLock="1"/>
            </w:r>
            <w:r w:rsidR="004C12A8" w:rsidRPr="008E5B32">
              <w:rPr>
                <w:szCs w:val="18"/>
              </w:rPr>
              <w:instrText>ADDIN CSL_CITATION {"citationItems":[{"id":"ITEM-1","itemData":{"DOI":"10.1039/c6en00399k","ISSN":"20518161","abstract":"The number and variety of engineered nanoparticles have been growing exponentially. Since the experimental evaluation of nanoparticles causing public health concerns is expensive and time consuming, efficient computational tools are amongst the most suitable approaches to identifying potential negative impacts, to the human health and the environment, of new nanomaterials before their production. However, developing computational models complimentary to experiments is impossible without incorporating consistent and high quality experimental data. Although there are limited available data in the literature, one may apply read-across techniques that seem to be an attractive and pragmatic alternative way of predicting missing physico-chemical or toxicological data. Unfortunately, the existing methods of read-across are strongly dependent on the expert's knowledge. In consequence, the results of estimations may vary dependently on personal experience of expert conducting the study and as such cannot guarantee the reproducibility of their results. Therefore, it is essential to develop novel read-across algorithm(s) that will provide reliable predictions of the missing data without the need to for additional experiments. We proposed a novel quantitative read-across approach for nanomaterials (Nano-QRA) that addresses and overcomes a basic limitation of existing methods. It is based on: one-point-slope, two-point formula, or the equation of a plane passing through three points. The proposed Nano-QRA approach is a simple a</w:instrText>
            </w:r>
            <w:r w:rsidR="004C12A8" w:rsidRPr="008E5B32">
              <w:rPr>
                <w:szCs w:val="18"/>
                <w:lang w:val="en-US"/>
              </w:rPr>
              <w:instrText>nd effective algorithm for filling data gaps in quantitative manner providing reliable predictions of the missing data.","author":[{"dropping-particle":"","family":"Gajewicz","given":"A.","non-dropping-particle":"","parse-names":false,"suffix":""},{"dropping-particle":"","family":"Jagiello","given":"K.","non-dropping-particle":"","parse-names":false,"suffix":""},{"dropping-particle":"","family":"Cronin","given":"M. T.D.","non-dropping-particle":"","parse-names":false,"suffix":""},{"dropping-particle":"","family":"Leszczynski","given":"J.","non-dropping-particle":"","parse-names":false,"suffix":""},{"dropping-particle":"","family":"Puzyn","given":"T.","non-dropping-particle":"","parse-names":false,"suffix":""}],"container-title":"Environmental Science: Nano","id":"ITEM-1","issued":{"date-parts":[["2017"]]},"title":"Addressing a bottle neck for regulation of nanomaterials: quantitative read-across (Nano-QRA) algorithm for cases when only limited data is available","type":"article-journal"},"uris":["http://www.mendeley.com/documents/?uuid=47acbd37-79e6-4ecb-85e1-ff21281f6a8f","http://www.mendeley.com/documents/?uuid=ac508529-cd65-4e50-a90b-5ce9a6defec2","http://www.mendeley.com/documents/?uuid=a2ed730d-925f-4aa8-982a-66f9fc4ee42d"]}],"mendeley":{"formattedCitation":"&lt;sup&gt;31&lt;/sup&gt;","plainTextFormattedCitation":"31","previouslyFormattedCitation":"&lt;sup&gt;31&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31</w:t>
            </w:r>
            <w:r w:rsidRPr="008E5B32">
              <w:rPr>
                <w:szCs w:val="18"/>
              </w:rPr>
              <w:fldChar w:fldCharType="end"/>
            </w:r>
          </w:p>
        </w:tc>
        <w:tc>
          <w:tcPr>
            <w:tcW w:w="4151" w:type="dxa"/>
          </w:tcPr>
          <w:p w14:paraId="723A83C7" w14:textId="5EB729ED" w:rsidR="00833921" w:rsidRPr="008E5B32" w:rsidRDefault="00833921" w:rsidP="00BA08CB">
            <w:pPr>
              <w:jc w:val="both"/>
              <w:rPr>
                <w:szCs w:val="18"/>
                <w:lang w:val="en-GB"/>
              </w:rPr>
            </w:pPr>
            <w:r w:rsidRPr="008E5B32">
              <w:rPr>
                <w:lang w:val="en-GB"/>
              </w:rPr>
              <w:t xml:space="preserve">Approach for quantitative </w:t>
            </w:r>
            <w:r w:rsidR="00650B32" w:rsidRPr="008E5B32">
              <w:rPr>
                <w:lang w:val="en-GB"/>
              </w:rPr>
              <w:t>Read-Across</w:t>
            </w:r>
            <w:r w:rsidRPr="008E5B32">
              <w:rPr>
                <w:lang w:val="en-GB"/>
              </w:rPr>
              <w:t xml:space="preserve">, that consists in three steps: (1) exploration of multidimensional space of descriptors to obtain first information on structural similarities, (2) </w:t>
            </w:r>
            <w:r w:rsidR="002E2411" w:rsidRPr="008E5B32">
              <w:rPr>
                <w:lang w:val="en-GB"/>
              </w:rPr>
              <w:t>Grouping</w:t>
            </w:r>
            <w:r w:rsidRPr="008E5B32">
              <w:rPr>
                <w:lang w:val="en-GB"/>
              </w:rPr>
              <w:t xml:space="preserve"> using pattern recognition techniques based on structural features, and (3) application of their approach, using </w:t>
            </w:r>
            <w:r w:rsidR="00013BDE" w:rsidRPr="008E5B32">
              <w:rPr>
                <w:lang w:val="en-GB"/>
              </w:rPr>
              <w:t>one</w:t>
            </w:r>
            <w:r w:rsidRPr="008E5B32">
              <w:rPr>
                <w:lang w:val="en-GB"/>
              </w:rPr>
              <w:t xml:space="preserve">, </w:t>
            </w:r>
            <w:r w:rsidR="00013BDE" w:rsidRPr="008E5B32">
              <w:rPr>
                <w:lang w:val="en-GB"/>
              </w:rPr>
              <w:t>two</w:t>
            </w:r>
            <w:r w:rsidRPr="008E5B32">
              <w:rPr>
                <w:lang w:val="en-GB"/>
              </w:rPr>
              <w:t xml:space="preserve">, or </w:t>
            </w:r>
            <w:r w:rsidR="00013BDE" w:rsidRPr="008E5B32">
              <w:rPr>
                <w:lang w:val="en-GB"/>
              </w:rPr>
              <w:t>three</w:t>
            </w:r>
            <w:r w:rsidRPr="008E5B32">
              <w:rPr>
                <w:lang w:val="en-GB"/>
              </w:rPr>
              <w:t xml:space="preserve"> points depending on availability.</w:t>
            </w:r>
            <w:r w:rsidR="00DE03C8" w:rsidRPr="008E5B32">
              <w:rPr>
                <w:lang w:val="en-GB"/>
              </w:rPr>
              <w:t xml:space="preserve"> In the two Case studies, </w:t>
            </w:r>
            <w:r w:rsidR="00032793" w:rsidRPr="008E5B32">
              <w:rPr>
                <w:lang w:val="en-GB"/>
              </w:rPr>
              <w:t>authors adopted as descriptors</w:t>
            </w:r>
            <w:r w:rsidR="00DE03C8" w:rsidRPr="008E5B32">
              <w:rPr>
                <w:lang w:val="en-GB"/>
              </w:rPr>
              <w:t xml:space="preserve"> two quantum-mechanical calculated descriptors (in CS1 enthalpy of formation of a gaseous cation, plus Mulliken’s electronegativity of the cluster in CS2).</w:t>
            </w:r>
          </w:p>
        </w:tc>
        <w:tc>
          <w:tcPr>
            <w:tcW w:w="1778" w:type="dxa"/>
          </w:tcPr>
          <w:p w14:paraId="49DE557D" w14:textId="77777777" w:rsidR="00C66A42" w:rsidRPr="008E5B32" w:rsidRDefault="008E039D" w:rsidP="00C66A42">
            <w:pPr>
              <w:jc w:val="center"/>
              <w:rPr>
                <w:szCs w:val="18"/>
                <w:lang w:val="en-GB"/>
              </w:rPr>
            </w:pPr>
            <w:r w:rsidRPr="008E5B32">
              <w:rPr>
                <w:rFonts w:ascii="Segoe UI Symbol" w:eastAsia="Segoe UI Symbol" w:hAnsi="Segoe UI Symbol" w:cs="Segoe UI Symbol"/>
                <w:color w:val="222222"/>
                <w:szCs w:val="18"/>
                <w:lang w:val="en-GB"/>
              </w:rPr>
              <w:t>✓</w:t>
            </w:r>
            <w:r w:rsidR="00C66A42" w:rsidRPr="008E5B32">
              <w:rPr>
                <w:szCs w:val="18"/>
                <w:lang w:val="en-GB"/>
              </w:rPr>
              <w:t xml:space="preserve"> </w:t>
            </w:r>
          </w:p>
          <w:p w14:paraId="71828156" w14:textId="77777777" w:rsidR="00833921" w:rsidRPr="008E5B32" w:rsidRDefault="00C66A42" w:rsidP="00C66A42">
            <w:pPr>
              <w:jc w:val="center"/>
              <w:rPr>
                <w:rFonts w:ascii="Segoe UI Symbol" w:hAnsi="Segoe UI Symbol" w:cs="Segoe UI Symbol"/>
                <w:szCs w:val="18"/>
                <w:lang w:val="en-GB"/>
              </w:rPr>
            </w:pPr>
            <w:r w:rsidRPr="008E5B32">
              <w:rPr>
                <w:szCs w:val="18"/>
                <w:lang w:val="en-GB"/>
              </w:rPr>
              <w:t xml:space="preserve"> </w:t>
            </w:r>
            <w:r w:rsidR="00833921" w:rsidRPr="008E5B32">
              <w:rPr>
                <w:szCs w:val="18"/>
                <w:lang w:val="en-GB"/>
              </w:rPr>
              <w:t xml:space="preserve">(Cytotoxicity via reduction of </w:t>
            </w:r>
            <w:r w:rsidR="00833921" w:rsidRPr="008E5B32">
              <w:rPr>
                <w:i/>
                <w:iCs/>
                <w:szCs w:val="18"/>
                <w:lang w:val="en-GB"/>
              </w:rPr>
              <w:t>E. Coli</w:t>
            </w:r>
            <w:r w:rsidR="00833921" w:rsidRPr="008E5B32">
              <w:rPr>
                <w:szCs w:val="18"/>
                <w:lang w:val="en-GB"/>
              </w:rPr>
              <w:t xml:space="preserve"> viability and cytotoxicity via cellular uptake of HaCaT cells)</w:t>
            </w:r>
          </w:p>
        </w:tc>
        <w:tc>
          <w:tcPr>
            <w:tcW w:w="1320" w:type="dxa"/>
          </w:tcPr>
          <w:p w14:paraId="36A8B3C8" w14:textId="798EFCA7" w:rsidR="00833921" w:rsidRPr="008E5B32" w:rsidRDefault="00833921" w:rsidP="00BA08CB">
            <w:pPr>
              <w:jc w:val="center"/>
              <w:rPr>
                <w:szCs w:val="18"/>
              </w:rPr>
            </w:pPr>
            <w:r w:rsidRPr="008E5B32">
              <w:rPr>
                <w:szCs w:val="18"/>
                <w:lang w:val="en-GB"/>
              </w:rPr>
              <w:t xml:space="preserve">CS1: 17 </w:t>
            </w:r>
            <w:r w:rsidRPr="008E5B32">
              <w:rPr>
                <w:szCs w:val="18"/>
              </w:rPr>
              <w:fldChar w:fldCharType="begin" w:fldLock="1"/>
            </w:r>
            <w:r w:rsidR="004C12A8" w:rsidRPr="008E5B32">
              <w:rPr>
                <w:szCs w:val="18"/>
                <w:lang w:val="en-GB"/>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rPr>
                <w:szCs w:val="18"/>
              </w:rPr>
              <w:fldChar w:fldCharType="separate"/>
            </w:r>
            <w:r w:rsidR="005D1733" w:rsidRPr="008E5B32">
              <w:rPr>
                <w:noProof/>
                <w:szCs w:val="18"/>
                <w:vertAlign w:val="superscript"/>
              </w:rPr>
              <w:t>23</w:t>
            </w:r>
            <w:r w:rsidRPr="008E5B32">
              <w:rPr>
                <w:szCs w:val="18"/>
              </w:rPr>
              <w:fldChar w:fldCharType="end"/>
            </w:r>
            <w:r w:rsidRPr="008E5B32">
              <w:rPr>
                <w:szCs w:val="18"/>
              </w:rPr>
              <w:t xml:space="preserve">, CS2: 18 </w:t>
            </w:r>
            <w:r w:rsidRPr="008E5B32">
              <w:rPr>
                <w:szCs w:val="18"/>
              </w:rPr>
              <w:fldChar w:fldCharType="begin" w:fldLock="1"/>
            </w:r>
            <w:r w:rsidR="00434385" w:rsidRPr="008E5B32">
              <w:rPr>
                <w:szCs w:val="18"/>
              </w:rPr>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83</w:t>
            </w:r>
            <w:r w:rsidRPr="008E5B32">
              <w:rPr>
                <w:szCs w:val="18"/>
              </w:rPr>
              <w:fldChar w:fldCharType="end"/>
            </w:r>
          </w:p>
        </w:tc>
        <w:tc>
          <w:tcPr>
            <w:tcW w:w="1428" w:type="dxa"/>
          </w:tcPr>
          <w:p w14:paraId="0105DD19" w14:textId="77777777" w:rsidR="00833921" w:rsidRPr="008E5B32" w:rsidRDefault="00833921" w:rsidP="00BA08CB">
            <w:pPr>
              <w:jc w:val="center"/>
              <w:rPr>
                <w:rFonts w:ascii="Segoe UI Symbol" w:hAnsi="Segoe UI Symbol" w:cs="Segoe UI Symbol"/>
                <w:szCs w:val="18"/>
                <w:lang w:val="en-US"/>
              </w:rPr>
            </w:pPr>
            <w:r w:rsidRPr="008E5B32">
              <w:rPr>
                <w:rFonts w:ascii="Segoe UI Symbol" w:hAnsi="Segoe UI Symbol" w:cs="Segoe UI Symbol"/>
                <w:szCs w:val="18"/>
                <w:lang w:val="en-US"/>
              </w:rPr>
              <w:t>✓</w:t>
            </w:r>
          </w:p>
          <w:p w14:paraId="58FFA89A" w14:textId="77777777" w:rsidR="00833921" w:rsidRPr="008E5B32" w:rsidRDefault="00833921" w:rsidP="00BA08CB">
            <w:pPr>
              <w:jc w:val="center"/>
              <w:rPr>
                <w:lang w:val="en-US"/>
              </w:rPr>
            </w:pPr>
            <w:r w:rsidRPr="008E5B32">
              <w:rPr>
                <w:lang w:val="en-US"/>
              </w:rPr>
              <w:t>(One-point slope, two points formula, plane passing for three points)</w:t>
            </w:r>
          </w:p>
        </w:tc>
        <w:tc>
          <w:tcPr>
            <w:tcW w:w="795" w:type="dxa"/>
          </w:tcPr>
          <w:p w14:paraId="62F3EF57" w14:textId="77777777" w:rsidR="00833921" w:rsidRPr="008E5B32" w:rsidRDefault="00833921"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709" w:type="dxa"/>
          </w:tcPr>
          <w:p w14:paraId="4331C847" w14:textId="77777777" w:rsidR="00833921" w:rsidRPr="008E5B32" w:rsidRDefault="00833921"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1239" w:type="dxa"/>
          </w:tcPr>
          <w:p w14:paraId="67DD264E" w14:textId="77777777" w:rsidR="00833921" w:rsidRPr="008E5B32" w:rsidRDefault="00833921"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1370" w:type="dxa"/>
          </w:tcPr>
          <w:p w14:paraId="2A13685C" w14:textId="77777777" w:rsidR="00833921" w:rsidRPr="008E5B32" w:rsidRDefault="00833921"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627" w:type="dxa"/>
          </w:tcPr>
          <w:p w14:paraId="45976C16" w14:textId="77777777" w:rsidR="00833921" w:rsidRPr="008E5B32" w:rsidRDefault="00833921" w:rsidP="00BA08CB">
            <w:pPr>
              <w:jc w:val="center"/>
              <w:rPr>
                <w:rFonts w:ascii="Segoe UI Symbol" w:eastAsia="Segoe UI Symbol" w:hAnsi="Segoe UI Symbol" w:cs="Segoe UI Symbol"/>
                <w:color w:val="222222"/>
              </w:rPr>
            </w:pPr>
            <w:r w:rsidRPr="008E5B32">
              <w:rPr>
                <w:rFonts w:ascii="Segoe UI Symbol" w:eastAsia="Segoe UI Symbol" w:hAnsi="Segoe UI Symbol" w:cs="Segoe UI Symbol"/>
                <w:color w:val="222222"/>
              </w:rPr>
              <w:t>✓</w:t>
            </w:r>
          </w:p>
        </w:tc>
      </w:tr>
      <w:tr w:rsidR="004C12A8" w:rsidRPr="008E5B32" w14:paraId="7C92CB4A" w14:textId="77777777" w:rsidTr="008A1247">
        <w:tc>
          <w:tcPr>
            <w:tcW w:w="537" w:type="dxa"/>
          </w:tcPr>
          <w:p w14:paraId="56EBC847" w14:textId="1D543A64" w:rsidR="00D20980" w:rsidRPr="008E5B32" w:rsidRDefault="00D20980" w:rsidP="00D20980">
            <w:pPr>
              <w:jc w:val="center"/>
              <w:rPr>
                <w:szCs w:val="18"/>
              </w:rPr>
            </w:pPr>
            <w:r w:rsidRPr="008E5B32">
              <w:rPr>
                <w:szCs w:val="18"/>
              </w:rPr>
              <w:fldChar w:fldCharType="begin" w:fldLock="1"/>
            </w:r>
            <w:r w:rsidR="00434385" w:rsidRPr="008E5B32">
              <w:rPr>
                <w:szCs w:val="18"/>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6ad07293-d700-47f7-b215-04232ca5ee0b","http://www.mendeley.com/documents/?uuid=e716cf4e-6241-4ba5-9036-9d82b993c983","http://www.mendeley.com/documents/?uuid=bc5fff7e-25ad-48da-bd1d-5dc229a7f6b2"]}],"mendeley":{"formattedCitation":"&lt;sup&gt;84&lt;/sup&gt;","plainTextFormattedCitation":"84","previouslyFormattedCitation":"&lt;sup&gt;84&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84</w:t>
            </w:r>
            <w:r w:rsidRPr="008E5B32">
              <w:rPr>
                <w:szCs w:val="18"/>
              </w:rPr>
              <w:fldChar w:fldCharType="end"/>
            </w:r>
          </w:p>
        </w:tc>
        <w:tc>
          <w:tcPr>
            <w:tcW w:w="4151" w:type="dxa"/>
          </w:tcPr>
          <w:p w14:paraId="2E6F1E24" w14:textId="4CF4B038" w:rsidR="00D20980" w:rsidRPr="008E5B32" w:rsidRDefault="00D20980" w:rsidP="00D20980">
            <w:pPr>
              <w:jc w:val="both"/>
              <w:rPr>
                <w:lang w:val="en-GB"/>
              </w:rPr>
            </w:pPr>
            <w:r w:rsidRPr="008E5B32">
              <w:rPr>
                <w:lang w:val="en-GB"/>
              </w:rPr>
              <w:t xml:space="preserve">Framework for downloading data and ontologies from the eNanoMapper </w:t>
            </w:r>
            <w:r w:rsidR="00C35BC5" w:rsidRPr="008E5B32">
              <w:rPr>
                <w:lang w:val="en-GB"/>
              </w:rPr>
              <w:t>database</w:t>
            </w:r>
            <w:r w:rsidRPr="008E5B32">
              <w:rPr>
                <w:lang w:val="en-GB"/>
              </w:rPr>
              <w:t xml:space="preserve"> and developing and validating </w:t>
            </w:r>
            <w:r w:rsidR="00650254" w:rsidRPr="008E5B32">
              <w:rPr>
                <w:lang w:val="en-GB"/>
              </w:rPr>
              <w:t>NMs</w:t>
            </w:r>
            <w:r w:rsidRPr="008E5B32">
              <w:rPr>
                <w:lang w:val="en-GB"/>
              </w:rPr>
              <w:t xml:space="preserve"> Read-Across models. </w:t>
            </w:r>
            <w:r w:rsidR="00DA4530" w:rsidRPr="008E5B32">
              <w:rPr>
                <w:lang w:val="en-GB"/>
              </w:rPr>
              <w:t xml:space="preserve">The developed tool is available online (https://nano-lazar.in-silico.ch/predict). </w:t>
            </w:r>
            <w:r w:rsidRPr="008E5B32">
              <w:rPr>
                <w:lang w:val="en-GB"/>
              </w:rPr>
              <w:t xml:space="preserve">In the case study authors compared different </w:t>
            </w:r>
            <w:r w:rsidR="00650254" w:rsidRPr="008E5B32">
              <w:rPr>
                <w:lang w:val="en-GB"/>
              </w:rPr>
              <w:t>NM</w:t>
            </w:r>
            <w:r w:rsidRPr="008E5B32">
              <w:rPr>
                <w:lang w:val="en-GB"/>
              </w:rPr>
              <w:t xml:space="preserve"> descriptor sets and local regression algorithms for the Net Cell Association endpoint using physicochemical, structural and protein corona descriptors.</w:t>
            </w:r>
            <w:r w:rsidR="001809F0" w:rsidRPr="008E5B32">
              <w:rPr>
                <w:lang w:val="en-GB"/>
              </w:rPr>
              <w:t xml:space="preserve"> </w:t>
            </w:r>
          </w:p>
        </w:tc>
        <w:tc>
          <w:tcPr>
            <w:tcW w:w="1778" w:type="dxa"/>
          </w:tcPr>
          <w:p w14:paraId="77E41674" w14:textId="77777777" w:rsidR="00D20980" w:rsidRPr="008E5B32" w:rsidRDefault="00D20980" w:rsidP="00D20980">
            <w:pPr>
              <w:jc w:val="center"/>
              <w:rPr>
                <w:szCs w:val="18"/>
                <w:lang w:val="en-GB"/>
              </w:rPr>
            </w:pPr>
            <w:r w:rsidRPr="008E5B32">
              <w:rPr>
                <w:rFonts w:ascii="Segoe UI Symbol" w:eastAsia="Segoe UI Symbol" w:hAnsi="Segoe UI Symbol" w:cs="Segoe UI Symbol"/>
                <w:color w:val="222222"/>
                <w:szCs w:val="18"/>
                <w:lang w:val="en-GB"/>
              </w:rPr>
              <w:t>✓</w:t>
            </w:r>
            <w:r w:rsidRPr="008E5B32">
              <w:rPr>
                <w:szCs w:val="18"/>
                <w:lang w:val="en-GB"/>
              </w:rPr>
              <w:t xml:space="preserve"> </w:t>
            </w:r>
          </w:p>
          <w:p w14:paraId="043E5602" w14:textId="77777777" w:rsidR="00D20980" w:rsidRPr="008E5B32" w:rsidRDefault="00D20980" w:rsidP="00D20980">
            <w:pPr>
              <w:jc w:val="center"/>
              <w:rPr>
                <w:rFonts w:ascii="Segoe UI Symbol" w:eastAsia="Segoe UI Symbol" w:hAnsi="Segoe UI Symbol" w:cs="Segoe UI Symbol"/>
                <w:color w:val="222222"/>
                <w:szCs w:val="18"/>
                <w:lang w:val="en-GB"/>
              </w:rPr>
            </w:pPr>
            <w:r w:rsidRPr="008E5B32">
              <w:rPr>
                <w:szCs w:val="18"/>
                <w:lang w:val="en-GB"/>
              </w:rPr>
              <w:t>(Cell Association in A549 cells)</w:t>
            </w:r>
          </w:p>
        </w:tc>
        <w:tc>
          <w:tcPr>
            <w:tcW w:w="1320" w:type="dxa"/>
          </w:tcPr>
          <w:p w14:paraId="6676338F" w14:textId="78221B8D" w:rsidR="00D20980" w:rsidRPr="008E5B32" w:rsidRDefault="00D20980" w:rsidP="00D20980">
            <w:pPr>
              <w:jc w:val="center"/>
              <w:rPr>
                <w:szCs w:val="18"/>
              </w:rPr>
            </w:pPr>
            <w:r w:rsidRPr="008E5B32">
              <w:rPr>
                <w:szCs w:val="18"/>
              </w:rPr>
              <w:t xml:space="preserve">121 </w:t>
            </w:r>
            <w:r w:rsidR="004B2444" w:rsidRPr="008E5B32">
              <w:rPr>
                <w:szCs w:val="18"/>
              </w:rPr>
              <w:fldChar w:fldCharType="begin" w:fldLock="1"/>
            </w:r>
            <w:r w:rsidR="00434385" w:rsidRPr="008E5B32">
              <w:rPr>
                <w:szCs w:val="18"/>
              </w:rPr>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004B2444" w:rsidRPr="008E5B32">
              <w:rPr>
                <w:szCs w:val="18"/>
              </w:rPr>
              <w:fldChar w:fldCharType="separate"/>
            </w:r>
            <w:r w:rsidR="004C12A8" w:rsidRPr="008E5B32">
              <w:rPr>
                <w:noProof/>
                <w:szCs w:val="18"/>
                <w:vertAlign w:val="superscript"/>
              </w:rPr>
              <w:t>85</w:t>
            </w:r>
            <w:r w:rsidR="004B2444" w:rsidRPr="008E5B32">
              <w:rPr>
                <w:szCs w:val="18"/>
              </w:rPr>
              <w:fldChar w:fldCharType="end"/>
            </w:r>
          </w:p>
          <w:p w14:paraId="5FA4F4ED" w14:textId="77777777" w:rsidR="00D20980" w:rsidRPr="008E5B32" w:rsidRDefault="00D20980" w:rsidP="00D20980">
            <w:pPr>
              <w:jc w:val="center"/>
              <w:rPr>
                <w:szCs w:val="18"/>
              </w:rPr>
            </w:pPr>
            <w:r w:rsidRPr="008E5B32">
              <w:rPr>
                <w:szCs w:val="18"/>
              </w:rPr>
              <w:t>(retrieved from eNanoMapper)</w:t>
            </w:r>
          </w:p>
        </w:tc>
        <w:tc>
          <w:tcPr>
            <w:tcW w:w="1428" w:type="dxa"/>
          </w:tcPr>
          <w:p w14:paraId="56550B3A" w14:textId="77777777" w:rsidR="00D20980" w:rsidRPr="008E5B32" w:rsidRDefault="00D20980" w:rsidP="00D20980">
            <w:pPr>
              <w:jc w:val="center"/>
            </w:pPr>
            <w:r w:rsidRPr="008E5B32">
              <w:rPr>
                <w:rFonts w:ascii="Segoe UI Symbol" w:hAnsi="Segoe UI Symbol" w:cs="Segoe UI Symbol"/>
              </w:rPr>
              <w:t>✓</w:t>
            </w:r>
          </w:p>
          <w:p w14:paraId="179C95D3" w14:textId="77777777" w:rsidR="00D20980" w:rsidRPr="008E5B32" w:rsidRDefault="00D20980" w:rsidP="00D20980">
            <w:pPr>
              <w:jc w:val="center"/>
              <w:rPr>
                <w:rFonts w:ascii="Segoe UI Symbol" w:hAnsi="Segoe UI Symbol" w:cs="Segoe UI Symbol"/>
                <w:szCs w:val="18"/>
              </w:rPr>
            </w:pPr>
            <w:r w:rsidRPr="008E5B32">
              <w:t>(Different regression techniques)</w:t>
            </w:r>
          </w:p>
        </w:tc>
        <w:tc>
          <w:tcPr>
            <w:tcW w:w="795" w:type="dxa"/>
          </w:tcPr>
          <w:p w14:paraId="6D2C8CC0" w14:textId="77777777" w:rsidR="00D20980" w:rsidRPr="008E5B32" w:rsidRDefault="00D20980" w:rsidP="00D20980">
            <w:pPr>
              <w:jc w:val="center"/>
              <w:rPr>
                <w:rFonts w:ascii="Segoe UI Symbol" w:hAnsi="Segoe UI Symbol" w:cs="Segoe UI Symbol"/>
                <w:szCs w:val="18"/>
              </w:rPr>
            </w:pPr>
            <w:r w:rsidRPr="008E5B32">
              <w:rPr>
                <w:szCs w:val="18"/>
              </w:rPr>
              <w:t>≈</w:t>
            </w:r>
          </w:p>
        </w:tc>
        <w:tc>
          <w:tcPr>
            <w:tcW w:w="709" w:type="dxa"/>
          </w:tcPr>
          <w:p w14:paraId="61209E6E" w14:textId="77777777" w:rsidR="00D20980" w:rsidRPr="008E5B32" w:rsidRDefault="00D20980" w:rsidP="00D20980">
            <w:pPr>
              <w:jc w:val="center"/>
              <w:rPr>
                <w:rFonts w:ascii="Segoe UI Symbol" w:hAnsi="Segoe UI Symbol" w:cs="Segoe UI Symbol"/>
                <w:szCs w:val="18"/>
              </w:rPr>
            </w:pPr>
            <w:r w:rsidRPr="008E5B32">
              <w:rPr>
                <w:szCs w:val="18"/>
              </w:rPr>
              <w:t>≈</w:t>
            </w:r>
          </w:p>
        </w:tc>
        <w:tc>
          <w:tcPr>
            <w:tcW w:w="1239" w:type="dxa"/>
          </w:tcPr>
          <w:p w14:paraId="3B6AC564" w14:textId="77777777" w:rsidR="00D20980" w:rsidRPr="008E5B32" w:rsidRDefault="00D20980" w:rsidP="00D20980">
            <w:pPr>
              <w:jc w:val="center"/>
              <w:rPr>
                <w:rFonts w:ascii="Segoe UI Symbol" w:eastAsia="Segoe UI Symbol" w:hAnsi="Segoe UI Symbol" w:cs="Segoe UI Symbol"/>
                <w:color w:val="222222"/>
              </w:rPr>
            </w:pPr>
            <w:r w:rsidRPr="008E5B32">
              <w:rPr>
                <w:rFonts w:ascii="Segoe UI Symbol" w:eastAsia="Segoe UI Symbol" w:hAnsi="Segoe UI Symbol" w:cs="Segoe UI Symbol"/>
                <w:color w:val="222222"/>
              </w:rPr>
              <w:t>✓</w:t>
            </w:r>
          </w:p>
          <w:p w14:paraId="0A236898" w14:textId="77777777" w:rsidR="00D20980" w:rsidRPr="008E5B32" w:rsidRDefault="00D20980" w:rsidP="00D20980">
            <w:pPr>
              <w:jc w:val="center"/>
              <w:rPr>
                <w:rFonts w:ascii="Segoe UI Symbol" w:hAnsi="Segoe UI Symbol" w:cs="Segoe UI Symbol"/>
                <w:szCs w:val="18"/>
              </w:rPr>
            </w:pPr>
            <w:r w:rsidRPr="008E5B32">
              <w:t>(Distance based)</w:t>
            </w:r>
          </w:p>
        </w:tc>
        <w:tc>
          <w:tcPr>
            <w:tcW w:w="1370" w:type="dxa"/>
          </w:tcPr>
          <w:p w14:paraId="0B704BD7" w14:textId="77777777" w:rsidR="00D20980" w:rsidRPr="008E5B32" w:rsidRDefault="00D20980" w:rsidP="00D20980">
            <w:pPr>
              <w:jc w:val="center"/>
              <w:rPr>
                <w:rFonts w:ascii="Segoe UI Symbol" w:hAnsi="Segoe UI Symbol" w:cs="Segoe UI Symbol"/>
                <w:szCs w:val="18"/>
              </w:rPr>
            </w:pPr>
            <w:r w:rsidRPr="008E5B32">
              <w:rPr>
                <w:rFonts w:ascii="Segoe UI Symbol" w:hAnsi="Segoe UI Symbol" w:cs="Segoe UI Symbol"/>
                <w:szCs w:val="18"/>
              </w:rPr>
              <w:t>✗</w:t>
            </w:r>
          </w:p>
        </w:tc>
        <w:tc>
          <w:tcPr>
            <w:tcW w:w="627" w:type="dxa"/>
          </w:tcPr>
          <w:p w14:paraId="6E1A288E" w14:textId="77777777" w:rsidR="00D20980" w:rsidRPr="008E5B32" w:rsidRDefault="00D20980" w:rsidP="00D20980">
            <w:pPr>
              <w:jc w:val="center"/>
              <w:rPr>
                <w:rFonts w:ascii="Segoe UI Symbol" w:eastAsia="Segoe UI Symbol" w:hAnsi="Segoe UI Symbol" w:cs="Segoe UI Symbol"/>
                <w:color w:val="222222"/>
              </w:rPr>
            </w:pPr>
            <w:r w:rsidRPr="008E5B32">
              <w:rPr>
                <w:rFonts w:ascii="Segoe UI Symbol" w:hAnsi="Segoe UI Symbol" w:cs="Segoe UI Symbol"/>
                <w:szCs w:val="18"/>
              </w:rPr>
              <w:t>✗</w:t>
            </w:r>
          </w:p>
        </w:tc>
      </w:tr>
      <w:tr w:rsidR="004C12A8" w:rsidRPr="008E5B32" w14:paraId="76BEC50A" w14:textId="77777777" w:rsidTr="008A1247">
        <w:tc>
          <w:tcPr>
            <w:tcW w:w="537" w:type="dxa"/>
          </w:tcPr>
          <w:p w14:paraId="268DD1E4" w14:textId="65E5E3DA" w:rsidR="004B2444" w:rsidRPr="008E5B32" w:rsidRDefault="004B2444" w:rsidP="004B2444">
            <w:pPr>
              <w:jc w:val="center"/>
              <w:rPr>
                <w:szCs w:val="18"/>
              </w:rPr>
            </w:pPr>
            <w:r w:rsidRPr="008E5B32">
              <w:rPr>
                <w:szCs w:val="18"/>
              </w:rPr>
              <w:fldChar w:fldCharType="begin" w:fldLock="1"/>
            </w:r>
            <w:r w:rsidR="00434385" w:rsidRPr="008E5B32">
              <w:rPr>
                <w:szCs w:val="18"/>
              </w:rPr>
              <w:instrText>ADDIN CSL_CITATION {"citationItems":[{"id":"ITEM-1","itemData":{"DOI":"10.1021/acs.jcim.7b00160","ISSN":"15205142","PMID":"29281278","abstract":"We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Modeling","id":"ITEM-1","issued":{"date-parts":[["2018"]]},"title":"ToxFlow: A Web-Based Application for Read-Across Toxicity Prediction Using Omics and Physicochemical Data","type":"article-journal"},"uris":["http://www.mendeley.com/documents/?uuid=891fee53-14fe-406d-960f-6dc2d57e729f","http://www.mendeley.com/documents/?uuid=50c59f67-ff52-47e4-a4da-2acb2968b7b8"]}],"mendeley":{"formattedCitation":"&lt;sup&gt;86&lt;/sup&gt;","plainTextFormattedCitation":"86","previouslyFormattedCitation":"&lt;sup&gt;86&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86</w:t>
            </w:r>
            <w:r w:rsidRPr="008E5B32">
              <w:rPr>
                <w:szCs w:val="18"/>
              </w:rPr>
              <w:fldChar w:fldCharType="end"/>
            </w:r>
          </w:p>
        </w:tc>
        <w:tc>
          <w:tcPr>
            <w:tcW w:w="4151" w:type="dxa"/>
          </w:tcPr>
          <w:p w14:paraId="29B9E2FC" w14:textId="31798990" w:rsidR="004B2444" w:rsidRPr="008E5B32" w:rsidRDefault="004B2444" w:rsidP="004B2444">
            <w:pPr>
              <w:jc w:val="both"/>
              <w:rPr>
                <w:szCs w:val="18"/>
                <w:lang w:val="en-GB"/>
              </w:rPr>
            </w:pPr>
            <w:r w:rsidRPr="008E5B32">
              <w:rPr>
                <w:szCs w:val="18"/>
                <w:lang w:val="en-GB"/>
              </w:rPr>
              <w:t>Web platform (toxFlow</w:t>
            </w:r>
            <w:r w:rsidR="00DD0829" w:rsidRPr="008E5B32">
              <w:rPr>
                <w:szCs w:val="18"/>
                <w:lang w:val="en-GB"/>
              </w:rPr>
              <w:t>, accessible at http://147.102.86.129:3838/toxflow</w:t>
            </w:r>
            <w:r w:rsidRPr="008E5B32">
              <w:rPr>
                <w:szCs w:val="18"/>
                <w:lang w:val="en-GB"/>
              </w:rPr>
              <w:t xml:space="preserve">) for Read-Across using physicochemical and omics data. </w:t>
            </w:r>
            <w:r w:rsidR="00DD0829" w:rsidRPr="008E5B32">
              <w:rPr>
                <w:szCs w:val="18"/>
                <w:lang w:val="en-GB"/>
              </w:rPr>
              <w:t xml:space="preserve">The platform is </w:t>
            </w:r>
            <w:r w:rsidRPr="008E5B32">
              <w:rPr>
                <w:szCs w:val="18"/>
                <w:lang w:val="en-GB"/>
              </w:rPr>
              <w:t>Similar compounds are defined as such</w:t>
            </w:r>
            <w:r w:rsidR="00C35BC5" w:rsidRPr="008E5B32">
              <w:rPr>
                <w:szCs w:val="18"/>
                <w:lang w:val="en-GB"/>
              </w:rPr>
              <w:t xml:space="preserve"> by</w:t>
            </w:r>
            <w:r w:rsidRPr="008E5B32">
              <w:rPr>
                <w:szCs w:val="18"/>
                <w:lang w:val="en-GB"/>
              </w:rPr>
              <w:t xml:space="preserve"> using two similarity criteria, defined by physicochemical and biological characteristics.</w:t>
            </w:r>
            <w:r w:rsidR="00FD0A52" w:rsidRPr="008E5B32">
              <w:rPr>
                <w:szCs w:val="18"/>
                <w:lang w:val="en-GB"/>
              </w:rPr>
              <w:t xml:space="preserve"> </w:t>
            </w:r>
          </w:p>
        </w:tc>
        <w:tc>
          <w:tcPr>
            <w:tcW w:w="1778" w:type="dxa"/>
          </w:tcPr>
          <w:p w14:paraId="5B459824" w14:textId="77777777" w:rsidR="004B2444" w:rsidRPr="008E5B32" w:rsidRDefault="004B2444" w:rsidP="004B2444">
            <w:pPr>
              <w:jc w:val="center"/>
              <w:rPr>
                <w:szCs w:val="18"/>
                <w:lang w:val="en-GB"/>
              </w:rPr>
            </w:pPr>
            <w:r w:rsidRPr="008E5B32">
              <w:rPr>
                <w:rFonts w:ascii="Segoe UI Symbol" w:eastAsia="Segoe UI Symbol" w:hAnsi="Segoe UI Symbol" w:cs="Segoe UI Symbol"/>
                <w:color w:val="222222"/>
                <w:szCs w:val="18"/>
                <w:lang w:val="en-GB"/>
              </w:rPr>
              <w:t>✓</w:t>
            </w:r>
            <w:r w:rsidRPr="008E5B32">
              <w:rPr>
                <w:szCs w:val="18"/>
                <w:lang w:val="en-GB"/>
              </w:rPr>
              <w:t xml:space="preserve"> </w:t>
            </w:r>
          </w:p>
          <w:p w14:paraId="17EA7891" w14:textId="77777777" w:rsidR="004B2444" w:rsidRPr="008E5B32" w:rsidRDefault="004B2444" w:rsidP="004B2444">
            <w:pPr>
              <w:jc w:val="center"/>
              <w:rPr>
                <w:rFonts w:ascii="Segoe UI Symbol" w:eastAsia="Segoe UI Symbol" w:hAnsi="Segoe UI Symbol" w:cs="Segoe UI Symbol"/>
                <w:color w:val="222222"/>
                <w:szCs w:val="18"/>
                <w:lang w:val="en-GB"/>
              </w:rPr>
            </w:pPr>
            <w:r w:rsidRPr="008E5B32">
              <w:rPr>
                <w:szCs w:val="18"/>
                <w:lang w:val="en-GB"/>
              </w:rPr>
              <w:t>(Cell Association in A549 cells)</w:t>
            </w:r>
          </w:p>
        </w:tc>
        <w:tc>
          <w:tcPr>
            <w:tcW w:w="1320" w:type="dxa"/>
          </w:tcPr>
          <w:p w14:paraId="19202433" w14:textId="45E6E493" w:rsidR="004B2444" w:rsidRPr="008E5B32" w:rsidRDefault="001D492E" w:rsidP="004B2444">
            <w:pPr>
              <w:jc w:val="center"/>
              <w:rPr>
                <w:szCs w:val="18"/>
              </w:rPr>
            </w:pPr>
            <w:r w:rsidRPr="008E5B32">
              <w:rPr>
                <w:szCs w:val="18"/>
              </w:rPr>
              <w:t>84</w:t>
            </w:r>
            <w:r w:rsidR="004B2444" w:rsidRPr="008E5B32">
              <w:rPr>
                <w:szCs w:val="18"/>
              </w:rPr>
              <w:t xml:space="preserve"> </w:t>
            </w:r>
            <w:r w:rsidR="004B2444" w:rsidRPr="008E5B32">
              <w:rPr>
                <w:szCs w:val="18"/>
              </w:rPr>
              <w:fldChar w:fldCharType="begin" w:fldLock="1"/>
            </w:r>
            <w:r w:rsidR="00434385" w:rsidRPr="008E5B32">
              <w:rPr>
                <w:szCs w:val="18"/>
              </w:rPr>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004B2444" w:rsidRPr="008E5B32">
              <w:rPr>
                <w:szCs w:val="18"/>
              </w:rPr>
              <w:fldChar w:fldCharType="separate"/>
            </w:r>
            <w:r w:rsidR="004C12A8" w:rsidRPr="008E5B32">
              <w:rPr>
                <w:noProof/>
                <w:szCs w:val="18"/>
                <w:vertAlign w:val="superscript"/>
              </w:rPr>
              <w:t>85</w:t>
            </w:r>
            <w:r w:rsidR="004B2444" w:rsidRPr="008E5B32">
              <w:rPr>
                <w:szCs w:val="18"/>
              </w:rPr>
              <w:fldChar w:fldCharType="end"/>
            </w:r>
          </w:p>
        </w:tc>
        <w:tc>
          <w:tcPr>
            <w:tcW w:w="1428" w:type="dxa"/>
          </w:tcPr>
          <w:p w14:paraId="011983FC" w14:textId="77777777" w:rsidR="00FD0A52" w:rsidRPr="008E5B32" w:rsidRDefault="00FD0A52" w:rsidP="00FD0A52">
            <w:pPr>
              <w:jc w:val="center"/>
              <w:rPr>
                <w:lang w:val="en-GB"/>
              </w:rPr>
            </w:pPr>
            <w:r w:rsidRPr="008E5B32">
              <w:rPr>
                <w:rFonts w:ascii="Segoe UI Symbol" w:hAnsi="Segoe UI Symbol" w:cs="Segoe UI Symbol"/>
                <w:lang w:val="en-GB"/>
              </w:rPr>
              <w:t>✓</w:t>
            </w:r>
          </w:p>
          <w:p w14:paraId="4AE90AA7" w14:textId="77777777" w:rsidR="004B2444" w:rsidRPr="008E5B32" w:rsidRDefault="00FD0A52" w:rsidP="004B2444">
            <w:pPr>
              <w:jc w:val="center"/>
              <w:rPr>
                <w:rFonts w:ascii="Segoe UI Symbol" w:hAnsi="Segoe UI Symbol" w:cs="Segoe UI Symbol"/>
                <w:lang w:val="en-GB"/>
              </w:rPr>
            </w:pPr>
            <w:r w:rsidRPr="008E5B32">
              <w:rPr>
                <w:lang w:val="en-GB"/>
              </w:rPr>
              <w:t>(Weighted average of the corresponding values of the similar NMs)</w:t>
            </w:r>
          </w:p>
        </w:tc>
        <w:tc>
          <w:tcPr>
            <w:tcW w:w="795" w:type="dxa"/>
          </w:tcPr>
          <w:p w14:paraId="694A73AC" w14:textId="77777777" w:rsidR="004B2444" w:rsidRPr="008E5B32" w:rsidRDefault="004B2444" w:rsidP="004B2444">
            <w:pPr>
              <w:jc w:val="center"/>
              <w:rPr>
                <w:szCs w:val="18"/>
              </w:rPr>
            </w:pPr>
            <w:r w:rsidRPr="008E5B32">
              <w:rPr>
                <w:szCs w:val="18"/>
              </w:rPr>
              <w:t>≈</w:t>
            </w:r>
          </w:p>
        </w:tc>
        <w:tc>
          <w:tcPr>
            <w:tcW w:w="709" w:type="dxa"/>
          </w:tcPr>
          <w:p w14:paraId="68446BF8" w14:textId="77777777" w:rsidR="004B2444" w:rsidRPr="008E5B32" w:rsidRDefault="00FD0A52" w:rsidP="004B2444">
            <w:pPr>
              <w:jc w:val="center"/>
              <w:rPr>
                <w:szCs w:val="18"/>
              </w:rPr>
            </w:pPr>
            <w:r w:rsidRPr="008E5B32">
              <w:rPr>
                <w:rFonts w:ascii="Segoe UI Symbol" w:eastAsia="Segoe UI Symbol" w:hAnsi="Segoe UI Symbol" w:cs="Segoe UI Symbol"/>
                <w:color w:val="222222"/>
              </w:rPr>
              <w:t>✓</w:t>
            </w:r>
          </w:p>
        </w:tc>
        <w:tc>
          <w:tcPr>
            <w:tcW w:w="1239" w:type="dxa"/>
          </w:tcPr>
          <w:p w14:paraId="23EEE4CF" w14:textId="77777777" w:rsidR="004B2444" w:rsidRPr="008E5B32" w:rsidRDefault="004B2444" w:rsidP="004B2444">
            <w:pPr>
              <w:jc w:val="center"/>
              <w:rPr>
                <w:rFonts w:ascii="Segoe UI Symbol" w:eastAsia="Segoe UI Symbol" w:hAnsi="Segoe UI Symbol" w:cs="Segoe UI Symbol"/>
                <w:color w:val="222222"/>
              </w:rPr>
            </w:pPr>
            <w:r w:rsidRPr="008E5B32">
              <w:rPr>
                <w:rFonts w:ascii="Segoe UI Symbol" w:hAnsi="Segoe UI Symbol"/>
                <w:szCs w:val="18"/>
              </w:rPr>
              <w:t>✗</w:t>
            </w:r>
          </w:p>
        </w:tc>
        <w:tc>
          <w:tcPr>
            <w:tcW w:w="1370" w:type="dxa"/>
          </w:tcPr>
          <w:p w14:paraId="1ECC9944" w14:textId="77777777" w:rsidR="001D492E" w:rsidRPr="008E5B32" w:rsidRDefault="001D492E" w:rsidP="001D492E">
            <w:pPr>
              <w:jc w:val="center"/>
            </w:pPr>
            <w:r w:rsidRPr="008E5B32">
              <w:rPr>
                <w:rFonts w:ascii="Segoe UI Symbol" w:eastAsia="Segoe UI Symbol" w:hAnsi="Segoe UI Symbol" w:cs="Segoe UI Symbol"/>
                <w:color w:val="222222"/>
                <w:shd w:val="clear" w:color="auto" w:fill="FFFFFF"/>
              </w:rPr>
              <w:t>✓</w:t>
            </w:r>
            <w:r w:rsidRPr="008E5B32">
              <w:t xml:space="preserve"> </w:t>
            </w:r>
          </w:p>
          <w:p w14:paraId="2A2084CB" w14:textId="77777777" w:rsidR="004B2444" w:rsidRPr="008E5B32" w:rsidRDefault="001D492E" w:rsidP="001D492E">
            <w:pPr>
              <w:jc w:val="center"/>
              <w:rPr>
                <w:rFonts w:ascii="Segoe UI Symbol" w:hAnsi="Segoe UI Symbol" w:cs="Segoe UI Symbol"/>
                <w:szCs w:val="18"/>
              </w:rPr>
            </w:pPr>
            <w:r w:rsidRPr="008E5B32">
              <w:t>(Sensitivity analysis)</w:t>
            </w:r>
          </w:p>
        </w:tc>
        <w:tc>
          <w:tcPr>
            <w:tcW w:w="627" w:type="dxa"/>
          </w:tcPr>
          <w:p w14:paraId="3C933756" w14:textId="0689E519" w:rsidR="004B2444" w:rsidRPr="008E5B32" w:rsidRDefault="000F7C49" w:rsidP="004B2444">
            <w:pPr>
              <w:jc w:val="center"/>
              <w:rPr>
                <w:rFonts w:ascii="Segoe UI Symbol" w:hAnsi="Segoe UI Symbol" w:cs="Segoe UI Symbol"/>
                <w:szCs w:val="18"/>
              </w:rPr>
            </w:pPr>
            <w:r w:rsidRPr="008E5B32">
              <w:rPr>
                <w:rFonts w:ascii="Segoe UI Symbol" w:eastAsia="Segoe UI Symbol" w:hAnsi="Segoe UI Symbol" w:cs="Segoe UI Symbol"/>
                <w:color w:val="222222"/>
              </w:rPr>
              <w:t>✓</w:t>
            </w:r>
          </w:p>
        </w:tc>
      </w:tr>
      <w:tr w:rsidR="004C12A8" w:rsidRPr="008E5B32" w14:paraId="79B2A0C5" w14:textId="77777777" w:rsidTr="008A1247">
        <w:tc>
          <w:tcPr>
            <w:tcW w:w="537" w:type="dxa"/>
          </w:tcPr>
          <w:p w14:paraId="0F9A18EE" w14:textId="747909B9" w:rsidR="004B2444" w:rsidRPr="008E5B32" w:rsidRDefault="004B2444" w:rsidP="004B2444">
            <w:pPr>
              <w:jc w:val="center"/>
            </w:pPr>
            <w:r w:rsidRPr="008E5B32">
              <w:rPr>
                <w:szCs w:val="18"/>
              </w:rPr>
              <w:fldChar w:fldCharType="begin" w:fldLock="1"/>
            </w:r>
            <w:r w:rsidR="00434385" w:rsidRPr="008E5B32">
              <w:rPr>
                <w:szCs w:val="18"/>
              </w:rPr>
              <w:instrText>ADDIN CSL_CITATION {"citationItems":[{"id":"ITEM-1","itemData":{"DOI":"10.1039/c7nr05618d","abstract":"©The Royal Society of Chemistry 2018. Application of predictive modeling approaches can solve the problem of missing data. Numerous studies have investigated the effects of missing values on qualitative or quantitative modeling, but only a few studies have discussed it for the case of applications in nanotechnology-related data. The present study is aimed at the development of a multi-nano-read-across modeling technique that helps in predicting the toxicity of different species such as bacteria, algae, protozoa, and mammalian cell lines. Herein, the experimental toxicity of 184 metal and silica oxide (30 unique chemical types) nanoparticles from 15 datasets is analyzed. A hybrid quantitative multi-nano-read-across approach that combines interspecies correlation analysis and self-organizing map analysis is developed. In the first step, hidden patterns of toxicity among nanoparticles are identified using a combination of methods. Subsequently, the developed model based on categorization of the toxicity of the metal oxide nanoparticle outcomes is evaluated via the combination of supervised and unsupervised machine learning techniques to determine the underlying factors responsible for the toxicity.","author":[{"dropping-particle":"","family":"Sizochenko","given":"N","non-dropping-particle":"","parse-names":false,"suffix":""},{"dropping-particle":"","family":"Mikolajczyk","given":"A","non-dropping-particle":"","parse-names":false,"suffix":""},{"dropping-particle":"","family":"Jagiello","given":"K","non-dropping-particle":"","parse-names":false,"suffix":""},{"dropping-particle":"","family":"Puzyn","given":"T","non-dropping-particle":"","parse-names":false,"suffix":""},{"dropping-particle":"","family":"Leszczynski","given":"J","non-dropping-particle":"","parse-names":false,"suffix":""},{"dropping-particle":"","family":"Rasulev","given":"B","non-dropping-particle":"","parse-names":false,"suffix":""}],"container-title":"Nanoscale","id":"ITEM-1","issue":"2","issued":{"date-parts":[["2018"]]},"page":"582-591","title":"How the toxicity of nanomaterials towards different species could be simultaneously evaluated: A novel multi-nano-read-across approach","type":"article-journal","volume":"10"},"uris":["http://www.mendeley.com/documents/?uuid=23ccf4ee-edeb-48ca-8582-dd4d995fd32f","http://www.mendeley.com/documents/?uuid=81ebec9d-7801-42c8-a276-0205ad7cc4cc","http://www.mendeley.com/documents/?uuid=443296b8-9b19-4ecb-81a4-2db1b07826d7"]}],"mendeley":{"formattedCitation":"&lt;sup&gt;87&lt;/sup&gt;","plainTextFormattedCitation":"87","previouslyFormattedCitation":"&lt;sup&gt;87&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87</w:t>
            </w:r>
            <w:r w:rsidRPr="008E5B32">
              <w:rPr>
                <w:szCs w:val="18"/>
              </w:rPr>
              <w:fldChar w:fldCharType="end"/>
            </w:r>
          </w:p>
        </w:tc>
        <w:tc>
          <w:tcPr>
            <w:tcW w:w="4151" w:type="dxa"/>
          </w:tcPr>
          <w:p w14:paraId="25BB2586" w14:textId="07FBB6D8" w:rsidR="004B2444" w:rsidRPr="008E5B32" w:rsidRDefault="004B2444" w:rsidP="004B2444">
            <w:pPr>
              <w:jc w:val="both"/>
              <w:rPr>
                <w:szCs w:val="18"/>
                <w:lang w:val="en-GB"/>
              </w:rPr>
            </w:pPr>
            <w:r w:rsidRPr="008E5B32">
              <w:rPr>
                <w:lang w:val="en-GB"/>
              </w:rPr>
              <w:t xml:space="preserve">A quantitative Read-Across case study of </w:t>
            </w:r>
            <w:r w:rsidRPr="008E5B32">
              <w:rPr>
                <w:i/>
                <w:lang w:val="en-GB"/>
              </w:rPr>
              <w:t>in vitro</w:t>
            </w:r>
            <w:r w:rsidRPr="008E5B32">
              <w:rPr>
                <w:lang w:val="en-GB"/>
              </w:rPr>
              <w:t xml:space="preserve"> cytotoxicity (EC50/IC50) data for bacteria, algae, protozoa, human keratinocyte cell, Balb/c 3T3</w:t>
            </w:r>
            <w:r w:rsidR="00BC4FFA" w:rsidRPr="008E5B32">
              <w:rPr>
                <w:lang w:val="en-GB"/>
              </w:rPr>
              <w:t>,</w:t>
            </w:r>
            <w:r w:rsidRPr="008E5B32">
              <w:rPr>
                <w:lang w:val="en-GB"/>
              </w:rPr>
              <w:t xml:space="preserve"> on metal oxide NMs taken from different sources</w:t>
            </w:r>
            <w:r w:rsidR="004515C3" w:rsidRPr="008E5B32">
              <w:rPr>
                <w:lang w:val="en-GB"/>
              </w:rPr>
              <w:t>, using</w:t>
            </w:r>
            <w:r w:rsidR="00471A73" w:rsidRPr="008E5B32">
              <w:rPr>
                <w:lang w:val="en-GB"/>
              </w:rPr>
              <w:t xml:space="preserve"> </w:t>
            </w:r>
            <w:r w:rsidR="004515C3" w:rsidRPr="008E5B32">
              <w:rPr>
                <w:lang w:val="en-GB"/>
              </w:rPr>
              <w:t>quantum-mechanical and structural descriptors.</w:t>
            </w:r>
          </w:p>
        </w:tc>
        <w:tc>
          <w:tcPr>
            <w:tcW w:w="1778" w:type="dxa"/>
          </w:tcPr>
          <w:p w14:paraId="179B4EF6" w14:textId="77777777" w:rsidR="004B2444" w:rsidRPr="008E5B32" w:rsidRDefault="004B2444" w:rsidP="004B2444">
            <w:pPr>
              <w:jc w:val="center"/>
              <w:rPr>
                <w:szCs w:val="18"/>
                <w:lang w:val="en-GB"/>
              </w:rPr>
            </w:pPr>
            <w:r w:rsidRPr="008E5B32">
              <w:rPr>
                <w:rFonts w:ascii="Segoe UI Symbol" w:hAnsi="Segoe UI Symbol" w:cs="Segoe UI Symbol"/>
                <w:szCs w:val="18"/>
                <w:lang w:val="en-GB"/>
              </w:rPr>
              <w:t>✗</w:t>
            </w:r>
          </w:p>
          <w:p w14:paraId="3C30FF92" w14:textId="77777777" w:rsidR="004B2444" w:rsidRPr="008E5B32" w:rsidRDefault="004B2444" w:rsidP="004B2444">
            <w:pPr>
              <w:jc w:val="center"/>
              <w:rPr>
                <w:szCs w:val="18"/>
                <w:lang w:val="en-GB"/>
              </w:rPr>
            </w:pPr>
            <w:r w:rsidRPr="008E5B32">
              <w:rPr>
                <w:szCs w:val="18"/>
                <w:lang w:val="en-GB"/>
              </w:rPr>
              <w:t>(</w:t>
            </w:r>
            <w:r w:rsidRPr="008E5B32">
              <w:rPr>
                <w:i/>
                <w:szCs w:val="18"/>
                <w:lang w:val="en-GB"/>
              </w:rPr>
              <w:t>in vitro</w:t>
            </w:r>
            <w:r w:rsidRPr="008E5B32">
              <w:rPr>
                <w:szCs w:val="18"/>
                <w:lang w:val="en-GB"/>
              </w:rPr>
              <w:t xml:space="preserve"> cytotoxicity EC50/IC50 for a large set of cells)</w:t>
            </w:r>
          </w:p>
        </w:tc>
        <w:tc>
          <w:tcPr>
            <w:tcW w:w="1320" w:type="dxa"/>
          </w:tcPr>
          <w:p w14:paraId="3EC95377" w14:textId="3377F54C" w:rsidR="004B2444" w:rsidRPr="008E5B32" w:rsidRDefault="004B2444" w:rsidP="004B2444">
            <w:pPr>
              <w:jc w:val="center"/>
              <w:rPr>
                <w:szCs w:val="18"/>
              </w:rPr>
            </w:pPr>
            <w:r w:rsidRPr="008E5B32">
              <w:rPr>
                <w:szCs w:val="18"/>
              </w:rPr>
              <w:t xml:space="preserve">30 </w:t>
            </w:r>
            <w:r w:rsidRPr="008E5B32">
              <w:rPr>
                <w:szCs w:val="18"/>
              </w:rPr>
              <w:fldChar w:fldCharType="begin" w:fldLock="1"/>
            </w:r>
            <w:r w:rsidR="00434385" w:rsidRPr="008E5B32">
              <w:rPr>
                <w:szCs w:val="18"/>
              </w:rPr>
              <w:instrText>ADDIN CSL_CITATION {"citationItems":[{"id":"ITEM-1","itemData":{"DOI":"10.1016/j.jphotobiol.2013.11.023","ISSN":"10111344","PMID":"24362319","abstract":"A quantitative structure-activity relationship (QSAR) study of seventeen metal oxide nanoparticles (MNPs), in regard to their photo-induced toxicity to bacteria Escherichia coli, was developed by using quantum chemical methods. A simple and statistically significant QSAR model (F = 33.83, R2 = 0.87) was successfully developed for the dark group based on two descriptors, absolute electronegativity of the metal and the metal oxide. Similarly, a best correlation (F = 20.51, R2 = 0.804) was obtained to predict the photo-induced toxicity of MNPs by using two descriptors, molar heat capacity and average of the alpha and beta LUMO (lowest unoccupied molecular orbital) energies of the metal oxide. Revelation of these influential molecular descriptors may be useful in elucidating the mechanisms of nanotoxicity and for predicting the environmental risk associated with release of the MNPs. In addition, the developed model may have a role in the future design and manufacture of safe nanomaterials. ?? 2013 Elsevier B.V. All rights reserved.","author":[{"dropping-particle":"","family":"Pathakoti","given":"Kavitha","non-dropping-particle":"","parse-names":false,"suffix":""},{"dropping-particle":"","family":"Huang","given":"Ming Ju","non-dropping-particle":"","parse-names":false,"suffix":""},{"dropping-particle":"","family":"Watts","given":"John D.","non-dropping-particle":"","parse-names":false,"suffix":""},{"dropping-particle":"","family":"He","given":"Xiaojia","non-dropping-particle":"","parse-names":false,"suffix":""},{"dropping-particle":"","family":"Hwang","given":"Huey Min","non-dropping-particle":"","parse-names":false,"suffix":""}],"container-title":"Journal of Photochemistry and Photobiology B: Biology","id":"ITEM-1","issued":{"date-parts":[["2014"]]},"page":"234-240","title":"Using experimental data of Escherichia coli to develop a QSAR model for predicting the photo-induced cytotoxicity of metal oxide nanoparticles","type":"article-journal","volume":"130"},"uris":["http://www.mendeley.com/documents/?uuid=21f55f04-6231-4202-920b-c665f14ff5bd"]},{"id":"ITEM-2","itemData":{"DOI":"10.1016/j.aquatox.2014.05.023","ISBN":"1879-1514 (Electronic)\\r0166-445X (Linking)","ISSN":"18791514","PMID":"24911590","abstract":"Metal oxide nanoparticles (NPs) have been used increasingly and are likely to accumulate in natural water bodies, where they encounter and interact with other environmental chemicals. These interactions result in joint effects on biological systems and the environment. However, compared with the intensive research examining the toxicities of individual NPs, the toxicities of NP mixtures remain relatively unexplored. In this work, we studied the joint effects of NPs and their most likely coexisting chemicals in the environment, including NPs with different compositions, humic substances, and surfactants. Our results indicate that the joint effects of NP mixtures were usually simple addition, which is commonly adopted in real risk assessment. However, the joint effects obtained for mixtures that contained ZnO were exclusively associated with antagonism. In addition, the mixtures of NPs and surfactants resulted in complex joint effects, i.e., antagonistic, additive, and synergistic effects were found for the mixtures with ZnO, NiO, and Fe-oxide, respectively. Our study suggests that the assessments of the ecological risk of NPs, particularly ZnO NPs, should consider the impact of their coexisting chemicals in the environment. © 2014 Elsevier B.V.","author":[{"dropping-particle":"","family":"Wang","given":"Dali","non-dropping-particle":"","parse-names":false,"suffix":""},{"dropping-particle":"","family":"Gao","given":"Ya","non-dropping-particle":"","parse-names":false,"suffix":""},{"dropping-particle":"","family":"Lin","given":"Zhifen","non-dropping-particle":"","parse-names":false,"suffix":""},{"dropping-particle":"","family":"Yao","given":"Zhifeng","non-dropping-particle":"","parse-names":false,"suffix":""},{"dropping-particle":"","family":"Zhang","given":"Weixian","non-dropping-particle":"","parse-names":false,"suffix":""}],"container-title":"Aquatic Toxicology","id":"ITEM-2","issued":{"date-parts":[["2014"]]},"title":"The joint effects on Photobacterium phosphoreum of metal oxide nanoparticles and their most likely coexisting chemicals in the environment","type":"article-journal"},"uris":["http://www.mendeley.com/documents/?uuid=9875dc7b-2722-48c4-81fa-10dac5ff763c","http://www.mendeley.com/documents/?uuid=4eac6fd2-eaf4-4a43-adab-4e16e5e81a4a","http://www.mendeley.com/documents/?uuid=e69d43c3-81d4-4c16-9f08-4873f6316a29"]},{"id":"ITEM-3","itemData":{"DOI":"10.1021/es504259s","ISBN":"0013-936X","ISSN":"15205851","PMID":"25563693","abstract":"Metal oxide nanoparticles (MOx NPs) are used for a host of applications, such as electronics, cosmetics, construction, and medicine, and as a result, the safety of these materials to humans and the environment is of considerable interest. A prior study of 24 MOx NPs in mammalian cells revealed that some of these materials show hazard potential. Here, we report the growth inhibitory effects of the same series of MOx NPs in the bacterium Escherichia coli and show that toxicity trends observed in E. coli parallel those seen previously in mammalian cells. Of the 24 materials studied, only ZnO, CuO, CoO, Mn2O3, Co3O4, Ni2O3, and Cr2O3 were found to exert significant growth inhibitory effects; these effects were found to relate to membrane damage and oxidative stress responses in minimal trophic media. A correlation of the toxicological data with physicochemical parameters of MOx NPs revealed that the probability of a MOx NP being toxic increases as the hydration enthalpy becomes less negative and as the conduction band energy approaches those of biological molecules. These observations are consistent with prior results observed in mammalian cells, revealing that mechanisms of toxicity of MOx NPs are consistent across two very different taxa. These results suggest that studying nanotoxicity in E. coli may help to predict toxicity patterns in higher organisms.","author":[{"dropping-particle":"","family":"Kaweeteerawat","given":"Chitrada","non-dropping-particle":"","parse-names":false,"suffix":""},{"dropping-particle":"","family":"Ivask","given":"Angela","non-dropping-particle":"","parse-names":false,"suffix":""},{"dropping-particle":"","family":"Liu","given":"Rong","non-dropping-particle":"","parse-names":false,"suffix":""},{"dropping-particle":"","family":"Zhang","given":"Haiyuan","non-dropping-particle":"","parse-names":false,"suffix":""},{"dropping-particle":"","family":"Chang","given":"Chong Hyun","non-dropping-particle":"","parse-names":false,"suffix":""},{"dropping-particle":"","family":"Low-Kam","given":"Cecile","non-dropping-particle":"","parse-names":false,"suffix":""},{"dropping-particle":"","family":"Fischer","given":"Heidi","non-dropping-particle":"","parse-names":false,"suffix":""},{"dropping-particle":"","family":"Ji","given":"Zhaoxia","non-dropping-particle":"","parse-names":false,"suffix":""},{"dropping-particle":"","family":"Pokhrel","given":"Suman","non-dropping-particle":"","parse-names":false,"suffix":""},{"dropping-particle":"","family":"Cohen","given":"Yoram","non-dropping-particle":"","parse-names":false,"suffix":""},{"dropping-particle":"","family":"Telesca","given":"Donatello","non-dropping-particle":"","parse-names":false,"suffix":""},{"dropping-particle":"","family":"Zink","given":"Jeffrey","non-dropping-particle":"","parse-names":false,"suffix":""},{"dropping-particle":"","family":"Mädler","given":"Lutz","non-dropping-particle":"","parse-names":false,"suffix":""},{"dropping-particle":"","family":"Holden","given":"Patricia A.","non-dropping-particle":"","parse-names":false,"suffix":""},{"dropping-particle":"","family":"Nel","given":"Andre","non-dropping-particle":"","parse-names":false,"suffix":""},{"dropping-particle":"","family":"Godwin","given":"Hilary","non-dropping-particle":"","parse-names":false,"suffix":""}],"container-title":"Environmental Science and Technology","id":"ITEM-3","issued":{"date-parts":[["2015"]]},"title":"Toxicity of metal oxide nanoparticles in Escherichia coli correlates with conduction band and hydration energies","type":"article-journal"},"uris":["http://www.mendeley.com/documents/?uuid=f630ad02-ddff-4a3d-90d6-9c6b355ce970"]},{"id":"ITEM-4","itemData":{"DOI":"10.1039/c5en00057b","ISSN":"20518161","abstract":"&lt;p&gt;Common toxicity patterns emerge across toxicity tests with species from different trophic levels.&lt;/p&gt;","author":[{"dropping-particle":"","family":"Aruoja","given":"Villem","non-dropping-particle":"","parse-names":false,"suffix":""},{"dropping-particle":"","family":"Pokhrel","given":"Suman","non-dropping-particle":"","parse-names":false,"suffix":""},{"dropping-particle":"","family":"Sihtm??e","given":"Mariliis","non-dropping-particle":"","parse-names":false,"suffix":""},{"dropping-particle":"","family":"Mortimer","given":"Monika","non-dropping-particle":"","parse-names":false,"suffix":""},{"dropping-particle":"","family":"M??dler","given":"Lutz","non-dropping-particle":"","parse-names":false,"suffix":""},{"dropping-particle":"","family":"Kahru","given":"Anne","non-dropping-particle":"","parse-names":false,"suffix":""}],"container-title":"Environmental Science: Nano","id":"ITEM-4","issued":{"date-parts":[["2015"]]},"title":"Toxicity of 12 metal-based nanoparticles to algae, bacteria and protozoa","type":"article-journal"},"uris":["http://www.mendeley.com/documents/?uuid=ac271470-eb71-471d-b7e0-6d901845f76e","http://www.mendeley.com/documents/?uuid=124a0143-9e4a-4118-8147-8ae050f77b56","http://www.mendeley.com/documents/?uuid=06a7c00b-f999-44a5-9c54-28f1d251eb44"]},{"id":"ITEM-5","itemData":{"DOI":"10.1007/s10616-016-0032-9","ISSN":"15730778","PMID":"27761772","abstract":"Heavy metals are found naturally on Earth and exposure to them in the living environment is increasing as a consequence of human activity. The toxicity of six different metal oxide nanoparticles (NP) at different points in time was compared using resazurin assay. After incubating Caco2 and A549 cells with 100 μg/mL of Sb2O3, Mn3O4 and TiO2 nanoparticles (NPs) for 24 h no toxic effects were observed while Co3O4 and ZnO NPs had moderate effects and CuO NPs were toxic below 100 μg/mL (24 h EC25 = 11 for A549 and 71 μg/mL for Caco2). The long-term monitoring (up to 9 days) of cells to NPs revealed that the toxic effects of Mn3O4 and Sb2O3 NPs remarkably increased over time. The 9 day EC50 values for Sb2O3 NPs were 22 and 48 μg/mL for A549 and Caco2 cells; and for Mn3O4 NPs were 47 and 29 μg/mL for A549 and Caco2 cells, respectively. In general, the sensitivity of the cell lines in the resazurin assay was comparable. Trans epithelial electrical resistance (TEER) measurements were performed for both cell types exposed to Co3O4, Sb2O3 and CuO NPs. In TEER assay, the Caco2 cells were more susceptible to the toxic effects of these NPs than A549 cells, where the most toxic NPs were the Sb2O3 NPs: the permeability of the Caco2 cell layer exposed to 10 μg/mL Sb2O3 NPs already increased after 24 h of exposure.","author":[{"dropping-particle":"","family":"Titma","given":"T.","non-dropping-particle":"","parse-names":false,"suffix":""},{"dropping-particle":"","family":"Shimmo","given":"R.","non-dropping-particle":"","parse-names":false,"suffix":""},{"dropping-particle":"","family":"Siigur","given":"J.","non-dropping-particle":"","parse-names":false,"suffix":""},{"dropping-particle":"","family":"Kahru","given":"A.","non-dropping-particle":"","parse-names":false,"suffix":""}],"container-title":"Cytotechnology","id":"ITEM-5","issued":{"date-parts":[["2016"]]},"title":"Toxicity of antimony, copper, cobalt, manganese, titanium and zinc oxide nanoparticles for the alveolar and intestinal epithelial barrier cells in vitro","type":"article-journal"},"uris":["http://www.mendeley.com/documents/?uuid=f5db3c79-4236-4a26-b2b9-f5ca84c53493","http://www.mendeley.com/documents/?uuid=2a301422-bbb5-4e8c-b2c2-c36470b08cce","http://www.mendeley.com/documents/?uuid=14f121e2-5800-4874-a7db-f5318e813309"]},{"id":"ITEM-6","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Nanotechnology","id":"ITEM-6","issue":"3","issued":{"date-parts":[["2011"]]},"page":"175-178","title":"Using nano-QSAR to predict the cytotoxicity of metal oxide nanoparticles","type":"article-journal","volume":"6"},"uris":["http://www.mendeley.com/documents/?uuid=1756c334-31e6-47b0-8ae2-2e43eff4d026"]},{"id":"ITEM-7","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-7","issue":"3","issued":{"date-parts":[["2015"]]},"page":"313-325","title":"Towards understanding mechanisms governing cytotoxicity of metal oxides nanoparticles: Hints from nano-QSAR studies","type":"article-journal","volume":"9"},"uris":["http://www.mendeley.com/documents/?uuid=c2cc70a2-4cb0-4d51-afc1-2bc29b803386"]}],"mendeley":{"formattedCitation":"&lt;sup&gt;23,83,88–92&lt;/sup&gt;","plainTextFormattedCitation":"23,83,88–92","previouslyFormattedCitation":"&lt;sup&gt;23,83,88–92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23,83,88–92</w:t>
            </w:r>
            <w:r w:rsidRPr="008E5B32">
              <w:rPr>
                <w:szCs w:val="18"/>
              </w:rPr>
              <w:fldChar w:fldCharType="end"/>
            </w:r>
          </w:p>
        </w:tc>
        <w:tc>
          <w:tcPr>
            <w:tcW w:w="1428" w:type="dxa"/>
          </w:tcPr>
          <w:p w14:paraId="4C93C463" w14:textId="77777777" w:rsidR="004B2444" w:rsidRPr="008E5B32" w:rsidRDefault="004B2444" w:rsidP="004B2444">
            <w:pPr>
              <w:jc w:val="center"/>
            </w:pPr>
            <w:r w:rsidRPr="008E5B32">
              <w:rPr>
                <w:rFonts w:ascii="Segoe UI Symbol" w:hAnsi="Segoe UI Symbol" w:cs="Segoe UI Symbol"/>
              </w:rPr>
              <w:t>✓</w:t>
            </w:r>
          </w:p>
          <w:p w14:paraId="5BE1E0BB" w14:textId="77777777" w:rsidR="004B2444" w:rsidRPr="008E5B32" w:rsidRDefault="004B2444" w:rsidP="004B2444">
            <w:pPr>
              <w:jc w:val="center"/>
            </w:pPr>
            <w:r w:rsidRPr="008E5B32">
              <w:t>(SOM)</w:t>
            </w:r>
          </w:p>
        </w:tc>
        <w:tc>
          <w:tcPr>
            <w:tcW w:w="795" w:type="dxa"/>
          </w:tcPr>
          <w:p w14:paraId="03774CD0" w14:textId="77777777" w:rsidR="004B2444" w:rsidRPr="008E5B32" w:rsidRDefault="004B2444" w:rsidP="004B2444">
            <w:pPr>
              <w:jc w:val="center"/>
              <w:rPr>
                <w:rFonts w:ascii="Segoe UI Symbol" w:hAnsi="Segoe UI Symbol"/>
                <w:szCs w:val="18"/>
              </w:rPr>
            </w:pPr>
            <w:r w:rsidRPr="008E5B32">
              <w:rPr>
                <w:szCs w:val="18"/>
              </w:rPr>
              <w:t>≈</w:t>
            </w:r>
          </w:p>
        </w:tc>
        <w:tc>
          <w:tcPr>
            <w:tcW w:w="709" w:type="dxa"/>
          </w:tcPr>
          <w:p w14:paraId="12CA8A1A" w14:textId="77777777" w:rsidR="004B2444" w:rsidRPr="008E5B32" w:rsidRDefault="004B2444" w:rsidP="004B2444">
            <w:pPr>
              <w:jc w:val="center"/>
              <w:rPr>
                <w:rFonts w:eastAsia="Segoe UI Symbol"/>
                <w:color w:val="222222"/>
              </w:rPr>
            </w:pPr>
            <w:r w:rsidRPr="008E5B32">
              <w:rPr>
                <w:rFonts w:ascii="Segoe UI Symbol" w:hAnsi="Segoe UI Symbol"/>
                <w:szCs w:val="18"/>
              </w:rPr>
              <w:t>✗</w:t>
            </w:r>
          </w:p>
        </w:tc>
        <w:tc>
          <w:tcPr>
            <w:tcW w:w="1239" w:type="dxa"/>
          </w:tcPr>
          <w:p w14:paraId="7F20C64E" w14:textId="77777777" w:rsidR="004B2444" w:rsidRPr="008E5B32" w:rsidRDefault="004B2444" w:rsidP="004B2444">
            <w:pPr>
              <w:jc w:val="center"/>
              <w:rPr>
                <w:rFonts w:eastAsia="Segoe UI Symbol"/>
                <w:color w:val="222222"/>
              </w:rPr>
            </w:pPr>
            <w:r w:rsidRPr="008E5B32">
              <w:rPr>
                <w:rFonts w:ascii="Segoe UI Symbol" w:hAnsi="Segoe UI Symbol"/>
                <w:szCs w:val="18"/>
              </w:rPr>
              <w:t>✗</w:t>
            </w:r>
          </w:p>
        </w:tc>
        <w:tc>
          <w:tcPr>
            <w:tcW w:w="1370" w:type="dxa"/>
          </w:tcPr>
          <w:p w14:paraId="2764ADC0" w14:textId="77777777" w:rsidR="004B2444" w:rsidRPr="008E5B32" w:rsidRDefault="00731CF3" w:rsidP="004B2444">
            <w:pPr>
              <w:jc w:val="center"/>
              <w:rPr>
                <w:lang w:val="en-US"/>
              </w:rPr>
            </w:pPr>
            <w:r w:rsidRPr="008E5B32">
              <w:rPr>
                <w:szCs w:val="18"/>
                <w:lang w:val="en-US"/>
              </w:rPr>
              <w:t>≈</w:t>
            </w:r>
            <w:r w:rsidRPr="008E5B32">
              <w:rPr>
                <w:szCs w:val="18"/>
                <w:lang w:val="en-US"/>
              </w:rPr>
              <w:br/>
            </w:r>
            <w:r w:rsidRPr="008E5B32">
              <w:rPr>
                <w:lang w:val="en-US"/>
              </w:rPr>
              <w:t>(Considerations on the variability in toxicity outcomes)</w:t>
            </w:r>
          </w:p>
        </w:tc>
        <w:tc>
          <w:tcPr>
            <w:tcW w:w="627" w:type="dxa"/>
          </w:tcPr>
          <w:p w14:paraId="5C6A6BB3" w14:textId="77777777" w:rsidR="004B2444" w:rsidRPr="008E5B32" w:rsidRDefault="004B2444" w:rsidP="004B2444">
            <w:pPr>
              <w:jc w:val="center"/>
              <w:rPr>
                <w:rFonts w:eastAsia="Segoe UI Symbol"/>
                <w:color w:val="222222"/>
              </w:rPr>
            </w:pPr>
            <w:r w:rsidRPr="008E5B32">
              <w:rPr>
                <w:rFonts w:ascii="Segoe UI Symbol" w:eastAsia="Segoe UI Symbol" w:hAnsi="Segoe UI Symbol" w:cs="Segoe UI Symbol"/>
                <w:color w:val="222222"/>
              </w:rPr>
              <w:t>✓</w:t>
            </w:r>
          </w:p>
        </w:tc>
      </w:tr>
      <w:tr w:rsidR="004C12A8" w:rsidRPr="008E5B32" w14:paraId="1FB1D4BA" w14:textId="77777777" w:rsidTr="008A1247">
        <w:tc>
          <w:tcPr>
            <w:tcW w:w="537" w:type="dxa"/>
          </w:tcPr>
          <w:p w14:paraId="54CE913D" w14:textId="0BA283C4" w:rsidR="004B2444" w:rsidRPr="008E5B32" w:rsidRDefault="004B2444" w:rsidP="004B2444">
            <w:pPr>
              <w:jc w:val="center"/>
              <w:rPr>
                <w:lang w:val="en-US"/>
              </w:rPr>
            </w:pPr>
            <w:r w:rsidRPr="008E5B32">
              <w:fldChar w:fldCharType="begin" w:fldLock="1"/>
            </w:r>
            <w:r w:rsidR="00793E15">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w:instrText>
            </w:r>
            <w:r w:rsidR="00793E15" w:rsidRPr="00793E15">
              <w:rPr>
                <w:lang w:val="en-GB"/>
              </w:rPr>
              <w:instrText>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mendeley":{"formattedCitation":"&lt;sup&gt;93&lt;/sup&gt;","plainTextFormattedCitation":"93","previouslyFormattedCitation":"&lt;sup&gt;93&lt;/sup&gt;"},"properties":{"noteIndex":0},"schema":"https://github.com/citation-style-language/schema/raw/master/csl-citation.json"}</w:instrText>
            </w:r>
            <w:r w:rsidRPr="008E5B32">
              <w:fldChar w:fldCharType="separate"/>
            </w:r>
            <w:r w:rsidR="004C12A8" w:rsidRPr="008E5B32">
              <w:rPr>
                <w:noProof/>
                <w:vertAlign w:val="superscript"/>
                <w:lang w:val="en-US"/>
              </w:rPr>
              <w:t>93</w:t>
            </w:r>
            <w:r w:rsidRPr="008E5B32">
              <w:fldChar w:fldCharType="end"/>
            </w:r>
          </w:p>
        </w:tc>
        <w:tc>
          <w:tcPr>
            <w:tcW w:w="4151" w:type="dxa"/>
          </w:tcPr>
          <w:p w14:paraId="13A6ABC0" w14:textId="1FF9FE8C" w:rsidR="004B2444" w:rsidRPr="008E5B32" w:rsidRDefault="00853BBB" w:rsidP="004B2444">
            <w:pPr>
              <w:jc w:val="both"/>
              <w:rPr>
                <w:lang w:val="en-US"/>
              </w:rPr>
            </w:pPr>
            <w:r w:rsidRPr="008E5B32">
              <w:rPr>
                <w:szCs w:val="18"/>
                <w:lang w:val="en-GB"/>
              </w:rPr>
              <w:t xml:space="preserve">Grouping of </w:t>
            </w:r>
            <w:r w:rsidRPr="008E5B32">
              <w:rPr>
                <w:lang w:val="en-GB"/>
              </w:rPr>
              <w:t>nano-TiO</w:t>
            </w:r>
            <w:r w:rsidRPr="008E5B32">
              <w:rPr>
                <w:vertAlign w:val="subscript"/>
                <w:lang w:val="en-GB"/>
              </w:rPr>
              <w:t xml:space="preserve">2 </w:t>
            </w:r>
            <w:r w:rsidRPr="008E5B32">
              <w:rPr>
                <w:szCs w:val="18"/>
                <w:lang w:val="en-GB"/>
              </w:rPr>
              <w:t>to Read-Across genotoxicity</w:t>
            </w:r>
            <w:r w:rsidR="00B45456" w:rsidRPr="008E5B32">
              <w:rPr>
                <w:szCs w:val="18"/>
                <w:lang w:val="en-GB"/>
              </w:rPr>
              <w:t xml:space="preserve"> according to the ECHA </w:t>
            </w:r>
            <w:r w:rsidR="008A1247" w:rsidRPr="008E5B32">
              <w:rPr>
                <w:szCs w:val="18"/>
                <w:lang w:val="en-GB"/>
              </w:rPr>
              <w:t xml:space="preserve">guidance </w:t>
            </w:r>
            <w:r w:rsidR="008A1247" w:rsidRPr="008E5B32">
              <w:rPr>
                <w:szCs w:val="18"/>
                <w:lang w:val="en-GB"/>
              </w:rPr>
              <w:fldChar w:fldCharType="begin" w:fldLock="1"/>
            </w:r>
            <w:r w:rsidR="005D1733" w:rsidRPr="008E5B32">
              <w:rPr>
                <w:szCs w:val="18"/>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008A1247" w:rsidRPr="008E5B32">
              <w:rPr>
                <w:szCs w:val="18"/>
                <w:lang w:val="en-GB"/>
              </w:rPr>
              <w:fldChar w:fldCharType="separate"/>
            </w:r>
            <w:r w:rsidR="008A1247" w:rsidRPr="008E5B32">
              <w:rPr>
                <w:noProof/>
                <w:szCs w:val="18"/>
                <w:vertAlign w:val="superscript"/>
                <w:lang w:val="en-GB"/>
              </w:rPr>
              <w:t>3</w:t>
            </w:r>
            <w:r w:rsidR="008A1247" w:rsidRPr="008E5B32">
              <w:rPr>
                <w:szCs w:val="18"/>
                <w:lang w:val="en-GB"/>
              </w:rPr>
              <w:fldChar w:fldCharType="end"/>
            </w:r>
            <w:r w:rsidR="004B2444" w:rsidRPr="008E5B32">
              <w:rPr>
                <w:szCs w:val="18"/>
                <w:lang w:val="en-GB"/>
              </w:rPr>
              <w:t xml:space="preserve"> </w:t>
            </w:r>
            <w:r w:rsidRPr="008E5B32">
              <w:rPr>
                <w:szCs w:val="18"/>
                <w:lang w:val="en-GB"/>
              </w:rPr>
              <w:t xml:space="preserve">including </w:t>
            </w:r>
            <w:r w:rsidR="004B2444" w:rsidRPr="008E5B32">
              <w:rPr>
                <w:szCs w:val="18"/>
                <w:lang w:val="en-GB"/>
              </w:rPr>
              <w:t xml:space="preserve">application of </w:t>
            </w:r>
            <w:r w:rsidR="008A1247" w:rsidRPr="008E5B32">
              <w:rPr>
                <w:szCs w:val="18"/>
                <w:lang w:val="en-GB"/>
              </w:rPr>
              <w:t>chemoinformatic approaches</w:t>
            </w:r>
            <w:r w:rsidR="00705B45" w:rsidRPr="008E5B32">
              <w:rPr>
                <w:szCs w:val="18"/>
                <w:lang w:val="en-GB"/>
              </w:rPr>
              <w:t xml:space="preserve">, </w:t>
            </w:r>
            <w:r w:rsidR="008A1247" w:rsidRPr="008E5B32">
              <w:rPr>
                <w:szCs w:val="18"/>
                <w:lang w:val="en-GB"/>
              </w:rPr>
              <w:t xml:space="preserve">by </w:t>
            </w:r>
            <w:r w:rsidR="00705B45" w:rsidRPr="008E5B32">
              <w:rPr>
                <w:szCs w:val="18"/>
                <w:lang w:val="en-GB"/>
              </w:rPr>
              <w:t>using measured physicochemical descriptors and nanospecific descriptors (mainly related to size distribution, zeta potential, and dispersibility).</w:t>
            </w:r>
          </w:p>
        </w:tc>
        <w:tc>
          <w:tcPr>
            <w:tcW w:w="1778" w:type="dxa"/>
          </w:tcPr>
          <w:p w14:paraId="7C17AF60" w14:textId="77777777" w:rsidR="004B2444" w:rsidRPr="008E5B32" w:rsidRDefault="004B2444" w:rsidP="004B2444">
            <w:pPr>
              <w:jc w:val="center"/>
              <w:rPr>
                <w:szCs w:val="18"/>
                <w:lang w:val="en-US"/>
              </w:rPr>
            </w:pPr>
            <w:r w:rsidRPr="008E5B32">
              <w:rPr>
                <w:rFonts w:ascii="Segoe UI Symbol" w:eastAsia="Segoe UI Symbol" w:hAnsi="Segoe UI Symbol" w:cs="Segoe UI Symbol"/>
                <w:color w:val="222222"/>
                <w:szCs w:val="18"/>
                <w:lang w:val="en-US"/>
              </w:rPr>
              <w:t>✓</w:t>
            </w:r>
            <w:r w:rsidRPr="008E5B32">
              <w:rPr>
                <w:szCs w:val="18"/>
                <w:lang w:val="en-US"/>
              </w:rPr>
              <w:t xml:space="preserve"> </w:t>
            </w:r>
          </w:p>
          <w:p w14:paraId="33AFF2C8" w14:textId="77777777" w:rsidR="004B2444" w:rsidRPr="008E5B32" w:rsidRDefault="004B2444" w:rsidP="004B2444">
            <w:pPr>
              <w:jc w:val="center"/>
              <w:rPr>
                <w:szCs w:val="18"/>
                <w:lang w:val="en-US"/>
              </w:rPr>
            </w:pPr>
            <w:r w:rsidRPr="008E5B32">
              <w:rPr>
                <w:szCs w:val="18"/>
                <w:lang w:val="en-US"/>
              </w:rPr>
              <w:t>(</w:t>
            </w:r>
            <w:r w:rsidRPr="008E5B32">
              <w:rPr>
                <w:i/>
                <w:szCs w:val="18"/>
                <w:lang w:val="en-US"/>
              </w:rPr>
              <w:t>In vitro</w:t>
            </w:r>
            <w:r w:rsidRPr="008E5B32">
              <w:rPr>
                <w:szCs w:val="18"/>
                <w:lang w:val="en-US"/>
              </w:rPr>
              <w:t xml:space="preserve"> genotoxicity via Comet assay)</w:t>
            </w:r>
          </w:p>
        </w:tc>
        <w:tc>
          <w:tcPr>
            <w:tcW w:w="1320" w:type="dxa"/>
          </w:tcPr>
          <w:p w14:paraId="0001B4B5" w14:textId="1F8E839D" w:rsidR="004B2444" w:rsidRPr="008E5B32" w:rsidRDefault="004B2444" w:rsidP="004B2444">
            <w:pPr>
              <w:jc w:val="center"/>
              <w:rPr>
                <w:szCs w:val="18"/>
                <w:lang w:val="en-US"/>
              </w:rPr>
            </w:pPr>
            <w:r w:rsidRPr="008E5B32">
              <w:rPr>
                <w:szCs w:val="18"/>
                <w:lang w:val="en-US"/>
              </w:rPr>
              <w:t xml:space="preserve">6 + 2 </w:t>
            </w:r>
            <w:r w:rsidRPr="008E5B32">
              <w:rPr>
                <w:szCs w:val="18"/>
              </w:rPr>
              <w:fldChar w:fldCharType="begin" w:fldLock="1"/>
            </w:r>
            <w:r w:rsidR="00434385" w:rsidRPr="008E5B32">
              <w:rPr>
                <w:szCs w:val="18"/>
                <w:lang w:val="en-US"/>
              </w:rPr>
              <w:instrText>ADDIN CSL_CITATION {"citationItems":[{"id":"ITEM-1","itemData":{"author":[{"dropping-particle":"","family":"OECD","given":"","non-dropping-particle":"","parse-names":false,"suffix":""}],"id":"ITEM-1","issued":{"date-parts":[["2015"]]},"title":"Titanium dioxide dossier (NM100-NM105)","type":"report"},"uris":["http://www.mendeley.com/documents/?uuid=08a912e9-7759-4a40-b8bb-9234afdaee09","http://www.mendeley.com/documents/?uuid=d6aa4802-1b5b-4448-93af-7a1af9c134d8","http://www.mendeley.com/documents/?uuid=87beb560-3fa2-46f6-88e7-c165b250b3e4"]},{"id":"ITEM-2","itemData":{"DOI":"10.1093/annhyg/mes006","ISSN":"1475-3162","author":[{"dropping-particle":"","family":"Guichard","given":"Yves","non-dropping-particle":"","parse-names":false,"suffix":""},{"dropping-particle":"","family":"Schmit","given":"Julien","non-dropping-particle":"","parse-names":false,"suffix":""},{"dropping-particle":"","family":"Darne","given":"Christian","non-dropping-particle":"","parse-names":false,"suffix":""},{"dropping-particle":"","family":"Gaté","given":"Laurent","non-dropping-particle":"","parse-names":false,"suffix":""},{"dropping-particle":"","family":"Goutet","given":"Michèle","non-dropping-particle":"","parse-names":false,"suffix":""},{"dropping-particle":"","family":"Rousset","given":"Davy","non-dropping-particle":"","parse-names":false,"suffix":""},{"dropping-particle":"","family":"Rastoix","given":"Olivier","non-dropping-particle":"","parse-names":false,"suffix":""},{"dropping-particle":"","family":"Wrobel","given":"Richard","non-dropping-particle":"","parse-names":false,"suffix":""},{"dropping-particle":"","family":"Witschger","given":"Olivier","non-dropping-particle":"","parse-names":false,"suffix":""},{"dropping-particle":"","family":"Martin","given":"Aurélie","non-dropping-particle":"","parse-names":false,"suffix":""},{"dropping-particle":"","family":"Fierro","given":"Vanessa","non-dropping-particle":"","parse-names":false,"suffix":""},{"dropping-particle":"","family":"Binet","given":"Stéphane","non-dropping-particle":"","parse-names":false,"suffix":""}],"container-title":"The Annals of Occupational Hygiene","id":"ITEM-2","issue":"5","issued":{"date-parts":[["2012","6"]]},"page":"631-644","publisher":"Oxford University Press","title":"Cytotoxicity and Genotoxicity of Nanosized and Microsized Titanium Dioxide and Iron Oxide Particles in Syrian Hamster Embryo Cells","type":"article-journal","volume":"56"},"uris":["http://www.mendeley.com/documents/?uuid=41be99ab-5af5-342c-b989-4618b9aa12e5","http://www.mendeley.com/documents/?uuid=04996af8-04d1-411a-abca-dec132681c46","http://www.mendeley.com/documents/?uuid=64dd8406-b482-40db-b3e7-9d19f7615d3f"]},{"id":"ITEM-3","itemData":{"ISBN":"978-2-11-138272-5","author":[{"dropping-particle":"","family":"NanoGenoTox Joint Action","given":"","non-dropping-particle":"","parse-names":false,"suffix":""}],"id":"ITEM-3","issued":{"date-parts":[["2013"]]},"number-of-pages":"60","title":"NANOGENOTOX Final report. Facilitating the safety evaluation of manufactured nanomaterials by characterising their potential genotoxic hazard","type":"report"},"uris":["http://www.mendeley.com/documents/?uuid=d39267eb-5a0a-4e6b-95cf-9ba49d73ec27","http://www.mendeley.com/documents/?uuid=83344e80-0690-4223-b227-03e082bdaca1","http://www.mendeley.com/documents/?uuid=842550c4-bdb2-49d0-9ba0-5316366dbd6f"]}],"mendeley":{"formattedCitation":"&lt;sup&gt;94–96&lt;/sup&gt;","plainTextFormattedCitation":"94–96","previouslyFormattedCitation":"&lt;sup&gt;94–96&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US"/>
              </w:rPr>
              <w:t>94–96</w:t>
            </w:r>
            <w:r w:rsidRPr="008E5B32">
              <w:rPr>
                <w:szCs w:val="18"/>
              </w:rPr>
              <w:fldChar w:fldCharType="end"/>
            </w:r>
          </w:p>
        </w:tc>
        <w:tc>
          <w:tcPr>
            <w:tcW w:w="1428" w:type="dxa"/>
          </w:tcPr>
          <w:p w14:paraId="5C7E3342" w14:textId="77777777" w:rsidR="004B2444" w:rsidRPr="008E5B32" w:rsidRDefault="004B2444" w:rsidP="004B2444">
            <w:pPr>
              <w:jc w:val="center"/>
              <w:rPr>
                <w:lang w:val="en-US"/>
              </w:rPr>
            </w:pPr>
            <w:r w:rsidRPr="008E5B32">
              <w:rPr>
                <w:rFonts w:ascii="Segoe UI Symbol" w:hAnsi="Segoe UI Symbol" w:cs="Segoe UI Symbol"/>
                <w:lang w:val="en-US"/>
              </w:rPr>
              <w:t>✓</w:t>
            </w:r>
          </w:p>
          <w:p w14:paraId="70814AF5" w14:textId="77777777" w:rsidR="004B2444" w:rsidRPr="008E5B32" w:rsidRDefault="004B2444" w:rsidP="004B2444">
            <w:pPr>
              <w:jc w:val="center"/>
              <w:rPr>
                <w:lang w:val="en-US"/>
              </w:rPr>
            </w:pPr>
            <w:r w:rsidRPr="008E5B32">
              <w:rPr>
                <w:lang w:val="en-US"/>
              </w:rPr>
              <w:t>(PCA, hierarchical clustering, random forest)</w:t>
            </w:r>
          </w:p>
        </w:tc>
        <w:tc>
          <w:tcPr>
            <w:tcW w:w="795" w:type="dxa"/>
          </w:tcPr>
          <w:p w14:paraId="2B259ADB" w14:textId="77777777" w:rsidR="004B2444" w:rsidRPr="008E5B32" w:rsidRDefault="004B2444" w:rsidP="004B2444">
            <w:pPr>
              <w:jc w:val="center"/>
              <w:rPr>
                <w:rFonts w:eastAsia="Segoe UI Symbol"/>
                <w:color w:val="222222"/>
                <w:lang w:val="en-US"/>
              </w:rPr>
            </w:pPr>
            <w:r w:rsidRPr="008E5B32">
              <w:rPr>
                <w:szCs w:val="18"/>
                <w:lang w:val="en-US"/>
              </w:rPr>
              <w:t>≈</w:t>
            </w:r>
          </w:p>
        </w:tc>
        <w:tc>
          <w:tcPr>
            <w:tcW w:w="709" w:type="dxa"/>
          </w:tcPr>
          <w:p w14:paraId="5CB29527" w14:textId="77777777" w:rsidR="004B2444" w:rsidRPr="008E5B32" w:rsidRDefault="004B2444" w:rsidP="004B2444">
            <w:pPr>
              <w:jc w:val="center"/>
              <w:rPr>
                <w:rFonts w:ascii="Segoe UI Symbol" w:eastAsia="Segoe UI Symbol" w:hAnsi="Segoe UI Symbol" w:cs="Segoe UI Symbol"/>
                <w:color w:val="222222"/>
                <w:lang w:val="en-US"/>
              </w:rPr>
            </w:pPr>
            <w:r w:rsidRPr="008E5B32">
              <w:rPr>
                <w:rFonts w:ascii="Segoe UI Symbol" w:eastAsia="Segoe UI Symbol" w:hAnsi="Segoe UI Symbol" w:cs="Segoe UI Symbol"/>
                <w:color w:val="222222"/>
                <w:lang w:val="en-US"/>
              </w:rPr>
              <w:t>✓</w:t>
            </w:r>
          </w:p>
        </w:tc>
        <w:tc>
          <w:tcPr>
            <w:tcW w:w="1239" w:type="dxa"/>
          </w:tcPr>
          <w:p w14:paraId="4A10F1F4" w14:textId="6A050CDA" w:rsidR="004B2444" w:rsidRPr="008E5B32" w:rsidRDefault="00413282" w:rsidP="00413282">
            <w:pPr>
              <w:jc w:val="center"/>
              <w:rPr>
                <w:rFonts w:ascii="Segoe UI Symbol" w:eastAsia="Segoe UI Symbol" w:hAnsi="Segoe UI Symbol" w:cs="Segoe UI Symbol"/>
                <w:color w:val="222222"/>
                <w:lang w:val="en-US"/>
              </w:rPr>
            </w:pPr>
            <w:r w:rsidRPr="008E5B32">
              <w:rPr>
                <w:rFonts w:ascii="Segoe UI Symbol" w:eastAsia="Segoe UI Symbol" w:hAnsi="Segoe UI Symbol" w:cs="Segoe UI Symbol"/>
                <w:color w:val="222222"/>
                <w:lang w:val="en-US"/>
              </w:rPr>
              <w:t>✓</w:t>
            </w:r>
            <w:r w:rsidR="004B2444" w:rsidRPr="008E5B32">
              <w:rPr>
                <w:lang w:val="en-US"/>
              </w:rPr>
              <w:br/>
              <w:t>(WoE based)</w:t>
            </w:r>
          </w:p>
        </w:tc>
        <w:tc>
          <w:tcPr>
            <w:tcW w:w="1370" w:type="dxa"/>
          </w:tcPr>
          <w:p w14:paraId="071EEFFE" w14:textId="77777777" w:rsidR="004B2444" w:rsidRPr="008E5B32" w:rsidRDefault="004B2444" w:rsidP="004B2444">
            <w:pPr>
              <w:jc w:val="center"/>
              <w:rPr>
                <w:lang w:val="en-US"/>
              </w:rPr>
            </w:pPr>
            <w:r w:rsidRPr="008E5B32">
              <w:rPr>
                <w:rFonts w:ascii="Segoe UI Symbol" w:eastAsia="Segoe UI Symbol" w:hAnsi="Segoe UI Symbol" w:cs="Segoe UI Symbol"/>
                <w:color w:val="222222"/>
                <w:lang w:val="en-US"/>
              </w:rPr>
              <w:t>✓</w:t>
            </w:r>
            <w:r w:rsidRPr="008E5B32" w:rsidDel="00196C3C">
              <w:rPr>
                <w:lang w:val="en-US"/>
              </w:rPr>
              <w:t xml:space="preserve"> </w:t>
            </w:r>
          </w:p>
          <w:p w14:paraId="48E9884A" w14:textId="77777777" w:rsidR="004B2444" w:rsidRPr="008E5B32" w:rsidRDefault="004B2444" w:rsidP="004B2444">
            <w:pPr>
              <w:jc w:val="center"/>
              <w:rPr>
                <w:lang w:val="en-US"/>
              </w:rPr>
            </w:pPr>
            <w:r w:rsidRPr="008E5B32">
              <w:rPr>
                <w:lang w:val="en-US"/>
              </w:rPr>
              <w:t>(RAAF)</w:t>
            </w:r>
          </w:p>
        </w:tc>
        <w:tc>
          <w:tcPr>
            <w:tcW w:w="627" w:type="dxa"/>
          </w:tcPr>
          <w:p w14:paraId="421E4E62" w14:textId="77777777" w:rsidR="004B2444" w:rsidRPr="008E5B32" w:rsidRDefault="004B2444" w:rsidP="004B2444">
            <w:pPr>
              <w:jc w:val="center"/>
              <w:rPr>
                <w:lang w:val="en-US"/>
              </w:rPr>
            </w:pPr>
            <w:r w:rsidRPr="008E5B32">
              <w:rPr>
                <w:rFonts w:ascii="Segoe UI Symbol" w:eastAsia="Segoe UI Symbol" w:hAnsi="Segoe UI Symbol" w:cs="Segoe UI Symbol"/>
                <w:color w:val="222222"/>
                <w:lang w:val="en-US"/>
              </w:rPr>
              <w:t>✓</w:t>
            </w:r>
          </w:p>
        </w:tc>
      </w:tr>
      <w:tr w:rsidR="004C12A8" w:rsidRPr="008E5B32" w14:paraId="474FC38B" w14:textId="77777777" w:rsidTr="008A1247">
        <w:tc>
          <w:tcPr>
            <w:tcW w:w="537" w:type="dxa"/>
          </w:tcPr>
          <w:p w14:paraId="6FFEFBD3" w14:textId="3A4BEA1D" w:rsidR="008A1247" w:rsidRPr="008E5B32" w:rsidRDefault="008A1247" w:rsidP="008A1247">
            <w:pPr>
              <w:jc w:val="center"/>
              <w:rPr>
                <w:lang w:val="en-US"/>
              </w:rPr>
            </w:pPr>
            <w:r w:rsidRPr="008E5B32">
              <w:fldChar w:fldCharType="begin" w:fldLock="1"/>
            </w:r>
            <w:r w:rsidR="00793E15">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w:instrText>
            </w:r>
            <w:r w:rsidR="00793E15" w:rsidRPr="00793E15">
              <w:rPr>
                <w:lang w:val="en-GB"/>
              </w:rPr>
              <w:instrText>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Pr="008E5B32">
              <w:fldChar w:fldCharType="separate"/>
            </w:r>
            <w:r w:rsidR="004C12A8" w:rsidRPr="008E5B32">
              <w:rPr>
                <w:noProof/>
                <w:vertAlign w:val="superscript"/>
                <w:lang w:val="en-US"/>
              </w:rPr>
              <w:t>97</w:t>
            </w:r>
            <w:r w:rsidRPr="008E5B32">
              <w:fldChar w:fldCharType="end"/>
            </w:r>
          </w:p>
        </w:tc>
        <w:tc>
          <w:tcPr>
            <w:tcW w:w="4151" w:type="dxa"/>
          </w:tcPr>
          <w:p w14:paraId="240FAEB0" w14:textId="54F8542F" w:rsidR="008A1247" w:rsidRPr="008E5B32" w:rsidRDefault="008A1247" w:rsidP="008A1247">
            <w:pPr>
              <w:rPr>
                <w:szCs w:val="18"/>
                <w:lang w:val="en-GB"/>
              </w:rPr>
            </w:pPr>
            <w:r w:rsidRPr="008E5B32">
              <w:rPr>
                <w:szCs w:val="18"/>
                <w:lang w:val="en-GB"/>
              </w:rPr>
              <w:t xml:space="preserve">Grouping of MWCNTs </w:t>
            </w:r>
            <w:r w:rsidR="00853BBB" w:rsidRPr="008E5B32">
              <w:rPr>
                <w:szCs w:val="18"/>
                <w:lang w:val="en-GB"/>
              </w:rPr>
              <w:t xml:space="preserve">to </w:t>
            </w:r>
            <w:r w:rsidRPr="008E5B32">
              <w:rPr>
                <w:szCs w:val="18"/>
                <w:lang w:val="en-GB"/>
              </w:rPr>
              <w:t xml:space="preserve">Read-Across </w:t>
            </w:r>
            <w:r w:rsidR="00853BBB" w:rsidRPr="008E5B32">
              <w:rPr>
                <w:szCs w:val="18"/>
                <w:lang w:val="en-GB"/>
              </w:rPr>
              <w:t xml:space="preserve">genotoxicity </w:t>
            </w:r>
            <w:r w:rsidRPr="008E5B32">
              <w:rPr>
                <w:szCs w:val="18"/>
                <w:lang w:val="en-GB"/>
              </w:rPr>
              <w:t xml:space="preserve">according to the ECHA guidance </w:t>
            </w:r>
            <w:r w:rsidRPr="008E5B32">
              <w:rPr>
                <w:szCs w:val="18"/>
                <w:lang w:val="en-GB"/>
              </w:rPr>
              <w:fldChar w:fldCharType="begin" w:fldLock="1"/>
            </w:r>
            <w:r w:rsidR="005D1733" w:rsidRPr="008E5B32">
              <w:rPr>
                <w:szCs w:val="18"/>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Pr="008E5B32">
              <w:rPr>
                <w:szCs w:val="18"/>
                <w:lang w:val="en-GB"/>
              </w:rPr>
              <w:fldChar w:fldCharType="separate"/>
            </w:r>
            <w:r w:rsidRPr="008E5B32">
              <w:rPr>
                <w:noProof/>
                <w:szCs w:val="18"/>
                <w:vertAlign w:val="superscript"/>
                <w:lang w:val="en-GB"/>
              </w:rPr>
              <w:t>3</w:t>
            </w:r>
            <w:r w:rsidRPr="008E5B32">
              <w:rPr>
                <w:szCs w:val="18"/>
                <w:lang w:val="en-GB"/>
              </w:rPr>
              <w:fldChar w:fldCharType="end"/>
            </w:r>
            <w:r w:rsidRPr="008E5B32">
              <w:rPr>
                <w:szCs w:val="18"/>
                <w:lang w:val="en-GB"/>
              </w:rPr>
              <w:t xml:space="preserve"> through the application of chemoinformatic approaches, by using measured physicochemical descriptors and nanospecific descriptors (mainly related to size distribution, zeta potential, and dispersibility).</w:t>
            </w:r>
          </w:p>
        </w:tc>
        <w:tc>
          <w:tcPr>
            <w:tcW w:w="1778" w:type="dxa"/>
          </w:tcPr>
          <w:p w14:paraId="1856A74F" w14:textId="77777777" w:rsidR="008A1247" w:rsidRPr="008E5B32" w:rsidRDefault="008A1247" w:rsidP="008A1247">
            <w:pPr>
              <w:jc w:val="center"/>
              <w:rPr>
                <w:szCs w:val="18"/>
                <w:lang w:val="en-US"/>
              </w:rPr>
            </w:pPr>
            <w:r w:rsidRPr="008E5B32">
              <w:rPr>
                <w:rFonts w:ascii="Segoe UI Symbol" w:eastAsia="Segoe UI Symbol" w:hAnsi="Segoe UI Symbol" w:cs="Segoe UI Symbol"/>
                <w:color w:val="222222"/>
                <w:szCs w:val="18"/>
                <w:lang w:val="en-US"/>
              </w:rPr>
              <w:t>✓</w:t>
            </w:r>
            <w:r w:rsidRPr="008E5B32">
              <w:rPr>
                <w:szCs w:val="18"/>
                <w:lang w:val="en-US"/>
              </w:rPr>
              <w:t xml:space="preserve"> </w:t>
            </w:r>
          </w:p>
          <w:p w14:paraId="08AD521C" w14:textId="63ACF93E" w:rsidR="008A1247" w:rsidRPr="008E5B32" w:rsidRDefault="008A1247" w:rsidP="008A1247">
            <w:pPr>
              <w:jc w:val="center"/>
              <w:rPr>
                <w:rFonts w:ascii="Segoe UI Symbol" w:eastAsia="Segoe UI Symbol" w:hAnsi="Segoe UI Symbol" w:cs="Segoe UI Symbol"/>
                <w:color w:val="222222"/>
                <w:szCs w:val="18"/>
                <w:lang w:val="en-US"/>
              </w:rPr>
            </w:pPr>
            <w:r w:rsidRPr="008E5B32">
              <w:rPr>
                <w:szCs w:val="18"/>
                <w:lang w:val="en-US"/>
              </w:rPr>
              <w:t xml:space="preserve">(Genotoxicity measured in </w:t>
            </w:r>
            <w:r w:rsidRPr="008E5B32">
              <w:rPr>
                <w:i/>
                <w:szCs w:val="18"/>
                <w:lang w:val="en-US"/>
              </w:rPr>
              <w:t>in vitro</w:t>
            </w:r>
            <w:r w:rsidRPr="008E5B32">
              <w:rPr>
                <w:szCs w:val="18"/>
                <w:lang w:val="en-US"/>
              </w:rPr>
              <w:t xml:space="preserve"> and </w:t>
            </w:r>
            <w:r w:rsidRPr="008E5B32">
              <w:rPr>
                <w:i/>
                <w:szCs w:val="18"/>
                <w:lang w:val="en-US"/>
              </w:rPr>
              <w:t>in vivo</w:t>
            </w:r>
            <w:r w:rsidRPr="008E5B32">
              <w:rPr>
                <w:szCs w:val="18"/>
                <w:lang w:val="en-US"/>
              </w:rPr>
              <w:t xml:space="preserve"> data on Comet assay, micronucleus assay)</w:t>
            </w:r>
          </w:p>
        </w:tc>
        <w:tc>
          <w:tcPr>
            <w:tcW w:w="1320" w:type="dxa"/>
          </w:tcPr>
          <w:p w14:paraId="7C33AA2D" w14:textId="0C7E0D73" w:rsidR="008A1247" w:rsidRPr="008E5B32" w:rsidRDefault="008A1247" w:rsidP="008A1247">
            <w:pPr>
              <w:jc w:val="center"/>
              <w:rPr>
                <w:szCs w:val="18"/>
                <w:lang w:val="en-US"/>
              </w:rPr>
            </w:pPr>
            <w:r w:rsidRPr="008E5B32">
              <w:rPr>
                <w:szCs w:val="18"/>
                <w:lang w:val="en-US"/>
              </w:rPr>
              <w:t>19</w:t>
            </w:r>
          </w:p>
        </w:tc>
        <w:tc>
          <w:tcPr>
            <w:tcW w:w="1428" w:type="dxa"/>
          </w:tcPr>
          <w:p w14:paraId="2061FDB6" w14:textId="77777777" w:rsidR="008A1247" w:rsidRPr="008E5B32" w:rsidRDefault="008A1247" w:rsidP="008A1247">
            <w:pPr>
              <w:jc w:val="center"/>
              <w:rPr>
                <w:lang w:val="en-US"/>
              </w:rPr>
            </w:pPr>
            <w:r w:rsidRPr="008E5B32">
              <w:rPr>
                <w:rFonts w:ascii="Segoe UI Symbol" w:hAnsi="Segoe UI Symbol" w:cs="Segoe UI Symbol"/>
                <w:lang w:val="en-US"/>
              </w:rPr>
              <w:t>✓</w:t>
            </w:r>
          </w:p>
          <w:p w14:paraId="65146E6A" w14:textId="6A4EE836" w:rsidR="008A1247" w:rsidRPr="008E5B32" w:rsidRDefault="008A1247" w:rsidP="008A1247">
            <w:pPr>
              <w:jc w:val="center"/>
              <w:rPr>
                <w:rFonts w:ascii="Segoe UI Symbol" w:hAnsi="Segoe UI Symbol" w:cs="Segoe UI Symbol"/>
                <w:lang w:val="en-US"/>
              </w:rPr>
            </w:pPr>
            <w:r w:rsidRPr="008E5B32">
              <w:rPr>
                <w:lang w:val="en-US"/>
              </w:rPr>
              <w:t>(PCA, hierarchical clustering, random forest)</w:t>
            </w:r>
          </w:p>
        </w:tc>
        <w:tc>
          <w:tcPr>
            <w:tcW w:w="795" w:type="dxa"/>
          </w:tcPr>
          <w:p w14:paraId="5BDCD244" w14:textId="0810F5B6" w:rsidR="008A1247" w:rsidRPr="008E5B32" w:rsidRDefault="008A1247" w:rsidP="008A1247">
            <w:pPr>
              <w:jc w:val="center"/>
              <w:rPr>
                <w:szCs w:val="18"/>
                <w:lang w:val="en-US"/>
              </w:rPr>
            </w:pPr>
            <w:r w:rsidRPr="008E5B32">
              <w:rPr>
                <w:szCs w:val="18"/>
                <w:lang w:val="en-US"/>
              </w:rPr>
              <w:t>≈</w:t>
            </w:r>
          </w:p>
        </w:tc>
        <w:tc>
          <w:tcPr>
            <w:tcW w:w="709" w:type="dxa"/>
          </w:tcPr>
          <w:p w14:paraId="417B5AE9" w14:textId="192D42C0" w:rsidR="008A1247" w:rsidRPr="008E5B32" w:rsidRDefault="008A1247" w:rsidP="008A1247">
            <w:pPr>
              <w:jc w:val="center"/>
              <w:rPr>
                <w:rFonts w:ascii="Segoe UI Symbol" w:eastAsia="Segoe UI Symbol" w:hAnsi="Segoe UI Symbol" w:cs="Segoe UI Symbol"/>
                <w:color w:val="222222"/>
                <w:lang w:val="en-US"/>
              </w:rPr>
            </w:pPr>
            <w:r w:rsidRPr="008E5B32">
              <w:rPr>
                <w:rFonts w:ascii="Segoe UI Symbol" w:eastAsia="Segoe UI Symbol" w:hAnsi="Segoe UI Symbol" w:cs="Segoe UI Symbol"/>
                <w:color w:val="222222"/>
                <w:lang w:val="en-US"/>
              </w:rPr>
              <w:t>✓</w:t>
            </w:r>
          </w:p>
        </w:tc>
        <w:tc>
          <w:tcPr>
            <w:tcW w:w="1239" w:type="dxa"/>
          </w:tcPr>
          <w:p w14:paraId="345B7F2D" w14:textId="64893118" w:rsidR="008A1247" w:rsidRPr="008E5B32" w:rsidRDefault="008A1247" w:rsidP="008A1247">
            <w:pPr>
              <w:jc w:val="center"/>
              <w:rPr>
                <w:rFonts w:ascii="Segoe UI Symbol" w:eastAsia="Segoe UI Symbol" w:hAnsi="Segoe UI Symbol" w:cs="Segoe UI Symbol"/>
                <w:color w:val="222222"/>
                <w:lang w:val="en-US"/>
              </w:rPr>
            </w:pPr>
            <w:r w:rsidRPr="008E5B32">
              <w:rPr>
                <w:rFonts w:ascii="Segoe UI Symbol" w:eastAsia="Segoe UI Symbol" w:hAnsi="Segoe UI Symbol" w:cs="Segoe UI Symbol"/>
                <w:color w:val="222222"/>
                <w:lang w:val="en-US"/>
              </w:rPr>
              <w:t>✓</w:t>
            </w:r>
            <w:r w:rsidRPr="008E5B32">
              <w:rPr>
                <w:lang w:val="en-US"/>
              </w:rPr>
              <w:br/>
              <w:t>(WoE based)</w:t>
            </w:r>
          </w:p>
        </w:tc>
        <w:tc>
          <w:tcPr>
            <w:tcW w:w="1370" w:type="dxa"/>
          </w:tcPr>
          <w:p w14:paraId="07439CEF" w14:textId="77777777" w:rsidR="008A1247" w:rsidRPr="008E5B32" w:rsidRDefault="008A1247" w:rsidP="008A1247">
            <w:pPr>
              <w:jc w:val="center"/>
              <w:rPr>
                <w:lang w:val="en-US"/>
              </w:rPr>
            </w:pPr>
            <w:r w:rsidRPr="008E5B32">
              <w:rPr>
                <w:rFonts w:ascii="Segoe UI Symbol" w:eastAsia="Segoe UI Symbol" w:hAnsi="Segoe UI Symbol" w:cs="Segoe UI Symbol"/>
                <w:color w:val="222222"/>
                <w:lang w:val="en-US"/>
              </w:rPr>
              <w:t>✓</w:t>
            </w:r>
            <w:r w:rsidRPr="008E5B32" w:rsidDel="00196C3C">
              <w:rPr>
                <w:lang w:val="en-US"/>
              </w:rPr>
              <w:t xml:space="preserve"> </w:t>
            </w:r>
          </w:p>
          <w:p w14:paraId="352AB5B8" w14:textId="47E83099" w:rsidR="008A1247" w:rsidRPr="008E5B32" w:rsidRDefault="008A1247" w:rsidP="008A1247">
            <w:pPr>
              <w:jc w:val="center"/>
              <w:rPr>
                <w:rFonts w:ascii="Segoe UI Symbol" w:eastAsia="Segoe UI Symbol" w:hAnsi="Segoe UI Symbol" w:cs="Segoe UI Symbol"/>
                <w:color w:val="222222"/>
                <w:lang w:val="en-US"/>
              </w:rPr>
            </w:pPr>
            <w:r w:rsidRPr="008E5B32">
              <w:rPr>
                <w:lang w:val="en-US"/>
              </w:rPr>
              <w:t>(RAAF)</w:t>
            </w:r>
          </w:p>
        </w:tc>
        <w:tc>
          <w:tcPr>
            <w:tcW w:w="627" w:type="dxa"/>
          </w:tcPr>
          <w:p w14:paraId="428A1B8D" w14:textId="75B843EA" w:rsidR="008A1247" w:rsidRPr="008E5B32" w:rsidRDefault="008A1247" w:rsidP="008A1247">
            <w:pPr>
              <w:jc w:val="center"/>
              <w:rPr>
                <w:rFonts w:ascii="Segoe UI Symbol" w:eastAsia="Segoe UI Symbol" w:hAnsi="Segoe UI Symbol" w:cs="Segoe UI Symbol"/>
                <w:color w:val="222222"/>
                <w:lang w:val="en-US"/>
              </w:rPr>
            </w:pPr>
            <w:r w:rsidRPr="008E5B32">
              <w:rPr>
                <w:rFonts w:ascii="Segoe UI Symbol" w:eastAsia="Segoe UI Symbol" w:hAnsi="Segoe UI Symbol" w:cs="Segoe UI Symbol"/>
                <w:color w:val="222222"/>
                <w:lang w:val="en-US"/>
              </w:rPr>
              <w:t>✓</w:t>
            </w:r>
          </w:p>
        </w:tc>
      </w:tr>
    </w:tbl>
    <w:p w14:paraId="043AB638" w14:textId="25ABC673" w:rsidR="00B572F9" w:rsidRPr="008E5B32" w:rsidRDefault="004B50FC" w:rsidP="00B572F9">
      <w:pPr>
        <w:rPr>
          <w:sz w:val="18"/>
          <w:szCs w:val="18"/>
          <w:lang w:val="en-US"/>
        </w:rPr>
        <w:sectPr w:rsidR="00B572F9" w:rsidRPr="008E5B32" w:rsidSect="00D83E7F">
          <w:footnotePr>
            <w:numFmt w:val="lowerLetter"/>
          </w:footnotePr>
          <w:pgSz w:w="16834" w:h="11909" w:orient="landscape"/>
          <w:pgMar w:top="1440" w:right="1440" w:bottom="1440" w:left="1440" w:header="0" w:footer="720" w:gutter="0"/>
          <w:lnNumType w:countBy="1" w:restart="continuous"/>
          <w:cols w:space="720"/>
          <w:docGrid w:linePitch="326"/>
        </w:sectPr>
      </w:pPr>
      <w:r w:rsidRPr="008E5B32">
        <w:rPr>
          <w:sz w:val="18"/>
          <w:szCs w:val="18"/>
          <w:lang w:val="en-US"/>
        </w:rPr>
        <w:t>CS: Case Study;</w:t>
      </w:r>
      <w:r w:rsidR="00FE1D1B" w:rsidRPr="008E5B32">
        <w:rPr>
          <w:sz w:val="18"/>
          <w:szCs w:val="18"/>
          <w:lang w:val="en-US"/>
        </w:rPr>
        <w:t xml:space="preserve"> PCA: </w:t>
      </w:r>
      <w:r w:rsidR="001B5141" w:rsidRPr="008E5B32">
        <w:rPr>
          <w:sz w:val="18"/>
          <w:szCs w:val="18"/>
          <w:lang w:val="en-US"/>
        </w:rPr>
        <w:t>P</w:t>
      </w:r>
      <w:r w:rsidR="00FE1D1B" w:rsidRPr="008E5B32">
        <w:rPr>
          <w:sz w:val="18"/>
          <w:szCs w:val="18"/>
          <w:lang w:val="en-US"/>
        </w:rPr>
        <w:t xml:space="preserve">rincipal </w:t>
      </w:r>
      <w:r w:rsidR="001B5141" w:rsidRPr="008E5B32">
        <w:rPr>
          <w:sz w:val="18"/>
          <w:szCs w:val="18"/>
          <w:lang w:val="en-US"/>
        </w:rPr>
        <w:t>C</w:t>
      </w:r>
      <w:r w:rsidR="00FE1D1B" w:rsidRPr="008E5B32">
        <w:rPr>
          <w:sz w:val="18"/>
          <w:szCs w:val="18"/>
          <w:lang w:val="en-US"/>
        </w:rPr>
        <w:t xml:space="preserve">omponent </w:t>
      </w:r>
      <w:r w:rsidR="001B5141" w:rsidRPr="008E5B32">
        <w:rPr>
          <w:sz w:val="18"/>
          <w:szCs w:val="18"/>
          <w:lang w:val="en-US"/>
        </w:rPr>
        <w:t>A</w:t>
      </w:r>
      <w:r w:rsidR="00FE1D1B" w:rsidRPr="008E5B32">
        <w:rPr>
          <w:sz w:val="18"/>
          <w:szCs w:val="18"/>
          <w:lang w:val="en-US"/>
        </w:rPr>
        <w:t>nalysis</w:t>
      </w:r>
      <w:r w:rsidR="00DD456E" w:rsidRPr="008E5B32">
        <w:rPr>
          <w:sz w:val="18"/>
          <w:szCs w:val="18"/>
          <w:lang w:val="en-US"/>
        </w:rPr>
        <w:t>;</w:t>
      </w:r>
      <w:r w:rsidR="001B5141" w:rsidRPr="008E5B32">
        <w:rPr>
          <w:sz w:val="18"/>
          <w:szCs w:val="18"/>
          <w:lang w:val="en-US"/>
        </w:rPr>
        <w:t xml:space="preserve"> </w:t>
      </w:r>
      <w:r w:rsidR="00FE1D1B" w:rsidRPr="008E5B32">
        <w:rPr>
          <w:sz w:val="18"/>
          <w:szCs w:val="18"/>
          <w:lang w:val="en-US"/>
        </w:rPr>
        <w:t xml:space="preserve">SOM: Self </w:t>
      </w:r>
      <w:r w:rsidR="001B5141" w:rsidRPr="008E5B32">
        <w:rPr>
          <w:sz w:val="18"/>
          <w:szCs w:val="18"/>
          <w:lang w:val="en-US"/>
        </w:rPr>
        <w:t>O</w:t>
      </w:r>
      <w:r w:rsidR="00FE1D1B" w:rsidRPr="008E5B32">
        <w:rPr>
          <w:sz w:val="18"/>
          <w:szCs w:val="18"/>
          <w:lang w:val="en-US"/>
        </w:rPr>
        <w:t xml:space="preserve">rganizing </w:t>
      </w:r>
      <w:r w:rsidR="001B5141" w:rsidRPr="008E5B32">
        <w:rPr>
          <w:sz w:val="18"/>
          <w:szCs w:val="18"/>
          <w:lang w:val="en-US"/>
        </w:rPr>
        <w:t>M</w:t>
      </w:r>
      <w:r w:rsidR="00FE1D1B" w:rsidRPr="008E5B32">
        <w:rPr>
          <w:sz w:val="18"/>
          <w:szCs w:val="18"/>
          <w:lang w:val="en-US"/>
        </w:rPr>
        <w:t xml:space="preserve">aps; WoE: </w:t>
      </w:r>
      <w:r w:rsidR="001B5141" w:rsidRPr="008E5B32">
        <w:rPr>
          <w:sz w:val="18"/>
          <w:szCs w:val="18"/>
          <w:lang w:val="en-US"/>
        </w:rPr>
        <w:t>W</w:t>
      </w:r>
      <w:r w:rsidR="00FE1D1B" w:rsidRPr="008E5B32">
        <w:rPr>
          <w:sz w:val="18"/>
          <w:szCs w:val="18"/>
          <w:lang w:val="en-US"/>
        </w:rPr>
        <w:t xml:space="preserve">eight of </w:t>
      </w:r>
      <w:r w:rsidR="001B5141" w:rsidRPr="008E5B32">
        <w:rPr>
          <w:sz w:val="18"/>
          <w:szCs w:val="18"/>
          <w:lang w:val="en-US"/>
        </w:rPr>
        <w:t>E</w:t>
      </w:r>
      <w:r w:rsidR="00FE1D1B" w:rsidRPr="008E5B32">
        <w:rPr>
          <w:sz w:val="18"/>
          <w:szCs w:val="18"/>
          <w:lang w:val="en-US"/>
        </w:rPr>
        <w:t>vidence.</w:t>
      </w:r>
    </w:p>
    <w:p w14:paraId="5B6D433B" w14:textId="755CA221" w:rsidR="00262A75" w:rsidRPr="008E5B32" w:rsidRDefault="006516B7" w:rsidP="00E56C31">
      <w:pPr>
        <w:rPr>
          <w:lang w:val="en-GB"/>
        </w:rPr>
      </w:pPr>
      <w:bookmarkStart w:id="12" w:name="_Toc506370838"/>
      <w:r w:rsidRPr="008E5B32">
        <w:rPr>
          <w:lang w:val="en-GB"/>
        </w:rPr>
        <w:t>Only half of the</w:t>
      </w:r>
      <w:r w:rsidR="00262A75" w:rsidRPr="008E5B32">
        <w:rPr>
          <w:lang w:val="en-GB"/>
        </w:rPr>
        <w:t xml:space="preserve"> approaches in</w:t>
      </w:r>
      <w:r w:rsidRPr="008E5B32">
        <w:rPr>
          <w:lang w:val="en-GB"/>
        </w:rPr>
        <w:t xml:space="preserve"> </w:t>
      </w:r>
      <w:r w:rsidRPr="008E5B32">
        <w:fldChar w:fldCharType="begin"/>
      </w:r>
      <w:r w:rsidRPr="008E5B32">
        <w:rPr>
          <w:lang w:val="en-GB"/>
        </w:rPr>
        <w:instrText xml:space="preserve"> REF _Ref517446312 \h  \* MERGEFORMAT </w:instrText>
      </w:r>
      <w:r w:rsidRPr="008E5B32">
        <w:fldChar w:fldCharType="separate"/>
      </w:r>
      <w:r w:rsidR="00785247" w:rsidRPr="008E5B32">
        <w:rPr>
          <w:lang w:val="en-GB"/>
        </w:rPr>
        <w:t>Table 3</w:t>
      </w:r>
      <w:r w:rsidRPr="008E5B32">
        <w:fldChar w:fldCharType="end"/>
      </w:r>
      <w:r w:rsidRPr="008E5B32">
        <w:rPr>
          <w:lang w:val="en-GB"/>
        </w:rPr>
        <w:t xml:space="preserve"> defined clearly the endpoint to Read-Across: one considered the </w:t>
      </w:r>
      <w:r w:rsidRPr="008E5B32">
        <w:rPr>
          <w:i/>
          <w:lang w:val="en-GB"/>
        </w:rPr>
        <w:t>in vitro</w:t>
      </w:r>
      <w:r w:rsidRPr="008E5B32">
        <w:rPr>
          <w:lang w:val="en-GB"/>
        </w:rPr>
        <w:t xml:space="preserve"> </w:t>
      </w:r>
      <w:r w:rsidR="00262A75" w:rsidRPr="008E5B32">
        <w:rPr>
          <w:lang w:val="en-GB"/>
        </w:rPr>
        <w:t>C</w:t>
      </w:r>
      <w:r w:rsidRPr="008E5B32">
        <w:rPr>
          <w:lang w:val="en-GB"/>
        </w:rPr>
        <w:t>omet assay against different NFs of the sa</w:t>
      </w:r>
      <w:r w:rsidR="00262A75" w:rsidRPr="008E5B32">
        <w:rPr>
          <w:lang w:val="en-GB"/>
        </w:rPr>
        <w:t>me material (nano-TiO</w:t>
      </w:r>
      <w:r w:rsidR="00262A75" w:rsidRPr="008E5B32">
        <w:rPr>
          <w:vertAlign w:val="subscript"/>
          <w:lang w:val="en-GB"/>
        </w:rPr>
        <w:t>2</w:t>
      </w:r>
      <w:r w:rsidR="00262A75" w:rsidRPr="008E5B32">
        <w:rPr>
          <w:lang w:val="en-GB"/>
        </w:rPr>
        <w:t xml:space="preserve"> with different size, surface chemistry and shape)</w:t>
      </w:r>
      <w:r w:rsidRPr="008E5B32">
        <w:rPr>
          <w:lang w:val="en-GB"/>
        </w:rPr>
        <w:t xml:space="preserve"> </w:t>
      </w:r>
      <w:r w:rsidRPr="008E5B32">
        <w:fldChar w:fldCharType="begin" w:fldLock="1"/>
      </w:r>
      <w:r w:rsidR="00793E15">
        <w:rPr>
          <w:lang w:val="en-GB"/>
        </w:rPr>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mendeley":{"formattedCitation":"&lt;sup&gt;93&lt;/sup&gt;","plainTextFormattedCitation":"93","previouslyFormattedCitation":"&lt;sup&gt;93&lt;/sup&gt;"},"properties":{"noteIndex":0},"schema":"https://github.com/citation-style-language/schema/raw/master/csl-citation.json"}</w:instrText>
      </w:r>
      <w:r w:rsidRPr="008E5B32">
        <w:fldChar w:fldCharType="separate"/>
      </w:r>
      <w:r w:rsidR="004C12A8" w:rsidRPr="008E5B32">
        <w:rPr>
          <w:noProof/>
          <w:vertAlign w:val="superscript"/>
          <w:lang w:val="en-GB"/>
        </w:rPr>
        <w:t>93</w:t>
      </w:r>
      <w:r w:rsidRPr="008E5B32">
        <w:fldChar w:fldCharType="end"/>
      </w:r>
      <w:r w:rsidRPr="008E5B32">
        <w:rPr>
          <w:lang w:val="en-GB"/>
        </w:rPr>
        <w:t xml:space="preserve">, </w:t>
      </w:r>
      <w:r w:rsidR="00853BBB" w:rsidRPr="008E5B32">
        <w:rPr>
          <w:lang w:val="en-GB"/>
        </w:rPr>
        <w:t xml:space="preserve">one took into consideration available </w:t>
      </w:r>
      <w:r w:rsidR="00853BBB" w:rsidRPr="008E5B32">
        <w:rPr>
          <w:i/>
          <w:lang w:val="en-GB"/>
        </w:rPr>
        <w:t>in vitro</w:t>
      </w:r>
      <w:r w:rsidR="00853BBB" w:rsidRPr="008E5B32">
        <w:rPr>
          <w:lang w:val="en-GB"/>
        </w:rPr>
        <w:t xml:space="preserve"> and </w:t>
      </w:r>
      <w:r w:rsidR="00853BBB" w:rsidRPr="008E5B32">
        <w:rPr>
          <w:i/>
          <w:lang w:val="en-GB"/>
        </w:rPr>
        <w:t>in vivo</w:t>
      </w:r>
      <w:r w:rsidR="00853BBB" w:rsidRPr="008E5B32">
        <w:rPr>
          <w:lang w:val="en-GB"/>
        </w:rPr>
        <w:t xml:space="preserve"> genotoxicity tests (comet and micronucleus assays) against different multi-walled carbon nanotubes (different </w:t>
      </w:r>
      <w:r w:rsidR="00413DD7" w:rsidRPr="008E5B32">
        <w:rPr>
          <w:lang w:val="en-GB"/>
        </w:rPr>
        <w:t>length, rigidity/straightness, impurities</w:t>
      </w:r>
      <w:r w:rsidR="00853BBB" w:rsidRPr="008E5B32">
        <w:rPr>
          <w:lang w:val="en-GB"/>
        </w:rPr>
        <w:t>)</w:t>
      </w:r>
      <w:r w:rsidR="00413DD7" w:rsidRPr="008E5B32">
        <w:rPr>
          <w:lang w:val="en-GB"/>
        </w:rPr>
        <w:t xml:space="preserve"> </w:t>
      </w:r>
      <w:r w:rsidR="00413DD7" w:rsidRPr="008E5B32">
        <w:rPr>
          <w:lang w:val="en-GB"/>
        </w:rPr>
        <w:fldChar w:fldCharType="begin" w:fldLock="1"/>
      </w:r>
      <w:r w:rsidR="00793E15">
        <w:rPr>
          <w:lang w:val="en-GB"/>
        </w:rPr>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00413DD7" w:rsidRPr="008E5B32">
        <w:rPr>
          <w:lang w:val="en-GB"/>
        </w:rPr>
        <w:fldChar w:fldCharType="separate"/>
      </w:r>
      <w:r w:rsidR="004C12A8" w:rsidRPr="008E5B32">
        <w:rPr>
          <w:noProof/>
          <w:vertAlign w:val="superscript"/>
          <w:lang w:val="en-GB"/>
        </w:rPr>
        <w:t>97</w:t>
      </w:r>
      <w:r w:rsidR="00413DD7" w:rsidRPr="008E5B32">
        <w:rPr>
          <w:lang w:val="en-GB"/>
        </w:rPr>
        <w:fldChar w:fldCharType="end"/>
      </w:r>
      <w:r w:rsidR="00413DD7" w:rsidRPr="008E5B32">
        <w:rPr>
          <w:lang w:val="en-GB"/>
        </w:rPr>
        <w:t>,</w:t>
      </w:r>
      <w:r w:rsidR="00853BBB" w:rsidRPr="008E5B32">
        <w:rPr>
          <w:lang w:val="en-GB"/>
        </w:rPr>
        <w:t xml:space="preserve"> </w:t>
      </w:r>
      <w:r w:rsidRPr="008E5B32">
        <w:rPr>
          <w:lang w:val="en-GB"/>
        </w:rPr>
        <w:t>other two identified cytotoxicity endpoints</w:t>
      </w:r>
      <w:r w:rsidR="00262A75" w:rsidRPr="008E5B32">
        <w:rPr>
          <w:lang w:val="en-GB"/>
        </w:rPr>
        <w:t xml:space="preserve">, by reduction of viability in </w:t>
      </w:r>
      <w:r w:rsidR="00262A75" w:rsidRPr="008E5B32">
        <w:rPr>
          <w:i/>
          <w:lang w:val="en-GB"/>
        </w:rPr>
        <w:t>E. Coli</w:t>
      </w:r>
      <w:r w:rsidR="00262A75" w:rsidRPr="008E5B32">
        <w:rPr>
          <w:lang w:val="en-GB"/>
        </w:rPr>
        <w:t xml:space="preserve"> and cellular uptake of HaCaT cell line</w:t>
      </w:r>
      <w:r w:rsidRPr="008E5B32">
        <w:rPr>
          <w:lang w:val="en-GB"/>
        </w:rPr>
        <w:t xml:space="preserve"> </w:t>
      </w:r>
      <w:r w:rsidRPr="008E5B32">
        <w:fldChar w:fldCharType="begin" w:fldLock="1"/>
      </w:r>
      <w:r w:rsidR="004C12A8" w:rsidRPr="008E5B32">
        <w:rPr>
          <w:lang w:val="en-GB"/>
        </w:rPr>
        <w:instrText>ADDIN CSL_CITATION {"citationItems":[{"id":"ITEM-1","itemData":{"DOI":"10.1039/c6en00399k","ISSN":"20518161","abstract":"The number and variety of engineered nanoparticles have been growing exponentially. Since the experimental evaluation of nanoparticles causing public health concerns is expensive and time consuming, efficient computational tools are amongst the most suitable approaches to identifying potential negative impacts, to the human health and the environment, of new nanomaterials before their production. However, developing computational models complimentary to experiments is impossible without incorporating consistent and high quality experimental data. Although there are limited available data in the literature, one may apply read-across techniques that seem to be an attractive and pragmatic alternative way of predicting missing physico-chemical or toxicological data. Unfortunately, the existing methods of read-across are strongly dependent on the expert's knowledge. In consequence, the results of estimations may vary dependently on personal experience of expert conducting the study and as such cannot guarantee the reproducibility of their results. Therefore, it is essential to develop novel read-across algorithm(s) that will provide reliable predictions of the missing data without the need to for additional experiments. We proposed a novel quantitative read-across approach for nanomaterials (Nano-QRA) that addresses and overcomes a basic limitation of existing methods. It is based on: one-point-slope, two-point formula, or the equation of a plane passing through three points. The proposed Nano-QRA approach is a simple and effective algorithm for filling data gaps in quantitative manner providing reliable predictions of the missing data.","author":[{"dropping-particle":"","family":"Gajewicz","given":"A.","non-dropping-particle":"","parse-names":false,"suffix":""},{"dropping-particle":"","family":"Jagiello","given":"K.","non-dropping-particle":"","parse-names":false,"suffix":""},{"dropping-particle":"","family":"Cronin","given":"M. T.D.","non-dropping-particle":"","parse-names":false,"suffix":""},{"dropping-particle":"","family":"Leszczynski","given":"J.","non-dropping-particle":"","parse-names":false,"suffix":""},{"dropping-particle":"","family":"Puzyn","given":"T.","non-dropping-particle":"","parse-names":false,"suffix":""}],"container-title":"Environmental Science: Nano","id":"ITEM-1","issued":{"date-parts":[["2017"]]},"title":"Addressing a bottle neck for regulation of nanomaterials: quantitative read-across (Nano-QRA) algorithm for cases when only limited data is available","type":"article-journal"},"uris":["http://www.mendeley.com/documents/?uuid=47acbd37-79e6-4ecb-85e1-ff21281f6a8f","http://www.mendeley.com/documents/?uuid=ac508529-cd65-4e50-a90b-5ce9a6defec2","http://www.mendeley.com/documents/?uuid=a2ed730d-925f-4aa8-982a-66f9fc4ee42d","http://www.mendeley.com/documents/?uuid=20e77201-fb69-40d4-b956-efe34b2d20fc"]},{"id":"ITEM-2","itemData":{"DOI":"10.1088/0957-4484/26/1/015701","ISBN":"0957-4484","ISSN":"13616528","PMID":"25473798","abstract":"Creating suitable chemical categories and developing read-across methods, supported by quantum mechanical calculations, can be an effective solution to solving key problems related to current scarcity of data on the toxicity of various nanoparticles. This study has demonstrated that by applying a nano-read-across, the cytotoxicity of nano-sized metal oxides could be estimated with a similar level of accuracy as provided by quantitative structure-activity relationship for nanomaterials (nano-QSAR model(s)). The method presented is a suitable computational tool for the preliminary hazard assessment of nanomaterials. It also could be used for the identification of nanomaterials that may pose potential negative impact to human health and the environment. Such approaches are especially necessary when there is paucity of relevant and reliable data points to develop and validate nano-QSAR models.","author":[{"dropping-particle":"","family":"Gajewicz","given":"Agnieszka","non-dropping-particle":"","parse-names":false,"suffix":""},{"dropping-particle":"","family":"Cronin","given":"Mark T.D.","non-dropping-particle":"","parse-names":false,"suffix":""},{"dropping-particle":"","family":"Rasulev","given":"Bakhtiyor","non-dropping-particle":"","parse-names":false,"suffix":""},{"dropping-particle":"","family":"Leszczynski","given":"Jerzy","non-dropping-particle":"","parse-names":false,"suffix":""},{"dropping-particle":"","family":"Puzyn","given":"Tomasz","non-dropping-particle":"","parse-names":false,"suffix":""}],"container-title":"Nanotechnology","id":"ITEM-2","issue":"1","issued":{"date-parts":[["2015"]]},"title":"Novel approach for efficient predictions properties of large pool of nanomaterials based on limited set of species: Nano-read-across","type":"article-journal","volume":"26"},"uris":["http://www.mendeley.com/documents/?uuid=c813faf0-b149-47df-8105-408c98398069"]}],"mendeley":{"formattedCitation":"&lt;sup&gt;31,32&lt;/sup&gt;","plainTextFormattedCitation":"31,32","previouslyFormattedCitation":"&lt;sup&gt;31,32&lt;/sup&gt;"},"properties":{"noteIndex":0},"schema":"https://github.com/citation-style-language/schema/raw/master/csl-citation.json"}</w:instrText>
      </w:r>
      <w:r w:rsidRPr="008E5B32">
        <w:fldChar w:fldCharType="separate"/>
      </w:r>
      <w:r w:rsidR="005D1733" w:rsidRPr="008E5B32">
        <w:rPr>
          <w:noProof/>
          <w:vertAlign w:val="superscript"/>
          <w:lang w:val="en-GB"/>
        </w:rPr>
        <w:t>31,32</w:t>
      </w:r>
      <w:r w:rsidRPr="008E5B32">
        <w:fldChar w:fldCharType="end"/>
      </w:r>
      <w:r w:rsidRPr="008E5B32">
        <w:rPr>
          <w:lang w:val="en-GB"/>
        </w:rPr>
        <w:t xml:space="preserve">, </w:t>
      </w:r>
      <w:r w:rsidR="00085274" w:rsidRPr="008E5B32">
        <w:rPr>
          <w:lang w:val="en-GB"/>
        </w:rPr>
        <w:t>and</w:t>
      </w:r>
      <w:r w:rsidRPr="008E5B32">
        <w:rPr>
          <w:lang w:val="en-GB"/>
        </w:rPr>
        <w:t xml:space="preserve"> in two of the reviewed approaches cell association was used as endpoint </w:t>
      </w:r>
      <w:r w:rsidRPr="008E5B32">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bc5fff7e-25ad-48da-bd1d-5dc229a7f6b2","http://www.mendeley.com/documents/?uuid=6ad07293-d700-47f7-b215-04232ca5ee0b"]},{"id":"ITEM-2","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Modeling","id":"ITEM-2","issued":{"date-parts":[["2018"]]},"title":"ToxFlow: A Web-Based Application for Read-Across Toxicity Prediction Using Omics and Physicochemical Data","type":"article-journal"},"uris":["http://www.mendeley.com/documents/?uuid=50c59f67-ff52-47e4-a4da-2acb2968b7b8","http://www.mendeley.com/documents/?uuid=891fee53-14fe-406d-960f-6dc2d57e729f","http://www.mendeley.com/documents/?uuid=587456ae-418a-4105-8436-7e293a3f429e"]}],"mendeley":{"formattedCitation":"&lt;sup&gt;84,86&lt;/sup&gt;","plainTextFormattedCitation":"84,86","previouslyFormattedCitation":"&lt;sup&gt;84,86&lt;/sup&gt;"},"properties":{"noteIndex":0},"schema":"https://github.com/citation-style-language/schema/raw/master/csl-citation.json"}</w:instrText>
      </w:r>
      <w:r w:rsidRPr="008E5B32">
        <w:fldChar w:fldCharType="separate"/>
      </w:r>
      <w:r w:rsidR="004C12A8" w:rsidRPr="008E5B32">
        <w:rPr>
          <w:noProof/>
          <w:vertAlign w:val="superscript"/>
          <w:lang w:val="en-GB"/>
        </w:rPr>
        <w:t>84,86</w:t>
      </w:r>
      <w:r w:rsidRPr="008E5B32">
        <w:fldChar w:fldCharType="end"/>
      </w:r>
      <w:r w:rsidR="00262A75" w:rsidRPr="008E5B32">
        <w:rPr>
          <w:lang w:val="en-GB"/>
        </w:rPr>
        <w:t xml:space="preserve">. All the other case studies reported in the table build their hypothesis on datasets composed by metal oxides of different composition and on their ability to elicit toxic effects on different cell lines, with different endpoints (EC50, IC50) </w:t>
      </w:r>
      <w:r w:rsidR="00262A75" w:rsidRPr="008E5B32">
        <w:fldChar w:fldCharType="begin" w:fldLock="1"/>
      </w:r>
      <w:r w:rsidR="00434385" w:rsidRPr="008E5B32">
        <w:rPr>
          <w:lang w:val="en-GB"/>
        </w:rPr>
        <w:instrText>ADDIN CSL_CITATION {"citationItems":[{"id":"ITEM-1","itemData":{"DOI":"10.1039/c7nr05618d","abstract":"©The Royal Society of Chemistry 2018. Application of predictive modeling approaches can solve the problem of missing data. Numerous studies have investigated the effects of missing values on qualitative or quantitative modeling, but only a few studies have discussed it for the case of applications in nanotechnology-related data. The present study is aimed at the development of a multi-nano-read-across modeling technique that helps in predicting the toxicity of different species such as bacteria, algae, protozoa, and mammalian cell lines. Herein, the experimental toxicity of 184 metal and silica oxide (30 unique chemical types) nanoparticles from 15 datasets is analyzed. A hybrid quantitative multi-nano-read-across approach that combines interspecies correlation analysis and self-organizing map analysis is developed. In the first step, hidden patterns of toxicity among nanoparticles are identified using a combination of methods. Subsequently, the developed model based on categorization of the toxicity of the metal oxide nanoparticle outcomes is evaluated via the combination of supervised and unsupervised machine learning techniques to determine the underlying factors responsible for the toxicity.","author":[{"dropping-particle":"","family":"Sizochenko","given":"N","non-dropping-particle":"","parse-names":false,"suffix":""},{"dropping-particle":"","family":"Mikolajczyk","given":"A","non-dropping-particle":"","parse-names":false,"suffix":""},{"dropping-particle":"","family":"Jagiello","given":"K","non-dropping-particle":"","parse-names":false,"suffix":""},{"dropping-particle":"","family":"Puzyn","given":"T","non-dropping-particle":"","parse-names":false,"suffix":""},{"dropping-particle":"","family":"Leszczynski","given":"J","non-dropping-particle":"","parse-names":false,"suffix":""},{"dropping-particle":"","family":"Rasulev","given":"B","non-dropping-particle":"","parse-names":false,"suffix":""}],"container-title":"Nanoscale","id":"ITEM-1","issue":"2","issued":{"date-parts":[["2018"]]},"page":"582-591","title":"How the toxicity of nanomaterials towards different species could be simultaneously evaluated: A novel multi-nano-read-across approach","type":"article-journal","volume":"10"},"uris":["http://www.mendeley.com/documents/?uuid=23ccf4ee-edeb-48ca-8582-dd4d995fd32f","http://www.mendeley.com/documents/?uuid=81ebec9d-7801-42c8-a276-0205ad7cc4cc","http://www.mendeley.com/documents/?uuid=443296b8-9b19-4ecb-81a4-2db1b07826d7"]}],"mendeley":{"formattedCitation":"&lt;sup&gt;87&lt;/sup&gt;","plainTextFormattedCitation":"87","previouslyFormattedCitation":"&lt;sup&gt;87&lt;/sup&gt;"},"properties":{"noteIndex":0},"schema":"https://github.com/citation-style-language/schema/raw/master/csl-citation.json"}</w:instrText>
      </w:r>
      <w:r w:rsidR="00262A75" w:rsidRPr="008E5B32">
        <w:fldChar w:fldCharType="separate"/>
      </w:r>
      <w:r w:rsidR="004C12A8" w:rsidRPr="008E5B32">
        <w:rPr>
          <w:noProof/>
          <w:vertAlign w:val="superscript"/>
          <w:lang w:val="en-GB"/>
        </w:rPr>
        <w:t>87</w:t>
      </w:r>
      <w:r w:rsidR="00262A75" w:rsidRPr="008E5B32">
        <w:fldChar w:fldCharType="end"/>
      </w:r>
      <w:r w:rsidR="00262A75" w:rsidRPr="008E5B32">
        <w:rPr>
          <w:lang w:val="en-GB"/>
        </w:rPr>
        <w:t xml:space="preserve"> or taking into consideration different endpoints (e.g. </w:t>
      </w:r>
      <w:r w:rsidR="00262A75" w:rsidRPr="008E5B32">
        <w:rPr>
          <w:i/>
          <w:lang w:val="en-GB"/>
        </w:rPr>
        <w:t>in vitro</w:t>
      </w:r>
      <w:r w:rsidR="00262A75" w:rsidRPr="008E5B32">
        <w:rPr>
          <w:lang w:val="en-GB"/>
        </w:rPr>
        <w:t xml:space="preserve"> oxidative stress and acute pulmonary inflammation) </w:t>
      </w:r>
      <w:r w:rsidR="00262A75" w:rsidRPr="008E5B32">
        <w:rPr>
          <w:lang w:eastAsia="en-GB"/>
        </w:rPr>
        <w:fldChar w:fldCharType="begin" w:fldLock="1"/>
      </w:r>
      <w:r w:rsidR="00434385" w:rsidRPr="008E5B32">
        <w:rPr>
          <w:lang w:val="en-GB"/>
        </w:rPr>
        <w:instrText>ADDIN CSL_CITATION {"citationItems":[{"id":"ITEM-1","itemData":{"DOI":"10.1021/nn3010087","abstract":"We demonstrate for 24 metal oxide (MOx) nanoparticles that it is possible to use conduction band energy levels to delineate their toxicological potential at cellular and whole animal levels. Among the materials, the overlap of conduction band energy (E c ) levels with the cellular redox potential (-4.12 to-4.84 eV) was strongly correlated to the ability of Co 3 O 4 , Cr 2 O 3 , Ni 2 O 3 , Mn 2 O 3 ,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 3 O 4 , Ni 2 O 3 , Mn 2 O 3 , and CoO nanoparticles could also oxidize cytochrome c as a representative redox couple involved in redox homeostasis. While CuO and ZnO generated oxidative stress and acute pulmonary inflammation that is not predicted by E 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 © 2012 American Chemical Society.","author":[{"dropping-particle":"","family":"Zhang","given":"H.","non-dropping-particle":"","parse-names":false,"suffix":""},{"dropping-particle":"","family":"Ji","given":"Z.","non-dropping-particle":"","parse-names":false,"suffix":""},{"dropping-particle":"","family":"Xia","given":"T.","non-dropping-particle":"","parse-names":false,"suffix":""},{"dropping-particle":"","family":"Meng","given":"H.","non-dropping-particle":"","parse-names":false,"suffix":""},{"dropping-particle":"","family":"Low-Kam","given":"C.","non-dropping-particle":"","parse-names":false,"suffix":""},{"dropping-particle":"","family":"Liu","given":"R.","non-dropping-particle":"","parse-names":false,"suffix":""},{"dropping-particle":"","family":"Pokhrel","given":"S.","non-dropping-particle":"","parse-names":false,"suffix":""},{"dropping-particle":"","family":"Lin","given":"S.","non-dropping-particle":"","parse-names":false,"suffix":""},{"dropping-particle":"","family":"Wang","given":"X.","non-dropping-particle":"","parse-names":false,"suffix":""},{"dropping-particle":"","family":"Liao","given":"Y.-P.","non-dropping-particle":"","parse-names":false,"suffix":""},{"dropping-particle":"","family":"Wang","given":"M.","non-dropping-particle":"","parse-names":false,"suffix":""},{"dropping-particle":"","family":"Li","given":"L.","non-dropping-particle":"","parse-names":false,"suffix":""},{"dropping-particle":"","family":"Rallo","given":"R.","non-dropping-particle":"","parse-names":false,"suffix":""},{"dropping-particle":"","family":"Damoiseaux","given":"R.","non-dropping-particle":"","parse-names":false,"suffix":""},{"dropping-particle":"","family":"Telesca","given":"D.","non-dropping-particle":"","parse-names":false,"suffix":""},{"dropping-particle":"","family":"Mädler","given":"L.","non-dropping-particle":"","parse-names":false,"suffix":""},{"dropping-particle":"","family":"Cohen","given":"Y.","non-dropping-particle":"","parse-names":false,"suffix":""},{"dropping-particle":"","family":"Zink","given":"J.I.","non-dropping-particle":"","parse-names":false,"suffix":""},{"dropping-particle":"","family":"Nel","given":"A.E.","non-dropping-particle":"","parse-names":false,"suffix":""}],"container-title":"ACS Nano","id":"ITEM-1","issue":"5","issued":{"date-parts":[["2012"]]},"page":"4349-4368","title":"Use of metal oxide nanoparticle band gap to develop a predictive paradigm for oxidative stress and acute pulmonary inflammation","type":"article-journal","volume":"6"},"suppress-author":1,"uris":["http://www.mendeley.com/documents/?uuid=f4f37ca8-6efa-385b-b6b5-13109c66b3db","http://www.mendeley.com/documents/?uuid=e20c4152-e743-4eb8-9cb0-94b201b9e9a0","http://www.mendeley.com/documents/?uuid=bd940e61-3c9a-4e68-a4de-98c8ed4bd96e","http://www.mendeley.com/documents/?uuid=8706a161-7c2b-4766-9c71-d26d86fcd506"]}],"mendeley":{"formattedCitation":"&lt;sup&gt;79&lt;/sup&gt;","plainTextFormattedCitation":"79","previouslyFormattedCitation":"&lt;sup&gt;79&lt;/sup&gt;"},"properties":{"noteIndex":0},"schema":"https://github.com/citation-style-language/schema/raw/master/csl-citation.json"}</w:instrText>
      </w:r>
      <w:r w:rsidR="00262A75" w:rsidRPr="008E5B32">
        <w:fldChar w:fldCharType="separate"/>
      </w:r>
      <w:r w:rsidR="004C12A8" w:rsidRPr="008E5B32">
        <w:rPr>
          <w:noProof/>
          <w:vertAlign w:val="superscript"/>
          <w:lang w:val="en-GB"/>
        </w:rPr>
        <w:t>79</w:t>
      </w:r>
      <w:r w:rsidR="00262A75" w:rsidRPr="008E5B32">
        <w:rPr>
          <w:lang w:eastAsia="en-GB"/>
        </w:rPr>
        <w:fldChar w:fldCharType="end"/>
      </w:r>
      <w:r w:rsidR="00262A75" w:rsidRPr="008E5B32">
        <w:rPr>
          <w:lang w:val="en-GB"/>
        </w:rPr>
        <w:t xml:space="preserve">. </w:t>
      </w:r>
    </w:p>
    <w:p w14:paraId="09B913D1" w14:textId="77882ACF" w:rsidR="00B05149" w:rsidRPr="008E5B32" w:rsidRDefault="00262A75" w:rsidP="00E56C31">
      <w:pPr>
        <w:rPr>
          <w:lang w:val="en-GB"/>
        </w:rPr>
      </w:pPr>
      <w:r w:rsidRPr="008E5B32">
        <w:rPr>
          <w:lang w:val="en-GB"/>
        </w:rPr>
        <w:t>It is important to notice that t</w:t>
      </w:r>
      <w:r w:rsidR="00E25D88" w:rsidRPr="008E5B32">
        <w:rPr>
          <w:lang w:val="en-GB"/>
        </w:rPr>
        <w:t>he study of Helma et al.</w:t>
      </w:r>
      <w:r w:rsidR="00353D95" w:rsidRPr="008E5B32">
        <w:rPr>
          <w:lang w:val="en-GB"/>
        </w:rPr>
        <w:t xml:space="preserve"> (2017)</w:t>
      </w:r>
      <w:r w:rsidR="00E25D88" w:rsidRPr="008E5B32">
        <w:rPr>
          <w:lang w:val="en-GB"/>
        </w:rPr>
        <w:t xml:space="preserve"> is the only </w:t>
      </w:r>
      <w:r w:rsidR="00731CF3" w:rsidRPr="008E5B32">
        <w:rPr>
          <w:lang w:val="en-GB"/>
        </w:rPr>
        <w:t>one</w:t>
      </w:r>
      <w:r w:rsidR="00E25D88" w:rsidRPr="008E5B32">
        <w:rPr>
          <w:lang w:val="en-GB"/>
        </w:rPr>
        <w:t xml:space="preserve"> </w:t>
      </w:r>
      <w:r w:rsidR="00B16F14" w:rsidRPr="008E5B32">
        <w:rPr>
          <w:lang w:val="en-GB"/>
        </w:rPr>
        <w:t>in which authors reported retrieving</w:t>
      </w:r>
      <w:r w:rsidRPr="008E5B32">
        <w:rPr>
          <w:lang w:val="en-GB"/>
        </w:rPr>
        <w:t xml:space="preserve"> their dataset from </w:t>
      </w:r>
      <w:r w:rsidR="00E25D88" w:rsidRPr="008E5B32">
        <w:rPr>
          <w:lang w:val="en-GB"/>
        </w:rPr>
        <w:t>one of the databases in</w:t>
      </w:r>
      <w:r w:rsidR="00085274" w:rsidRPr="008E5B32">
        <w:rPr>
          <w:lang w:val="en-GB"/>
        </w:rPr>
        <w:t xml:space="preserve"> </w:t>
      </w:r>
      <w:r w:rsidR="00085274" w:rsidRPr="008E5B32">
        <w:fldChar w:fldCharType="begin"/>
      </w:r>
      <w:r w:rsidR="00085274" w:rsidRPr="008E5B32">
        <w:rPr>
          <w:lang w:val="en-GB"/>
        </w:rPr>
        <w:instrText xml:space="preserve"> REF _Ref524537959 \h  \* MERGEFORMAT </w:instrText>
      </w:r>
      <w:r w:rsidR="00085274" w:rsidRPr="008E5B32">
        <w:fldChar w:fldCharType="separate"/>
      </w:r>
      <w:r w:rsidR="00785247" w:rsidRPr="008E5B32">
        <w:rPr>
          <w:lang w:val="en-GB"/>
        </w:rPr>
        <w:t xml:space="preserve">Table </w:t>
      </w:r>
      <w:r w:rsidR="00785247" w:rsidRPr="008E5B32">
        <w:rPr>
          <w:noProof/>
          <w:lang w:val="en-GB"/>
        </w:rPr>
        <w:t>2</w:t>
      </w:r>
      <w:r w:rsidR="00085274" w:rsidRPr="008E5B32">
        <w:fldChar w:fldCharType="end"/>
      </w:r>
      <w:r w:rsidR="00E25D88" w:rsidRPr="008E5B32">
        <w:rPr>
          <w:lang w:val="en-GB"/>
        </w:rPr>
        <w:t xml:space="preserve"> </w:t>
      </w:r>
      <w:r w:rsidR="00731CF3" w:rsidRPr="008E5B32">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bc5fff7e-25ad-48da-bd1d-5dc229a7f6b2","http://www.mendeley.com/documents/?uuid=e716cf4e-6241-4ba5-9036-9d82b993c983","http://www.mendeley.com/documents/?uuid=6ad07293-d700-47f7-b215-04232ca5ee0b"]}],"mendeley":{"formattedCitation":"&lt;sup&gt;84&lt;/sup&gt;","plainTextFormattedCitation":"84","previouslyFormattedCitation":"&lt;sup&gt;84&lt;/sup&gt;"},"properties":{"noteIndex":0},"schema":"https://github.com/citation-style-language/schema/raw/master/csl-citation.json"}</w:instrText>
      </w:r>
      <w:r w:rsidR="00731CF3" w:rsidRPr="008E5B32">
        <w:fldChar w:fldCharType="separate"/>
      </w:r>
      <w:r w:rsidR="004C12A8" w:rsidRPr="008E5B32">
        <w:rPr>
          <w:noProof/>
          <w:vertAlign w:val="superscript"/>
          <w:lang w:val="en-GB"/>
        </w:rPr>
        <w:t>84</w:t>
      </w:r>
      <w:r w:rsidR="00731CF3" w:rsidRPr="008E5B32">
        <w:fldChar w:fldCharType="end"/>
      </w:r>
      <w:r w:rsidRPr="008E5B32">
        <w:rPr>
          <w:lang w:val="en-GB"/>
        </w:rPr>
        <w:t>, while the other approaches reported using datasets already available in literature or created in house.</w:t>
      </w:r>
      <w:r w:rsidR="00731CF3" w:rsidRPr="008E5B32">
        <w:rPr>
          <w:lang w:val="en-GB"/>
        </w:rPr>
        <w:t xml:space="preserve"> It is also worth reporting on the descriptor selection, or on the selection of the physicochemical properties considered in the case studies reported in </w:t>
      </w:r>
      <w:r w:rsidR="00731CF3" w:rsidRPr="008E5B32">
        <w:fldChar w:fldCharType="begin"/>
      </w:r>
      <w:r w:rsidR="00731CF3" w:rsidRPr="008E5B32">
        <w:rPr>
          <w:lang w:val="en-GB"/>
        </w:rPr>
        <w:instrText xml:space="preserve"> REF _Ref517446312 \h </w:instrText>
      </w:r>
      <w:r w:rsidR="008052D9" w:rsidRPr="008E5B32">
        <w:rPr>
          <w:lang w:val="en-GB"/>
        </w:rPr>
        <w:instrText xml:space="preserve"> \* MERGEFORMAT </w:instrText>
      </w:r>
      <w:r w:rsidR="00731CF3" w:rsidRPr="008E5B32">
        <w:fldChar w:fldCharType="separate"/>
      </w:r>
      <w:r w:rsidR="00785247" w:rsidRPr="008E5B32">
        <w:rPr>
          <w:lang w:val="en-GB"/>
        </w:rPr>
        <w:t xml:space="preserve">Table </w:t>
      </w:r>
      <w:r w:rsidR="00785247" w:rsidRPr="008E5B32">
        <w:rPr>
          <w:noProof/>
          <w:lang w:val="en-GB"/>
        </w:rPr>
        <w:t>3</w:t>
      </w:r>
      <w:r w:rsidR="00731CF3" w:rsidRPr="008E5B32">
        <w:fldChar w:fldCharType="end"/>
      </w:r>
      <w:r w:rsidR="00731CF3" w:rsidRPr="008E5B32">
        <w:rPr>
          <w:lang w:val="en-GB"/>
        </w:rPr>
        <w:t xml:space="preserve">, where only </w:t>
      </w:r>
      <w:r w:rsidR="00434385" w:rsidRPr="008E5B32">
        <w:rPr>
          <w:lang w:val="en-GB"/>
        </w:rPr>
        <w:t>4 out of 11</w:t>
      </w:r>
      <w:r w:rsidR="00731CF3" w:rsidRPr="008E5B32">
        <w:rPr>
          <w:lang w:val="en-GB"/>
        </w:rPr>
        <w:t xml:space="preserve"> case studies </w:t>
      </w:r>
      <w:r w:rsidR="00434385" w:rsidRPr="008E5B32">
        <w:rPr>
          <w:lang w:val="en-GB"/>
        </w:rPr>
        <w:t>included in the final model</w:t>
      </w:r>
      <w:r w:rsidR="00731CF3" w:rsidRPr="008E5B32">
        <w:rPr>
          <w:lang w:val="en-GB"/>
        </w:rPr>
        <w:t xml:space="preserve"> nanospecific properties</w:t>
      </w:r>
      <w:r w:rsidR="00710A5E" w:rsidRPr="008E5B32">
        <w:rPr>
          <w:lang w:val="en-GB"/>
        </w:rPr>
        <w:t xml:space="preserve"> (</w:t>
      </w:r>
      <w:r w:rsidR="00710A5E" w:rsidRPr="008E5B32">
        <w:rPr>
          <w:szCs w:val="18"/>
          <w:lang w:val="en-GB"/>
        </w:rPr>
        <w:t>size distribution, zeta potential, dispersibility</w:t>
      </w:r>
      <w:r w:rsidR="00490B30" w:rsidRPr="008E5B32">
        <w:rPr>
          <w:szCs w:val="18"/>
          <w:lang w:val="en-GB"/>
        </w:rPr>
        <w:t xml:space="preserve"> and surface coating</w:t>
      </w:r>
      <w:r w:rsidR="00710A5E" w:rsidRPr="008E5B32">
        <w:rPr>
          <w:szCs w:val="18"/>
          <w:lang w:val="en-GB"/>
        </w:rPr>
        <w:t xml:space="preserve"> </w:t>
      </w:r>
      <w:r w:rsidR="00710A5E" w:rsidRPr="008E5B32">
        <w:fldChar w:fldCharType="begin" w:fldLock="1"/>
      </w:r>
      <w:r w:rsidR="00793E15">
        <w:rPr>
          <w:lang w:val="en-US"/>
        </w:rPr>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techniques","type":"article-journal","volume":"15"},"uris":["http://www.mendeley.com/documents/?uuid=4605adbd-981e-4085-886e-833a98330991"]},{"id":"ITEM-2","itemData":{"DOI":"10.1016/J.COMTOX.2018.10.001","ISSN":"2468-1113","abstract":"Multi-walled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Toxicology","id":"ITEM-2","issued":{"date-parts":[["2019","2"]]},"page":"22-35","publisher":"Elsevier","title":"Grouping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93,97&lt;/sup&gt;","plainTextFormattedCitation":"93,97","previouslyFormattedCitation":"&lt;sup&gt;93,97&lt;/sup&gt;"},"properties":{"noteIndex":0},"schema":"https://github.com/citation-style-language/schema/raw/master/csl-citation.json"}</w:instrText>
      </w:r>
      <w:r w:rsidR="00710A5E" w:rsidRPr="008E5B32">
        <w:fldChar w:fldCharType="separate"/>
      </w:r>
      <w:r w:rsidR="00710A5E" w:rsidRPr="008E5B32">
        <w:rPr>
          <w:noProof/>
          <w:vertAlign w:val="superscript"/>
          <w:lang w:val="en-US"/>
        </w:rPr>
        <w:t>93,97</w:t>
      </w:r>
      <w:r w:rsidR="00710A5E" w:rsidRPr="008E5B32">
        <w:fldChar w:fldCharType="end"/>
      </w:r>
      <w:r w:rsidR="00710A5E" w:rsidRPr="008E5B32">
        <w:rPr>
          <w:lang w:val="en-GB"/>
        </w:rPr>
        <w:t>)</w:t>
      </w:r>
      <w:r w:rsidR="00D37B3B" w:rsidRPr="008E5B32">
        <w:rPr>
          <w:lang w:val="en-GB"/>
        </w:rPr>
        <w:t xml:space="preserve">, protein-corona descriptors </w:t>
      </w:r>
      <w:r w:rsidR="00D37B3B" w:rsidRPr="008E5B32">
        <w:rPr>
          <w:szCs w:val="18"/>
        </w:rPr>
        <w:fldChar w:fldCharType="begin" w:fldLock="1"/>
      </w:r>
      <w:r w:rsidR="00AB2125" w:rsidRPr="008E5B32">
        <w:rPr>
          <w:szCs w:val="18"/>
          <w:lang w:val="en-US"/>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6ad07293-d700-47f7-b215-04232ca5ee0b","http://www.mendeley.com/documents/?uuid=e716cf4e-6241-4ba5-9036-9d82b993c983","http://www.mendeley.com/documents/?uuid=bc5fff7e-25ad-48da-bd1d-5dc229a7f6b2"]}],"mendeley":{"formattedCitation":"&lt;sup&gt;84&lt;/sup&gt;","plainTextFormattedCitation":"84","previouslyFormattedCitation":"&lt;sup&gt;84&lt;/sup&gt;"},"properties":{"noteIndex":0},"schema":"https://github.com/citation-style-language/schema/raw/master/csl-citation.json"}</w:instrText>
      </w:r>
      <w:r w:rsidR="00D37B3B" w:rsidRPr="008E5B32">
        <w:rPr>
          <w:szCs w:val="18"/>
        </w:rPr>
        <w:fldChar w:fldCharType="separate"/>
      </w:r>
      <w:r w:rsidR="00D37B3B" w:rsidRPr="008E5B32">
        <w:rPr>
          <w:noProof/>
          <w:szCs w:val="18"/>
          <w:vertAlign w:val="superscript"/>
          <w:lang w:val="en-US"/>
        </w:rPr>
        <w:t>84</w:t>
      </w:r>
      <w:r w:rsidR="00D37B3B" w:rsidRPr="008E5B32">
        <w:rPr>
          <w:szCs w:val="18"/>
        </w:rPr>
        <w:fldChar w:fldCharType="end"/>
      </w:r>
      <w:r w:rsidR="00D37B3B" w:rsidRPr="008E5B32">
        <w:rPr>
          <w:szCs w:val="18"/>
          <w:lang w:val="en-US"/>
        </w:rPr>
        <w:t xml:space="preserve">, or omics descriptors </w:t>
      </w:r>
      <w:r w:rsidR="00D37B3B" w:rsidRPr="008E5B32">
        <w:rPr>
          <w:szCs w:val="18"/>
        </w:rPr>
        <w:fldChar w:fldCharType="begin" w:fldLock="1"/>
      </w:r>
      <w:r w:rsidR="00D37B3B" w:rsidRPr="008E5B32">
        <w:rPr>
          <w:szCs w:val="18"/>
          <w:lang w:val="en-US"/>
        </w:rPr>
        <w:instrText>ADDIN CSL_CITATION {"citationItems":[{"id":"ITEM-1","itemData":{"DOI":"10.1021/acs.jcim.7b00160","ISSN":"15205142","PMID":"29281278","abstract":"We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Modeling","id":"ITEM-1","issued":{"date-parts":[["2018"]]},"title":"ToxFlow: A Web-Based Application for Read-Across Toxicity Prediction Using Omics and Physicochemical Data","type":"article-journal"},"uris":["http://www.mendeley.com/documents/?uuid=c252bcd2-36fa-4a11-9442-f73fa79bcbf2"]}],"mendeley":{"formattedCitation":"&lt;sup&gt;86&lt;/sup&gt;","plainTextFormattedCitation":"86","previouslyFormattedCitation":"&lt;sup&gt;86&lt;/sup&gt;"},"properties":{"noteIndex":0},"schema":"https://github.com/citation-style-language/schema/raw/master/csl-citation.json"}</w:instrText>
      </w:r>
      <w:r w:rsidR="00D37B3B" w:rsidRPr="008E5B32">
        <w:rPr>
          <w:szCs w:val="18"/>
        </w:rPr>
        <w:fldChar w:fldCharType="separate"/>
      </w:r>
      <w:r w:rsidR="00D37B3B" w:rsidRPr="008E5B32">
        <w:rPr>
          <w:noProof/>
          <w:szCs w:val="18"/>
          <w:vertAlign w:val="superscript"/>
          <w:lang w:val="en-US"/>
        </w:rPr>
        <w:t>86</w:t>
      </w:r>
      <w:r w:rsidR="00D37B3B" w:rsidRPr="008E5B32">
        <w:rPr>
          <w:szCs w:val="18"/>
        </w:rPr>
        <w:fldChar w:fldCharType="end"/>
      </w:r>
      <w:r w:rsidR="00D37B3B" w:rsidRPr="008E5B32">
        <w:rPr>
          <w:lang w:val="en-GB"/>
        </w:rPr>
        <w:t xml:space="preserve"> </w:t>
      </w:r>
      <w:r w:rsidR="00434385" w:rsidRPr="008E5B32">
        <w:rPr>
          <w:lang w:val="en-GB"/>
        </w:rPr>
        <w:t>in combination with physicochemical descriptors</w:t>
      </w:r>
      <w:r w:rsidR="00710A5E" w:rsidRPr="008E5B32">
        <w:rPr>
          <w:lang w:val="en-GB"/>
        </w:rPr>
        <w:t>,</w:t>
      </w:r>
      <w:r w:rsidR="00434385" w:rsidRPr="008E5B32">
        <w:rPr>
          <w:lang w:val="en-GB"/>
        </w:rPr>
        <w:t xml:space="preserve"> </w:t>
      </w:r>
      <w:r w:rsidR="00710A5E" w:rsidRPr="008E5B32">
        <w:rPr>
          <w:lang w:val="en-GB"/>
        </w:rPr>
        <w:t>while the remaining approaches used descriptors related to the chemical structure of NMs</w:t>
      </w:r>
      <w:r w:rsidR="00731CF3" w:rsidRPr="008E5B32">
        <w:rPr>
          <w:lang w:val="en-GB"/>
        </w:rPr>
        <w:t xml:space="preserve">. </w:t>
      </w:r>
    </w:p>
    <w:p w14:paraId="1C39E330" w14:textId="3DCB8943" w:rsidR="00FC0C05" w:rsidRPr="008E5B32" w:rsidRDefault="00731CF3" w:rsidP="00E56C31">
      <w:pPr>
        <w:rPr>
          <w:lang w:val="en-GB"/>
        </w:rPr>
      </w:pPr>
      <w:r w:rsidRPr="008E5B32">
        <w:rPr>
          <w:lang w:val="en-GB"/>
        </w:rPr>
        <w:t xml:space="preserve">Since Read-Across does not necessarily imply the </w:t>
      </w:r>
      <w:r w:rsidR="00FC0C05" w:rsidRPr="008E5B32">
        <w:rPr>
          <w:lang w:val="en-GB"/>
        </w:rPr>
        <w:t>development</w:t>
      </w:r>
      <w:r w:rsidRPr="008E5B32">
        <w:rPr>
          <w:lang w:val="en-GB"/>
        </w:rPr>
        <w:t xml:space="preserve"> of a model, it is not surprising that </w:t>
      </w:r>
      <w:r w:rsidR="00FC0C05" w:rsidRPr="008E5B32">
        <w:rPr>
          <w:lang w:val="en-GB"/>
        </w:rPr>
        <w:t xml:space="preserve">for </w:t>
      </w:r>
      <w:r w:rsidR="00493125" w:rsidRPr="008E5B32">
        <w:rPr>
          <w:lang w:val="en-GB"/>
        </w:rPr>
        <w:t>three</w:t>
      </w:r>
      <w:r w:rsidR="00FC0C05" w:rsidRPr="008E5B32">
        <w:rPr>
          <w:lang w:val="en-GB"/>
        </w:rPr>
        <w:t xml:space="preserve"> </w:t>
      </w:r>
      <w:r w:rsidRPr="008E5B32">
        <w:rPr>
          <w:lang w:val="en-GB"/>
        </w:rPr>
        <w:t xml:space="preserve">of the reviewed approaches </w:t>
      </w:r>
      <w:r w:rsidR="00FC0C05" w:rsidRPr="008E5B32">
        <w:rPr>
          <w:lang w:val="en-GB"/>
        </w:rPr>
        <w:t>no validation</w:t>
      </w:r>
      <w:r w:rsidRPr="008E5B32">
        <w:rPr>
          <w:lang w:val="en-GB"/>
        </w:rPr>
        <w:t xml:space="preserve"> was </w:t>
      </w:r>
      <w:r w:rsidR="00FC0C05" w:rsidRPr="008E5B32">
        <w:rPr>
          <w:lang w:val="en-GB"/>
        </w:rPr>
        <w:t>reported</w:t>
      </w:r>
      <w:r w:rsidRPr="008E5B32">
        <w:rPr>
          <w:lang w:val="en-GB"/>
        </w:rPr>
        <w:t>. Gajewicz et al.</w:t>
      </w:r>
      <w:r w:rsidR="00353D95" w:rsidRPr="008E5B32">
        <w:rPr>
          <w:lang w:val="en-GB"/>
        </w:rPr>
        <w:t xml:space="preserve"> (2017)</w:t>
      </w:r>
      <w:r w:rsidR="00C4003D" w:rsidRPr="008E5B32">
        <w:rPr>
          <w:lang w:val="en-GB"/>
        </w:rPr>
        <w:t xml:space="preserve"> </w:t>
      </w:r>
      <w:r w:rsidRPr="008E5B32">
        <w:rPr>
          <w:lang w:val="en-GB"/>
        </w:rPr>
        <w:t xml:space="preserve">provided </w:t>
      </w:r>
      <w:r w:rsidR="00FC0C05" w:rsidRPr="008E5B32">
        <w:rPr>
          <w:lang w:val="en-GB"/>
        </w:rPr>
        <w:t>both internal and external validation of their model</w:t>
      </w:r>
      <w:r w:rsidRPr="008E5B32">
        <w:rPr>
          <w:lang w:val="en-GB"/>
        </w:rPr>
        <w:t xml:space="preserve"> </w:t>
      </w:r>
      <w:r w:rsidRPr="008E5B32">
        <w:fldChar w:fldCharType="begin" w:fldLock="1"/>
      </w:r>
      <w:r w:rsidR="004C12A8" w:rsidRPr="008E5B32">
        <w:rPr>
          <w:lang w:val="en-GB"/>
        </w:rPr>
        <w:instrText>ADDIN CSL_CITATION {"citationItems":[{"id":"ITEM-1","itemData":{"DOI":"10.1039/c6en00399k","ISSN":"20518161","abstract":"The number and variety of engineered nanoparticles have been growing exponentially. Since the experimental evaluation of nanoparticles causing public health concerns is expensive and time consuming, efficient computational tools are amongst the most suitable approaches to identifying potential negative impacts, to the human health and the environment, of new nanomaterials before their production. However, developing computational models complimentary to experiments is impossible without incorporating consistent and high quality experimental data. Although there are limited available data in the literature, one may apply read-across techniques that seem to be an attractive and pragmatic alternative way of predicting missing physico-chemical or toxicological data. Unfortunately, the existing methods of read-across are strongly dependent on the expert's knowledge. In consequence, the results of estimations may vary dependently on personal experience of expert conducting the study and as such cannot guarantee the reproducibility of their results. Therefore, it is essential to develop novel read-across algorithm(s) that will provide reliable predictions of the missing data without the need to for additional experiments. We proposed a novel quantitative read-across approach for nanomaterials (Nano-QRA) that addresses and overcomes a basic limitation of existing methods. It is based on: one-point-slope, two-point formula, or the equation of a plane passing through three points. The proposed Nano-QRA approach is a simple and effective algorithm for filling data gaps in quantitative manner providing reliable predictions of the missing data.","author":[{"dropping-particle":"","family":"Gajewicz","given":"A.","non-dropping-particle":"","parse-names":false,"suffix":""},{"dropping-particle":"","family":"Jagiello","given":"K.","non-dropping-particle":"","parse-names":false,"suffix":""},{"dropping-particle":"","family":"Cronin","given":"M. T.D.","non-dropping-particle":"","parse-names":false,"suffix":""},{"dropping-particle":"","family":"Leszczynski","given":"J.","non-dropping-particle":"","parse-names":false,"suffix":""},{"dropping-particle":"","family":"Puzyn","given":"T.","non-dropping-particle":"","parse-names":false,"suffix":""}],"container-title":"Environmental Science: Nano","id":"ITEM-1","issued":{"date-parts":[["2017"]]},"title":"Addressing a bottle neck for regulation of nanomaterials: quantitative read-across (Nano-QRA) algorithm for cases when only limited data is available","type":"article-journal"},"uris":["http://www.mendeley.com/documents/?uuid=47acbd37-79e6-4ecb-85e1-ff21281f6a8f","http://www.mendeley.com/documents/?uuid=ac508529-cd65-4e50-a90b-5ce9a6defec2","http://www.mendeley.com/documents/?uuid=a2ed730d-925f-4aa8-982a-66f9fc4ee42d"]}],"mendeley":{"formattedCitation":"&lt;sup&gt;31&lt;/sup&gt;","plainTextFormattedCitation":"31","previouslyFormattedCitation":"&lt;sup&gt;31&lt;/sup&gt;"},"properties":{"noteIndex":0},"schema":"https://github.com/citation-style-language/schema/raw/master/csl-citation.json"}</w:instrText>
      </w:r>
      <w:r w:rsidRPr="008E5B32">
        <w:fldChar w:fldCharType="separate"/>
      </w:r>
      <w:r w:rsidR="005D1733" w:rsidRPr="008E5B32">
        <w:rPr>
          <w:noProof/>
          <w:vertAlign w:val="superscript"/>
          <w:lang w:val="en-GB"/>
        </w:rPr>
        <w:t>31</w:t>
      </w:r>
      <w:r w:rsidRPr="008E5B32">
        <w:fldChar w:fldCharType="end"/>
      </w:r>
      <w:r w:rsidR="00FC0C05" w:rsidRPr="008E5B32">
        <w:rPr>
          <w:lang w:val="en-GB"/>
        </w:rPr>
        <w:t xml:space="preserve">, while in the other cases either </w:t>
      </w:r>
      <w:r w:rsidR="00FA617E" w:rsidRPr="008E5B32">
        <w:rPr>
          <w:lang w:val="en-GB"/>
        </w:rPr>
        <w:t>c</w:t>
      </w:r>
      <w:r w:rsidR="00FC0C05" w:rsidRPr="008E5B32">
        <w:rPr>
          <w:lang w:val="en-GB"/>
        </w:rPr>
        <w:t>ross-</w:t>
      </w:r>
      <w:r w:rsidR="00FA617E" w:rsidRPr="008E5B32">
        <w:rPr>
          <w:lang w:val="en-GB"/>
        </w:rPr>
        <w:t>v</w:t>
      </w:r>
      <w:r w:rsidR="00FC0C05" w:rsidRPr="008E5B32">
        <w:rPr>
          <w:lang w:val="en-GB"/>
        </w:rPr>
        <w:t xml:space="preserve">alidation was performed, or simple comparison between the expected and the predicted </w:t>
      </w:r>
      <w:r w:rsidR="00C4003D" w:rsidRPr="008E5B32">
        <w:rPr>
          <w:lang w:val="en-GB"/>
        </w:rPr>
        <w:t xml:space="preserve">outcomes </w:t>
      </w:r>
      <w:r w:rsidR="00FC0C05" w:rsidRPr="008E5B32">
        <w:rPr>
          <w:lang w:val="en-GB"/>
        </w:rPr>
        <w:t>was reported.</w:t>
      </w:r>
    </w:p>
    <w:p w14:paraId="73CD6CFE" w14:textId="4B0A5DAD" w:rsidR="00731CF3" w:rsidRPr="008E5B32" w:rsidRDefault="00FC0C05" w:rsidP="00E56C31">
      <w:pPr>
        <w:rPr>
          <w:lang w:val="en-GB"/>
        </w:rPr>
      </w:pPr>
      <w:r w:rsidRPr="008E5B32">
        <w:rPr>
          <w:lang w:val="en-GB"/>
        </w:rPr>
        <w:t>The AD</w:t>
      </w:r>
      <w:r w:rsidR="00731CF3" w:rsidRPr="008E5B32">
        <w:rPr>
          <w:lang w:val="en-GB"/>
        </w:rPr>
        <w:t xml:space="preserve"> gives the dimension of how the Grouping hypothesis is generic for a set of NMs, and thus it should always be addressed in Grouping for Read-Across case studies, however only the tool presented by Helma et al.</w:t>
      </w:r>
      <w:r w:rsidR="00353D95" w:rsidRPr="008E5B32">
        <w:rPr>
          <w:lang w:val="en-GB"/>
        </w:rPr>
        <w:t xml:space="preserve"> (2017)</w:t>
      </w:r>
      <w:r w:rsidR="00731CF3" w:rsidRPr="008E5B32">
        <w:rPr>
          <w:lang w:val="en-GB"/>
        </w:rPr>
        <w:t xml:space="preserve"> ma</w:t>
      </w:r>
      <w:r w:rsidRPr="008E5B32">
        <w:rPr>
          <w:lang w:val="en-GB"/>
        </w:rPr>
        <w:t>d</w:t>
      </w:r>
      <w:r w:rsidR="00731CF3" w:rsidRPr="008E5B32">
        <w:rPr>
          <w:lang w:val="en-GB"/>
        </w:rPr>
        <w:t>e consideration based on similarity in the training set for building an AD for the model</w:t>
      </w:r>
      <w:r w:rsidR="006A26BD" w:rsidRPr="008E5B32">
        <w:rPr>
          <w:lang w:val="en-GB"/>
        </w:rPr>
        <w:t xml:space="preserve"> </w:t>
      </w:r>
      <w:r w:rsidRPr="008E5B32">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bc5fff7e-25ad-48da-bd1d-5dc229a7f6b2","http://www.mendeley.com/documents/?uuid=e716cf4e-6241-4ba5-9036-9d82b993c983","http://www.mendeley.com/documents/?uuid=6ad07293-d700-47f7-b215-04232ca5ee0b"]}],"mendeley":{"formattedCitation":"&lt;sup&gt;84&lt;/sup&gt;","plainTextFormattedCitation":"84","previouslyFormattedCitation":"&lt;sup&gt;84&lt;/sup&gt;"},"properties":{"noteIndex":0},"schema":"https://github.com/citation-style-language/schema/raw/master/csl-citation.json"}</w:instrText>
      </w:r>
      <w:r w:rsidRPr="008E5B32">
        <w:fldChar w:fldCharType="separate"/>
      </w:r>
      <w:r w:rsidR="004C12A8" w:rsidRPr="008E5B32">
        <w:rPr>
          <w:noProof/>
          <w:vertAlign w:val="superscript"/>
          <w:lang w:val="en-GB"/>
        </w:rPr>
        <w:t>84</w:t>
      </w:r>
      <w:r w:rsidRPr="008E5B32">
        <w:fldChar w:fldCharType="end"/>
      </w:r>
      <w:r w:rsidR="00731CF3" w:rsidRPr="008E5B32">
        <w:rPr>
          <w:lang w:val="en-GB"/>
        </w:rPr>
        <w:t>, while</w:t>
      </w:r>
      <w:r w:rsidR="006A26BD" w:rsidRPr="008E5B32">
        <w:rPr>
          <w:lang w:val="en-GB"/>
        </w:rPr>
        <w:t xml:space="preserve"> </w:t>
      </w:r>
      <w:r w:rsidR="00731CF3" w:rsidRPr="008E5B32">
        <w:rPr>
          <w:lang w:val="en-GB"/>
        </w:rPr>
        <w:t>Lamon et al.</w:t>
      </w:r>
      <w:r w:rsidR="00353D95" w:rsidRPr="008E5B32">
        <w:rPr>
          <w:lang w:val="en-GB"/>
        </w:rPr>
        <w:t xml:space="preserve"> (</w:t>
      </w:r>
      <w:r w:rsidR="00C07A4E" w:rsidRPr="008E5B32">
        <w:rPr>
          <w:lang w:val="en-GB"/>
        </w:rPr>
        <w:t>2018</w:t>
      </w:r>
      <w:r w:rsidR="00353D95" w:rsidRPr="008E5B32">
        <w:rPr>
          <w:lang w:val="en-GB"/>
        </w:rPr>
        <w:t>)</w:t>
      </w:r>
      <w:r w:rsidR="00731CF3" w:rsidRPr="008E5B32">
        <w:rPr>
          <w:lang w:val="en-GB"/>
        </w:rPr>
        <w:t xml:space="preserve"> report</w:t>
      </w:r>
      <w:r w:rsidRPr="008E5B32">
        <w:rPr>
          <w:lang w:val="en-GB"/>
        </w:rPr>
        <w:t>ed</w:t>
      </w:r>
      <w:r w:rsidR="00731CF3" w:rsidRPr="008E5B32">
        <w:rPr>
          <w:lang w:val="en-GB"/>
        </w:rPr>
        <w:t xml:space="preserve"> on this by stating that the hypothesis may extend to other NMs with the same core composition and that fall in the range of e.g. size and shape of the source NMs taken into consideration in their study </w:t>
      </w:r>
      <w:r w:rsidR="00731CF3" w:rsidRPr="008E5B32">
        <w:fldChar w:fldCharType="begin" w:fldLock="1"/>
      </w:r>
      <w:r w:rsidR="00793E15">
        <w:rPr>
          <w:lang w:val="en-GB"/>
        </w:rPr>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mendeley":{"formattedCitation":"&lt;sup&gt;93&lt;/sup&gt;","plainTextFormattedCitation":"93","previouslyFormattedCitation":"&lt;sup&gt;93&lt;/sup&gt;"},"properties":{"noteIndex":0},"schema":"https://github.com/citation-style-language/schema/raw/master/csl-citation.json"}</w:instrText>
      </w:r>
      <w:r w:rsidR="00731CF3" w:rsidRPr="008E5B32">
        <w:fldChar w:fldCharType="separate"/>
      </w:r>
      <w:r w:rsidR="004C12A8" w:rsidRPr="008E5B32">
        <w:rPr>
          <w:noProof/>
          <w:vertAlign w:val="superscript"/>
          <w:lang w:val="en-GB"/>
        </w:rPr>
        <w:t>93</w:t>
      </w:r>
      <w:r w:rsidR="00731CF3" w:rsidRPr="008E5B32">
        <w:fldChar w:fldCharType="end"/>
      </w:r>
      <w:r w:rsidR="00731CF3" w:rsidRPr="008E5B32">
        <w:rPr>
          <w:lang w:val="en-GB"/>
        </w:rPr>
        <w:t>.</w:t>
      </w:r>
      <w:r w:rsidR="00087DEA" w:rsidRPr="008E5B32">
        <w:rPr>
          <w:lang w:val="en-GB"/>
        </w:rPr>
        <w:t xml:space="preserve"> Aschberger et al. suggest extrapolation of their grouping should not be extended to MWCNTs that have different size or surface coatings or have a higher content of oxidising impurities </w:t>
      </w:r>
      <w:r w:rsidR="00087DEA" w:rsidRPr="008E5B32">
        <w:rPr>
          <w:lang w:val="en-GB"/>
        </w:rPr>
        <w:fldChar w:fldCharType="begin" w:fldLock="1"/>
      </w:r>
      <w:r w:rsidR="00793E15">
        <w:rPr>
          <w:lang w:val="en-GB"/>
        </w:rPr>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00087DEA" w:rsidRPr="008E5B32">
        <w:rPr>
          <w:lang w:val="en-GB"/>
        </w:rPr>
        <w:fldChar w:fldCharType="separate"/>
      </w:r>
      <w:r w:rsidR="004C12A8" w:rsidRPr="008E5B32">
        <w:rPr>
          <w:noProof/>
          <w:vertAlign w:val="superscript"/>
          <w:lang w:val="en-GB"/>
        </w:rPr>
        <w:t>97</w:t>
      </w:r>
      <w:r w:rsidR="00087DEA" w:rsidRPr="008E5B32">
        <w:rPr>
          <w:lang w:val="en-GB"/>
        </w:rPr>
        <w:fldChar w:fldCharType="end"/>
      </w:r>
      <w:r w:rsidR="00087DEA" w:rsidRPr="008E5B32">
        <w:rPr>
          <w:lang w:val="en-GB"/>
        </w:rPr>
        <w:t xml:space="preserve">. </w:t>
      </w:r>
    </w:p>
    <w:p w14:paraId="2ADB5432" w14:textId="2BAC1B16" w:rsidR="00E56C31" w:rsidRPr="008E5B32" w:rsidRDefault="00E56C31" w:rsidP="00E56C31">
      <w:pPr>
        <w:rPr>
          <w:lang w:val="en-GB"/>
        </w:rPr>
      </w:pPr>
      <w:r w:rsidRPr="008E5B32">
        <w:rPr>
          <w:lang w:val="en-GB"/>
        </w:rPr>
        <w:t>Only a few case studies in Table 3 report uncertainty related to the prediction or Grouping</w:t>
      </w:r>
      <w:r w:rsidR="00FC0C05" w:rsidRPr="008E5B32">
        <w:rPr>
          <w:lang w:val="en-GB"/>
        </w:rPr>
        <w:t>:</w:t>
      </w:r>
      <w:r w:rsidRPr="008E5B32">
        <w:rPr>
          <w:lang w:val="en-GB"/>
        </w:rPr>
        <w:t xml:space="preserve"> Lamon et al. </w:t>
      </w:r>
      <w:r w:rsidR="00353D95" w:rsidRPr="008E5B32">
        <w:rPr>
          <w:lang w:val="en-GB"/>
        </w:rPr>
        <w:t>(</w:t>
      </w:r>
      <w:r w:rsidR="00C07A4E" w:rsidRPr="008E5B32">
        <w:rPr>
          <w:lang w:val="en-GB"/>
        </w:rPr>
        <w:t>2018</w:t>
      </w:r>
      <w:r w:rsidR="00353D95" w:rsidRPr="008E5B32">
        <w:rPr>
          <w:lang w:val="en-GB"/>
        </w:rPr>
        <w:t xml:space="preserve">) </w:t>
      </w:r>
      <w:r w:rsidR="00087DEA" w:rsidRPr="008E5B32">
        <w:fldChar w:fldCharType="begin" w:fldLock="1"/>
      </w:r>
      <w:r w:rsidR="00793E15">
        <w:rPr>
          <w:lang w:val="en-GB"/>
        </w:rPr>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mendeley":{"formattedCitation":"&lt;sup&gt;93&lt;/sup&gt;","plainTextFormattedCitation":"93","previouslyFormattedCitation":"&lt;sup&gt;93&lt;/sup&gt;"},"properties":{"noteIndex":0},"schema":"https://github.com/citation-style-language/schema/raw/master/csl-citation.json"}</w:instrText>
      </w:r>
      <w:r w:rsidR="00087DEA" w:rsidRPr="008E5B32">
        <w:fldChar w:fldCharType="separate"/>
      </w:r>
      <w:r w:rsidR="004C12A8" w:rsidRPr="008E5B32">
        <w:rPr>
          <w:noProof/>
          <w:vertAlign w:val="superscript"/>
          <w:lang w:val="en-GB"/>
        </w:rPr>
        <w:t>93</w:t>
      </w:r>
      <w:r w:rsidR="00087DEA" w:rsidRPr="008E5B32">
        <w:fldChar w:fldCharType="end"/>
      </w:r>
      <w:r w:rsidR="00087DEA" w:rsidRPr="008E5B32">
        <w:t xml:space="preserve"> </w:t>
      </w:r>
      <w:r w:rsidR="00087DEA" w:rsidRPr="008E5B32">
        <w:rPr>
          <w:lang w:val="en-GB"/>
        </w:rPr>
        <w:t>and Aschberger et al. (2019</w:t>
      </w:r>
      <w:r w:rsidR="00087DEA" w:rsidRPr="008E5B32">
        <w:rPr>
          <w:lang w:val="en-US"/>
        </w:rPr>
        <w:t xml:space="preserve">) </w:t>
      </w:r>
      <w:r w:rsidR="00087DEA" w:rsidRPr="008E5B32">
        <w:rPr>
          <w:lang w:val="en-GB"/>
        </w:rPr>
        <w:fldChar w:fldCharType="begin" w:fldLock="1"/>
      </w:r>
      <w:r w:rsidR="00793E15">
        <w:rPr>
          <w:lang w:val="en-GB"/>
        </w:rPr>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00087DEA" w:rsidRPr="008E5B32">
        <w:rPr>
          <w:lang w:val="en-GB"/>
        </w:rPr>
        <w:fldChar w:fldCharType="separate"/>
      </w:r>
      <w:r w:rsidR="004C12A8" w:rsidRPr="008E5B32">
        <w:rPr>
          <w:noProof/>
          <w:vertAlign w:val="superscript"/>
          <w:lang w:val="en-GB"/>
        </w:rPr>
        <w:t>97</w:t>
      </w:r>
      <w:r w:rsidR="00087DEA" w:rsidRPr="008E5B32">
        <w:rPr>
          <w:lang w:val="en-GB"/>
        </w:rPr>
        <w:fldChar w:fldCharType="end"/>
      </w:r>
      <w:r w:rsidR="00087DEA" w:rsidRPr="008E5B32">
        <w:rPr>
          <w:lang w:val="en-GB"/>
        </w:rPr>
        <w:t xml:space="preserve"> </w:t>
      </w:r>
      <w:r w:rsidRPr="008E5B32">
        <w:rPr>
          <w:lang w:val="en-GB"/>
        </w:rPr>
        <w:t>address</w:t>
      </w:r>
      <w:r w:rsidR="00FC0C05" w:rsidRPr="008E5B32">
        <w:rPr>
          <w:lang w:val="en-GB"/>
        </w:rPr>
        <w:t>ed</w:t>
      </w:r>
      <w:r w:rsidRPr="008E5B32">
        <w:rPr>
          <w:lang w:val="en-GB"/>
        </w:rPr>
        <w:t xml:space="preserve"> </w:t>
      </w:r>
      <w:r w:rsidR="00335DBE" w:rsidRPr="008E5B32">
        <w:rPr>
          <w:lang w:val="en-GB"/>
        </w:rPr>
        <w:t>this</w:t>
      </w:r>
      <w:r w:rsidRPr="008E5B32">
        <w:rPr>
          <w:lang w:val="en-GB"/>
        </w:rPr>
        <w:t xml:space="preserve"> </w:t>
      </w:r>
      <w:r w:rsidR="00087DEA" w:rsidRPr="008E5B32">
        <w:rPr>
          <w:lang w:val="en-GB"/>
        </w:rPr>
        <w:t xml:space="preserve">aspect </w:t>
      </w:r>
      <w:r w:rsidRPr="008E5B32">
        <w:rPr>
          <w:lang w:val="en-GB"/>
        </w:rPr>
        <w:t>by applying the ECHA</w:t>
      </w:r>
      <w:r w:rsidR="0028730D" w:rsidRPr="008E5B32">
        <w:rPr>
          <w:lang w:val="en-GB"/>
        </w:rPr>
        <w:t>’s</w:t>
      </w:r>
      <w:r w:rsidRPr="008E5B32">
        <w:rPr>
          <w:lang w:val="en-GB"/>
        </w:rPr>
        <w:t xml:space="preserve"> </w:t>
      </w:r>
      <w:r w:rsidR="0028730D" w:rsidRPr="008E5B32">
        <w:rPr>
          <w:lang w:val="en-GB"/>
        </w:rPr>
        <w:t>Read-across assessment framework (RAAF),</w:t>
      </w:r>
      <w:r w:rsidR="0028730D" w:rsidRPr="008E5B32" w:rsidDel="0028730D">
        <w:rPr>
          <w:lang w:val="en-GB"/>
        </w:rPr>
        <w:t xml:space="preserve"> </w:t>
      </w:r>
      <w:r w:rsidRPr="008E5B32">
        <w:rPr>
          <w:lang w:val="en-GB"/>
        </w:rPr>
        <w:t xml:space="preserve">thus providing a </w:t>
      </w:r>
      <w:r w:rsidR="004C355F" w:rsidRPr="008E5B32">
        <w:rPr>
          <w:lang w:val="en-GB"/>
        </w:rPr>
        <w:t>systematic</w:t>
      </w:r>
      <w:r w:rsidRPr="008E5B32">
        <w:rPr>
          <w:lang w:val="en-GB"/>
        </w:rPr>
        <w:t xml:space="preserve"> assessment of </w:t>
      </w:r>
      <w:r w:rsidR="004C355F" w:rsidRPr="008E5B32">
        <w:rPr>
          <w:lang w:val="en-GB"/>
        </w:rPr>
        <w:t xml:space="preserve">all </w:t>
      </w:r>
      <w:r w:rsidRPr="008E5B32">
        <w:rPr>
          <w:lang w:val="en-GB"/>
        </w:rPr>
        <w:t>the uncertainties related to the result of their case study</w:t>
      </w:r>
      <w:r w:rsidR="0028730D" w:rsidRPr="008E5B32">
        <w:rPr>
          <w:lang w:val="en-GB"/>
        </w:rPr>
        <w:t>,</w:t>
      </w:r>
      <w:r w:rsidR="00FC0C05" w:rsidRPr="008E5B32">
        <w:rPr>
          <w:lang w:val="en-GB"/>
        </w:rPr>
        <w:t xml:space="preserve"> while</w:t>
      </w:r>
      <w:r w:rsidRPr="008E5B32">
        <w:rPr>
          <w:lang w:val="en-GB"/>
        </w:rPr>
        <w:t xml:space="preserve"> Sizochenko et al. </w:t>
      </w:r>
      <w:r w:rsidR="00353D95" w:rsidRPr="008E5B32">
        <w:rPr>
          <w:lang w:val="en-GB"/>
        </w:rPr>
        <w:t xml:space="preserve">(2018) </w:t>
      </w:r>
      <w:r w:rsidRPr="008E5B32">
        <w:rPr>
          <w:lang w:val="en-GB"/>
        </w:rPr>
        <w:t>discuss</w:t>
      </w:r>
      <w:r w:rsidR="00FC0C05" w:rsidRPr="008E5B32">
        <w:rPr>
          <w:lang w:val="en-GB"/>
        </w:rPr>
        <w:t>ed</w:t>
      </w:r>
      <w:r w:rsidRPr="008E5B32">
        <w:rPr>
          <w:lang w:val="en-GB"/>
        </w:rPr>
        <w:t xml:space="preserve"> the variability in toxicity outcomes between different datasets, thus </w:t>
      </w:r>
      <w:r w:rsidR="0028730D" w:rsidRPr="008E5B32">
        <w:rPr>
          <w:lang w:val="en-GB"/>
        </w:rPr>
        <w:t xml:space="preserve">qualitatively </w:t>
      </w:r>
      <w:r w:rsidRPr="008E5B32">
        <w:rPr>
          <w:lang w:val="en-GB"/>
        </w:rPr>
        <w:t>addressing uncertainty</w:t>
      </w:r>
      <w:r w:rsidR="00FC0C05" w:rsidRPr="008E5B32">
        <w:rPr>
          <w:lang w:val="en-GB"/>
        </w:rPr>
        <w:t xml:space="preserve"> </w:t>
      </w:r>
      <w:r w:rsidR="00FC0C05" w:rsidRPr="008E5B32">
        <w:fldChar w:fldCharType="begin" w:fldLock="1"/>
      </w:r>
      <w:r w:rsidR="00434385" w:rsidRPr="008E5B32">
        <w:rPr>
          <w:lang w:val="en-GB"/>
        </w:rPr>
        <w:instrText>ADDIN CSL_CITATION {"citationItems":[{"id":"ITEM-1","itemData":{"DOI":"10.1039/c7nr05618d","abstract":"©The Royal Society of Chemistry 2018. Application of predictive modeling approaches can solve the problem of missing data. Numerous studies have investigated the effects of missing values on qualitative or quantitative modeling, but only a few studies have discussed it for the case of applications in nanotechnology-related data. The present study is aimed at the development of a multi-nano-read-across modeling technique that helps in predicting the toxicity of different species such as bacteria, algae, protozoa, and mammalian cell lines. Herein, the experimental toxicity of 184 metal and silica oxide (30 unique chemical types) nanoparticles from 15 datasets is analyzed. A hybrid quantitative multi-nano-read-across approach that combines interspecies correlation analysis and self-organizing map analysis is developed. In the first step, hidden patterns of toxicity among nanoparticles are identified using a combination of methods. Subsequently, the developed model based on categorization of the toxicity of the metal oxide nanoparticle outcomes is evaluated via the combination of supervised and unsupervised machine learning techniques to determine the underlying factors responsible for the toxicity.","author":[{"dropping-particle":"","family":"Sizochenko","given":"N","non-dropping-particle":"","parse-names":false,"suffix":""},{"dropping-particle":"","family":"Mikolajczyk","given":"A","non-dropping-particle":"","parse-names":false,"suffix":""},{"dropping-particle":"","family":"Jagiello","given":"K","non-dropping-particle":"","parse-names":false,"suffix":""},{"dropping-particle":"","family":"Puzyn","given":"T","non-dropping-particle":"","parse-names":false,"suffix":""},{"dropping-particle":"","family":"Leszczynski","given":"J","non-dropping-particle":"","parse-names":false,"suffix":""},{"dropping-particle":"","family":"Rasulev","given":"B","non-dropping-particle":"","parse-names":false,"suffix":""}],"container-title":"Nanoscale","id":"ITEM-1","issue":"2","issued":{"date-parts":[["2018"]]},"page":"582-591","title":"How the toxicity of nanomaterials towards different species could be simultaneously evaluated: A novel multi-nano-read-across approach","type":"article-journal","volume":"10"},"uris":["http://www.mendeley.com/documents/?uuid=76815f0e-efd6-475c-9479-7802f501a9dc","http://www.mendeley.com/documents/?uuid=81ebec9d-7801-42c8-a276-0205ad7cc4cc"]}],"mendeley":{"formattedCitation":"&lt;sup&gt;87&lt;/sup&gt;","plainTextFormattedCitation":"87","previouslyFormattedCitation":"&lt;sup&gt;87&lt;/sup&gt;"},"properties":{"noteIndex":0},"schema":"https://github.com/citation-style-language/schema/raw/master/csl-citation.json"}</w:instrText>
      </w:r>
      <w:r w:rsidR="00FC0C05" w:rsidRPr="008E5B32">
        <w:fldChar w:fldCharType="separate"/>
      </w:r>
      <w:r w:rsidR="004C12A8" w:rsidRPr="008E5B32">
        <w:rPr>
          <w:noProof/>
          <w:vertAlign w:val="superscript"/>
          <w:lang w:val="en-GB"/>
        </w:rPr>
        <w:t>87</w:t>
      </w:r>
      <w:r w:rsidR="00FC0C05" w:rsidRPr="008E5B32">
        <w:fldChar w:fldCharType="end"/>
      </w:r>
      <w:r w:rsidRPr="008E5B32">
        <w:rPr>
          <w:lang w:val="en-GB"/>
        </w:rPr>
        <w:t xml:space="preserve">. </w:t>
      </w:r>
      <w:r w:rsidR="001D492E" w:rsidRPr="008E5B32">
        <w:rPr>
          <w:lang w:val="en-GB"/>
        </w:rPr>
        <w:t>Varsou et al.</w:t>
      </w:r>
      <w:r w:rsidR="00353D95" w:rsidRPr="008E5B32">
        <w:rPr>
          <w:lang w:val="en-GB"/>
        </w:rPr>
        <w:t xml:space="preserve"> (2018)</w:t>
      </w:r>
      <w:r w:rsidR="001D492E" w:rsidRPr="008E5B32">
        <w:rPr>
          <w:lang w:val="en-GB"/>
        </w:rPr>
        <w:t xml:space="preserve">, instead, tested the sensitivity of their method varying the thresholds used to define similar compounds </w:t>
      </w:r>
      <w:r w:rsidR="001D492E" w:rsidRPr="008E5B32">
        <w:fldChar w:fldCharType="begin" w:fldLock="1"/>
      </w:r>
      <w:r w:rsidR="00434385" w:rsidRPr="008E5B32">
        <w:rPr>
          <w:lang w:val="en-GB"/>
        </w:rPr>
        <w:instrText>ADDIN CSL_CITATION {"citationItems":[{"id":"ITEM-1","itemData":{"DOI":"10.1021/acs.jcim.7b00160","ISSN":"15205142","PMID":"29281278","abstract":"We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Modeling","id":"ITEM-1","issued":{"date-parts":[["2018"]]},"title":"ToxFlow: A Web-Based Application for Read-Across Toxicity Prediction Using Omics and Physicochemical Data","type":"article-journal"},"uris":["http://www.mendeley.com/documents/?uuid=50c59f67-ff52-47e4-a4da-2acb2968b7b8","http://www.mendeley.com/documents/?uuid=891fee53-14fe-406d-960f-6dc2d57e729f"]}],"mendeley":{"formattedCitation":"&lt;sup&gt;86&lt;/sup&gt;","plainTextFormattedCitation":"86","previouslyFormattedCitation":"&lt;sup&gt;86&lt;/sup&gt;"},"properties":{"noteIndex":0},"schema":"https://github.com/citation-style-language/schema/raw/master/csl-citation.json"}</w:instrText>
      </w:r>
      <w:r w:rsidR="001D492E" w:rsidRPr="008E5B32">
        <w:fldChar w:fldCharType="separate"/>
      </w:r>
      <w:r w:rsidR="004C12A8" w:rsidRPr="008E5B32">
        <w:rPr>
          <w:noProof/>
          <w:vertAlign w:val="superscript"/>
          <w:lang w:val="en-GB"/>
        </w:rPr>
        <w:t>86</w:t>
      </w:r>
      <w:r w:rsidR="001D492E" w:rsidRPr="008E5B32">
        <w:fldChar w:fldCharType="end"/>
      </w:r>
      <w:r w:rsidR="001D492E" w:rsidRPr="008E5B32">
        <w:rPr>
          <w:lang w:val="en-GB"/>
        </w:rPr>
        <w:t xml:space="preserve">. </w:t>
      </w:r>
      <w:r w:rsidRPr="008E5B32">
        <w:rPr>
          <w:lang w:val="en-GB"/>
        </w:rPr>
        <w:t xml:space="preserve">The other case studies do not show or discuss uncertainty in their models or computational approaches. </w:t>
      </w:r>
    </w:p>
    <w:p w14:paraId="3B39C8D2" w14:textId="6AB03039" w:rsidR="00E56C31" w:rsidRPr="008E5B32" w:rsidRDefault="003052C4" w:rsidP="00A67822">
      <w:pPr>
        <w:rPr>
          <w:lang w:val="en-GB"/>
        </w:rPr>
      </w:pPr>
      <w:r w:rsidRPr="008E5B32">
        <w:rPr>
          <w:lang w:val="en-GB"/>
        </w:rPr>
        <w:t>I</w:t>
      </w:r>
      <w:r w:rsidR="00200106" w:rsidRPr="008E5B32">
        <w:rPr>
          <w:lang w:val="en-GB"/>
        </w:rPr>
        <w:t xml:space="preserve">t is worth nothing that </w:t>
      </w:r>
      <w:r w:rsidR="00907F95" w:rsidRPr="008E5B32">
        <w:rPr>
          <w:lang w:val="en-GB"/>
        </w:rPr>
        <w:t>while</w:t>
      </w:r>
      <w:r w:rsidR="00946248" w:rsidRPr="008E5B32">
        <w:rPr>
          <w:lang w:val="en-GB"/>
        </w:rPr>
        <w:t xml:space="preserve"> </w:t>
      </w:r>
      <w:r w:rsidR="00200106" w:rsidRPr="008E5B32">
        <w:rPr>
          <w:lang w:val="en-GB"/>
        </w:rPr>
        <w:t>Lamon et al. (</w:t>
      </w:r>
      <w:r w:rsidR="00C07A4E" w:rsidRPr="008E5B32">
        <w:rPr>
          <w:lang w:val="en-GB"/>
        </w:rPr>
        <w:t>2018</w:t>
      </w:r>
      <w:r w:rsidR="00200106" w:rsidRPr="008E5B32">
        <w:rPr>
          <w:lang w:val="en-GB"/>
        </w:rPr>
        <w:t xml:space="preserve">) </w:t>
      </w:r>
      <w:r w:rsidR="00200106" w:rsidRPr="008E5B32">
        <w:fldChar w:fldCharType="begin" w:fldLock="1"/>
      </w:r>
      <w:r w:rsidR="00434385" w:rsidRPr="008E5B32">
        <w:rPr>
          <w:lang w:val="en-GB"/>
        </w:rPr>
        <w:instrText>ADDIN CSL_CITATION {"citationItems":[{"id":"ITEM-1","itemData":{"DOI":"10.1039/c7nr05618d","abstract":"©The Royal Society of Chemistry 2018. Application of predictive modeling approaches can solve the problem of missing data. Numerous studies have investigated the effects of missing values on qualitative or quantitative modeling, but only a few studies have discussed it for the case of applications in nanotechnology-related data. The present study is aimed at the development of a multi-nano-read-across modeling technique that helps in predicting the toxicity of different species such as bacteria, algae, protozoa, and mammalian cell lines. Herein, the experimental toxicity of 184 metal and silica oxide (30 unique chemical types) nanoparticles from 15 datasets is analyzed. A hybrid quantitative multi-nano-read-across approach that combines interspecies correlation analysis and self-organizing map analysis is developed. In the first step, hidden patterns of toxicity among nanoparticles are identified using a combination of methods. Subsequently, the developed model based on categorization of the toxicity of the metal oxide nanoparticle outcomes is evaluated via the combination of supervised and unsupervised machine learning techniques to determine the underlying factors responsible for the toxicity.","author":[{"dropping-particle":"","family":"Sizochenko","given":"N","non-dropping-particle":"","parse-names":false,"suffix":""},{"dropping-particle":"","family":"Mikolajczyk","given":"A","non-dropping-particle":"","parse-names":false,"suffix":""},{"dropping-particle":"","family":"Jagiello","given":"K","non-dropping-particle":"","parse-names":false,"suffix":""},{"dropping-particle":"","family":"Puzyn","given":"T","non-dropping-particle":"","parse-names":false,"suffix":""},{"dropping-particle":"","family":"Leszczynski","given":"J","non-dropping-particle":"","parse-names":false,"suffix":""},{"dropping-particle":"","family":"Rasulev","given":"B","non-dropping-particle":"","parse-names":false,"suffix":""}],"container-title":"Nanoscale","id":"ITEM-1","issue":"2","issued":{"date-parts":[["2018"]]},"page":"582-591","title":"How the toxicity of nanomaterials towards different species could be simultaneously evaluated: A novel multi-nano-read-across approach","type":"article-journal","volume":"10"},"uris":["http://www.mendeley.com/documents/?uuid=76815f0e-efd6-475c-9479-7802f501a9dc","http://www.mendeley.com/documents/?uuid=81ebec9d-7801-42c8-a276-0205ad7cc4cc"]}],"mendeley":{"formattedCitation":"&lt;sup&gt;87&lt;/sup&gt;","plainTextFormattedCitation":"87","previouslyFormattedCitation":"&lt;sup&gt;87&lt;/sup&gt;"},"properties":{"noteIndex":0},"schema":"https://github.com/citation-style-language/schema/raw/master/csl-citation.json"}</w:instrText>
      </w:r>
      <w:r w:rsidR="00200106" w:rsidRPr="008E5B32">
        <w:fldChar w:fldCharType="separate"/>
      </w:r>
      <w:r w:rsidR="004C12A8" w:rsidRPr="008E5B32">
        <w:rPr>
          <w:noProof/>
          <w:vertAlign w:val="superscript"/>
          <w:lang w:val="en-GB"/>
        </w:rPr>
        <w:t>87</w:t>
      </w:r>
      <w:r w:rsidR="00200106" w:rsidRPr="008E5B32">
        <w:fldChar w:fldCharType="end"/>
      </w:r>
      <w:r w:rsidR="00200106" w:rsidRPr="008E5B32">
        <w:rPr>
          <w:lang w:val="en-GB"/>
        </w:rPr>
        <w:t xml:space="preserve"> </w:t>
      </w:r>
      <w:r w:rsidR="00087DEA" w:rsidRPr="008E5B32">
        <w:rPr>
          <w:lang w:val="en-GB"/>
        </w:rPr>
        <w:t>and Aschberger et al. (2019</w:t>
      </w:r>
      <w:r w:rsidR="00087DEA" w:rsidRPr="008E5B32">
        <w:rPr>
          <w:lang w:val="en-US"/>
        </w:rPr>
        <w:t xml:space="preserve">) </w:t>
      </w:r>
      <w:r w:rsidR="00087DEA" w:rsidRPr="008E5B32">
        <w:rPr>
          <w:lang w:val="en-GB"/>
        </w:rPr>
        <w:fldChar w:fldCharType="begin" w:fldLock="1"/>
      </w:r>
      <w:r w:rsidR="00793E15">
        <w:rPr>
          <w:lang w:val="en-GB"/>
        </w:rPr>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00087DEA" w:rsidRPr="008E5B32">
        <w:rPr>
          <w:lang w:val="en-GB"/>
        </w:rPr>
        <w:fldChar w:fldCharType="separate"/>
      </w:r>
      <w:r w:rsidR="004C12A8" w:rsidRPr="008E5B32">
        <w:rPr>
          <w:noProof/>
          <w:vertAlign w:val="superscript"/>
          <w:lang w:val="en-GB"/>
        </w:rPr>
        <w:t>97</w:t>
      </w:r>
      <w:r w:rsidR="00087DEA" w:rsidRPr="008E5B32">
        <w:rPr>
          <w:lang w:val="en-GB"/>
        </w:rPr>
        <w:fldChar w:fldCharType="end"/>
      </w:r>
      <w:r w:rsidR="00087DEA" w:rsidRPr="008E5B32">
        <w:rPr>
          <w:lang w:val="en-GB"/>
        </w:rPr>
        <w:t xml:space="preserve"> </w:t>
      </w:r>
      <w:r w:rsidRPr="008E5B32">
        <w:rPr>
          <w:lang w:val="en-GB"/>
        </w:rPr>
        <w:t>based their analysis on</w:t>
      </w:r>
      <w:r w:rsidR="00200106" w:rsidRPr="008E5B32">
        <w:rPr>
          <w:lang w:val="en-GB"/>
        </w:rPr>
        <w:t xml:space="preserve"> </w:t>
      </w:r>
      <w:r w:rsidR="004C355F" w:rsidRPr="008E5B32">
        <w:rPr>
          <w:lang w:val="en-GB"/>
        </w:rPr>
        <w:t xml:space="preserve">a systematic, recognised framework </w:t>
      </w:r>
      <w:r w:rsidR="00A304E5" w:rsidRPr="008E5B32">
        <w:fldChar w:fldCharType="begin" w:fldLock="1"/>
      </w:r>
      <w:r w:rsidR="005D1733" w:rsidRPr="008E5B32">
        <w:rPr>
          <w:lang w:val="en-GB"/>
        </w:rPr>
        <w:instrText>ADDIN CSL_CITATION {"citationItems":[{"id":"ITEM-1","itemData":{"DOI":"10.2823/619212","abstract":"If you have questions or comments in relation to this document please send them (quoting the reference and issue date) using the information request form. The form can be accessed via the 'Contact ECHA' page at:","author":[{"dropping-particle":"","family":"ECHA","given":"","non-dropping-particle":"","parse-names":false,"suffix":""}],"id":"ITEM-1","issued":{"date-parts":[["2017"]]},"title":"Read-Across Assessment Framework (RAAF)","type":"article-journal"},"uris":["http://www.mendeley.com/documents/?uuid=5356b361-134e-3dac-9559-db436a323849"]}],"mendeley":{"formattedCitation":"&lt;sup&gt;11&lt;/sup&gt;","plainTextFormattedCitation":"11","previouslyFormattedCitation":"&lt;sup&gt;11&lt;/sup&gt;"},"properties":{"noteIndex":0},"schema":"https://github.com/citation-style-language/schema/raw/master/csl-citation.json"}</w:instrText>
      </w:r>
      <w:r w:rsidR="00A304E5" w:rsidRPr="008E5B32">
        <w:fldChar w:fldCharType="separate"/>
      </w:r>
      <w:r w:rsidR="00A304E5" w:rsidRPr="008E5B32">
        <w:rPr>
          <w:noProof/>
          <w:vertAlign w:val="superscript"/>
          <w:lang w:val="en-GB"/>
        </w:rPr>
        <w:t>11</w:t>
      </w:r>
      <w:r w:rsidR="00A304E5" w:rsidRPr="008E5B32">
        <w:fldChar w:fldCharType="end"/>
      </w:r>
      <w:r w:rsidR="00200106" w:rsidRPr="008E5B32">
        <w:rPr>
          <w:lang w:val="en-GB"/>
        </w:rPr>
        <w:t>,</w:t>
      </w:r>
      <w:r w:rsidR="004C355F" w:rsidRPr="008E5B32">
        <w:rPr>
          <w:lang w:val="en-GB"/>
        </w:rPr>
        <w:t xml:space="preserve"> thus identifying uncertainties specific to the identified </w:t>
      </w:r>
      <w:r w:rsidR="00A67822" w:rsidRPr="008E5B32">
        <w:rPr>
          <w:lang w:val="en-GB"/>
        </w:rPr>
        <w:t xml:space="preserve">read-across </w:t>
      </w:r>
      <w:r w:rsidR="004C355F" w:rsidRPr="008E5B32">
        <w:rPr>
          <w:lang w:val="en-GB"/>
        </w:rPr>
        <w:t>scenario</w:t>
      </w:r>
      <w:r w:rsidR="00200106" w:rsidRPr="008E5B32">
        <w:rPr>
          <w:lang w:val="en-GB"/>
        </w:rPr>
        <w:t xml:space="preserve"> </w:t>
      </w:r>
      <w:r w:rsidR="004C355F" w:rsidRPr="008E5B32">
        <w:rPr>
          <w:lang w:val="en-GB"/>
        </w:rPr>
        <w:t>(</w:t>
      </w:r>
      <w:r w:rsidR="00A67822" w:rsidRPr="008E5B32">
        <w:rPr>
          <w:lang w:val="en-GB"/>
        </w:rPr>
        <w:t>category</w:t>
      </w:r>
      <w:r w:rsidR="001809F0" w:rsidRPr="008E5B32">
        <w:rPr>
          <w:lang w:val="en-GB"/>
        </w:rPr>
        <w:t xml:space="preserve"> </w:t>
      </w:r>
      <w:r w:rsidR="00A67822" w:rsidRPr="008E5B32">
        <w:rPr>
          <w:lang w:val="en-GB"/>
        </w:rPr>
        <w:t xml:space="preserve"> approach,</w:t>
      </w:r>
      <w:r w:rsidR="001809F0" w:rsidRPr="008E5B32">
        <w:rPr>
          <w:lang w:val="en-GB"/>
        </w:rPr>
        <w:t xml:space="preserve"> </w:t>
      </w:r>
      <w:r w:rsidR="00A67822" w:rsidRPr="008E5B32">
        <w:rPr>
          <w:lang w:val="en-GB"/>
        </w:rPr>
        <w:t xml:space="preserve"> different</w:t>
      </w:r>
      <w:r w:rsidR="001809F0" w:rsidRPr="008E5B32">
        <w:rPr>
          <w:lang w:val="en-GB"/>
        </w:rPr>
        <w:t xml:space="preserve"> </w:t>
      </w:r>
      <w:r w:rsidR="00A67822" w:rsidRPr="008E5B32">
        <w:rPr>
          <w:lang w:val="en-GB"/>
        </w:rPr>
        <w:t xml:space="preserve"> compounds</w:t>
      </w:r>
      <w:r w:rsidR="001809F0" w:rsidRPr="008E5B32">
        <w:rPr>
          <w:lang w:val="en-GB"/>
        </w:rPr>
        <w:t xml:space="preserve"> </w:t>
      </w:r>
      <w:r w:rsidR="00A67822" w:rsidRPr="008E5B32">
        <w:rPr>
          <w:lang w:val="en-GB"/>
        </w:rPr>
        <w:t>with</w:t>
      </w:r>
      <w:r w:rsidR="001809F0" w:rsidRPr="008E5B32">
        <w:rPr>
          <w:lang w:val="en-GB"/>
        </w:rPr>
        <w:t xml:space="preserve"> </w:t>
      </w:r>
      <w:r w:rsidR="00A67822" w:rsidRPr="008E5B32">
        <w:rPr>
          <w:lang w:val="en-GB"/>
        </w:rPr>
        <w:t>the same</w:t>
      </w:r>
      <w:r w:rsidR="001809F0" w:rsidRPr="008E5B32">
        <w:rPr>
          <w:lang w:val="en-GB"/>
        </w:rPr>
        <w:t xml:space="preserve"> </w:t>
      </w:r>
      <w:r w:rsidR="00A67822" w:rsidRPr="008E5B32">
        <w:rPr>
          <w:lang w:val="en-GB"/>
        </w:rPr>
        <w:t>effect,</w:t>
      </w:r>
      <w:r w:rsidR="001809F0" w:rsidRPr="008E5B32">
        <w:rPr>
          <w:lang w:val="en-GB"/>
        </w:rPr>
        <w:t xml:space="preserve"> </w:t>
      </w:r>
      <w:r w:rsidR="00A67822" w:rsidRPr="008E5B32">
        <w:rPr>
          <w:lang w:val="en-GB"/>
        </w:rPr>
        <w:t>no</w:t>
      </w:r>
      <w:r w:rsidR="001809F0" w:rsidRPr="008E5B32">
        <w:rPr>
          <w:lang w:val="en-GB"/>
        </w:rPr>
        <w:t xml:space="preserve"> </w:t>
      </w:r>
      <w:r w:rsidR="00A67822" w:rsidRPr="008E5B32">
        <w:rPr>
          <w:lang w:val="en-GB"/>
        </w:rPr>
        <w:t>variation</w:t>
      </w:r>
      <w:r w:rsidR="001809F0" w:rsidRPr="008E5B32">
        <w:rPr>
          <w:lang w:val="en-GB"/>
        </w:rPr>
        <w:t xml:space="preserve"> </w:t>
      </w:r>
      <w:r w:rsidR="00A67822" w:rsidRPr="008E5B32">
        <w:rPr>
          <w:lang w:val="en-GB"/>
        </w:rPr>
        <w:t>in</w:t>
      </w:r>
      <w:r w:rsidR="001809F0" w:rsidRPr="008E5B32">
        <w:rPr>
          <w:lang w:val="en-GB"/>
        </w:rPr>
        <w:t xml:space="preserve"> </w:t>
      </w:r>
      <w:r w:rsidR="00A67822" w:rsidRPr="008E5B32">
        <w:rPr>
          <w:lang w:val="en-GB"/>
        </w:rPr>
        <w:t>the effect)</w:t>
      </w:r>
      <w:r w:rsidR="004C355F" w:rsidRPr="008E5B32">
        <w:rPr>
          <w:lang w:val="en-GB"/>
        </w:rPr>
        <w:t xml:space="preserve">, </w:t>
      </w:r>
      <w:r w:rsidRPr="008E5B32">
        <w:rPr>
          <w:lang w:val="en-GB"/>
        </w:rPr>
        <w:t>the</w:t>
      </w:r>
      <w:r w:rsidR="00200106" w:rsidRPr="008E5B32">
        <w:rPr>
          <w:lang w:val="en-GB"/>
        </w:rPr>
        <w:t xml:space="preserve"> other case studies </w:t>
      </w:r>
      <w:r w:rsidRPr="008E5B32">
        <w:rPr>
          <w:lang w:val="en-GB"/>
        </w:rPr>
        <w:t>were</w:t>
      </w:r>
      <w:r w:rsidR="00200106" w:rsidRPr="008E5B32">
        <w:rPr>
          <w:lang w:val="en-GB"/>
        </w:rPr>
        <w:t xml:space="preserve"> </w:t>
      </w:r>
      <w:r w:rsidRPr="008E5B32">
        <w:rPr>
          <w:lang w:val="en-GB"/>
        </w:rPr>
        <w:t xml:space="preserve">not </w:t>
      </w:r>
      <w:r w:rsidR="00200106" w:rsidRPr="008E5B32">
        <w:rPr>
          <w:lang w:val="en-GB"/>
        </w:rPr>
        <w:t xml:space="preserve">contextualized in </w:t>
      </w:r>
      <w:r w:rsidRPr="008E5B32">
        <w:rPr>
          <w:lang w:val="en-GB"/>
        </w:rPr>
        <w:t>any</w:t>
      </w:r>
      <w:r w:rsidR="00200106" w:rsidRPr="008E5B32">
        <w:rPr>
          <w:lang w:val="en-GB"/>
        </w:rPr>
        <w:t xml:space="preserve"> of the existing</w:t>
      </w:r>
      <w:r w:rsidR="006A26BD" w:rsidRPr="008E5B32">
        <w:rPr>
          <w:lang w:val="en-GB"/>
        </w:rPr>
        <w:t xml:space="preserve"> </w:t>
      </w:r>
      <w:r w:rsidRPr="008E5B32">
        <w:rPr>
          <w:lang w:val="en-GB"/>
        </w:rPr>
        <w:t xml:space="preserve">Grouping </w:t>
      </w:r>
      <w:r w:rsidR="00A67822" w:rsidRPr="008E5B32">
        <w:rPr>
          <w:lang w:val="en-GB"/>
        </w:rPr>
        <w:t>frameworks</w:t>
      </w:r>
      <w:r w:rsidRPr="008E5B32">
        <w:rPr>
          <w:lang w:val="en-GB"/>
        </w:rPr>
        <w:t>. In most cases the</w:t>
      </w:r>
      <w:r w:rsidR="00200106" w:rsidRPr="008E5B32">
        <w:rPr>
          <w:lang w:val="en-GB"/>
        </w:rPr>
        <w:t xml:space="preserve"> similarities in structural and/or physicochemical properties </w:t>
      </w:r>
      <w:r w:rsidRPr="008E5B32">
        <w:rPr>
          <w:lang w:val="en-GB"/>
        </w:rPr>
        <w:t xml:space="preserve">of the NMs </w:t>
      </w:r>
      <w:r w:rsidR="00200106" w:rsidRPr="008E5B32">
        <w:rPr>
          <w:lang w:val="en-GB"/>
        </w:rPr>
        <w:t xml:space="preserve">and/or their mechanisms </w:t>
      </w:r>
      <w:r w:rsidRPr="008E5B32">
        <w:rPr>
          <w:lang w:val="en-GB"/>
        </w:rPr>
        <w:t>of toxicokinetics</w:t>
      </w:r>
      <w:r w:rsidR="00200106" w:rsidRPr="008E5B32">
        <w:rPr>
          <w:lang w:val="en-GB"/>
        </w:rPr>
        <w:t xml:space="preserve"> and/or mode of action</w:t>
      </w:r>
      <w:r w:rsidRPr="008E5B32">
        <w:rPr>
          <w:lang w:val="en-GB"/>
        </w:rPr>
        <w:t xml:space="preserve"> were</w:t>
      </w:r>
      <w:r w:rsidR="009C4E46" w:rsidRPr="008E5B32">
        <w:rPr>
          <w:lang w:val="en-GB"/>
        </w:rPr>
        <w:t xml:space="preserve"> indeed</w:t>
      </w:r>
      <w:r w:rsidRPr="008E5B32">
        <w:rPr>
          <w:lang w:val="en-GB"/>
        </w:rPr>
        <w:t xml:space="preserve"> assessed by expert judgement rather than applying </w:t>
      </w:r>
      <w:r w:rsidR="00B15812" w:rsidRPr="008E5B32">
        <w:rPr>
          <w:lang w:val="en-GB"/>
        </w:rPr>
        <w:t>one of the frameworks</w:t>
      </w:r>
      <w:r w:rsidR="00200106" w:rsidRPr="008E5B32">
        <w:rPr>
          <w:lang w:val="en-GB"/>
        </w:rPr>
        <w:t>.</w:t>
      </w:r>
      <w:r w:rsidR="00E56C31" w:rsidRPr="008E5B32">
        <w:rPr>
          <w:lang w:val="en-GB"/>
        </w:rPr>
        <w:t xml:space="preserve"> </w:t>
      </w:r>
      <w:r w:rsidR="00B45456" w:rsidRPr="008E5B32">
        <w:rPr>
          <w:lang w:val="en-GB"/>
        </w:rPr>
        <w:t xml:space="preserve">Moreover, </w:t>
      </w:r>
      <w:r w:rsidR="00E56C31" w:rsidRPr="008E5B32">
        <w:rPr>
          <w:lang w:val="en-GB"/>
        </w:rPr>
        <w:t xml:space="preserve">the mechanistic understanding of the approaches adopted in </w:t>
      </w:r>
      <w:r w:rsidR="00415F0B" w:rsidRPr="008E5B32">
        <w:rPr>
          <w:lang w:val="en-GB"/>
        </w:rPr>
        <w:t>most of the</w:t>
      </w:r>
      <w:r w:rsidR="00E56C31" w:rsidRPr="008E5B32">
        <w:rPr>
          <w:lang w:val="en-GB"/>
        </w:rPr>
        <w:t xml:space="preserve"> </w:t>
      </w:r>
      <w:r w:rsidR="00B15812" w:rsidRPr="008E5B32">
        <w:rPr>
          <w:lang w:val="en-GB"/>
        </w:rPr>
        <w:t xml:space="preserve">case studies </w:t>
      </w:r>
      <w:r w:rsidR="00E56C31" w:rsidRPr="008E5B32">
        <w:rPr>
          <w:lang w:val="en-GB"/>
        </w:rPr>
        <w:t>is provided as a justification of the proposed Grouping hypothesis or hazard classification.</w:t>
      </w:r>
      <w:r w:rsidR="000F7C49" w:rsidRPr="008E5B32">
        <w:rPr>
          <w:lang w:val="en-GB"/>
        </w:rPr>
        <w:t xml:space="preserve"> Varsou et al. (2018), instead, suggested a different approach by forming grouping hypothesis based on the biological identity of the NPs and achieved that by retrieving prior knowledge from biological pathway databases </w:t>
      </w:r>
      <w:r w:rsidR="000F7C49" w:rsidRPr="008E5B32">
        <w:fldChar w:fldCharType="begin" w:fldLock="1"/>
      </w:r>
      <w:r w:rsidR="00434385" w:rsidRPr="008E5B32">
        <w:rPr>
          <w:lang w:val="en-GB"/>
        </w:rPr>
        <w:instrText>ADDIN CSL_CITATION {"citationItems":[{"id":"ITEM-1","itemData":{"DOI":"10.1021/acs.jcim.7b00160","ISSN":"15205142","PMID":"29281278","abstract":"We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Modeling","id":"ITEM-1","issued":{"date-parts":[["2018"]]},"title":"ToxFlow: A Web-Based Application for Read-Across Toxicity Prediction Using Omics and Physicochemical Data","type":"article-journal"},"uris":["http://www.mendeley.com/documents/?uuid=50c59f67-ff52-47e4-a4da-2acb2968b7b8","http://www.mendeley.com/documents/?uuid=891fee53-14fe-406d-960f-6dc2d57e729f"]}],"mendeley":{"formattedCitation":"&lt;sup&gt;86&lt;/sup&gt;","plainTextFormattedCitation":"86","previouslyFormattedCitation":"&lt;sup&gt;86&lt;/sup&gt;"},"properties":{"noteIndex":0},"schema":"https://github.com/citation-style-language/schema/raw/master/csl-citation.json"}</w:instrText>
      </w:r>
      <w:r w:rsidR="000F7C49" w:rsidRPr="008E5B32">
        <w:fldChar w:fldCharType="separate"/>
      </w:r>
      <w:r w:rsidR="004C12A8" w:rsidRPr="008E5B32">
        <w:rPr>
          <w:noProof/>
          <w:vertAlign w:val="superscript"/>
          <w:lang w:val="en-GB"/>
        </w:rPr>
        <w:t>86</w:t>
      </w:r>
      <w:r w:rsidR="000F7C49" w:rsidRPr="008E5B32">
        <w:fldChar w:fldCharType="end"/>
      </w:r>
      <w:r w:rsidR="000F7C49" w:rsidRPr="008E5B32">
        <w:rPr>
          <w:lang w:val="en-GB"/>
        </w:rPr>
        <w:t xml:space="preserve">, while Helma et al. (2017) </w:t>
      </w:r>
      <w:r w:rsidR="00D20980" w:rsidRPr="008E5B32">
        <w:rPr>
          <w:lang w:val="en-GB"/>
        </w:rPr>
        <w:t>focused</w:t>
      </w:r>
      <w:r w:rsidR="000F7C49" w:rsidRPr="008E5B32">
        <w:rPr>
          <w:lang w:val="en-GB"/>
        </w:rPr>
        <w:t xml:space="preserve"> on</w:t>
      </w:r>
      <w:r w:rsidR="00D20980" w:rsidRPr="008E5B32">
        <w:rPr>
          <w:lang w:val="en-GB"/>
        </w:rPr>
        <w:t xml:space="preserve"> </w:t>
      </w:r>
      <w:r w:rsidR="00B15812" w:rsidRPr="008E5B32">
        <w:rPr>
          <w:lang w:val="en-GB"/>
        </w:rPr>
        <w:t>the approach</w:t>
      </w:r>
      <w:r w:rsidR="00D20980" w:rsidRPr="008E5B32">
        <w:rPr>
          <w:lang w:val="en-GB"/>
        </w:rPr>
        <w:t xml:space="preserve"> and </w:t>
      </w:r>
      <w:r w:rsidR="00B15812" w:rsidRPr="008E5B32">
        <w:rPr>
          <w:lang w:val="en-GB"/>
        </w:rPr>
        <w:t>the</w:t>
      </w:r>
      <w:r w:rsidR="00D20980" w:rsidRPr="008E5B32">
        <w:rPr>
          <w:lang w:val="en-GB"/>
        </w:rPr>
        <w:t xml:space="preserve"> performance</w:t>
      </w:r>
      <w:r w:rsidR="00B15812" w:rsidRPr="008E5B32">
        <w:rPr>
          <w:lang w:val="en-GB"/>
        </w:rPr>
        <w:t xml:space="preserve"> of the adopted </w:t>
      </w:r>
      <w:r w:rsidR="00B15812" w:rsidRPr="008E5B32">
        <w:rPr>
          <w:i/>
          <w:lang w:val="en-GB"/>
        </w:rPr>
        <w:t>in silico</w:t>
      </w:r>
      <w:r w:rsidR="00B15812" w:rsidRPr="008E5B32">
        <w:rPr>
          <w:lang w:val="en-GB"/>
        </w:rPr>
        <w:t xml:space="preserve"> tool</w:t>
      </w:r>
      <w:r w:rsidR="00D20980" w:rsidRPr="008E5B32">
        <w:rPr>
          <w:lang w:val="en-GB"/>
        </w:rPr>
        <w:t xml:space="preserve">, without providing a mechanistic interpretation nor giving a justification for the </w:t>
      </w:r>
      <w:r w:rsidR="002E2411" w:rsidRPr="008E5B32">
        <w:rPr>
          <w:lang w:val="en-GB"/>
        </w:rPr>
        <w:t>Grouping</w:t>
      </w:r>
      <w:r w:rsidR="00D20980" w:rsidRPr="008E5B32">
        <w:rPr>
          <w:lang w:val="en-GB"/>
        </w:rPr>
        <w:t xml:space="preserve"> hypothesis</w:t>
      </w:r>
      <w:r w:rsidR="000F7C49" w:rsidRPr="008E5B32">
        <w:rPr>
          <w:lang w:val="en-GB"/>
        </w:rPr>
        <w:t xml:space="preserve"> </w:t>
      </w:r>
      <w:r w:rsidR="000F7C49" w:rsidRPr="008E5B32">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bc5fff7e-25ad-48da-bd1d-5dc229a7f6b2","http://www.mendeley.com/documents/?uuid=e716cf4e-6241-4ba5-9036-9d82b993c983","http://www.mendeley.com/documents/?uuid=6ad07293-d700-47f7-b215-04232ca5ee0b"]}],"mendeley":{"formattedCitation":"&lt;sup&gt;84&lt;/sup&gt;","plainTextFormattedCitation":"84","previouslyFormattedCitation":"&lt;sup&gt;84&lt;/sup&gt;"},"properties":{"noteIndex":0},"schema":"https://github.com/citation-style-language/schema/raw/master/csl-citation.json"}</w:instrText>
      </w:r>
      <w:r w:rsidR="000F7C49" w:rsidRPr="008E5B32">
        <w:fldChar w:fldCharType="separate"/>
      </w:r>
      <w:r w:rsidR="004C12A8" w:rsidRPr="008E5B32">
        <w:rPr>
          <w:noProof/>
          <w:vertAlign w:val="superscript"/>
          <w:lang w:val="en-GB"/>
        </w:rPr>
        <w:t>84</w:t>
      </w:r>
      <w:r w:rsidR="000F7C49" w:rsidRPr="008E5B32">
        <w:fldChar w:fldCharType="end"/>
      </w:r>
      <w:r w:rsidR="000F7C49" w:rsidRPr="008E5B32">
        <w:rPr>
          <w:lang w:val="en-GB"/>
        </w:rPr>
        <w:t>.</w:t>
      </w:r>
    </w:p>
    <w:bookmarkEnd w:id="12"/>
    <w:p w14:paraId="32DA0525" w14:textId="77777777" w:rsidR="00FF3D50" w:rsidRPr="008E5B32" w:rsidRDefault="00FF3D50" w:rsidP="00FF3D50">
      <w:pPr>
        <w:pStyle w:val="Heading1"/>
        <w:spacing w:line="312" w:lineRule="auto"/>
        <w:rPr>
          <w:lang w:val="en-GB"/>
        </w:rPr>
      </w:pPr>
      <w:r w:rsidRPr="008E5B32">
        <w:rPr>
          <w:lang w:val="en-GB"/>
        </w:rPr>
        <w:t>3.3 (Q)SAR</w:t>
      </w:r>
      <w:r w:rsidR="009344C9" w:rsidRPr="008E5B32">
        <w:rPr>
          <w:lang w:val="en-GB"/>
        </w:rPr>
        <w:t>s</w:t>
      </w:r>
      <w:r w:rsidRPr="008E5B32">
        <w:rPr>
          <w:lang w:val="en-GB"/>
        </w:rPr>
        <w:t xml:space="preserve"> applied to NMs</w:t>
      </w:r>
    </w:p>
    <w:p w14:paraId="46B21BB6" w14:textId="675C3884" w:rsidR="001801DA" w:rsidRPr="008E5B32" w:rsidRDefault="001801DA" w:rsidP="001801DA">
      <w:pPr>
        <w:rPr>
          <w:lang w:val="en-GB"/>
        </w:rPr>
        <w:sectPr w:rsidR="001801DA" w:rsidRPr="008E5B32" w:rsidSect="00B33BFD">
          <w:footerReference w:type="default" r:id="rId9"/>
          <w:footnotePr>
            <w:numFmt w:val="lowerLetter"/>
          </w:footnotePr>
          <w:pgSz w:w="11909" w:h="16834"/>
          <w:pgMar w:top="1440" w:right="1440" w:bottom="1440" w:left="1440" w:header="0" w:footer="720" w:gutter="0"/>
          <w:lnNumType w:countBy="1" w:restart="continuous"/>
          <w:cols w:space="720"/>
          <w:docGrid w:linePitch="326"/>
        </w:sectPr>
      </w:pPr>
      <w:r w:rsidRPr="008E5B32">
        <w:rPr>
          <w:lang w:val="en-GB"/>
        </w:rPr>
        <w:t>(Q)SAR</w:t>
      </w:r>
      <w:r w:rsidR="00136629" w:rsidRPr="008E5B32">
        <w:rPr>
          <w:lang w:val="en-GB"/>
        </w:rPr>
        <w:t>s</w:t>
      </w:r>
      <w:r w:rsidRPr="008E5B32">
        <w:rPr>
          <w:lang w:val="en-GB"/>
        </w:rPr>
        <w:t xml:space="preserve"> assume</w:t>
      </w:r>
      <w:r w:rsidR="00136629" w:rsidRPr="008E5B32">
        <w:rPr>
          <w:lang w:val="en-GB"/>
        </w:rPr>
        <w:t xml:space="preserve"> </w:t>
      </w:r>
      <w:r w:rsidRPr="008E5B32">
        <w:rPr>
          <w:lang w:val="en-GB"/>
        </w:rPr>
        <w:t xml:space="preserve">that </w:t>
      </w:r>
      <w:r w:rsidR="00136629" w:rsidRPr="008E5B32">
        <w:rPr>
          <w:lang w:val="en-GB"/>
        </w:rPr>
        <w:t xml:space="preserve">an </w:t>
      </w:r>
      <w:r w:rsidRPr="008E5B32">
        <w:rPr>
          <w:lang w:val="en-GB"/>
        </w:rPr>
        <w:t>observ</w:t>
      </w:r>
      <w:r w:rsidR="00136629" w:rsidRPr="008E5B32">
        <w:rPr>
          <w:lang w:val="en-GB"/>
        </w:rPr>
        <w:t>ed</w:t>
      </w:r>
      <w:r w:rsidRPr="008E5B32">
        <w:rPr>
          <w:lang w:val="en-GB"/>
        </w:rPr>
        <w:t xml:space="preserve"> biological activity is correlated with </w:t>
      </w:r>
      <w:r w:rsidR="00136629" w:rsidRPr="008E5B32">
        <w:rPr>
          <w:lang w:val="en-GB"/>
        </w:rPr>
        <w:t xml:space="preserve">the </w:t>
      </w:r>
      <w:r w:rsidRPr="008E5B32">
        <w:rPr>
          <w:lang w:val="en-GB"/>
        </w:rPr>
        <w:t>chemical structure</w:t>
      </w:r>
      <w:r w:rsidR="00136629" w:rsidRPr="008E5B32">
        <w:rPr>
          <w:lang w:val="en-GB"/>
        </w:rPr>
        <w:t xml:space="preserve"> or properties</w:t>
      </w:r>
      <w:r w:rsidRPr="008E5B32">
        <w:rPr>
          <w:lang w:val="en-GB"/>
        </w:rPr>
        <w:t xml:space="preserve">, </w:t>
      </w:r>
      <w:r w:rsidR="00136629" w:rsidRPr="008E5B32">
        <w:rPr>
          <w:lang w:val="en-GB"/>
        </w:rPr>
        <w:t xml:space="preserve">enabling the identification of a mathematical function or </w:t>
      </w:r>
      <w:r w:rsidR="00D5713C" w:rsidRPr="008E5B32">
        <w:rPr>
          <w:lang w:val="en-GB"/>
        </w:rPr>
        <w:t>a</w:t>
      </w:r>
      <w:r w:rsidR="00136629" w:rsidRPr="008E5B32">
        <w:rPr>
          <w:lang w:val="en-GB"/>
        </w:rPr>
        <w:t xml:space="preserve"> model</w:t>
      </w:r>
      <w:r w:rsidRPr="008E5B32">
        <w:rPr>
          <w:lang w:val="en-GB"/>
        </w:rPr>
        <w:t xml:space="preserve">. After this relationship is estimated, it is possible to apply </w:t>
      </w:r>
      <w:r w:rsidR="00136629" w:rsidRPr="008E5B32">
        <w:rPr>
          <w:lang w:val="en-GB"/>
        </w:rPr>
        <w:t xml:space="preserve">it </w:t>
      </w:r>
      <w:r w:rsidRPr="008E5B32">
        <w:rPr>
          <w:lang w:val="en-GB"/>
        </w:rPr>
        <w:t xml:space="preserve">to newly developed or untested substances, thus assessing their potential effects. The biological activity can be predicted in a qualitative (toxic/non-toxic) </w:t>
      </w:r>
      <w:r w:rsidR="00136629" w:rsidRPr="008E5B32">
        <w:rPr>
          <w:lang w:val="en-GB"/>
        </w:rPr>
        <w:t xml:space="preserve">or </w:t>
      </w:r>
      <w:r w:rsidRPr="008E5B32">
        <w:rPr>
          <w:lang w:val="en-GB"/>
        </w:rPr>
        <w:t>quantitative way</w:t>
      </w:r>
      <w:r w:rsidR="00136629" w:rsidRPr="008E5B32">
        <w:rPr>
          <w:lang w:val="en-GB"/>
        </w:rPr>
        <w:t xml:space="preserve"> depending on the endpoint of interest and on the datasets</w:t>
      </w:r>
      <w:r w:rsidRPr="008E5B32">
        <w:rPr>
          <w:lang w:val="en-GB"/>
        </w:rPr>
        <w:t xml:space="preserve">, respectively by means of </w:t>
      </w:r>
      <w:r w:rsidR="00A500AD" w:rsidRPr="008E5B32">
        <w:rPr>
          <w:lang w:val="en-GB"/>
        </w:rPr>
        <w:t>c</w:t>
      </w:r>
      <w:r w:rsidRPr="008E5B32">
        <w:rPr>
          <w:lang w:val="en-GB"/>
        </w:rPr>
        <w:t xml:space="preserve">lassification and </w:t>
      </w:r>
      <w:r w:rsidR="00A500AD" w:rsidRPr="008E5B32">
        <w:rPr>
          <w:lang w:val="en-GB"/>
        </w:rPr>
        <w:t>r</w:t>
      </w:r>
      <w:r w:rsidRPr="008E5B32">
        <w:rPr>
          <w:lang w:val="en-GB"/>
        </w:rPr>
        <w:t>egression models. (Q)SAR</w:t>
      </w:r>
      <w:r w:rsidR="00136629" w:rsidRPr="008E5B32">
        <w:rPr>
          <w:lang w:val="en-GB"/>
        </w:rPr>
        <w:t>s are</w:t>
      </w:r>
      <w:r w:rsidRPr="008E5B32">
        <w:rPr>
          <w:lang w:val="en-GB"/>
        </w:rPr>
        <w:t xml:space="preserve"> extensively applied in chemical toxicity modelling and drug discovery </w:t>
      </w:r>
      <w:r w:rsidRPr="008E5B32">
        <w:fldChar w:fldCharType="begin" w:fldLock="1"/>
      </w:r>
      <w:r w:rsidR="00434385" w:rsidRPr="008E5B32">
        <w:rPr>
          <w:lang w:val="en-GB"/>
        </w:rPr>
        <w:instrText>ADDIN CSL_CITATION {"citationItems":[{"id":"ITEM-1","itemData":{"ISBN":"1611-2156","ISSN":"16112156","abstract":"Quantitative structure-activity relationship (QSAR) modeling pertains to the construction of predictive models of biological activities as a function of structural and molecular information of a compound library. The concept of QSAR has typically been used for drug discovery and development and has gained wide applicability for correlating molecular information with not only biological activities but also with other physicochemical properties, which has therefore been termed quantitative structure-property relationship (QSPR). Typical molecular parameters that are used to account for electronic properties, hydrophobicity, steric effects, and topology can be determined empirically through experimentation or theoretically via computational chemistry. A given compilation of data sets is then subjected to data pre-processing and data modeling through the use of statistical and/or machine learning techniques. This review aims to cover the essential concepts and techniques that are relevant for performing QSAR/QSPR studies through the use of selected examples from our previous work.","author":[{"dropping-particle":"","family":"Nantasenamat","given":"Chanin","non-dropping-particle":"","parse-names":false,"suffix":""},{"dropping-particle":"","family":"Isarankura-Na-Ayudhya","given":"Chartchalerm","non-dropping-particle":"","parse-names":false,"suffix":""},{"dropping-particle":"","family":"Naenna","given":"Thanakorn","non-dropping-particle":"","parse-names":false,"suffix":""},{"dropping-particle":"","family":"Prachayasittikul","given":"Virapong","non-dropping-particle":"","parse-names":false,"suffix":""}],"container-title":"EXCLI Journal","id":"ITEM-1","issued":{"date-parts":[["2009"]]},"page":"74-88","title":"A practical overview of quantitative structure-activity relationship","type":"article","volume":"8"},"uris":["http://www.mendeley.com/documents/?uuid=bb4960a2-bd54-4a63-8da0-56002b8d6f58"]},{"id":"ITEM-2","itemData":{"DOI":"10.2174/156802610790232260","ISBN":"1873-4294 (Electronic) 1568-0266 (Linking)","ISSN":"1873-4294","PMID":"19929826","abstract":"Quantitative structure-activity relationships (QSAR) have been applied for decades in the development of relationships between physicochemical properties of chemical substances and their biological activities to obtain a reliable statistical model for prediction of the activities of new chemical entities. The fundamental principle underlying the formalism is that the difference in structural properties is responsible for the variations in biological activities of the compounds. In the classical QSAR studies, affinities of ligands to their binding sites, inhibition constants, rate constants, and other biological end points, with atomic, group or molecular properties such as lipophilicity, polarizability, electronic and steric properties (Hansch analysis) or with certain structural features (Free-Wilson analysis) have been correlated. However such an approach has only a limited utility for designing a new molecule due to the lack of consideration of the 3D structure of the molecules. 3D-QSAR has emerged as a natural extension to the classical Hansch and Free-Wilson approaches, which exploits the three-dimensional properties of the ligands to predict their biological activities using robust chemometric techniques such as PLS, G/PLS, ANN etc. It has served as a valuable predictive tool in the design of pharmaceuticals and agrochemicals. Although the trial and error factor involved in the development of a new drug cannot be ignored completely, QSAR certainly decreases the number of compounds to be synthesized by facilitating the selection of the most promising candidates. Several success stories of QSAR have attracted the medicinal chemists to investigate the relationships of structural properties with biological activity. This review seeks to provide a bird's eye view of the different 3D-QSAR approaches employed within the current drug discovery community to construct predictive structure-activity relationships and also discusses the limitations that are fundamental to these approaches, as well as those that might be overcome with the improved strategies. The components involved in building a useful 3D-QSAR model are discussed, including the validation techniques available for this purpose.","author":[{"dropping-particle":"","family":"Verma","given":"Jitender","non-dropping-particle":"","parse-names":false,"suffix":""},{"dropping-particle":"","family":"Khedkar","given":"Vijay M","non-dropping-particle":"","parse-names":false,"suffix":""},{"dropping-particle":"","family":"Coutinho","given":"Evans C","non-dropping-particle":"","parse-names":false,"suffix":""}],"container-title":"Current topics in medicinal chemistry","id":"ITEM-2","issue":"1","issued":{"date-parts":[["2010"]]},"page":"95-115","title":"3D-QSAR in drug design--a review.","type":"article-journal","volume":"10"},"uris":["http://www.mendeley.com/documents/?uuid=98442da0-47ea-408e-9431-cfc9edc49e7d"]},{"id":"ITEM-3","itemData":{"DOI":"10.2174/138620706776055539","ISSN":"1386-2073","PMID":"16533155","abstract":"Virtual filtering and screening of combinatorial libraries have recently gained attention as methods complementing the high-throughput screening and combinatorial chemistry. These chemoinformatic techniques rely heavily on quantitative structure-activity relationship (QSAR) analysis, a field with established methodology and successful history. In this review, we discuss the computational methods for building QSAR models. We start with outlining their usefulness in high-throughput screening and identifying the general scheme of a QSAR model. Following, we focus on the methodologies in constructing three main components of QSAR model, namely the methods for describing the molecular structure of compounds, for selection of informative descriptors and for activity prediction. We present both the well-established methods as well as techniques recently introduced into the QSAR domain.","author":[{"dropping-particle":"","family":"Dudek","given":"Arkadiusz Z","non-dropping-particle":"","parse-names":false,"suffix":""},{"dropping-particle":"","family":"Arodz","given":"Tomasz","non-dropping-particle":"","parse-names":false,"suffix":""},{"dropping-particle":"","family":"Gálvez","given":"Jorge","non-dropping-particle":"","parse-names":false,"suffix":""}],"container-title":"Combinatorial chemistry &amp; high throughput screening","id":"ITEM-3","issue":"3","issued":{"date-parts":[["2006"]]},"page":"213-28","title":"Computational methods in developing quantitative structure-activity relationships (QSAR): a review.","type":"article-journal","volume":"9"},"uris":["http://www.mendeley.com/documents/?uuid=68787ccf-d4f8-45fa-b127-9179182ebf54"]}],"mendeley":{"formattedCitation":"&lt;sup&gt;53,98,99&lt;/sup&gt;","plainTextFormattedCitation":"53,98,99","previouslyFormattedCitation":"&lt;sup&gt;53,98,99&lt;/sup&gt;"},"properties":{"noteIndex":0},"schema":"https://github.com/citation-style-language/schema/raw/master/csl-citation.json"}</w:instrText>
      </w:r>
      <w:r w:rsidRPr="008E5B32">
        <w:fldChar w:fldCharType="separate"/>
      </w:r>
      <w:r w:rsidR="004C12A8" w:rsidRPr="008E5B32">
        <w:rPr>
          <w:noProof/>
          <w:vertAlign w:val="superscript"/>
          <w:lang w:val="en-GB"/>
        </w:rPr>
        <w:t>53,98,99</w:t>
      </w:r>
      <w:r w:rsidRPr="008E5B32">
        <w:fldChar w:fldCharType="end"/>
      </w:r>
      <w:r w:rsidRPr="008E5B32">
        <w:rPr>
          <w:lang w:val="en-GB"/>
        </w:rPr>
        <w:t>, and in the last decade lot</w:t>
      </w:r>
      <w:r w:rsidR="009344C9" w:rsidRPr="008E5B32">
        <w:rPr>
          <w:lang w:val="en-GB"/>
        </w:rPr>
        <w:t>s</w:t>
      </w:r>
      <w:r w:rsidRPr="008E5B32">
        <w:rPr>
          <w:lang w:val="en-GB"/>
        </w:rPr>
        <w:t xml:space="preserve"> of efforts have been put in practice to apply </w:t>
      </w:r>
      <w:r w:rsidR="00BC5A3A" w:rsidRPr="008E5B32">
        <w:rPr>
          <w:lang w:val="en-GB"/>
        </w:rPr>
        <w:t>QSARs</w:t>
      </w:r>
      <w:r w:rsidRPr="008E5B32">
        <w:rPr>
          <w:lang w:val="en-GB"/>
        </w:rPr>
        <w:t xml:space="preserve"> to NMs. A selection of peer-reviewed articles</w:t>
      </w:r>
      <w:r w:rsidR="00F31EB4" w:rsidRPr="008E5B32">
        <w:rPr>
          <w:lang w:val="en-GB"/>
        </w:rPr>
        <w:t xml:space="preserve"> presenting models that predict human health hazard endpoints</w:t>
      </w:r>
      <w:r w:rsidR="00DD0753" w:rsidRPr="008E5B32">
        <w:rPr>
          <w:lang w:val="en-GB"/>
        </w:rPr>
        <w:t xml:space="preserve"> retrieved </w:t>
      </w:r>
      <w:r w:rsidR="006E7B07" w:rsidRPr="008E5B32">
        <w:rPr>
          <w:lang w:val="en-GB"/>
        </w:rPr>
        <w:t>from the literature as specified in Section 2</w:t>
      </w:r>
      <w:r w:rsidRPr="008E5B32">
        <w:rPr>
          <w:lang w:val="en-GB"/>
        </w:rPr>
        <w:t xml:space="preserve"> is presented in </w:t>
      </w:r>
      <w:r w:rsidRPr="008E5B32">
        <w:fldChar w:fldCharType="begin"/>
      </w:r>
      <w:r w:rsidRPr="008E5B32">
        <w:rPr>
          <w:lang w:val="en-GB"/>
        </w:rPr>
        <w:instrText xml:space="preserve"> REF _Ref506571074 \h </w:instrText>
      </w:r>
      <w:r w:rsidR="00B868EB" w:rsidRPr="008E5B32">
        <w:rPr>
          <w:lang w:val="en-GB"/>
        </w:rPr>
        <w:instrText xml:space="preserve"> \* MERGEFORMAT </w:instrText>
      </w:r>
      <w:r w:rsidRPr="008E5B32">
        <w:fldChar w:fldCharType="separate"/>
      </w:r>
      <w:r w:rsidR="00785247" w:rsidRPr="008E5B32">
        <w:rPr>
          <w:lang w:val="en-GB"/>
        </w:rPr>
        <w:t>Table 4</w:t>
      </w:r>
      <w:r w:rsidRPr="008E5B32">
        <w:fldChar w:fldCharType="end"/>
      </w:r>
      <w:r w:rsidRPr="008E5B32">
        <w:rPr>
          <w:lang w:val="en-GB"/>
        </w:rPr>
        <w:t xml:space="preserve">: these tools were critically evaluated </w:t>
      </w:r>
      <w:r w:rsidR="001E5ADB" w:rsidRPr="008E5B32">
        <w:rPr>
          <w:lang w:val="en-GB"/>
        </w:rPr>
        <w:t>against</w:t>
      </w:r>
      <w:r w:rsidRPr="008E5B32">
        <w:rPr>
          <w:lang w:val="en-GB"/>
        </w:rPr>
        <w:t xml:space="preserve"> the criteria described in </w:t>
      </w:r>
      <w:r w:rsidRPr="008E5B32">
        <w:fldChar w:fldCharType="begin"/>
      </w:r>
      <w:r w:rsidRPr="008E5B32">
        <w:rPr>
          <w:lang w:val="en-GB"/>
        </w:rPr>
        <w:instrText xml:space="preserve"> REF _Ref506551752 \h </w:instrText>
      </w:r>
      <w:r w:rsidR="00B868EB" w:rsidRPr="008E5B32">
        <w:rPr>
          <w:lang w:val="en-GB"/>
        </w:rPr>
        <w:instrText xml:space="preserve"> \* MERGEFORMAT </w:instrText>
      </w:r>
      <w:r w:rsidRPr="008E5B32">
        <w:fldChar w:fldCharType="separate"/>
      </w:r>
      <w:r w:rsidR="00785247" w:rsidRPr="008E5B32">
        <w:rPr>
          <w:lang w:val="en-GB"/>
        </w:rPr>
        <w:t>Table 1</w:t>
      </w:r>
      <w:r w:rsidRPr="008E5B32">
        <w:fldChar w:fldCharType="end"/>
      </w:r>
      <w:r w:rsidRPr="008E5B32">
        <w:rPr>
          <w:lang w:val="en-GB"/>
        </w:rPr>
        <w:t>.</w:t>
      </w:r>
      <w:r w:rsidR="00FA045B" w:rsidRPr="008E5B32">
        <w:rPr>
          <w:lang w:val="en-GB"/>
        </w:rPr>
        <w:t xml:space="preserve"> In addition of such criteria, the descriptors used for modelling and other information (such as whether the developed model is available as a web tool, or the approach is contextualized into an existing Grouping framework, cfr. Section 1) are highlighted, together with a brief description of the reviewed approach.</w:t>
      </w:r>
    </w:p>
    <w:p w14:paraId="39DDF40D" w14:textId="2CC23E3B" w:rsidR="001801DA" w:rsidRPr="008E5B32" w:rsidRDefault="001801DA" w:rsidP="001801DA">
      <w:pPr>
        <w:pStyle w:val="Papercaption"/>
        <w:rPr>
          <w:lang w:val="en-GB"/>
        </w:rPr>
      </w:pPr>
      <w:bookmarkStart w:id="13" w:name="_Ref506571074"/>
      <w:bookmarkStart w:id="14" w:name="_Ref520455510"/>
      <w:r w:rsidRPr="008E5B32">
        <w:rPr>
          <w:lang w:val="en-GB"/>
        </w:rPr>
        <w:t xml:space="preserve">Table </w:t>
      </w:r>
      <w:r w:rsidRPr="008E5B32">
        <w:fldChar w:fldCharType="begin"/>
      </w:r>
      <w:r w:rsidRPr="008E5B32">
        <w:rPr>
          <w:lang w:val="en-GB"/>
        </w:rPr>
        <w:instrText xml:space="preserve"> SEQ Table \* ARABIC </w:instrText>
      </w:r>
      <w:r w:rsidRPr="008E5B32">
        <w:fldChar w:fldCharType="separate"/>
      </w:r>
      <w:r w:rsidR="00785247" w:rsidRPr="008E5B32">
        <w:rPr>
          <w:noProof/>
          <w:lang w:val="en-GB"/>
        </w:rPr>
        <w:t>4</w:t>
      </w:r>
      <w:r w:rsidRPr="008E5B32">
        <w:fldChar w:fldCharType="end"/>
      </w:r>
      <w:bookmarkEnd w:id="13"/>
      <w:r w:rsidRPr="008E5B32">
        <w:rPr>
          <w:lang w:val="en-GB"/>
        </w:rPr>
        <w:t xml:space="preserve">: Selection of peer-reviewed studies in which (Q)SAR models </w:t>
      </w:r>
      <w:r w:rsidR="00246300" w:rsidRPr="008E5B32">
        <w:rPr>
          <w:lang w:val="en-GB"/>
        </w:rPr>
        <w:t xml:space="preserve">predicting </w:t>
      </w:r>
      <w:r w:rsidR="00F31EB4" w:rsidRPr="008E5B32">
        <w:rPr>
          <w:lang w:val="en-GB"/>
        </w:rPr>
        <w:t xml:space="preserve">human health </w:t>
      </w:r>
      <w:r w:rsidR="00246300" w:rsidRPr="008E5B32">
        <w:rPr>
          <w:lang w:val="en-GB"/>
        </w:rPr>
        <w:t xml:space="preserve">hazard endpoints </w:t>
      </w:r>
      <w:r w:rsidRPr="008E5B32">
        <w:rPr>
          <w:lang w:val="en-GB"/>
        </w:rPr>
        <w:t xml:space="preserve">were provided, evaluated using the criteria described in </w:t>
      </w:r>
      <w:r w:rsidRPr="008E5B32">
        <w:fldChar w:fldCharType="begin"/>
      </w:r>
      <w:r w:rsidRPr="008E5B32">
        <w:rPr>
          <w:lang w:val="en-GB"/>
        </w:rPr>
        <w:instrText xml:space="preserve"> REF _Ref506551752 \h  \* MERGEFORMAT </w:instrText>
      </w:r>
      <w:r w:rsidRPr="008E5B32">
        <w:fldChar w:fldCharType="separate"/>
      </w:r>
      <w:r w:rsidR="00785247" w:rsidRPr="008E5B32">
        <w:rPr>
          <w:lang w:val="en-GB"/>
        </w:rPr>
        <w:t>Table 1</w:t>
      </w:r>
      <w:r w:rsidRPr="008E5B32">
        <w:fldChar w:fldCharType="end"/>
      </w:r>
      <w:r w:rsidRPr="008E5B32">
        <w:rPr>
          <w:lang w:val="en-GB"/>
        </w:rPr>
        <w:t>.</w:t>
      </w:r>
      <w:bookmarkEnd w:id="14"/>
    </w:p>
    <w:tbl>
      <w:tblPr>
        <w:tblStyle w:val="Paper"/>
        <w:tblW w:w="14171" w:type="dxa"/>
        <w:tblLayout w:type="fixed"/>
        <w:tblLook w:val="0620" w:firstRow="1" w:lastRow="0" w:firstColumn="0" w:lastColumn="0" w:noHBand="1" w:noVBand="1"/>
      </w:tblPr>
      <w:tblGrid>
        <w:gridCol w:w="426"/>
        <w:gridCol w:w="4536"/>
        <w:gridCol w:w="2268"/>
        <w:gridCol w:w="960"/>
        <w:gridCol w:w="1620"/>
        <w:gridCol w:w="540"/>
        <w:gridCol w:w="540"/>
        <w:gridCol w:w="1350"/>
        <w:gridCol w:w="1350"/>
        <w:gridCol w:w="581"/>
      </w:tblGrid>
      <w:tr w:rsidR="001801DA" w:rsidRPr="008E5B32" w14:paraId="658FD555" w14:textId="77777777" w:rsidTr="00D6682C">
        <w:trPr>
          <w:cnfStyle w:val="100000000000" w:firstRow="1" w:lastRow="0" w:firstColumn="0" w:lastColumn="0" w:oddVBand="0" w:evenVBand="0" w:oddHBand="0" w:evenHBand="0" w:firstRowFirstColumn="0" w:firstRowLastColumn="0" w:lastRowFirstColumn="0" w:lastRowLastColumn="0"/>
          <w:cantSplit/>
          <w:trHeight w:val="1351"/>
          <w:tblHeader/>
        </w:trPr>
        <w:tc>
          <w:tcPr>
            <w:tcW w:w="426" w:type="dxa"/>
            <w:textDirection w:val="btLr"/>
          </w:tcPr>
          <w:p w14:paraId="12E875E2" w14:textId="77777777" w:rsidR="001801DA" w:rsidRPr="008E5B32" w:rsidRDefault="001801DA" w:rsidP="00BA08CB">
            <w:pPr>
              <w:ind w:left="113" w:right="113"/>
              <w:jc w:val="center"/>
            </w:pPr>
            <w:r w:rsidRPr="008E5B32">
              <w:t>Reference</w:t>
            </w:r>
          </w:p>
        </w:tc>
        <w:tc>
          <w:tcPr>
            <w:tcW w:w="4536" w:type="dxa"/>
          </w:tcPr>
          <w:p w14:paraId="7AFF2CCD" w14:textId="77777777" w:rsidR="001801DA" w:rsidRPr="008E5B32" w:rsidRDefault="001801DA" w:rsidP="00BA08CB">
            <w:pPr>
              <w:jc w:val="both"/>
            </w:pPr>
            <w:r w:rsidRPr="008E5B32">
              <w:t>Description</w:t>
            </w:r>
          </w:p>
        </w:tc>
        <w:tc>
          <w:tcPr>
            <w:tcW w:w="2268" w:type="dxa"/>
            <w:textDirection w:val="btLr"/>
          </w:tcPr>
          <w:p w14:paraId="2A669C2D" w14:textId="77777777" w:rsidR="001801DA" w:rsidRPr="008E5B32" w:rsidRDefault="001801DA" w:rsidP="00BA08CB">
            <w:pPr>
              <w:ind w:left="113" w:right="113"/>
              <w:jc w:val="center"/>
            </w:pPr>
            <w:r w:rsidRPr="008E5B32">
              <w:t>Modelled endpoint</w:t>
            </w:r>
          </w:p>
        </w:tc>
        <w:tc>
          <w:tcPr>
            <w:tcW w:w="960" w:type="dxa"/>
            <w:textDirection w:val="btLr"/>
          </w:tcPr>
          <w:p w14:paraId="3D822CCF" w14:textId="77777777" w:rsidR="001801DA" w:rsidRPr="008E5B32" w:rsidRDefault="001801DA" w:rsidP="00BA08CB">
            <w:pPr>
              <w:ind w:left="113" w:right="113"/>
              <w:jc w:val="center"/>
            </w:pPr>
            <w:r w:rsidRPr="008E5B32">
              <w:t>Dataset size</w:t>
            </w:r>
          </w:p>
        </w:tc>
        <w:tc>
          <w:tcPr>
            <w:tcW w:w="1620" w:type="dxa"/>
            <w:textDirection w:val="btLr"/>
          </w:tcPr>
          <w:p w14:paraId="45FDDF75" w14:textId="77777777" w:rsidR="001801DA" w:rsidRPr="008E5B32" w:rsidRDefault="001801DA" w:rsidP="00BA08CB">
            <w:pPr>
              <w:ind w:left="113" w:right="113"/>
              <w:jc w:val="center"/>
            </w:pPr>
            <w:r w:rsidRPr="008E5B32">
              <w:t>Modelling approach</w:t>
            </w:r>
          </w:p>
        </w:tc>
        <w:tc>
          <w:tcPr>
            <w:tcW w:w="540" w:type="dxa"/>
            <w:textDirection w:val="btLr"/>
          </w:tcPr>
          <w:p w14:paraId="377278AD" w14:textId="77777777" w:rsidR="001801DA" w:rsidRPr="008E5B32" w:rsidRDefault="001801DA" w:rsidP="00BA08CB">
            <w:pPr>
              <w:ind w:left="113" w:right="113"/>
              <w:jc w:val="center"/>
            </w:pPr>
            <w:r w:rsidRPr="008E5B32">
              <w:t>Model validation</w:t>
            </w:r>
          </w:p>
        </w:tc>
        <w:tc>
          <w:tcPr>
            <w:tcW w:w="540" w:type="dxa"/>
            <w:textDirection w:val="btLr"/>
          </w:tcPr>
          <w:p w14:paraId="3D8C5146" w14:textId="77777777" w:rsidR="001801DA" w:rsidRPr="008E5B32" w:rsidRDefault="001801DA" w:rsidP="00BA08CB">
            <w:pPr>
              <w:ind w:left="113" w:right="113"/>
              <w:jc w:val="center"/>
            </w:pPr>
            <w:r w:rsidRPr="008E5B32">
              <w:t>Statistics and metrics</w:t>
            </w:r>
          </w:p>
        </w:tc>
        <w:tc>
          <w:tcPr>
            <w:tcW w:w="1350" w:type="dxa"/>
            <w:textDirection w:val="btLr"/>
          </w:tcPr>
          <w:p w14:paraId="4B16CEC2" w14:textId="77777777" w:rsidR="001801DA" w:rsidRPr="008E5B32" w:rsidRDefault="001801DA" w:rsidP="00BA08CB">
            <w:pPr>
              <w:ind w:left="113" w:right="113"/>
              <w:jc w:val="center"/>
            </w:pPr>
            <w:r w:rsidRPr="008E5B32">
              <w:t>AD assessment</w:t>
            </w:r>
          </w:p>
        </w:tc>
        <w:tc>
          <w:tcPr>
            <w:tcW w:w="1350" w:type="dxa"/>
            <w:textDirection w:val="btLr"/>
          </w:tcPr>
          <w:p w14:paraId="4506CAA2" w14:textId="77777777" w:rsidR="001801DA" w:rsidRPr="008E5B32" w:rsidRDefault="001801DA" w:rsidP="00BA08CB">
            <w:pPr>
              <w:ind w:left="113" w:right="113"/>
              <w:jc w:val="center"/>
            </w:pPr>
            <w:r w:rsidRPr="008E5B32">
              <w:t>Uncertainty and variability assessment</w:t>
            </w:r>
          </w:p>
        </w:tc>
        <w:tc>
          <w:tcPr>
            <w:tcW w:w="581" w:type="dxa"/>
            <w:textDirection w:val="btLr"/>
          </w:tcPr>
          <w:p w14:paraId="309880BE" w14:textId="77777777" w:rsidR="001801DA" w:rsidRPr="008E5B32" w:rsidRDefault="001801DA" w:rsidP="00BA08CB">
            <w:pPr>
              <w:ind w:left="113" w:right="113"/>
              <w:jc w:val="center"/>
            </w:pPr>
            <w:r w:rsidRPr="008E5B32">
              <w:t>Model interpretation</w:t>
            </w:r>
          </w:p>
        </w:tc>
      </w:tr>
      <w:tr w:rsidR="001801DA" w:rsidRPr="008E5B32" w14:paraId="239EEF20" w14:textId="77777777" w:rsidTr="00D6682C">
        <w:tc>
          <w:tcPr>
            <w:tcW w:w="426" w:type="dxa"/>
          </w:tcPr>
          <w:p w14:paraId="59F815B0" w14:textId="37F23CDF" w:rsidR="001801DA" w:rsidRPr="008E5B32" w:rsidRDefault="001801DA" w:rsidP="00BA08CB">
            <w:r w:rsidRPr="008E5B32">
              <w:fldChar w:fldCharType="begin" w:fldLock="1"/>
            </w:r>
            <w:r w:rsidR="00434385" w:rsidRPr="008E5B32">
              <w:instrText>ADDIN CSL_CITATION {"citationItems":[{"id":"ITEM-1","itemData":{"DOI":"10.1021/nn1013484","ISBN":"1936-0851","ISSN":"1936-0851","PMID":"20857979","abstract":"Evaluation of biological effects, both desired and undesired, caused by manufactured nanoparticles (MNPs) is of critical importance for nanotechnology. Experimental studies, especially toxicological, are time-consuming, costly, and often impractical, calling for the development of efficient computational approaches capable of predicting biological effects of MNPs. To this end, we have investigated the potential of cheminformatics methods such as quantitative structure−activity relationship (QSAR) modeling to establish statistically significant relationships between measured biological activity profiles of MNPs and their physical, chemical, and geometrical properties, either measured experimentally or computed from the structure of MNPs. To reflect the context of the study, we termed our approach quantitative nanostructure−activity relationship (QNAR) modeling. We have employed two representative sets of MNPs studied recently using in vitro cell-based assays: (i) 51 various MNPs with diverse metal cores (P...","author":[{"dropping-particle":"","family":"Fourches","given":"Denis","non-dropping-particle":"","parse-names":false,"suffix":""},{"dropping-particle":"","family":"Pu","given":"Dongqiuye","non-dropping-particle":"","parse-names":false,"suffix":""},{"dropping-particle":"","family":"Tassa","given":"Carlos","non-dropping-particle":"","parse-names":false,"suffix":""},{"dropping-particle":"","family":"Weissleder","given":"Ralph","non-dropping-particle":"","parse-names":false,"suffix":""},{"dropping-particle":"","family":"Shaw","given":"Stanley Y.","non-dropping-particle":"","parse-names":false,"suffix":""},{"dropping-particle":"","family":"Mumper","given":"Russell J.","non-dropping-particle":"","parse-names":false,"suffix":""},{"dropping-particle":"","family":"Tropsha","given":"Alexander","non-dropping-particle":"","parse-names":false,"suffix":""}],"container-title":"ACS Nano","id":"ITEM-1","issue":"10","issued":{"date-parts":[["2010"]]},"page":"5703-5712","title":"Quantitative Nanostructure−Activity Relationship Modeling","type":"article-journal","volume":"4"},"uris":["http://www.mendeley.com/documents/?uuid=60483abc-289a-49e6-8656-ebabdaafed4d"]}],"mendeley":{"formattedCitation":"&lt;sup&gt;100&lt;/sup&gt;","plainTextFormattedCitation":"100","previouslyFormattedCitation":"&lt;sup&gt;100&lt;/sup&gt;"},"properties":{"noteIndex":0},"schema":"https://github.com/citation-style-language/schema/raw/master/csl-citation.json"}</w:instrText>
            </w:r>
            <w:r w:rsidRPr="008E5B32">
              <w:fldChar w:fldCharType="separate"/>
            </w:r>
            <w:r w:rsidR="004C12A8" w:rsidRPr="008E5B32">
              <w:rPr>
                <w:noProof/>
                <w:vertAlign w:val="superscript"/>
              </w:rPr>
              <w:t>100</w:t>
            </w:r>
            <w:r w:rsidRPr="008E5B32">
              <w:fldChar w:fldCharType="end"/>
            </w:r>
          </w:p>
        </w:tc>
        <w:tc>
          <w:tcPr>
            <w:tcW w:w="4536" w:type="dxa"/>
          </w:tcPr>
          <w:p w14:paraId="1D64EBCA" w14:textId="15971F49" w:rsidR="001801DA" w:rsidRPr="008E5B32" w:rsidRDefault="00A651EA" w:rsidP="00BA08CB">
            <w:pPr>
              <w:spacing w:after="120"/>
              <w:jc w:val="both"/>
              <w:rPr>
                <w:lang w:val="en-GB"/>
              </w:rPr>
            </w:pPr>
            <w:r w:rsidRPr="008E5B32">
              <w:rPr>
                <w:lang w:val="en-GB"/>
              </w:rPr>
              <w:t>CS</w:t>
            </w:r>
            <w:r w:rsidR="001801DA" w:rsidRPr="008E5B32">
              <w:rPr>
                <w:lang w:val="en-GB"/>
              </w:rPr>
              <w:t>1</w:t>
            </w:r>
            <w:r w:rsidR="006057C8" w:rsidRPr="008E5B32">
              <w:rPr>
                <w:lang w:val="en-GB"/>
              </w:rPr>
              <w:t>: classification of</w:t>
            </w:r>
            <w:r w:rsidR="001801DA" w:rsidRPr="008E5B32">
              <w:rPr>
                <w:lang w:val="en-GB"/>
              </w:rPr>
              <w:t xml:space="preserve"> metal cored NMs </w:t>
            </w:r>
            <w:r w:rsidR="006819D7" w:rsidRPr="008E5B32">
              <w:rPr>
                <w:lang w:val="en-GB"/>
              </w:rPr>
              <w:t>using</w:t>
            </w:r>
            <w:r w:rsidR="001801DA" w:rsidRPr="008E5B32">
              <w:rPr>
                <w:lang w:val="en-GB"/>
              </w:rPr>
              <w:t xml:space="preserve"> </w:t>
            </w:r>
            <w:r w:rsidR="00013BDE" w:rsidRPr="008E5B32">
              <w:rPr>
                <w:lang w:val="en-GB"/>
              </w:rPr>
              <w:t>four</w:t>
            </w:r>
            <w:r w:rsidR="001801DA" w:rsidRPr="008E5B32">
              <w:rPr>
                <w:lang w:val="en-GB"/>
              </w:rPr>
              <w:t xml:space="preserve"> structural descriptors</w:t>
            </w:r>
            <w:r w:rsidR="006D39EA" w:rsidRPr="008E5B32">
              <w:rPr>
                <w:lang w:val="en-GB"/>
              </w:rPr>
              <w:t xml:space="preserve"> (size, R1/R2 relaxivity, zeta-potential)</w:t>
            </w:r>
            <w:r w:rsidR="001801DA" w:rsidRPr="008E5B32">
              <w:rPr>
                <w:lang w:val="en-GB"/>
              </w:rPr>
              <w:t>. Activity was described by averaging for each NM 64 features (</w:t>
            </w:r>
            <w:r w:rsidR="00013BDE" w:rsidRPr="008E5B32">
              <w:rPr>
                <w:lang w:val="en-GB"/>
              </w:rPr>
              <w:t>four</w:t>
            </w:r>
            <w:r w:rsidR="001801DA" w:rsidRPr="008E5B32">
              <w:rPr>
                <w:lang w:val="en-GB"/>
              </w:rPr>
              <w:t xml:space="preserve"> doses, </w:t>
            </w:r>
            <w:r w:rsidR="00013BDE" w:rsidRPr="008E5B32">
              <w:rPr>
                <w:lang w:val="en-GB"/>
              </w:rPr>
              <w:t xml:space="preserve">four </w:t>
            </w:r>
            <w:r w:rsidR="001801DA" w:rsidRPr="008E5B32">
              <w:rPr>
                <w:lang w:val="en-GB"/>
              </w:rPr>
              <w:t xml:space="preserve">different cell lines, and </w:t>
            </w:r>
            <w:r w:rsidR="00013BDE" w:rsidRPr="008E5B32">
              <w:rPr>
                <w:lang w:val="en-GB"/>
              </w:rPr>
              <w:t>four</w:t>
            </w:r>
            <w:r w:rsidR="001801DA" w:rsidRPr="008E5B32">
              <w:rPr>
                <w:lang w:val="en-GB"/>
              </w:rPr>
              <w:t xml:space="preserve"> different </w:t>
            </w:r>
            <w:r w:rsidR="001801DA" w:rsidRPr="008E5B32">
              <w:rPr>
                <w:i/>
                <w:iCs/>
                <w:lang w:val="en-GB"/>
              </w:rPr>
              <w:t xml:space="preserve">in vitro </w:t>
            </w:r>
            <w:r w:rsidR="001801DA" w:rsidRPr="008E5B32">
              <w:rPr>
                <w:lang w:val="en-GB"/>
              </w:rPr>
              <w:t xml:space="preserve">assays), thus setting arbitrarily a threshold that allowed to split the dataset in </w:t>
            </w:r>
            <w:r w:rsidR="00013BDE" w:rsidRPr="008E5B32">
              <w:rPr>
                <w:lang w:val="en-GB"/>
              </w:rPr>
              <w:t>two</w:t>
            </w:r>
            <w:r w:rsidR="001801DA" w:rsidRPr="008E5B32">
              <w:rPr>
                <w:lang w:val="en-GB"/>
              </w:rPr>
              <w:t xml:space="preserve"> balanced classes</w:t>
            </w:r>
            <w:r w:rsidRPr="008E5B32">
              <w:rPr>
                <w:lang w:val="en-GB"/>
              </w:rPr>
              <w:t>; CS</w:t>
            </w:r>
            <w:r w:rsidR="001801DA" w:rsidRPr="008E5B32">
              <w:rPr>
                <w:lang w:val="en-GB"/>
              </w:rPr>
              <w:t xml:space="preserve">2: QSAR modelling of cancer PaCa2 cellular uptake by Metal cored NMs, with respect to 150 different calculated </w:t>
            </w:r>
            <w:r w:rsidR="006D39EA" w:rsidRPr="008E5B32">
              <w:rPr>
                <w:lang w:val="en-GB"/>
              </w:rPr>
              <w:t xml:space="preserve">chemical </w:t>
            </w:r>
            <w:r w:rsidR="001801DA" w:rsidRPr="008E5B32">
              <w:rPr>
                <w:lang w:val="en-GB"/>
              </w:rPr>
              <w:t>descriptors</w:t>
            </w:r>
            <w:r w:rsidR="006D39EA" w:rsidRPr="008E5B32">
              <w:rPr>
                <w:lang w:val="en-GB"/>
              </w:rPr>
              <w:t xml:space="preserve"> (using MOE software)</w:t>
            </w:r>
            <w:r w:rsidR="001801DA" w:rsidRPr="008E5B32">
              <w:rPr>
                <w:lang w:val="en-GB"/>
              </w:rPr>
              <w:t>.</w:t>
            </w:r>
          </w:p>
        </w:tc>
        <w:tc>
          <w:tcPr>
            <w:tcW w:w="2268" w:type="dxa"/>
          </w:tcPr>
          <w:p w14:paraId="43B6589C" w14:textId="77777777" w:rsidR="001801DA" w:rsidRPr="008E5B32" w:rsidRDefault="001801DA" w:rsidP="0099212A">
            <w:pPr>
              <w:jc w:val="center"/>
              <w:rPr>
                <w:rFonts w:ascii="Segoe UI Symbol" w:hAnsi="Segoe UI Symbol" w:cs="Segoe UI Symbol"/>
                <w:color w:val="222222"/>
                <w:szCs w:val="18"/>
                <w:shd w:val="clear" w:color="auto" w:fill="FFFFFF"/>
                <w:lang w:val="en-GB"/>
              </w:rPr>
            </w:pPr>
            <w:r w:rsidRPr="008E5B32">
              <w:rPr>
                <w:rFonts w:ascii="Segoe UI Symbol" w:hAnsi="Segoe UI Symbol" w:cs="Segoe UI Symbol"/>
                <w:szCs w:val="18"/>
                <w:lang w:val="en-GB"/>
              </w:rPr>
              <w:t>✗</w:t>
            </w:r>
            <w:r w:rsidR="0099212A" w:rsidRPr="008E5B32">
              <w:rPr>
                <w:rFonts w:ascii="Segoe UI Symbol" w:hAnsi="Segoe UI Symbol" w:cs="Segoe UI Symbol"/>
                <w:szCs w:val="18"/>
                <w:lang w:val="en-GB"/>
              </w:rPr>
              <w:t>/</w:t>
            </w:r>
            <w:r w:rsidR="0099212A" w:rsidRPr="008E5B32">
              <w:rPr>
                <w:rFonts w:ascii="Segoe UI Symbol" w:eastAsia="Segoe UI Symbol" w:hAnsi="Segoe UI Symbol" w:cs="Segoe UI Symbol"/>
                <w:color w:val="222222"/>
                <w:shd w:val="clear" w:color="auto" w:fill="FFFFFF"/>
                <w:lang w:val="en-GB"/>
              </w:rPr>
              <w:t>✓</w:t>
            </w:r>
          </w:p>
          <w:p w14:paraId="4572234D" w14:textId="77777777" w:rsidR="001801DA" w:rsidRPr="008E5B32" w:rsidRDefault="001801DA" w:rsidP="00BA08CB">
            <w:pPr>
              <w:jc w:val="center"/>
              <w:rPr>
                <w:lang w:val="en-GB"/>
              </w:rPr>
            </w:pPr>
            <w:r w:rsidRPr="008E5B32">
              <w:rPr>
                <w:lang w:val="en-GB"/>
              </w:rPr>
              <w:t>(</w:t>
            </w:r>
            <w:r w:rsidR="0099212A" w:rsidRPr="008E5B32">
              <w:rPr>
                <w:lang w:val="en-GB"/>
              </w:rPr>
              <w:t xml:space="preserve">CS1: </w:t>
            </w:r>
            <w:r w:rsidRPr="008E5B32">
              <w:rPr>
                <w:lang w:val="en-GB"/>
              </w:rPr>
              <w:t xml:space="preserve">64 features were averaged, </w:t>
            </w:r>
            <w:r w:rsidR="0099212A" w:rsidRPr="008E5B32">
              <w:rPr>
                <w:lang w:val="en-GB"/>
              </w:rPr>
              <w:t>setting an arbitrary threshold</w:t>
            </w:r>
            <w:r w:rsidRPr="008E5B32">
              <w:rPr>
                <w:lang w:val="en-GB"/>
              </w:rPr>
              <w:t xml:space="preserve"> to indicate activity</w:t>
            </w:r>
            <w:r w:rsidR="0099212A" w:rsidRPr="008E5B32">
              <w:rPr>
                <w:lang w:val="en-GB"/>
              </w:rPr>
              <w:t>; CS2: cellular uptake in PaCa2 cells</w:t>
            </w:r>
            <w:r w:rsidRPr="008E5B32">
              <w:rPr>
                <w:lang w:val="en-GB"/>
              </w:rPr>
              <w:t>)</w:t>
            </w:r>
          </w:p>
        </w:tc>
        <w:tc>
          <w:tcPr>
            <w:tcW w:w="960" w:type="dxa"/>
          </w:tcPr>
          <w:p w14:paraId="46C11784" w14:textId="38CD1B6E" w:rsidR="001801DA" w:rsidRPr="008E5B32" w:rsidRDefault="001801DA" w:rsidP="00BA08CB">
            <w:pPr>
              <w:jc w:val="center"/>
            </w:pPr>
            <w:r w:rsidRPr="008E5B32">
              <w:t xml:space="preserve">44 </w:t>
            </w:r>
            <w:r w:rsidRPr="008E5B32">
              <w:fldChar w:fldCharType="begin" w:fldLock="1"/>
            </w:r>
            <w:r w:rsidR="00434385" w:rsidRPr="008E5B32">
              <w:instrText>ADDIN CSL_CITATION {"citationItems":[{"id":"ITEM-1","itemData":{"DOI":"10.1073/pnas.0802878105","ISBN":"0802878105","ISSN":"0027-8424","PMID":"18492802","abstract":"Our understanding of the biologic effects (including toxicity) of nanomaterials is incomplete. In vivo animal studies remain the gold standard; however, widespread testing remains impractical, and the development of in vitro assays that correlate with in vivo activity has proven challenging. Here, we demonstrate the feasibility of analyzing in vitro nanomaterial activity in a generalizable, systematic fashion. We assessed nanoparticle effects in a multidimensional manner, using multiple cell types and multiple assays that reflect different aspects of cellular physiology. Hierarchical clustering of these data identifies nanomaterials with similar patterns of biologic activity across a broad sampling of cellular contexts, as opposed to extrapolating from results of a single in vitro assay. We show that this approach yields robust and detailed structure-activity relationships. Furthermore, a subset of nanoparticles were tested in mice, and nanoparticles with similar activity profiles in vitro exert similar effects on monocyte number in vivo. These data suggest a strategy of multidimensional characterization of nanomaterials in vitro that can inform the design of novel nanomaterials and guide studies of in vivo activity.","author":[{"dropping-particle":"","family":"Shaw","given":"S. Y.","non-dropping-particle":"","parse-names":false,"suffix":""},{"dropping-particle":"","family":"Westly","given":"E. C.","non-dropping-particle":"","parse-names":false,"suffix":""},{"dropping-particle":"","family":"Pittet","given":"M. J.","non-dropping-particle":"","parse-names":false,"suffix":""},{"dropping-particle":"","family":"Subramanian","given":"A.","non-dropping-particle":"","parse-names":false,"suffix":""},{"dropping-particle":"","family":"Schreiber","given":"S. L.","non-dropping-particle":"","parse-names":false,"suffix":""},{"dropping-particle":"","family":"Weissleder","given":"R.","non-dropping-particle":"","parse-names":false,"suffix":""}],"container-title":"Proceedings of the National Academy of Sciences","id":"ITEM-1","issue":"21","issued":{"date-parts":[["2008"]]},"page":"7387-7392","title":"Perturbational profiling of nanomaterial biologic activity","type":"article-journal","volume":"105"},"uris":["http://www.mendeley.com/documents/?uuid=83e77dea-cfe9-4fca-9b89-5cd64509f53b"]}],"mendeley":{"formattedCitation":"&lt;sup&gt;101&lt;/sup&gt;","plainTextFormattedCitation":"101","previouslyFormattedCitation":"&lt;sup&gt;101&lt;/sup&gt;"},"properties":{"noteIndex":0},"schema":"https://github.com/citation-style-language/schema/raw/master/csl-citation.json"}</w:instrText>
            </w:r>
            <w:r w:rsidRPr="008E5B32">
              <w:fldChar w:fldCharType="separate"/>
            </w:r>
            <w:r w:rsidR="004C12A8" w:rsidRPr="008E5B32">
              <w:rPr>
                <w:noProof/>
                <w:vertAlign w:val="superscript"/>
              </w:rPr>
              <w:t>101</w:t>
            </w:r>
            <w:r w:rsidRPr="008E5B32">
              <w:fldChar w:fldCharType="end"/>
            </w:r>
            <w:r w:rsidRPr="008E5B32">
              <w:rPr>
                <w:sz w:val="24"/>
              </w:rPr>
              <w:t>,</w:t>
            </w:r>
          </w:p>
          <w:p w14:paraId="78AFF4EC" w14:textId="5863B63A" w:rsidR="001801DA" w:rsidRPr="008E5B32" w:rsidRDefault="001801DA" w:rsidP="00BA08CB">
            <w:pPr>
              <w:jc w:val="center"/>
            </w:pPr>
            <w:r w:rsidRPr="008E5B32">
              <w:t xml:space="preserve">109 </w:t>
            </w:r>
            <w:r w:rsidRPr="008E5B32">
              <w:fldChar w:fldCharType="begin" w:fldLock="1"/>
            </w:r>
            <w:r w:rsidR="00434385" w:rsidRPr="008E5B32">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1153F700"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5D3778D0" w14:textId="77777777" w:rsidR="001801DA" w:rsidRPr="008E5B32" w:rsidRDefault="001801DA" w:rsidP="00BA08CB">
            <w:pPr>
              <w:jc w:val="center"/>
              <w:rPr>
                <w:i/>
                <w:lang w:val="en-GB"/>
              </w:rPr>
            </w:pPr>
            <w:r w:rsidRPr="008E5B32">
              <w:rPr>
                <w:lang w:val="en-GB"/>
              </w:rPr>
              <w:t xml:space="preserve">(CS1: </w:t>
            </w:r>
            <w:r w:rsidRPr="008E5B32">
              <w:rPr>
                <w:i/>
                <w:lang w:val="en-GB"/>
              </w:rPr>
              <w:t>Linear SVM Classifier</w:t>
            </w:r>
          </w:p>
          <w:p w14:paraId="3422BE25" w14:textId="77777777" w:rsidR="001801DA" w:rsidRPr="008E5B32" w:rsidRDefault="001801DA" w:rsidP="00580A29">
            <w:pPr>
              <w:jc w:val="center"/>
              <w:rPr>
                <w:lang w:val="en-GB"/>
              </w:rPr>
            </w:pPr>
            <w:r w:rsidRPr="008E5B32">
              <w:rPr>
                <w:lang w:val="en-GB"/>
              </w:rPr>
              <w:t>CS2: kNN)</w:t>
            </w:r>
          </w:p>
        </w:tc>
        <w:tc>
          <w:tcPr>
            <w:tcW w:w="540" w:type="dxa"/>
          </w:tcPr>
          <w:p w14:paraId="33E57193" w14:textId="77777777" w:rsidR="001801DA" w:rsidRPr="008E5B32" w:rsidRDefault="001801DA" w:rsidP="00BA08CB">
            <w:pPr>
              <w:jc w:val="center"/>
            </w:pPr>
            <w:r w:rsidRPr="008E5B32">
              <w:rPr>
                <w:rFonts w:ascii="Segoe UI Symbol" w:eastAsia="Segoe UI Symbol" w:hAnsi="Segoe UI Symbol" w:cs="Segoe UI Symbol"/>
                <w:color w:val="222222"/>
                <w:shd w:val="clear" w:color="auto" w:fill="FFFFFF"/>
              </w:rPr>
              <w:t>✓</w:t>
            </w:r>
          </w:p>
        </w:tc>
        <w:tc>
          <w:tcPr>
            <w:tcW w:w="540" w:type="dxa"/>
          </w:tcPr>
          <w:p w14:paraId="0442EFF8"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16FCAF39"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br/>
              <w:t>(Distance based)</w:t>
            </w:r>
          </w:p>
        </w:tc>
        <w:tc>
          <w:tcPr>
            <w:tcW w:w="1350" w:type="dxa"/>
          </w:tcPr>
          <w:p w14:paraId="76DAE509" w14:textId="77777777" w:rsidR="001801DA" w:rsidRPr="008E5B32" w:rsidRDefault="001801DA" w:rsidP="00BA08CB">
            <w:pPr>
              <w:jc w:val="center"/>
              <w:rPr>
                <w:szCs w:val="18"/>
              </w:rPr>
            </w:pPr>
            <w:r w:rsidRPr="008E5B32">
              <w:rPr>
                <w:szCs w:val="18"/>
              </w:rPr>
              <w:t>≈</w:t>
            </w:r>
          </w:p>
          <w:p w14:paraId="4691877A" w14:textId="77777777" w:rsidR="001801DA" w:rsidRPr="008E5B32" w:rsidRDefault="001801DA" w:rsidP="00BA08CB">
            <w:pPr>
              <w:jc w:val="center"/>
            </w:pPr>
            <w:r w:rsidRPr="008E5B32">
              <w:t>(Y-scrambling)</w:t>
            </w:r>
          </w:p>
        </w:tc>
        <w:tc>
          <w:tcPr>
            <w:tcW w:w="581" w:type="dxa"/>
          </w:tcPr>
          <w:p w14:paraId="58071AE0" w14:textId="77777777" w:rsidR="001801DA" w:rsidRPr="008E5B32" w:rsidRDefault="001801DA" w:rsidP="00BA08CB">
            <w:pPr>
              <w:jc w:val="center"/>
            </w:pPr>
            <w:r w:rsidRPr="008E5B32">
              <w:rPr>
                <w:rFonts w:ascii="Segoe UI Symbol" w:eastAsia="Segoe UI Symbol" w:hAnsi="Segoe UI Symbol" w:cs="Segoe UI Symbol"/>
                <w:color w:val="222222"/>
                <w:shd w:val="clear" w:color="auto" w:fill="FFFFFF"/>
              </w:rPr>
              <w:t>✓</w:t>
            </w:r>
          </w:p>
        </w:tc>
      </w:tr>
      <w:tr w:rsidR="001801DA" w:rsidRPr="008E5B32" w14:paraId="28B01186" w14:textId="77777777" w:rsidTr="00D6682C">
        <w:tc>
          <w:tcPr>
            <w:tcW w:w="426" w:type="dxa"/>
          </w:tcPr>
          <w:p w14:paraId="234859BF" w14:textId="54833123" w:rsidR="001801DA" w:rsidRPr="008E5B32" w:rsidRDefault="001801DA" w:rsidP="00BA08CB">
            <w:r w:rsidRPr="008E5B32">
              <w:fldChar w:fldCharType="begin" w:fldLock="1"/>
            </w:r>
            <w:r w:rsidR="00434385" w:rsidRPr="008E5B32">
              <w:instrText>ADDIN CSL_CITATION {"citationItems":[{"id":"ITEM-1","itemData":{"DOI":"10.3109/17435390.2010.502980","ISBN":"1743-5390","ISSN":"17435390","PMID":"21609138","abstract":"AbstractIn this paper we propose a theoretical model that predicts the oxidative stress potential of oxide nanoparticles by looking at the ability of these materials to perturb the intracellular redox state. The model uses reactivity descriptors to build the energy band structure of oxide nanoparticles, assuming a particle diameter larger than 20?30 nm and no surface states in the band gap, and predicts their ability to induce an oxidative stress by comparing the redox potentials of relevant intracellular reactions with the oxides' energy structure. Nanoparticles displaying band energy values comparable with redox potentials of antioxidants or radical formation reactions have the ability to cause an oxidative stress and a cytotoxic response in vitro. We discuss the model's predictions for six relevant oxide nanoparticles (TiO2, CuO, ZnO, FeO, Fe2O3, Fe3O4) with literature in vitro studies and calculate the energy structure for 64 additional oxide nanomaterials. Such a framework would guide the development of more rational and efficient screening strategies avoiding random or exhaustive testing of new nanomaterials.","author":[{"dropping-particle":"","family":"Burello","given":"Enrico","non-dropping-particle":"","parse-names":false,"suffix":""},{"dropping-particle":"","family":"Worth","given":"Andrew P.","non-dropping-particle":"","parse-names":false,"suffix":""}],"container-title":"Nanotoxicology","id":"ITEM-1","issued":{"date-parts":[["2011"]]},"title":"A theoretical framework for predicting the oxidative stress potential of oxide nanoparticles","type":"article-journal"},"uris":["http://www.mendeley.com/documents/?uuid=e46fe900-7236-4467-8fdc-4cb0c1d914bf","http://www.mendeley.com/documents/?uuid=d6900de2-7c34-48ac-adb5-ad9915204f26","http://www.mendeley.com/documents/?uuid=250b535c-148c-432f-b9df-87cdea5267fa"]}],"mendeley":{"formattedCitation":"&lt;sup&gt;103&lt;/sup&gt;","plainTextFormattedCitation":"103","previouslyFormattedCitation":"&lt;sup&gt;103&lt;/sup&gt;"},"properties":{"noteIndex":0},"schema":"https://github.com/citation-style-language/schema/raw/master/csl-citation.json"}</w:instrText>
            </w:r>
            <w:r w:rsidRPr="008E5B32">
              <w:fldChar w:fldCharType="separate"/>
            </w:r>
            <w:r w:rsidR="004C12A8" w:rsidRPr="008E5B32">
              <w:rPr>
                <w:noProof/>
                <w:vertAlign w:val="superscript"/>
              </w:rPr>
              <w:t>103</w:t>
            </w:r>
            <w:r w:rsidRPr="008E5B32">
              <w:fldChar w:fldCharType="end"/>
            </w:r>
          </w:p>
        </w:tc>
        <w:tc>
          <w:tcPr>
            <w:tcW w:w="4536" w:type="dxa"/>
          </w:tcPr>
          <w:p w14:paraId="29A7B3ED" w14:textId="051633C0" w:rsidR="001801DA" w:rsidRPr="008E5B32" w:rsidRDefault="001801DA" w:rsidP="00BA08CB">
            <w:pPr>
              <w:jc w:val="both"/>
              <w:rPr>
                <w:lang w:val="en-GB"/>
              </w:rPr>
            </w:pPr>
            <w:r w:rsidRPr="008E5B32">
              <w:rPr>
                <w:lang w:val="en-GB"/>
              </w:rPr>
              <w:t>Theoretical model that predicts the oxidative stress potential of oxide NMs by comparing the redox potentials of relevant intracellular reactions with the energy structure, using reactivity descriptors.</w:t>
            </w:r>
          </w:p>
        </w:tc>
        <w:tc>
          <w:tcPr>
            <w:tcW w:w="2268" w:type="dxa"/>
          </w:tcPr>
          <w:p w14:paraId="21AE6623" w14:textId="77777777" w:rsidR="001801DA" w:rsidRPr="008E5B32" w:rsidRDefault="001801DA" w:rsidP="00BA08CB">
            <w:pPr>
              <w:jc w:val="center"/>
            </w:pPr>
            <w:r w:rsidRPr="008E5B32">
              <w:rPr>
                <w:rFonts w:ascii="Segoe UI Symbol" w:eastAsia="Segoe UI Symbol" w:hAnsi="Segoe UI Symbol" w:cs="Segoe UI Symbol"/>
                <w:color w:val="222222"/>
                <w:shd w:val="clear" w:color="auto" w:fill="FFFFFF"/>
              </w:rPr>
              <w:t>✓</w:t>
            </w:r>
          </w:p>
          <w:p w14:paraId="3A911ACA" w14:textId="77777777" w:rsidR="001801DA" w:rsidRPr="008E5B32" w:rsidRDefault="001801DA" w:rsidP="00BA08CB">
            <w:pPr>
              <w:jc w:val="center"/>
              <w:rPr>
                <w:rFonts w:ascii="Segoe UI Symbol" w:hAnsi="Segoe UI Symbol" w:cs="Segoe UI Symbol"/>
                <w:szCs w:val="18"/>
              </w:rPr>
            </w:pPr>
            <w:r w:rsidRPr="008E5B32">
              <w:t>(Oxidative stress potential)</w:t>
            </w:r>
          </w:p>
        </w:tc>
        <w:tc>
          <w:tcPr>
            <w:tcW w:w="960" w:type="dxa"/>
          </w:tcPr>
          <w:p w14:paraId="6BBD9B8F" w14:textId="77777777" w:rsidR="001801DA" w:rsidRPr="008E5B32" w:rsidRDefault="001801DA" w:rsidP="00BA08CB">
            <w:pPr>
              <w:jc w:val="center"/>
            </w:pPr>
            <w:r w:rsidRPr="008E5B32">
              <w:t>70</w:t>
            </w:r>
          </w:p>
        </w:tc>
        <w:tc>
          <w:tcPr>
            <w:tcW w:w="1620" w:type="dxa"/>
          </w:tcPr>
          <w:p w14:paraId="6405B788" w14:textId="77777777" w:rsidR="00604FF1" w:rsidRPr="008E5B32" w:rsidRDefault="00C60A8A" w:rsidP="00BA08CB">
            <w:pPr>
              <w:jc w:val="center"/>
              <w:rPr>
                <w:rFonts w:eastAsia="Segoe UI Symbol"/>
                <w:color w:val="222222"/>
                <w:shd w:val="clear" w:color="auto" w:fill="FFFFFF"/>
              </w:rPr>
            </w:pPr>
            <w:r w:rsidRPr="008E5B32">
              <w:rPr>
                <w:rFonts w:eastAsia="Segoe UI Symbol"/>
              </w:rPr>
              <w:t>NA</w:t>
            </w:r>
          </w:p>
          <w:p w14:paraId="4A5EBC8A" w14:textId="77777777" w:rsidR="001801DA" w:rsidRPr="008E5B32" w:rsidRDefault="001801DA" w:rsidP="00BA08CB">
            <w:pPr>
              <w:jc w:val="center"/>
              <w:rPr>
                <w:rFonts w:eastAsia="Segoe UI Symbol"/>
                <w:color w:val="222222"/>
                <w:shd w:val="clear" w:color="auto" w:fill="FFFFFF"/>
              </w:rPr>
            </w:pPr>
            <w:r w:rsidRPr="008E5B32">
              <w:rPr>
                <w:rFonts w:eastAsia="Segoe UI Symbol"/>
                <w:color w:val="222222"/>
                <w:shd w:val="clear" w:color="auto" w:fill="FFFFFF"/>
              </w:rPr>
              <w:t>(Theoretical model)</w:t>
            </w:r>
          </w:p>
        </w:tc>
        <w:tc>
          <w:tcPr>
            <w:tcW w:w="540" w:type="dxa"/>
          </w:tcPr>
          <w:p w14:paraId="2F73D5B2"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t>≈</w:t>
            </w:r>
          </w:p>
        </w:tc>
        <w:tc>
          <w:tcPr>
            <w:tcW w:w="540" w:type="dxa"/>
          </w:tcPr>
          <w:p w14:paraId="09D9E628"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t>≈</w:t>
            </w:r>
          </w:p>
        </w:tc>
        <w:tc>
          <w:tcPr>
            <w:tcW w:w="1350" w:type="dxa"/>
          </w:tcPr>
          <w:p w14:paraId="075F53DE" w14:textId="77777777" w:rsidR="001801DA" w:rsidRPr="008E5B32" w:rsidRDefault="001801DA" w:rsidP="00BA08CB">
            <w:pPr>
              <w:jc w:val="center"/>
              <w:rPr>
                <w:rFonts w:ascii="Segoe UI Symbol" w:eastAsia="Segoe UI Symbol" w:hAnsi="Segoe UI Symbol" w:cs="Segoe UI Symbol"/>
                <w:b/>
                <w:color w:val="222222"/>
                <w:shd w:val="clear" w:color="auto" w:fill="FFFFFF"/>
              </w:rPr>
            </w:pPr>
            <w:r w:rsidRPr="008E5B32">
              <w:rPr>
                <w:rFonts w:ascii="Segoe UI Symbol" w:eastAsia="Segoe UI Symbol" w:hAnsi="Segoe UI Symbol" w:cs="Segoe UI Symbol"/>
              </w:rPr>
              <w:t>✗</w:t>
            </w:r>
          </w:p>
        </w:tc>
        <w:tc>
          <w:tcPr>
            <w:tcW w:w="1350" w:type="dxa"/>
          </w:tcPr>
          <w:p w14:paraId="6F211C20" w14:textId="77777777" w:rsidR="001801DA" w:rsidRPr="008E5B32" w:rsidRDefault="001801DA" w:rsidP="00BA08CB">
            <w:pPr>
              <w:jc w:val="center"/>
              <w:rPr>
                <w:szCs w:val="18"/>
              </w:rPr>
            </w:pPr>
            <w:r w:rsidRPr="008E5B32">
              <w:rPr>
                <w:rFonts w:ascii="Segoe UI Symbol" w:eastAsia="Segoe UI Symbol" w:hAnsi="Segoe UI Symbol" w:cs="Segoe UI Symbol"/>
              </w:rPr>
              <w:t>✗</w:t>
            </w:r>
          </w:p>
        </w:tc>
        <w:tc>
          <w:tcPr>
            <w:tcW w:w="581" w:type="dxa"/>
          </w:tcPr>
          <w:p w14:paraId="6440E578"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1801DA" w:rsidRPr="008E5B32" w14:paraId="0BC0A387" w14:textId="77777777" w:rsidTr="00D6682C">
        <w:tc>
          <w:tcPr>
            <w:tcW w:w="426" w:type="dxa"/>
          </w:tcPr>
          <w:p w14:paraId="059D0EDC" w14:textId="675227CF" w:rsidR="001801DA" w:rsidRPr="008E5B32" w:rsidRDefault="001801DA" w:rsidP="00BA08CB">
            <w:pPr>
              <w:rPr>
                <w:lang w:val="en-GB"/>
              </w:rPr>
            </w:pPr>
            <w:r w:rsidRPr="008E5B32">
              <w:fldChar w:fldCharType="begin" w:fldLock="1"/>
            </w:r>
            <w:r w:rsidR="00434385" w:rsidRPr="008E5B32">
              <w:instrText>ADDIN CSL_CITATION {"citationItems":[{"id":"ITEM-1","itemData":{"DOI":"10.1111/j.1539-6924.2010.01438.x","ISBN":"0272-4332","ISSN":"02724332","PMID":"20561263","abstract":"With the increasing use of nanomaterials incorporated into consumer products, there is a need for developing approaches to establish \"quantitative structure-activity relationships\" (QSARs). These relationships could be used to predict various biological responses after exposure to nanomaterials for the purposes of risk analysis. This risk analysis is applicable to manufacturers of nanomaterials in an effort to determine potential hazards. Because metal oxide materials are some of the most widely applicable and studied nanoparticle types for incorporation into cosmetics, food packaging, and paints and coatings, we focused on comparing different approaches for establishing QSARs for this class of materials. Metal oxide nanoparticles are believed, by some, to cause alterations in cellular function due to their size and/or surface area. Others have said that these nanomaterials, because of the oxidized state of the metal, do not induce stress in biological tests systems. This controversy highlights the need to systematically develop structure-activity relationships (i.e., the relationship between physicochemical features to the cellular responses) and tools for predicting potential biological effects after a metal oxide nanomaterial exposure. Here, we attempt to identify a set of properties of two specific metal oxide nanomaterials-TiO(2) and ZnO-that could be used to characterize and predict the in</w:instrText>
            </w:r>
            <w:r w:rsidR="00434385" w:rsidRPr="008E5B32">
              <w:rPr>
                <w:lang w:val="en-US"/>
              </w:rPr>
              <w:instrText>duced cellular membrane damage of immortalized human lung epithelial cells. We adopt a mathematical modeling approach that uses the engineered nanomaterial size characterized as a dry nanopowder and the nanomaterial behavior in ultrapure water, phosphate buffer, and cell culture media to predict nanomaterial-induced cellular membrane damage (via lactate dehydrogenase release). Results of these studies provide insights on how engineered nanomaterial features influence cellular responses and thereby outline possible approaches for developing and applying predictive computational models for biological responses caused by exposure to nanomaterials.","author":[{"dropping-particle":"","family":"Sayes","given":"Christie","non-dropping-particle":"","parse-names":false,"suffix":""},{"dropping-particle":"","family":"Ivanov","given":"Ivan","non-dropping-particle":"","parse-names":false,"suffix":""}],"container-title":"Risk Analysis","id":"ITEM-1","issue":"11","issued":{"date-parts":[["2010"]]},"page":"1723-1734","title":"Comparative Study of Predictive Computational Models for Nanoparticle-Induced Cytotoxicity","type":"article-journal","volume":"30"},"uris":["http://www.mendeley.com/documents/?uuid=aebc16e7-9352-434a-b845-1324726d1c0c"]}],"mendeley":{"formattedCitation":"&lt;sup&gt;104&lt;/sup&gt;","plainTextFormattedCitation":"104","previouslyFormattedCitation":"&lt;sup&gt;104&lt;/sup&gt;"},"properties":{"noteIndex":0},"schema":"https://github.com/citation-style-language/schema/raw/master/csl-citation.json"}</w:instrText>
            </w:r>
            <w:r w:rsidRPr="008E5B32">
              <w:fldChar w:fldCharType="separate"/>
            </w:r>
            <w:r w:rsidR="004C12A8" w:rsidRPr="008E5B32">
              <w:rPr>
                <w:noProof/>
                <w:vertAlign w:val="superscript"/>
                <w:lang w:val="en-GB"/>
              </w:rPr>
              <w:t>104</w:t>
            </w:r>
            <w:r w:rsidRPr="008E5B32">
              <w:fldChar w:fldCharType="end"/>
            </w:r>
          </w:p>
        </w:tc>
        <w:tc>
          <w:tcPr>
            <w:tcW w:w="4536" w:type="dxa"/>
          </w:tcPr>
          <w:p w14:paraId="754FC4D7" w14:textId="3F005278" w:rsidR="001801DA" w:rsidRPr="008E5B32" w:rsidRDefault="00FB426D" w:rsidP="00CC2F2A">
            <w:pPr>
              <w:jc w:val="both"/>
              <w:rPr>
                <w:lang w:val="en-GB"/>
              </w:rPr>
            </w:pPr>
            <w:r w:rsidRPr="008E5B32">
              <w:rPr>
                <w:lang w:val="en-GB"/>
              </w:rPr>
              <w:t>CS</w:t>
            </w:r>
            <w:r w:rsidR="001801DA" w:rsidRPr="008E5B32">
              <w:rPr>
                <w:lang w:val="en-GB"/>
              </w:rPr>
              <w:t xml:space="preserve">1: </w:t>
            </w:r>
            <w:r w:rsidR="00590BC3" w:rsidRPr="008E5B32">
              <w:rPr>
                <w:lang w:val="en-GB"/>
              </w:rPr>
              <w:t>r</w:t>
            </w:r>
            <w:r w:rsidR="001801DA" w:rsidRPr="008E5B32">
              <w:rPr>
                <w:lang w:val="en-GB"/>
              </w:rPr>
              <w:t>egression model to predict cellular membrane damage of TiO</w:t>
            </w:r>
            <w:r w:rsidR="001801DA" w:rsidRPr="008E5B32">
              <w:rPr>
                <w:lang w:val="en-GB"/>
              </w:rPr>
              <w:softHyphen/>
            </w:r>
            <w:r w:rsidR="001801DA" w:rsidRPr="008E5B32">
              <w:rPr>
                <w:vertAlign w:val="subscript"/>
                <w:lang w:val="en-GB"/>
              </w:rPr>
              <w:t>2</w:t>
            </w:r>
            <w:r w:rsidR="001801DA" w:rsidRPr="008E5B32">
              <w:rPr>
                <w:lang w:val="en-GB"/>
              </w:rPr>
              <w:t xml:space="preserve"> NMs via lactate dehydrogenase (LDH) release using </w:t>
            </w:r>
            <w:r w:rsidR="00793AE1" w:rsidRPr="008E5B32">
              <w:rPr>
                <w:lang w:val="en-GB"/>
              </w:rPr>
              <w:t>five</w:t>
            </w:r>
            <w:r w:rsidR="00785247" w:rsidRPr="008E5B32">
              <w:rPr>
                <w:lang w:val="en-GB"/>
              </w:rPr>
              <w:t xml:space="preserve"> nanospecific</w:t>
            </w:r>
            <w:r w:rsidR="001801DA" w:rsidRPr="008E5B32">
              <w:rPr>
                <w:lang w:val="en-GB"/>
              </w:rPr>
              <w:t xml:space="preserve"> descriptors</w:t>
            </w:r>
            <w:r w:rsidR="00DE06C9" w:rsidRPr="008E5B32">
              <w:rPr>
                <w:lang w:val="en-GB"/>
              </w:rPr>
              <w:t xml:space="preserve"> </w:t>
            </w:r>
            <w:r w:rsidR="00785247" w:rsidRPr="008E5B32">
              <w:rPr>
                <w:lang w:val="en-GB"/>
              </w:rPr>
              <w:t xml:space="preserve">(size, size in water and </w:t>
            </w:r>
            <w:r w:rsidR="00CC2F2A" w:rsidRPr="008E5B32">
              <w:rPr>
                <w:lang w:val="en-GB"/>
              </w:rPr>
              <w:t>phosphate buffered saline</w:t>
            </w:r>
            <w:r w:rsidR="00785247" w:rsidRPr="008E5B32">
              <w:rPr>
                <w:lang w:val="en-GB"/>
              </w:rPr>
              <w:t xml:space="preserve">, </w:t>
            </w:r>
            <w:r w:rsidR="00CC2F2A" w:rsidRPr="008E5B32">
              <w:rPr>
                <w:lang w:val="en-GB"/>
              </w:rPr>
              <w:t>concentration and zeta-potential</w:t>
            </w:r>
            <w:r w:rsidR="00DE06C9" w:rsidRPr="008E5B32">
              <w:rPr>
                <w:lang w:val="en-GB"/>
              </w:rPr>
              <w:t>)</w:t>
            </w:r>
            <w:r w:rsidR="001801DA" w:rsidRPr="008E5B32">
              <w:rPr>
                <w:lang w:val="en-GB"/>
              </w:rPr>
              <w:t>.</w:t>
            </w:r>
            <w:r w:rsidR="0099212A" w:rsidRPr="008E5B32">
              <w:rPr>
                <w:lang w:val="en-GB"/>
              </w:rPr>
              <w:t xml:space="preserve"> </w:t>
            </w:r>
            <w:r w:rsidRPr="008E5B32">
              <w:rPr>
                <w:lang w:val="en-GB"/>
              </w:rPr>
              <w:t>CS</w:t>
            </w:r>
            <w:r w:rsidR="001801DA" w:rsidRPr="008E5B32">
              <w:rPr>
                <w:lang w:val="en-GB"/>
              </w:rPr>
              <w:t xml:space="preserve">2: </w:t>
            </w:r>
            <w:r w:rsidR="00590BC3" w:rsidRPr="008E5B32">
              <w:rPr>
                <w:lang w:val="en-GB"/>
              </w:rPr>
              <w:t>c</w:t>
            </w:r>
            <w:r w:rsidR="001801DA" w:rsidRPr="008E5B32">
              <w:rPr>
                <w:lang w:val="en-GB"/>
              </w:rPr>
              <w:t xml:space="preserve">lassification model to detect dense cell membranes and disrupted cell membrane after the exposure to ZnO NMs via LDH release using </w:t>
            </w:r>
            <w:r w:rsidR="00013BDE" w:rsidRPr="008E5B32">
              <w:rPr>
                <w:lang w:val="en-GB"/>
              </w:rPr>
              <w:t>three</w:t>
            </w:r>
            <w:r w:rsidR="00CC2F2A" w:rsidRPr="008E5B32">
              <w:rPr>
                <w:lang w:val="en-GB"/>
              </w:rPr>
              <w:t xml:space="preserve"> nanospecific</w:t>
            </w:r>
            <w:r w:rsidR="001801DA" w:rsidRPr="008E5B32">
              <w:rPr>
                <w:lang w:val="en-GB"/>
              </w:rPr>
              <w:t xml:space="preserve"> descriptors</w:t>
            </w:r>
            <w:r w:rsidR="00DE06C9" w:rsidRPr="008E5B32">
              <w:rPr>
                <w:lang w:val="en-GB"/>
              </w:rPr>
              <w:t xml:space="preserve"> (</w:t>
            </w:r>
            <w:r w:rsidR="00CC2F2A" w:rsidRPr="008E5B32">
              <w:rPr>
                <w:lang w:val="en-GB"/>
              </w:rPr>
              <w:t>size in water and cell culture medium, zeta potential</w:t>
            </w:r>
            <w:r w:rsidR="00DE06C9" w:rsidRPr="008E5B32">
              <w:rPr>
                <w:lang w:val="en-GB"/>
              </w:rPr>
              <w:t>)</w:t>
            </w:r>
            <w:r w:rsidR="001801DA" w:rsidRPr="008E5B32">
              <w:rPr>
                <w:lang w:val="en-GB"/>
              </w:rPr>
              <w:t>.</w:t>
            </w:r>
          </w:p>
        </w:tc>
        <w:tc>
          <w:tcPr>
            <w:tcW w:w="2268" w:type="dxa"/>
          </w:tcPr>
          <w:p w14:paraId="103F71C8"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6CFCBAEE"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(CS1 and CS2: Cellular membrane damage via LDH release)</w:t>
            </w:r>
          </w:p>
        </w:tc>
        <w:tc>
          <w:tcPr>
            <w:tcW w:w="960" w:type="dxa"/>
          </w:tcPr>
          <w:p w14:paraId="369C1BEC" w14:textId="77777777" w:rsidR="001801DA" w:rsidRPr="008E5B32" w:rsidRDefault="001801DA" w:rsidP="00BA08CB">
            <w:pPr>
              <w:jc w:val="center"/>
              <w:rPr>
                <w:lang w:val="en-GB"/>
              </w:rPr>
            </w:pPr>
            <w:r w:rsidRPr="008E5B32">
              <w:rPr>
                <w:lang w:val="en-GB"/>
              </w:rPr>
              <w:t xml:space="preserve">24, </w:t>
            </w:r>
            <w:r w:rsidR="004B50FC" w:rsidRPr="008E5B32">
              <w:rPr>
                <w:lang w:val="en-GB"/>
              </w:rPr>
              <w:br/>
            </w:r>
            <w:r w:rsidRPr="008E5B32">
              <w:rPr>
                <w:lang w:val="en-GB"/>
              </w:rPr>
              <w:t>18</w:t>
            </w:r>
          </w:p>
        </w:tc>
        <w:tc>
          <w:tcPr>
            <w:tcW w:w="1620" w:type="dxa"/>
          </w:tcPr>
          <w:p w14:paraId="1DE7F019"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65F2ADDF" w14:textId="77777777" w:rsidR="001801DA" w:rsidRPr="008E5B32" w:rsidRDefault="001801DA" w:rsidP="00BA08CB">
            <w:pPr>
              <w:jc w:val="center"/>
              <w:rPr>
                <w:lang w:val="en-GB"/>
              </w:rPr>
            </w:pPr>
            <w:r w:rsidRPr="008E5B32">
              <w:rPr>
                <w:lang w:val="en-GB"/>
              </w:rPr>
              <w:t>(CS1: MLR,</w:t>
            </w:r>
          </w:p>
          <w:p w14:paraId="2A052618"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 xml:space="preserve">CS2: </w:t>
            </w:r>
            <w:r w:rsidRPr="008E5B32">
              <w:rPr>
                <w:i/>
                <w:iCs/>
                <w:lang w:val="en-GB"/>
              </w:rPr>
              <w:t>LDA</w:t>
            </w:r>
            <w:r w:rsidRPr="008E5B32">
              <w:rPr>
                <w:lang w:val="en-GB"/>
              </w:rPr>
              <w:t>)</w:t>
            </w:r>
          </w:p>
        </w:tc>
        <w:tc>
          <w:tcPr>
            <w:tcW w:w="540" w:type="dxa"/>
          </w:tcPr>
          <w:p w14:paraId="229337A5"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w:t>
            </w:r>
          </w:p>
        </w:tc>
        <w:tc>
          <w:tcPr>
            <w:tcW w:w="540" w:type="dxa"/>
          </w:tcPr>
          <w:p w14:paraId="04CA6F04" w14:textId="77777777" w:rsidR="001801DA" w:rsidRPr="008E5B32" w:rsidRDefault="001801DA" w:rsidP="00BA08CB">
            <w:pPr>
              <w:jc w:val="center"/>
              <w:rPr>
                <w:szCs w:val="18"/>
                <w:lang w:val="en-GB"/>
              </w:rPr>
            </w:pPr>
            <w:r w:rsidRPr="008E5B32">
              <w:rPr>
                <w:szCs w:val="18"/>
                <w:lang w:val="en-GB"/>
              </w:rPr>
              <w:t>≈</w:t>
            </w:r>
          </w:p>
        </w:tc>
        <w:tc>
          <w:tcPr>
            <w:tcW w:w="1350" w:type="dxa"/>
          </w:tcPr>
          <w:p w14:paraId="65119729"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lang w:val="en-GB"/>
              </w:rPr>
              <w:t>✗</w:t>
            </w:r>
          </w:p>
        </w:tc>
        <w:tc>
          <w:tcPr>
            <w:tcW w:w="1350" w:type="dxa"/>
          </w:tcPr>
          <w:p w14:paraId="6EE0EE43" w14:textId="77777777" w:rsidR="001801DA" w:rsidRPr="008E5B32" w:rsidRDefault="001801DA" w:rsidP="00BA08CB">
            <w:pPr>
              <w:jc w:val="center"/>
              <w:rPr>
                <w:szCs w:val="18"/>
                <w:lang w:val="en-GB"/>
              </w:rPr>
            </w:pPr>
            <w:r w:rsidRPr="008E5B32">
              <w:rPr>
                <w:rFonts w:ascii="Segoe UI Symbol" w:hAnsi="Segoe UI Symbol" w:cs="Segoe UI Symbol"/>
                <w:szCs w:val="18"/>
                <w:lang w:val="en-GB"/>
              </w:rPr>
              <w:t>✗</w:t>
            </w:r>
          </w:p>
        </w:tc>
        <w:tc>
          <w:tcPr>
            <w:tcW w:w="581" w:type="dxa"/>
          </w:tcPr>
          <w:p w14:paraId="46216F89"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1801DA" w:rsidRPr="008E5B32" w14:paraId="0DD3A689" w14:textId="77777777" w:rsidTr="00D6682C">
        <w:tc>
          <w:tcPr>
            <w:tcW w:w="426" w:type="dxa"/>
          </w:tcPr>
          <w:p w14:paraId="784E33D4" w14:textId="0A3A15BE" w:rsidR="001801DA" w:rsidRPr="008E5B32" w:rsidRDefault="001801DA" w:rsidP="00BA08CB">
            <w:r w:rsidRPr="008E5B32">
              <w:fldChar w:fldCharType="begin" w:fldLock="1"/>
            </w:r>
            <w:r w:rsidR="00434385" w:rsidRPr="008E5B32">
              <w:rPr>
                <w:lang w:val="en-GB"/>
              </w:rPr>
              <w:instrText>ADDIN CSL_CITATION {"citationItems":[{"id":"ITEM-1","itemData":{"DOI":"10.1002/smll.201002366","ISBN":"1613-6810","ISSN":"16136810","PMID":"21456088","abstract":"A classification-based cytotoxicity nanostructure-activity relationship (nanoSAR) is presented based on a set of nine metal oxide nanoparticles to which transformed bronchial epithelial cells (BEAS-2B) were exposed over a range of concentrations (0.375-200 mg L-1) and exposure times up to 24 h. The nanoSAR is developed using cytotoxicity data from a high-throughput screening assay that was processed to identify and label toxic (in terms of the propidium iodide uptake of BEAS-2B cells) versus nontoxic events relative to an unexposed control cell population. Starting with a set of fourteen intuitive but fundamental physicochemical nanoSAR input parameters, a number of models were identified which had a classification accuracy above 95%. The best-performing model had a 100% classification accuracy in both internal and external validations. This model is based on three descriptors: atomization energy of the metal oxide, period of the nanoparticle metal, and nanoparticle primary size, in addition to nanoparticle volume fraction (in solution). Notwithstanding the success of the present modeling approach with a relatively small nanoparticle library, it is important to recognize that a significantly larger data set would be needed in order to expand the applicability domain and increase the confidence and reliability of data-driven nanoSARs. © 2011 Wiley-VCH Verlag GmbH &amp;amp; Co. KGaA, Weinheim.","author":[{"dropping-particle":"","family":"Liu","given":"Rong","non-dropping-particle":"","parse-names":false,"suffix":""},{"dropping-particle":"","family":"Rallo","given":"Robert","non-dropping-particle":"","parse-names":false,"suffix":""},{"dropping-particle":"","family":"George","given":"Saji","non-dropping-particle":"","parse-names":false,"suffix":""},{"dropping-particle":"","family":"Ji","given":"Zhaoxia","non-dropping-particle":"","parse-names":false,"suffix":""},{"dropping-particle":"","family":"Nair","given":"Sumitra","non-dropping-particle":"","parse-names":false,"suffix":""},{"dropping-particle":"","family":"Nel","given":"Andr?? E.","non-dropping-particle":"","parse-names":false,"suffix":""},{"dropping-particle":"","family":"Cohen","given":"Yoram","non-dropping-particle":"","parse-names":false,"suffix":""}],"container-title":"Small","id":"ITEM-1","issue":"8","issued":{"date-parts":[["2011"]]},"page":"1118-1126","title":"Classification NanoSAR development for cytotoxicity of metal oxide nanoparticles","type":"article-journal","volume":"7"},"uris":["http://www.mendeley.com/documents/?uuid=c1f14c41-dc77-4a1f-b3e6-efcf4da7b9c0"]}],"mendeley":{"formattedCitation":"&lt;sup&gt;105&lt;/sup&gt;","plainTextFormattedCitation":"105","previouslyFormattedCitation":"&lt;sup&gt;105&lt;/sup&gt;"},"properties":{"noteIndex":0},"schema":"https://github.com/citation-style-language/schema/raw/master/csl-citation.json"}</w:instrText>
            </w:r>
            <w:r w:rsidRPr="008E5B32">
              <w:fldChar w:fldCharType="separate"/>
            </w:r>
            <w:r w:rsidR="004C12A8" w:rsidRPr="008E5B32">
              <w:rPr>
                <w:noProof/>
                <w:vertAlign w:val="superscript"/>
              </w:rPr>
              <w:t>105</w:t>
            </w:r>
            <w:r w:rsidRPr="008E5B32">
              <w:fldChar w:fldCharType="end"/>
            </w:r>
          </w:p>
        </w:tc>
        <w:tc>
          <w:tcPr>
            <w:tcW w:w="4536" w:type="dxa"/>
          </w:tcPr>
          <w:p w14:paraId="6B273849" w14:textId="71F4EE1D" w:rsidR="001801DA" w:rsidRPr="008E5B32" w:rsidRDefault="001801DA" w:rsidP="00126DF8">
            <w:pPr>
              <w:rPr>
                <w:lang w:val="en-GB"/>
              </w:rPr>
            </w:pPr>
            <w:r w:rsidRPr="008E5B32">
              <w:rPr>
                <w:lang w:val="en-GB"/>
              </w:rPr>
              <w:t>Classification-based cytotoxicity of metal oxide NMs at different concentrations, using 14</w:t>
            </w:r>
            <w:r w:rsidR="00126DF8" w:rsidRPr="008E5B32">
              <w:rPr>
                <w:lang w:val="en-GB"/>
              </w:rPr>
              <w:t xml:space="preserve"> nanospecific and calculated physicochemical</w:t>
            </w:r>
            <w:r w:rsidRPr="008E5B32">
              <w:rPr>
                <w:lang w:val="en-GB"/>
              </w:rPr>
              <w:t xml:space="preserve"> descriptors and exploring all possible combinations of these descriptors, ending up with a model with </w:t>
            </w:r>
            <w:r w:rsidR="00013BDE" w:rsidRPr="008E5B32">
              <w:rPr>
                <w:lang w:val="en-GB"/>
              </w:rPr>
              <w:t>three</w:t>
            </w:r>
            <w:r w:rsidRPr="008E5B32">
              <w:rPr>
                <w:lang w:val="en-GB"/>
              </w:rPr>
              <w:t xml:space="preserve"> descriptors</w:t>
            </w:r>
            <w:r w:rsidR="00126DF8" w:rsidRPr="008E5B32">
              <w:rPr>
                <w:lang w:val="en-GB"/>
              </w:rPr>
              <w:t xml:space="preserve"> (period of the NM metal, atomization energy, and primary size)</w:t>
            </w:r>
            <w:r w:rsidRPr="008E5B32">
              <w:rPr>
                <w:lang w:val="en-GB"/>
              </w:rPr>
              <w:t>.</w:t>
            </w:r>
          </w:p>
        </w:tc>
        <w:tc>
          <w:tcPr>
            <w:tcW w:w="2268" w:type="dxa"/>
          </w:tcPr>
          <w:p w14:paraId="5AA7347D"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5B9595DF"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(Cytotoxicity via propidium iodide uptake of BEAS-2B cells)</w:t>
            </w:r>
          </w:p>
        </w:tc>
        <w:tc>
          <w:tcPr>
            <w:tcW w:w="960" w:type="dxa"/>
          </w:tcPr>
          <w:p w14:paraId="14A36C86" w14:textId="77777777" w:rsidR="001801DA" w:rsidRPr="008E5B32" w:rsidRDefault="001801DA" w:rsidP="00BA08CB">
            <w:pPr>
              <w:jc w:val="center"/>
            </w:pPr>
            <w:r w:rsidRPr="008E5B32">
              <w:t>9</w:t>
            </w:r>
          </w:p>
        </w:tc>
        <w:tc>
          <w:tcPr>
            <w:tcW w:w="1620" w:type="dxa"/>
          </w:tcPr>
          <w:p w14:paraId="5C87025B"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4272474F"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t>(</w:t>
            </w:r>
            <w:r w:rsidRPr="008E5B32">
              <w:rPr>
                <w:i/>
                <w:iCs/>
              </w:rPr>
              <w:t xml:space="preserve">Logistic </w:t>
            </w:r>
            <w:r w:rsidR="00D01458" w:rsidRPr="008E5B32">
              <w:rPr>
                <w:i/>
                <w:iCs/>
              </w:rPr>
              <w:t>r</w:t>
            </w:r>
            <w:r w:rsidRPr="008E5B32">
              <w:rPr>
                <w:i/>
                <w:iCs/>
              </w:rPr>
              <w:t>egression</w:t>
            </w:r>
            <w:r w:rsidRPr="008E5B32">
              <w:t>)</w:t>
            </w:r>
          </w:p>
        </w:tc>
        <w:tc>
          <w:tcPr>
            <w:tcW w:w="540" w:type="dxa"/>
          </w:tcPr>
          <w:p w14:paraId="35266AE8" w14:textId="77777777" w:rsidR="001801DA" w:rsidRPr="008E5B32" w:rsidRDefault="001801DA" w:rsidP="00BA08CB">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1DE00B84" w14:textId="77777777" w:rsidR="001801DA" w:rsidRPr="008E5B32" w:rsidRDefault="001801DA" w:rsidP="00BA08CB">
            <w:pPr>
              <w:jc w:val="center"/>
              <w:rPr>
                <w:rFonts w:ascii="Segoe UI Symbol" w:hAnsi="Segoe UI Symbol" w:cs="Segoe UI Symbol"/>
                <w:szCs w:val="18"/>
              </w:rPr>
            </w:pPr>
            <w:r w:rsidRPr="008E5B32">
              <w:rPr>
                <w:szCs w:val="18"/>
              </w:rPr>
              <w:t>≈</w:t>
            </w:r>
          </w:p>
        </w:tc>
        <w:tc>
          <w:tcPr>
            <w:tcW w:w="1350" w:type="dxa"/>
          </w:tcPr>
          <w:p w14:paraId="37269A80"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(Geometric: convex hull after PCA)</w:t>
            </w:r>
          </w:p>
        </w:tc>
        <w:tc>
          <w:tcPr>
            <w:tcW w:w="1350" w:type="dxa"/>
          </w:tcPr>
          <w:p w14:paraId="5F01E848" w14:textId="77777777" w:rsidR="001801DA" w:rsidRPr="008E5B32" w:rsidRDefault="001801DA"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6738EC71"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1801DA" w:rsidRPr="008E5B32" w14:paraId="70E2CDF3" w14:textId="77777777" w:rsidTr="00D6682C">
        <w:tc>
          <w:tcPr>
            <w:tcW w:w="426" w:type="dxa"/>
          </w:tcPr>
          <w:p w14:paraId="0BA89670" w14:textId="03F0DC6D" w:rsidR="001801DA" w:rsidRPr="008E5B32" w:rsidRDefault="001801DA" w:rsidP="00BA08CB">
            <w:pPr>
              <w:rPr>
                <w:lang w:val="en-GB"/>
              </w:rPr>
            </w:pP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w:instrText>
            </w:r>
            <w:r w:rsidR="004C12A8" w:rsidRPr="008E5B32">
              <w:rPr>
                <w:lang w:val="en-US"/>
              </w:rPr>
              <w:instrText>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lang w:val="en-GB"/>
              </w:rPr>
              <w:t>23</w:t>
            </w:r>
            <w:r w:rsidRPr="008E5B32">
              <w:fldChar w:fldCharType="end"/>
            </w:r>
          </w:p>
        </w:tc>
        <w:tc>
          <w:tcPr>
            <w:tcW w:w="4536" w:type="dxa"/>
          </w:tcPr>
          <w:p w14:paraId="5D9FF0CC" w14:textId="75A8BB37" w:rsidR="001801DA" w:rsidRPr="008E5B32" w:rsidRDefault="001801DA" w:rsidP="00126DF8">
            <w:pPr>
              <w:shd w:val="clear" w:color="auto" w:fill="FFFFFF"/>
              <w:rPr>
                <w:lang w:val="en-GB"/>
              </w:rPr>
            </w:pPr>
            <w:r w:rsidRPr="008E5B32">
              <w:rPr>
                <w:lang w:val="en-GB"/>
              </w:rPr>
              <w:t xml:space="preserve">QSAR model describing the Cytotoxicity of a set of Metal Oxide NMs to bacteria </w:t>
            </w:r>
            <w:r w:rsidRPr="008E5B32">
              <w:rPr>
                <w:i/>
                <w:lang w:val="en-GB"/>
              </w:rPr>
              <w:t>Escherichia Coli</w:t>
            </w:r>
            <w:r w:rsidRPr="008E5B32">
              <w:rPr>
                <w:lang w:val="en-GB"/>
              </w:rPr>
              <w:t xml:space="preserve"> using a single </w:t>
            </w:r>
            <w:r w:rsidR="00126DF8" w:rsidRPr="008E5B32">
              <w:rPr>
                <w:lang w:val="en-GB"/>
              </w:rPr>
              <w:t xml:space="preserve">calculated chemical </w:t>
            </w:r>
            <w:r w:rsidRPr="008E5B32">
              <w:rPr>
                <w:szCs w:val="18"/>
                <w:lang w:val="en-GB"/>
              </w:rPr>
              <w:t>descriptor</w:t>
            </w:r>
            <w:r w:rsidR="00126DF8" w:rsidRPr="008E5B32">
              <w:rPr>
                <w:szCs w:val="18"/>
                <w:lang w:val="en-GB"/>
              </w:rPr>
              <w:t xml:space="preserve"> (</w:t>
            </w:r>
            <w:r w:rsidR="00126DF8" w:rsidRPr="008E5B32">
              <w:rPr>
                <w:color w:val="auto"/>
                <w:szCs w:val="18"/>
                <w:lang w:val="en-US"/>
              </w:rPr>
              <w:t>enthalpy of formation of a gaseous catio)</w:t>
            </w:r>
            <w:r w:rsidR="006819D7" w:rsidRPr="008E5B32">
              <w:rPr>
                <w:i/>
                <w:lang w:val="en-GB"/>
              </w:rPr>
              <w:t>.</w:t>
            </w:r>
          </w:p>
        </w:tc>
        <w:tc>
          <w:tcPr>
            <w:tcW w:w="2268" w:type="dxa"/>
          </w:tcPr>
          <w:p w14:paraId="5BE59F18"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13154585"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3218C513" w14:textId="77777777" w:rsidR="001801DA" w:rsidRPr="008E5B32" w:rsidRDefault="001801DA" w:rsidP="00BA08CB">
            <w:pPr>
              <w:jc w:val="center"/>
              <w:rPr>
                <w:lang w:val="en-GB"/>
              </w:rPr>
            </w:pPr>
            <w:r w:rsidRPr="008E5B32">
              <w:rPr>
                <w:lang w:val="en-GB"/>
              </w:rPr>
              <w:t>17</w:t>
            </w:r>
          </w:p>
        </w:tc>
        <w:tc>
          <w:tcPr>
            <w:tcW w:w="1620" w:type="dxa"/>
          </w:tcPr>
          <w:p w14:paraId="7B4D47DC"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5ECABA95"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(MLR combined with a Genetic Algorithm)</w:t>
            </w:r>
          </w:p>
        </w:tc>
        <w:tc>
          <w:tcPr>
            <w:tcW w:w="540" w:type="dxa"/>
          </w:tcPr>
          <w:p w14:paraId="2264C31E"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0E9E1956" w14:textId="77777777" w:rsidR="001801DA" w:rsidRPr="008E5B32" w:rsidRDefault="001801DA" w:rsidP="00BA08CB">
            <w:pPr>
              <w:jc w:val="center"/>
              <w:rPr>
                <w:szCs w:val="18"/>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623EBE00"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(Leverage approach)</w:t>
            </w:r>
          </w:p>
        </w:tc>
        <w:tc>
          <w:tcPr>
            <w:tcW w:w="1350" w:type="dxa"/>
          </w:tcPr>
          <w:p w14:paraId="1C0BE3F6" w14:textId="77777777" w:rsidR="001801DA" w:rsidRPr="008E5B32" w:rsidRDefault="001801DA" w:rsidP="00BA08CB">
            <w:pPr>
              <w:jc w:val="center"/>
              <w:rPr>
                <w:szCs w:val="18"/>
                <w:lang w:val="en-GB"/>
              </w:rPr>
            </w:pPr>
            <w:r w:rsidRPr="008E5B32">
              <w:rPr>
                <w:szCs w:val="18"/>
                <w:lang w:val="en-GB"/>
              </w:rPr>
              <w:t>≈</w:t>
            </w:r>
          </w:p>
          <w:p w14:paraId="0F3525AB" w14:textId="77777777" w:rsidR="001801DA" w:rsidRPr="008E5B32" w:rsidRDefault="001801DA" w:rsidP="00BA08CB">
            <w:pPr>
              <w:jc w:val="center"/>
              <w:rPr>
                <w:rFonts w:ascii="Segoe UI Symbol" w:hAnsi="Segoe UI Symbol" w:cs="Segoe UI Symbol"/>
                <w:szCs w:val="18"/>
                <w:lang w:val="en-GB"/>
              </w:rPr>
            </w:pPr>
            <w:r w:rsidRPr="008E5B32">
              <w:rPr>
                <w:lang w:val="en-GB"/>
              </w:rPr>
              <w:t>(Y-scrambling)</w:t>
            </w:r>
          </w:p>
        </w:tc>
        <w:tc>
          <w:tcPr>
            <w:tcW w:w="581" w:type="dxa"/>
          </w:tcPr>
          <w:p w14:paraId="04F2C7AC"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1801DA" w:rsidRPr="008E5B32" w14:paraId="0197E0A2" w14:textId="77777777" w:rsidTr="00D6682C">
        <w:tc>
          <w:tcPr>
            <w:tcW w:w="426" w:type="dxa"/>
          </w:tcPr>
          <w:p w14:paraId="4803D385" w14:textId="6D243AC7" w:rsidR="001801DA" w:rsidRPr="008E5B32" w:rsidRDefault="001801DA" w:rsidP="00BA08CB">
            <w:r w:rsidRPr="008E5B32">
              <w:fldChar w:fldCharType="begin" w:fldLock="1"/>
            </w:r>
            <w:r w:rsidR="00434385" w:rsidRPr="008E5B32">
              <w:rPr>
                <w:lang w:val="en-GB"/>
              </w:rPr>
              <w:instrText>ADDIN CSL_CITATION {"citationItems":[{"id":"ITEM-1","itemData":{"DOI":"10.1021/nl303144k","ISBN":"1530-6992","ISSN":"15306984","PMID":"23039907","abstract":"Products are increasingly incorporating nanomaterials, but we have a poor understanding of their adverse effects. To assess risk, regulatory authorities need more experimental testing of nanoparticles. Computational models play a complementary role in allowing rapid prediction of potential toxicities of new and modified nanomaterials. We generated quantitative, predictive models of cellular uptake and apoptosis induced by nanoparticles for several cell types. We illustrate the potential of computational methods to make a contribution to nanosafety.","author":[{"dropping-particle":"","family":"Epa","given":"V. Chandana","non-dropping-particle":"","parse-names":false,"suffix":""},{"dropping-particle":"","family":"Burden","given":"Frank R.","non-dropping-particle":"","parse-names":false,"suffix":""},{"dropping-particle":"","family":"Tassa","given":"Carlos","non-dropping-particle":"","parse-names":false,"suffix":""},{"dropping-particle":"","family":"Weissleder","given":"Ralph","non-dropping-particle":"","parse-names":false,"suffix":""},{"dropping-particle":"","family":"Shaw","given":"Stanley","non-dropping-particle":"","parse-names":false,"suffix":""},{"dropping-particle":"","family":"Winkler","given":"David A.","non-dropping-particle":"","parse-names":false,"suffix":""}],"container-title":"Nano Letters","id":"ITEM-1","issue":"11","issued":{"date-parts":[["2012"]]},"page":"5808-5812","title":"Modeling biological activities of nanoparticles","type":"article-journal","volume":"12"},"uris":["http://www.mendeley.com/documents/?uuid=4bcd02fd-38d5-40ce-9472-9d874ebe3ec8"]}],"mendeley":{"formattedCitation":"&lt;sup&gt;106&lt;/sup&gt;","plainTextFormattedCitation":"106","previouslyFormattedCitation":"&lt;sup&gt;106&lt;/sup&gt;"},"properties":{"noteIndex":0},"schema":"https://github.com/citation-style-language/schema/raw/master/csl-citation.json"}</w:instrText>
            </w:r>
            <w:r w:rsidRPr="008E5B32">
              <w:fldChar w:fldCharType="separate"/>
            </w:r>
            <w:r w:rsidR="004C12A8" w:rsidRPr="008E5B32">
              <w:rPr>
                <w:noProof/>
                <w:vertAlign w:val="superscript"/>
              </w:rPr>
              <w:t>106</w:t>
            </w:r>
            <w:r w:rsidRPr="008E5B32">
              <w:fldChar w:fldCharType="end"/>
            </w:r>
          </w:p>
        </w:tc>
        <w:tc>
          <w:tcPr>
            <w:tcW w:w="4536" w:type="dxa"/>
          </w:tcPr>
          <w:p w14:paraId="55D6730D" w14:textId="2080C32C" w:rsidR="001801DA" w:rsidRPr="008E5B32" w:rsidRDefault="00FB426D" w:rsidP="00BA08CB">
            <w:pPr>
              <w:jc w:val="both"/>
              <w:rPr>
                <w:lang w:val="en-GB"/>
              </w:rPr>
            </w:pPr>
            <w:r w:rsidRPr="008E5B32">
              <w:rPr>
                <w:lang w:val="en-GB"/>
              </w:rPr>
              <w:t>CS</w:t>
            </w:r>
            <w:r w:rsidR="001801DA" w:rsidRPr="008E5B32">
              <w:rPr>
                <w:lang w:val="en-GB"/>
              </w:rPr>
              <w:t>1: Evaluation of a linear and of a non-linear model to predict the smooth muscle apoptosis (SMA) induced by Metal Oxide NMs</w:t>
            </w:r>
            <w:r w:rsidR="0099212A" w:rsidRPr="008E5B32">
              <w:rPr>
                <w:lang w:val="en-GB"/>
              </w:rPr>
              <w:t xml:space="preserve">, by using </w:t>
            </w:r>
            <w:r w:rsidR="000D7527" w:rsidRPr="008E5B32">
              <w:rPr>
                <w:lang w:val="en-GB"/>
              </w:rPr>
              <w:t xml:space="preserve">as </w:t>
            </w:r>
            <w:r w:rsidR="0099212A" w:rsidRPr="008E5B32">
              <w:rPr>
                <w:lang w:val="en-GB"/>
              </w:rPr>
              <w:t>descriptors</w:t>
            </w:r>
            <w:r w:rsidR="000D7527" w:rsidRPr="008E5B32">
              <w:rPr>
                <w:lang w:val="en-GB"/>
              </w:rPr>
              <w:t xml:space="preserve"> three indicator variables (</w:t>
            </w:r>
            <w:r w:rsidR="000D7527" w:rsidRPr="008E5B32">
              <w:rPr>
                <w:lang w:val="en-US"/>
              </w:rPr>
              <w:t>for core material, surface coating, and surface charge</w:t>
            </w:r>
            <w:r w:rsidR="000D7527" w:rsidRPr="008E5B32">
              <w:rPr>
                <w:lang w:val="en-GB"/>
              </w:rPr>
              <w:t>)</w:t>
            </w:r>
            <w:r w:rsidR="001801DA" w:rsidRPr="008E5B32">
              <w:rPr>
                <w:lang w:val="en-GB"/>
              </w:rPr>
              <w:t xml:space="preserve">. </w:t>
            </w:r>
            <w:r w:rsidRPr="008E5B32">
              <w:rPr>
                <w:lang w:val="en-GB"/>
              </w:rPr>
              <w:t>CS</w:t>
            </w:r>
            <w:r w:rsidR="001801DA" w:rsidRPr="008E5B32">
              <w:rPr>
                <w:lang w:val="en-GB"/>
              </w:rPr>
              <w:t xml:space="preserve">2: </w:t>
            </w:r>
            <w:r w:rsidR="00665C30" w:rsidRPr="008E5B32">
              <w:rPr>
                <w:lang w:val="en-GB"/>
              </w:rPr>
              <w:t>linear</w:t>
            </w:r>
            <w:r w:rsidR="001801DA" w:rsidRPr="008E5B32">
              <w:rPr>
                <w:lang w:val="en-GB"/>
              </w:rPr>
              <w:t xml:space="preserve"> and non-linear model</w:t>
            </w:r>
            <w:r w:rsidR="00665C30" w:rsidRPr="008E5B32">
              <w:rPr>
                <w:lang w:val="en-GB"/>
              </w:rPr>
              <w:t>s</w:t>
            </w:r>
            <w:r w:rsidR="001801DA" w:rsidRPr="008E5B32">
              <w:rPr>
                <w:lang w:val="en-GB"/>
              </w:rPr>
              <w:t xml:space="preserve"> to predict cellular uptake in PaCa2 dell line and in human umbilical vein endothelial cells (H</w:t>
            </w:r>
            <w:r w:rsidR="00665C30" w:rsidRPr="008E5B32">
              <w:rPr>
                <w:lang w:val="en-GB"/>
              </w:rPr>
              <w:t>U</w:t>
            </w:r>
            <w:r w:rsidR="001801DA" w:rsidRPr="008E5B32">
              <w:rPr>
                <w:lang w:val="en-GB"/>
              </w:rPr>
              <w:t xml:space="preserve">VEC), induced a set of NMs with the same core but different surface modifications. After finding best-performing models using the complete set of </w:t>
            </w:r>
            <w:r w:rsidR="000D7527" w:rsidRPr="008E5B32">
              <w:rPr>
                <w:lang w:val="en-GB"/>
              </w:rPr>
              <w:t xml:space="preserve">physicochemical and calculated </w:t>
            </w:r>
            <w:r w:rsidR="001801DA" w:rsidRPr="008E5B32">
              <w:rPr>
                <w:lang w:val="en-GB"/>
              </w:rPr>
              <w:t>descriptors, authors provided two additional models that made use of interpretable descriptors only</w:t>
            </w:r>
            <w:r w:rsidR="000D7527" w:rsidRPr="008E5B32">
              <w:rPr>
                <w:lang w:val="en-GB"/>
              </w:rPr>
              <w:t xml:space="preserve">, which were mainly related to </w:t>
            </w:r>
            <w:r w:rsidR="000D7527" w:rsidRPr="008E5B32">
              <w:rPr>
                <w:lang w:val="en-US"/>
              </w:rPr>
              <w:t>molecular size and shape, and hydrogen bonding of the fucntionalization</w:t>
            </w:r>
            <w:r w:rsidR="001801DA" w:rsidRPr="008E5B32">
              <w:rPr>
                <w:lang w:val="en-GB"/>
              </w:rPr>
              <w:t>.</w:t>
            </w:r>
          </w:p>
        </w:tc>
        <w:tc>
          <w:tcPr>
            <w:tcW w:w="2268" w:type="dxa"/>
          </w:tcPr>
          <w:p w14:paraId="1F089C7B"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2867DD99"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(CS1: SMA, CS2: cellular uptake in PaCa2 and HUVEC cell lines)</w:t>
            </w:r>
          </w:p>
        </w:tc>
        <w:tc>
          <w:tcPr>
            <w:tcW w:w="960" w:type="dxa"/>
          </w:tcPr>
          <w:p w14:paraId="33ACF1ED" w14:textId="35173FD3" w:rsidR="001801DA" w:rsidRPr="008E5B32" w:rsidRDefault="001801DA" w:rsidP="00BA08CB">
            <w:pPr>
              <w:jc w:val="center"/>
              <w:rPr>
                <w:lang w:val="en-GB"/>
              </w:rPr>
            </w:pPr>
            <w:r w:rsidRPr="008E5B32">
              <w:t xml:space="preserve">31 </w:t>
            </w:r>
            <w:r w:rsidRPr="008E5B32">
              <w:fldChar w:fldCharType="begin" w:fldLock="1"/>
            </w:r>
            <w:r w:rsidR="00434385" w:rsidRPr="008E5B32">
              <w:instrText>ADDIN CSL_CITATION {"citationItems":[{"id":"ITEM-1","itemData":{"DOI":"10.1073/pnas.0802878105","ISBN":"0802878105","ISSN":"0027-8424","PMID":"18492802","abstract":"Our understanding of the biologic effects (including toxicity) of nanomaterials is incomplete. In vivo animal studies remain the gold standard; however, widespread testing remains impractical, and the development of in vitro assays that correlate with in vivo activity has proven challenging. Here, we demonstrate the feasibility of analyzing in vitro nanomaterial activity in a generalizable, systematic fashion. We assessed nanoparticle effects in a multidimensional manner, using multiple cell types and multiple assays that reflect different aspects of cellular physiology. Hierarchical clustering of these data identifies nanomaterials with similar patterns of biologic activity across a broad sampling of cellular contexts, as opposed to extrapolating from results of a single in vitro assay. We show that this approach yields robust and detailed structure-activity relationships. Furthermore, a subset of nanoparticles were tested in mice, and nanoparticles with similar activity profiles in vitro exert similar effects on monocyte number in vivo. These data suggest a strategy of multidimensional characterization of nanomaterials in vitro that can inform the design of novel nanomaterials and guide studies of in vivo activity.","author":[{"dropping-particle":"","family":"Shaw","given":"S. Y.","non-dropping-particle":"","parse-names":false,"suffix":""},{"dropping-particle":"","family":"Westly","given":"E. C.","non-dropping-particle":"","parse-names":false,"suffix":""},{"dropping-particle":"","family":"Pittet","given":"M. J.","non-dropping-particle":"","parse-names":false,"suffix":""},{"dropping-particle":"","family":"Subramanian","given":"A.","non-dropping-particle":"","parse-names":false,"suffix":""},{"dropping-particle":"","family":"Schreiber","given":"S. L.","non-dropping-particle":"","parse-names":false,"suffix":""},{"dropping-particle":"","family":"Weissleder","given":"R.","non-dropping-particle":"","parse-names":false,"suffix":""}],"container-title":"Proceedings of the National Academy of Sciences","id":"ITEM-1","issue":"21","issued":{"date-parts":[["2008"]]},"page":"7387-7392","title":"Perturbational profiling of nanomaterial biologic activity","type":"article-journal","volume":"105"},"uris":["http://www.mendeley.com/documents/?uuid=83e77dea-cfe9-4fca-9b89-5cd64509f53b"]}],"mendeley":{"formattedCitation":"&lt;sup&gt;101&lt;/sup&gt;","plainTextFormattedCitation":"101","previouslyFormattedCitation":"&lt;sup&gt;101&lt;/sup&gt;"},"properties":{"noteIndex":0},"schema":"https://github.com/citation-style-language/schema/raw/master/csl-citation.json"}</w:instrText>
            </w:r>
            <w:r w:rsidRPr="008E5B32">
              <w:fldChar w:fldCharType="separate"/>
            </w:r>
            <w:r w:rsidR="004C12A8" w:rsidRPr="008E5B32">
              <w:rPr>
                <w:noProof/>
                <w:vertAlign w:val="superscript"/>
              </w:rPr>
              <w:t>101</w:t>
            </w:r>
            <w:r w:rsidRPr="008E5B32">
              <w:fldChar w:fldCharType="end"/>
            </w:r>
            <w:r w:rsidRPr="008E5B32">
              <w:rPr>
                <w:sz w:val="24"/>
              </w:rPr>
              <w:t xml:space="preserve">, </w:t>
            </w:r>
            <w:r w:rsidRPr="008E5B32">
              <w:rPr>
                <w:szCs w:val="18"/>
              </w:rPr>
              <w:t xml:space="preserve">109 </w:t>
            </w:r>
            <w:r w:rsidRPr="008E5B32">
              <w:rPr>
                <w:szCs w:val="18"/>
              </w:rPr>
              <w:fldChar w:fldCharType="begin" w:fldLock="1"/>
            </w:r>
            <w:r w:rsidR="00434385" w:rsidRPr="008E5B32">
              <w:rPr>
                <w:szCs w:val="18"/>
              </w:rPr>
              <w:instrText xml:space="preserve">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w:instrText>
            </w:r>
            <w:r w:rsidR="00434385" w:rsidRPr="008E5B32">
              <w:rPr>
                <w:szCs w:val="18"/>
                <w:lang w:val="en-US"/>
              </w:rPr>
              <w:instrText>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102</w:t>
            </w:r>
            <w:r w:rsidRPr="008E5B32">
              <w:rPr>
                <w:szCs w:val="18"/>
              </w:rPr>
              <w:fldChar w:fldCharType="end"/>
            </w:r>
          </w:p>
        </w:tc>
        <w:tc>
          <w:tcPr>
            <w:tcW w:w="1620" w:type="dxa"/>
          </w:tcPr>
          <w:p w14:paraId="0CC9E58C"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3877D42C" w14:textId="7A758DB6"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 xml:space="preserve">(CS1: MLR and Neural Network with </w:t>
            </w:r>
            <w:r w:rsidR="006819D7" w:rsidRPr="008E5B32">
              <w:rPr>
                <w:lang w:val="en-GB"/>
              </w:rPr>
              <w:t>Bayesian</w:t>
            </w:r>
            <w:r w:rsidRPr="008E5B32">
              <w:rPr>
                <w:lang w:val="en-GB"/>
              </w:rPr>
              <w:t xml:space="preserve"> regularization; CS2: MLR with EM, and Neural Network with </w:t>
            </w:r>
            <w:r w:rsidR="006819D7" w:rsidRPr="008E5B32">
              <w:rPr>
                <w:lang w:val="en-GB"/>
              </w:rPr>
              <w:t>Bayesian</w:t>
            </w:r>
            <w:r w:rsidRPr="008E5B32">
              <w:rPr>
                <w:lang w:val="en-GB"/>
              </w:rPr>
              <w:t xml:space="preserve"> regularization)</w:t>
            </w:r>
          </w:p>
        </w:tc>
        <w:tc>
          <w:tcPr>
            <w:tcW w:w="540" w:type="dxa"/>
          </w:tcPr>
          <w:p w14:paraId="68136B2E"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4C03C3B0"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47771A11" w14:textId="77777777" w:rsidR="001801DA" w:rsidRPr="008E5B32" w:rsidRDefault="001801DA" w:rsidP="00BA08CB">
            <w:pPr>
              <w:jc w:val="center"/>
              <w:rPr>
                <w:rFonts w:ascii="Segoe UI Symbol" w:hAnsi="Segoe UI Symbol" w:cs="Segoe UI Symbol"/>
                <w:szCs w:val="18"/>
                <w:lang w:val="en-GB"/>
              </w:rPr>
            </w:pPr>
            <w:r w:rsidRPr="008E5B32">
              <w:rPr>
                <w:rFonts w:ascii="Segoe UI Symbol" w:hAnsi="Segoe UI Symbol" w:cs="Segoe UI Symbol"/>
                <w:szCs w:val="18"/>
                <w:lang w:val="en-GB"/>
              </w:rPr>
              <w:t>✗</w:t>
            </w:r>
          </w:p>
        </w:tc>
        <w:tc>
          <w:tcPr>
            <w:tcW w:w="1350" w:type="dxa"/>
          </w:tcPr>
          <w:p w14:paraId="3F2FE3EE" w14:textId="77777777" w:rsidR="001801DA" w:rsidRPr="008E5B32" w:rsidRDefault="001801DA" w:rsidP="00BA08CB">
            <w:pPr>
              <w:jc w:val="center"/>
              <w:rPr>
                <w:szCs w:val="18"/>
                <w:lang w:val="en-GB"/>
              </w:rPr>
            </w:pPr>
            <w:r w:rsidRPr="008E5B32">
              <w:rPr>
                <w:rFonts w:ascii="Segoe UI Symbol" w:hAnsi="Segoe UI Symbol" w:cs="Segoe UI Symbol"/>
                <w:szCs w:val="18"/>
                <w:lang w:val="en-GB"/>
              </w:rPr>
              <w:t>✗</w:t>
            </w:r>
          </w:p>
        </w:tc>
        <w:tc>
          <w:tcPr>
            <w:tcW w:w="581" w:type="dxa"/>
          </w:tcPr>
          <w:p w14:paraId="2B47EE90" w14:textId="77777777" w:rsidR="001801DA" w:rsidRPr="008E5B32" w:rsidRDefault="001801DA" w:rsidP="00BA08CB">
            <w:pPr>
              <w:jc w:val="center"/>
              <w:rPr>
                <w:rFonts w:ascii="Segoe UI Symbol" w:hAnsi="Segoe UI Symbol" w:cs="Segoe UI Symbol"/>
                <w:szCs w:val="18"/>
                <w:lang w:val="en-GB"/>
              </w:rPr>
            </w:pPr>
            <w:r w:rsidRPr="008E5B32">
              <w:rPr>
                <w:rFonts w:ascii="Segoe UI Symbol" w:eastAsia="Segoe UI Symbol" w:hAnsi="Segoe UI Symbol" w:cs="Segoe UI Symbol"/>
                <w:color w:val="222222"/>
                <w:shd w:val="clear" w:color="auto" w:fill="FFFFFF"/>
                <w:lang w:val="en-GB"/>
              </w:rPr>
              <w:t>✓</w:t>
            </w:r>
          </w:p>
        </w:tc>
      </w:tr>
      <w:tr w:rsidR="00EF2607" w:rsidRPr="008E5B32" w14:paraId="611FE97C" w14:textId="77777777" w:rsidTr="00D6682C">
        <w:tc>
          <w:tcPr>
            <w:tcW w:w="426" w:type="dxa"/>
          </w:tcPr>
          <w:p w14:paraId="3A9163EB" w14:textId="61FEF5A6" w:rsidR="00EF2607" w:rsidRPr="008E5B32" w:rsidRDefault="00EF2607" w:rsidP="006725C8">
            <w:r w:rsidRPr="008E5B32">
              <w:fldChar w:fldCharType="begin" w:fldLock="1"/>
            </w:r>
            <w:r w:rsidR="00434385" w:rsidRPr="008E5B32">
              <w:rPr>
                <w:lang w:val="en-GB"/>
              </w:rPr>
              <w:instrText>ADDIN CSL_CITATION {"citationItems":[{"id":"ITEM-1","itemData":{"DOI":"10.1016/j.chemosphere.2012.05.077","ISBN":"0045-6535","ISSN":"00456535","PMID":"22704203","abstract":"Convenient to apply and available on the Internet software CORAL (http://www.insilico.eu/CORAL) has been used to build up quantitative structure-activity relationships (QSAR) for prediction of cytotoxicity of metal oxide nanoparticles to bacteria Escherichia coli (minus logarithm of concentration for 50% effect pEC50). In this study six random splits of the data into the training and test set were examined. It has been shown that the CORAL provides a reliable tool that could be used to build up a QSAR of the pEC50. ?? 2012 Elsevier Ltd.","author":[{"dropping-particle":"","family":"Toropov","given":"Andrey A.","non-dropping-particle":"","parse-names":false,"suffix":""},{"dropping-particle":"","family":"Toropova","given":"Alla P.","non-dropping-particle":"","parse-names":false,"suffix":""},{"dropping-particle":"","family":"Benfenati","given":"Emilio","non-dropping-particle":"","parse-names":false,"suffix":""},{"dropping-particle":"","family":"Gini","given":"Giuseppina","non-dropping-particle":"","parse-names":false,"suffix":""},{"dropping-particle":"","family":"Puzyn","given":"Tomasz","non-dropping-particle":"","parse-names":false,"suffix":""},{"dropping-particle":"","family":"Leszczynska","given":"Danuta","non-dropping-particle":"","parse-names":false,"suffix":""},{"dropping-particle":"","family":"Leszczynski","given":"Jerzy","non-dropping-particle":"","parse-names":false,"suffix":""}],"container-title":"Chemosphere","id":"ITEM-1","issue":"9","issued":{"date-parts":[["2012"]]},"page":"1098-1102","title":"Novel application of the CORAL software to model cytotoxicity of metal oxide nanoparticles to bacteria Escherichia coli","type":"article-journal","volume":"89"},"uris":["http://www.mendeley.com/documents/?uuid=03ec7e12-6add-4a59-bae0-fd347b441c83"]}],"mendeley":{"formattedCitation":"&lt;sup&gt;107&lt;/sup&gt;","plainTextFormattedCitation":"107","previouslyFormattedCitation":"&lt;sup&gt;107&lt;/sup&gt;"},"properties":{"noteIndex":0},"schema":"https://github.com/citation-style-language/schema/raw/master/csl-citation.json"}</w:instrText>
            </w:r>
            <w:r w:rsidRPr="008E5B32">
              <w:fldChar w:fldCharType="separate"/>
            </w:r>
            <w:r w:rsidR="004C12A8" w:rsidRPr="008E5B32">
              <w:rPr>
                <w:noProof/>
                <w:vertAlign w:val="superscript"/>
              </w:rPr>
              <w:t>107</w:t>
            </w:r>
            <w:r w:rsidRPr="008E5B32">
              <w:fldChar w:fldCharType="end"/>
            </w:r>
          </w:p>
        </w:tc>
        <w:tc>
          <w:tcPr>
            <w:tcW w:w="4536" w:type="dxa"/>
          </w:tcPr>
          <w:p w14:paraId="76B309A2" w14:textId="0F898305" w:rsidR="00EF2607" w:rsidRPr="008E5B32" w:rsidRDefault="00EF2607" w:rsidP="006725C8">
            <w:pPr>
              <w:jc w:val="both"/>
              <w:rPr>
                <w:szCs w:val="18"/>
                <w:lang w:val="en-GB"/>
              </w:rPr>
            </w:pPr>
            <w:r w:rsidRPr="008E5B32">
              <w:rPr>
                <w:szCs w:val="18"/>
                <w:lang w:val="en-GB"/>
              </w:rPr>
              <w:t>Application of the CORAL software</w:t>
            </w:r>
            <w:r w:rsidRPr="008E5B32">
              <w:rPr>
                <w:rStyle w:val="FootnoteReference"/>
                <w:szCs w:val="18"/>
              </w:rPr>
              <w:footnoteReference w:id="7"/>
            </w:r>
            <w:r w:rsidRPr="008E5B32">
              <w:rPr>
                <w:szCs w:val="18"/>
                <w:lang w:val="en-GB"/>
              </w:rPr>
              <w:t xml:space="preserve"> to evaluate the Cytotoxicity to bacteria </w:t>
            </w:r>
            <w:r w:rsidRPr="008E5B32">
              <w:rPr>
                <w:i/>
                <w:szCs w:val="18"/>
                <w:lang w:val="en-GB"/>
              </w:rPr>
              <w:t>E.</w:t>
            </w:r>
            <w:r w:rsidR="00817487" w:rsidRPr="008E5B32">
              <w:rPr>
                <w:i/>
                <w:szCs w:val="18"/>
                <w:lang w:val="en-GB"/>
              </w:rPr>
              <w:t xml:space="preserve"> </w:t>
            </w:r>
            <w:r w:rsidRPr="008E5B32">
              <w:rPr>
                <w:i/>
                <w:szCs w:val="18"/>
                <w:lang w:val="en-GB"/>
              </w:rPr>
              <w:t xml:space="preserve">Coli </w:t>
            </w:r>
            <w:r w:rsidRPr="008E5B32">
              <w:rPr>
                <w:szCs w:val="18"/>
                <w:lang w:val="en-GB"/>
              </w:rPr>
              <w:t xml:space="preserve">of a set of Metal Oxide NMs, using SMILES </w:t>
            </w:r>
            <w:r w:rsidR="000B7A4E" w:rsidRPr="008E5B32">
              <w:rPr>
                <w:szCs w:val="18"/>
                <w:lang w:val="en-GB"/>
              </w:rPr>
              <w:t>descriptors</w:t>
            </w:r>
            <w:r w:rsidRPr="008E5B32">
              <w:rPr>
                <w:szCs w:val="18"/>
                <w:lang w:val="en-GB"/>
              </w:rPr>
              <w:t xml:space="preserve"> </w:t>
            </w:r>
            <w:r w:rsidRPr="008E5B32">
              <w:rPr>
                <w:szCs w:val="18"/>
              </w:rPr>
              <w:fldChar w:fldCharType="begin" w:fldLock="1"/>
            </w:r>
            <w:r w:rsidR="00434385" w:rsidRPr="008E5B32">
              <w:rPr>
                <w:szCs w:val="18"/>
                <w:lang w:val="en-GB"/>
              </w:rPr>
              <w:instrText>ADDIN CSL_CITATION {"citationItems":[{"id":"ITEM-1","itemData":{"DOI":"10.1002/jcc.21333","ISBN":"1096-987X","ISSN":"01928651","PMID":"19479738","abstract":"Quantitative structure-activity relationships (QSAR) for prediction of binding affinities (pEC50, i.e., minus decimal logarithm of the 50% effective concentration) of 20 fullerene derivatives inhibitors of the HIV-1 PR (human immunodeficiency virus type 1 protease) have been developed by application of the optimal descriptors approach calculated with SMILES (simplified molecular input line entry system). The applied models were constructed by the balance of correlations. Three various splits of the experimental data into subtraining set, calibration set, and test set were examined. Comparison of classic scheme (training-test system) and the balance of correlations (subtraining-calibration-test system) show that the balance of correlations gives more robust predictions than the classic scheme for the pEC50 of the fullerene derivatives.","author":[{"dropping-particle":"","family":"Toropov","given":"Andrey A.","non-dropping-particle":"","parse-names":false,"suffix":""},{"dropping-particle":"","family":"Toropova","given":"Alla P.","non-dropping-particle":"","parse-names":false,"suffix":""},{"dropping-particle":"","family":"Benfenati","given":"Emilio","non-dropping-particle":"","parse-names":false,"suffix":""},{"dropping-particle":"","family":"Leszczynska","given":"Danutad","non-dropping-particle":"","parse-names":false,"suffix":""},{"dropping-particle":"","family":"Leszczynski","given":"Jerzy","non-dropping-particle":"","parse-names":false,"suffix":""}],"container-title":"Journal of Computational Chemistry","id":"ITEM-1","issue":"2","issued":{"date-parts":[["2010"]]},"page":"381-392","title":"SMILES-based optimal descriptors: QSAR analysis of fullerene-based HIV-1 PR inhibitors by means of balance of correlations","type":"article-journal","volume":"31"},"uris":["http://www.mendeley.com/documents/?uuid=105a55d1-4827-479a-84c9-4d45946518b1"]}],"mendeley":{"formattedCitation":"&lt;sup&gt;108&lt;/sup&gt;","plainTextFormattedCitation":"108","previouslyFormattedCitation":"&lt;sup&gt;108&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108</w:t>
            </w:r>
            <w:r w:rsidRPr="008E5B32">
              <w:rPr>
                <w:szCs w:val="18"/>
              </w:rPr>
              <w:fldChar w:fldCharType="end"/>
            </w:r>
            <w:r w:rsidRPr="008E5B32">
              <w:rPr>
                <w:szCs w:val="18"/>
                <w:lang w:val="en-GB"/>
              </w:rPr>
              <w:t>.</w:t>
            </w:r>
          </w:p>
        </w:tc>
        <w:tc>
          <w:tcPr>
            <w:tcW w:w="2268" w:type="dxa"/>
          </w:tcPr>
          <w:p w14:paraId="4D857A4C" w14:textId="77777777" w:rsidR="00EF2607" w:rsidRPr="008E5B32" w:rsidRDefault="00EF2607" w:rsidP="006725C8">
            <w:pPr>
              <w:jc w:val="center"/>
              <w:rPr>
                <w:lang w:val="en-GB"/>
              </w:rPr>
            </w:pPr>
            <w:r w:rsidRPr="008E5B32">
              <w:rPr>
                <w:rFonts w:ascii="Segoe UI Symbol" w:eastAsia="Segoe UI Symbol" w:hAnsi="Segoe UI Symbol" w:cs="Segoe UI Symbol"/>
                <w:color w:val="222222"/>
                <w:shd w:val="clear" w:color="auto" w:fill="FFFFFF"/>
                <w:lang w:val="en-GB"/>
              </w:rPr>
              <w:t>✓</w:t>
            </w:r>
          </w:p>
          <w:p w14:paraId="14B18590" w14:textId="77777777" w:rsidR="00EF2607" w:rsidRPr="008E5B32" w:rsidRDefault="00EF2607" w:rsidP="006725C8">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795D9184" w14:textId="7F362194" w:rsidR="00EF2607" w:rsidRPr="008E5B32" w:rsidRDefault="00EF2607" w:rsidP="006725C8">
            <w:pPr>
              <w:jc w:val="center"/>
            </w:pPr>
            <w:r w:rsidRPr="008E5B32">
              <w:t xml:space="preserve">17 </w:t>
            </w: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p>
        </w:tc>
        <w:tc>
          <w:tcPr>
            <w:tcW w:w="1620" w:type="dxa"/>
          </w:tcPr>
          <w:p w14:paraId="15A47B9A"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62268627"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t>(Least Square regression)</w:t>
            </w:r>
          </w:p>
        </w:tc>
        <w:tc>
          <w:tcPr>
            <w:tcW w:w="540" w:type="dxa"/>
          </w:tcPr>
          <w:p w14:paraId="7AF583BF"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37CC20B6"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2D0FB65E"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rPr>
              <w:t>✗</w:t>
            </w:r>
          </w:p>
        </w:tc>
        <w:tc>
          <w:tcPr>
            <w:tcW w:w="1350" w:type="dxa"/>
          </w:tcPr>
          <w:p w14:paraId="4ED3FC3B" w14:textId="77777777" w:rsidR="00EF2607" w:rsidRPr="008E5B32" w:rsidRDefault="00EF2607" w:rsidP="006725C8">
            <w:pPr>
              <w:jc w:val="center"/>
              <w:rPr>
                <w:szCs w:val="18"/>
              </w:rPr>
            </w:pPr>
            <w:r w:rsidRPr="008E5B32">
              <w:rPr>
                <w:szCs w:val="18"/>
              </w:rPr>
              <w:t>≈</w:t>
            </w:r>
          </w:p>
          <w:p w14:paraId="3580333C" w14:textId="77777777" w:rsidR="00EF2607" w:rsidRPr="008E5B32" w:rsidRDefault="00EF2607" w:rsidP="006725C8">
            <w:pPr>
              <w:jc w:val="center"/>
              <w:rPr>
                <w:szCs w:val="18"/>
              </w:rPr>
            </w:pPr>
            <w:r w:rsidRPr="008E5B32">
              <w:t>(Y-scrambling)</w:t>
            </w:r>
          </w:p>
        </w:tc>
        <w:tc>
          <w:tcPr>
            <w:tcW w:w="581" w:type="dxa"/>
          </w:tcPr>
          <w:p w14:paraId="123A496F" w14:textId="77777777" w:rsidR="00EF2607" w:rsidRPr="008E5B32" w:rsidRDefault="00EF2607" w:rsidP="006725C8">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rPr>
              <w:t>✗</w:t>
            </w:r>
          </w:p>
        </w:tc>
      </w:tr>
      <w:tr w:rsidR="001801DA" w:rsidRPr="008E5B32" w14:paraId="16B69C18" w14:textId="77777777" w:rsidTr="00D6682C">
        <w:tc>
          <w:tcPr>
            <w:tcW w:w="426" w:type="dxa"/>
          </w:tcPr>
          <w:p w14:paraId="204D22CD" w14:textId="689EA764" w:rsidR="001801DA" w:rsidRPr="008E5B32" w:rsidRDefault="001801DA" w:rsidP="00BA08CB">
            <w:r w:rsidRPr="008E5B32">
              <w:fldChar w:fldCharType="begin" w:fldLock="1"/>
            </w:r>
            <w:r w:rsidR="00434385" w:rsidRPr="008E5B32">
              <w:instrText>ADDIN CSL_CITATION {"citationItems":[{"id":"ITEM-1","itemData":{"DOI":"10.1039/c2ra21489j","ISSN":"20462069","abstract":"In recent years, the interest of the pharmaceutical industry to explore the use of nanoparticles for disease treatment or drug delivery has increased the need to evaluate their therapeutic efficacy or toxicity. However, evaluation of such properties using experimental means is time-consuming and costly. Thus, researchers are investigating the potential of using Quantitative Nanostructure-Activity Relationship (QNAR) models to predict the properties of nanoparticles prior to their synthesis. In this study, we developed a reliable, user-friendly and freely-accessible QNAR model to predict the cellular uptake of 105 nanoparticles with a single metal core by pancreatic cancer cells. Four modelling methods, namely Naïve Bayes, Logistic Regression, k nearest neighbour and support vector machine, were used to develop candidate models. A final consensus model was then developed using the top 5 candidate models. Validation of the final consensus model was done using a rigorous process by repeating the entire model development process five times using different combinations of training and validation sets. The final consensus model had a sensitivity of 86.7 to 98.2% and specificity of 67.3 to 76.6%. The majority of the wrong predictions were due to nanoparticles which had OC-O-CO bonding. Descriptors that were included in the final consensus models were mainly related to lipophilicity and hydrogen bonding. With the recent advances in QNAR methodology and its encouraging prediction toward virtual nanoparticles, the full potential of QNAR modelling should be exploited in the future to provide critical support to experimental studies over the design of nanomaterials. © 2012 The Royal Society of Chemistry.","author":[{"dropping-particle":"","family":"Chau","given":"Yi Ting","non-dropping-particle":"","parse-names":false,"suffix":""},{"dropping-particle":"","family":"Yap","given":"Chun Wei","non-dropping-particle":"","parse-names":false,"suffix":""}],"container-title":"RSC Advances","id":"ITEM-1","issued":{"date-parts":[["2012"]]},"title":"Quantitative Nanostructure-Activity Relationship modelling of nanoparticles","type":"article-journal"},"uris":["http://www.mendeley.com/documents/?uuid=34f13a5c-1e6d-42d6-852d-2ecd9b8fd0f2","http://www.mendeley.com/documents/?uuid=46a87e14-195a-4001-b3ee-b31ea9ca9751","http://www.mendeley.com/documents/?uuid=29f18c51-90ec-4a4c-9515-201ee5ba5e58"]}],"mendeley":{"formattedCitation":"&lt;sup&gt;109&lt;/sup&gt;","plainTextFormattedCitation":"109","previouslyFormattedCitation":"&lt;sup&gt;109&lt;/sup&gt;"},"properties":{"noteIndex":0},"schema":"https://github.com/citation-style-language/schema/raw/master/csl-citation.json"}</w:instrText>
            </w:r>
            <w:r w:rsidRPr="008E5B32">
              <w:fldChar w:fldCharType="separate"/>
            </w:r>
            <w:r w:rsidR="004C12A8" w:rsidRPr="008E5B32">
              <w:rPr>
                <w:noProof/>
                <w:vertAlign w:val="superscript"/>
              </w:rPr>
              <w:t>109</w:t>
            </w:r>
            <w:r w:rsidRPr="008E5B32">
              <w:fldChar w:fldCharType="end"/>
            </w:r>
          </w:p>
        </w:tc>
        <w:tc>
          <w:tcPr>
            <w:tcW w:w="4536" w:type="dxa"/>
          </w:tcPr>
          <w:p w14:paraId="4A3CC367" w14:textId="77777777" w:rsidR="001801DA" w:rsidRPr="008E5B32" w:rsidRDefault="001801DA" w:rsidP="00BA08CB">
            <w:pPr>
              <w:jc w:val="both"/>
              <w:rPr>
                <w:lang w:val="en-GB"/>
              </w:rPr>
            </w:pPr>
            <w:r w:rsidRPr="008E5B32">
              <w:rPr>
                <w:lang w:val="en-GB"/>
              </w:rPr>
              <w:t xml:space="preserve">Consensus model derived from a pool of 2100 classification models (kNN, </w:t>
            </w:r>
            <w:r w:rsidR="00D01458" w:rsidRPr="008E5B32">
              <w:rPr>
                <w:lang w:val="en-GB"/>
              </w:rPr>
              <w:t>NBC</w:t>
            </w:r>
            <w:r w:rsidRPr="008E5B32">
              <w:rPr>
                <w:lang w:val="en-GB"/>
              </w:rPr>
              <w:t xml:space="preserve">, Logistic </w:t>
            </w:r>
            <w:r w:rsidR="00D01458" w:rsidRPr="008E5B32">
              <w:rPr>
                <w:lang w:val="en-GB"/>
              </w:rPr>
              <w:t>r</w:t>
            </w:r>
            <w:r w:rsidRPr="008E5B32">
              <w:rPr>
                <w:lang w:val="en-GB"/>
              </w:rPr>
              <w:t xml:space="preserve">egression, and SVM) to predict the cellular uptake of metal cored NMs by pancreatic cancer cells. Calculated 3D descriptors included in the final model (from an initial pool of 100 descriptors) were mainly related to </w:t>
            </w:r>
            <w:r w:rsidRPr="008E5B32">
              <w:rPr>
                <w:rFonts w:ascii="museo-sans" w:hAnsi="museo-sans"/>
                <w:spacing w:val="-5"/>
                <w:shd w:val="clear" w:color="auto" w:fill="FFFFFF"/>
                <w:lang w:val="en-GB"/>
              </w:rPr>
              <w:t>lipophilicity and hydrogen</w:t>
            </w:r>
            <w:r w:rsidRPr="008E5B32">
              <w:rPr>
                <w:rFonts w:ascii="museo-sans" w:hAnsi="museo-sans" w:hint="eastAsia"/>
                <w:spacing w:val="-5"/>
                <w:shd w:val="clear" w:color="auto" w:fill="FFFFFF"/>
                <w:lang w:val="en-GB"/>
              </w:rPr>
              <w:t> </w:t>
            </w:r>
            <w:r w:rsidRPr="008E5B32">
              <w:rPr>
                <w:rFonts w:ascii="museo-sans" w:hAnsi="museo-sans"/>
                <w:spacing w:val="-5"/>
                <w:shd w:val="clear" w:color="auto" w:fill="FFFFFF"/>
                <w:lang w:val="en-GB"/>
              </w:rPr>
              <w:t>bonding.</w:t>
            </w:r>
          </w:p>
        </w:tc>
        <w:tc>
          <w:tcPr>
            <w:tcW w:w="2268" w:type="dxa"/>
          </w:tcPr>
          <w:p w14:paraId="18211159"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47A34F62"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 xml:space="preserve"> (C</w:t>
            </w:r>
            <w:r w:rsidRPr="008E5B32">
              <w:rPr>
                <w:lang w:val="en-GB"/>
              </w:rPr>
              <w:t>ellular uptake in PaCa2 cell line</w:t>
            </w:r>
            <w:r w:rsidRPr="008E5B32">
              <w:rPr>
                <w:rFonts w:ascii="Segoe UI Symbol" w:eastAsia="Segoe UI Symbol" w:hAnsi="Segoe UI Symbol" w:cs="Segoe UI Symbol"/>
                <w:color w:val="222222"/>
                <w:shd w:val="clear" w:color="auto" w:fill="FFFFFF"/>
                <w:lang w:val="en-GB"/>
              </w:rPr>
              <w:t>)</w:t>
            </w:r>
          </w:p>
        </w:tc>
        <w:tc>
          <w:tcPr>
            <w:tcW w:w="960" w:type="dxa"/>
          </w:tcPr>
          <w:p w14:paraId="5F294A73" w14:textId="1DBD7041" w:rsidR="001801DA" w:rsidRPr="008E5B32" w:rsidRDefault="001801DA" w:rsidP="00BA08CB">
            <w:pPr>
              <w:jc w:val="center"/>
            </w:pPr>
            <w:r w:rsidRPr="008E5B32">
              <w:t xml:space="preserve">105 </w:t>
            </w:r>
            <w:r w:rsidRPr="008E5B32">
              <w:fldChar w:fldCharType="begin" w:fldLock="1"/>
            </w:r>
            <w:r w:rsidR="00434385" w:rsidRPr="008E5B32">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4E1A148A"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5992C826" w14:textId="77777777" w:rsidR="001801DA" w:rsidRPr="008E5B32" w:rsidRDefault="001801DA" w:rsidP="00BA08CB">
            <w:pPr>
              <w:jc w:val="center"/>
              <w:rPr>
                <w:rFonts w:eastAsia="Segoe UI Symbol"/>
                <w:color w:val="222222"/>
                <w:shd w:val="clear" w:color="auto" w:fill="FFFFFF"/>
              </w:rPr>
            </w:pPr>
            <w:r w:rsidRPr="008E5B32">
              <w:rPr>
                <w:rFonts w:eastAsia="Segoe UI Symbol"/>
                <w:color w:val="222222"/>
                <w:shd w:val="clear" w:color="auto" w:fill="FFFFFF"/>
              </w:rPr>
              <w:t>(</w:t>
            </w:r>
            <w:r w:rsidRPr="008E5B32">
              <w:rPr>
                <w:rFonts w:eastAsia="Segoe UI Symbol"/>
                <w:i/>
                <w:color w:val="222222"/>
                <w:shd w:val="clear" w:color="auto" w:fill="FFFFFF"/>
              </w:rPr>
              <w:t>Consensus classifier)</w:t>
            </w:r>
          </w:p>
        </w:tc>
        <w:tc>
          <w:tcPr>
            <w:tcW w:w="540" w:type="dxa"/>
          </w:tcPr>
          <w:p w14:paraId="6F1547B9"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1E6D6FF5"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676CC545" w14:textId="77777777" w:rsidR="001801DA" w:rsidRPr="008E5B32" w:rsidRDefault="001801DA" w:rsidP="00BA08CB">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 xml:space="preserve">✓ </w:t>
            </w:r>
            <w:r w:rsidRPr="008E5B32">
              <w:rPr>
                <w:rFonts w:ascii="Segoe UI Symbol" w:eastAsia="Segoe UI Symbol" w:hAnsi="Segoe UI Symbol" w:cs="Segoe UI Symbol"/>
                <w:color w:val="222222"/>
                <w:shd w:val="clear" w:color="auto" w:fill="FFFFFF"/>
              </w:rPr>
              <w:br/>
            </w:r>
            <w:r w:rsidRPr="008E5B32">
              <w:rPr>
                <w:rFonts w:eastAsia="Segoe UI Symbol"/>
                <w:color w:val="222222"/>
                <w:shd w:val="clear" w:color="auto" w:fill="FFFFFF"/>
              </w:rPr>
              <w:t>(M</w:t>
            </w:r>
            <w:r w:rsidRPr="008E5B32">
              <w:rPr>
                <w:spacing w:val="-5"/>
                <w:shd w:val="clear" w:color="auto" w:fill="FFFFFF"/>
              </w:rPr>
              <w:t>ultiple threshold method</w:t>
            </w:r>
            <w:r w:rsidRPr="008E5B32">
              <w:rPr>
                <w:rFonts w:eastAsia="Segoe UI Symbol"/>
                <w:color w:val="222222"/>
                <w:shd w:val="clear" w:color="auto" w:fill="FFFFFF"/>
              </w:rPr>
              <w:t>)</w:t>
            </w:r>
          </w:p>
        </w:tc>
        <w:tc>
          <w:tcPr>
            <w:tcW w:w="1350" w:type="dxa"/>
          </w:tcPr>
          <w:p w14:paraId="52D8DBE8" w14:textId="77777777" w:rsidR="001801DA" w:rsidRPr="008E5B32" w:rsidRDefault="001801DA"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64792613"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hAnsi="Segoe UI Symbol" w:cs="Segoe UI Symbol"/>
                <w:szCs w:val="18"/>
              </w:rPr>
              <w:t>✗</w:t>
            </w:r>
          </w:p>
        </w:tc>
      </w:tr>
      <w:tr w:rsidR="001801DA" w:rsidRPr="008E5B32" w14:paraId="0A60631D" w14:textId="77777777" w:rsidTr="00D6682C">
        <w:tc>
          <w:tcPr>
            <w:tcW w:w="426" w:type="dxa"/>
          </w:tcPr>
          <w:p w14:paraId="768EFB7D" w14:textId="446791B2" w:rsidR="001801DA" w:rsidRPr="008E5B32" w:rsidRDefault="001801DA" w:rsidP="00BA08CB">
            <w:pPr>
              <w:rPr>
                <w:lang w:val="en-GB"/>
              </w:rPr>
            </w:pPr>
            <w:r w:rsidRPr="008E5B32">
              <w:fldChar w:fldCharType="begin" w:fldLock="1"/>
            </w:r>
            <w:r w:rsidR="00434385" w:rsidRPr="008E5B32">
              <w:instrText xml:space="preserve">ADDIN CSL_CITATION {"citationItems":[{"id":"ITEM-1","itemData":{"DOI":"10.1021/ie3006947","ISBN":"0888-5885","ISSN":"0888-5885","abstract":"An artificial neural network was employed to predict the cellular uptake of 109 magnetofluorescent nanoparticles (NPs) in pancreatic cancer cells on the basis of quantitative structure activity relationship method. Six descriptors chosen by combining self-organizing map and stepwise multiple linear regression (MLR) techniques were used to correlate the nanostructure of the studied particles with their bioactivity using MLR and multilayered perceptron neural network (MLP-NN) modeling techniques. For the MLR and MLP-NN models, the correlation coefficient was 0.769 and 0.934, and the root-mean-square error was 0.364 and 0.150, respectively. The results obtained after a leave-many-out cross-validation test revealed the credibility of MLP-NN for the prediction of cellular uptake of NPs. In addition, sensitivity analysis of MLP-NN model indicated that the number of hydrogen-bond donor sites in the organic coating of a NP is the predominant factor responsible for cellular uptake. An artificial neural network was employed to predict the cellular uptake of 109 magnetofluorescent nanoparticles (NPs) in pancreatic cancer cells on the basis of quantitative structure activity relationship method. Six descriptors chosen by combining self-organizing map and stepwise multiple linear regression (MLR) techniques were used to correlate the nanostructure of the studied particles with their bioactivity using MLR and multilayered perceptron neural network (MLP-NN) modeling techniques. For the MLR and MLP-NN models, the correlation coefficient was 0.769 and 0.934, and the root-mean-square error was 0.364 and 0.150, respectively. The results obtained </w:instrText>
            </w:r>
            <w:r w:rsidR="00434385" w:rsidRPr="008E5B32">
              <w:rPr>
                <w:lang w:val="en-US"/>
              </w:rPr>
              <w:instrText>after a leave-many-out cross-validation test revealed the credibility of MLP-NN for the prediction of cellular uptake of NPs. In addition, sensitivity analysis of MLP-NN model indicated that the number of hydrogen-bond donor sites in the organic coating of a NP is the predominant factor responsible for cellular uptake.","author":[{"dropping-particle":"","family":"Ghorbanzadeh","given":"Mehdi","non-dropping-particle":"","parse-names":false,"suffix":""},{"dropping-particle":"","family":"Fatemi","given":"Mohammad H.","non-dropping-particle":"","parse-names":false,"suffix":""},{"dropping-particle":"","family":"Karimpour","given":"Masoumeh","non-dropping-particle":"","parse-names":false,"suffix":""}],"container-title":"Industrial &amp; Engineering Chemistry Research","id":"ITEM-1","issued":{"date-parts":[["2012"]]},"title":"Modeling the Cellular Uptake of Magnetofluorescent Nanoparticles in Pancreatic Cancer Cells: A Quantitative Structure Activity Relationship Study","type":"article-journal"},"uris":["http://www.mendeley.com/documents/?uuid=71792f38-6d62-42a4-a995-db07a7a398bb","http://www.mendeley.com/documents/?uuid=acda1f91-9170-4422-8646-1ef2801d78f7","http://www.mendeley.com/documents/?uuid=096d1c8f-0fd2-4048-986d-1b07d25538c5"]}],"mendeley":{"formattedCitation":"&lt;sup&gt;110&lt;/sup&gt;","plainTextFormattedCitation":"110","previouslyFormattedCitation":"&lt;sup&gt;110&lt;/sup&gt;"},"properties":{"noteIndex":0},"schema":"https://github.com/citation-style-language/schema/raw/master/csl-citation.json"}</w:instrText>
            </w:r>
            <w:r w:rsidRPr="008E5B32">
              <w:fldChar w:fldCharType="separate"/>
            </w:r>
            <w:r w:rsidR="004C12A8" w:rsidRPr="008E5B32">
              <w:rPr>
                <w:noProof/>
                <w:vertAlign w:val="superscript"/>
                <w:lang w:val="en-GB"/>
              </w:rPr>
              <w:t>110</w:t>
            </w:r>
            <w:r w:rsidRPr="008E5B32">
              <w:fldChar w:fldCharType="end"/>
            </w:r>
          </w:p>
        </w:tc>
        <w:tc>
          <w:tcPr>
            <w:tcW w:w="4536" w:type="dxa"/>
          </w:tcPr>
          <w:p w14:paraId="6652E225" w14:textId="08C98EB7" w:rsidR="001801DA" w:rsidRPr="008E5B32" w:rsidRDefault="001801DA" w:rsidP="00BA08CB">
            <w:pPr>
              <w:jc w:val="both"/>
              <w:rPr>
                <w:lang w:val="en-GB"/>
              </w:rPr>
            </w:pPr>
            <w:r w:rsidRPr="008E5B32">
              <w:rPr>
                <w:lang w:val="en-GB"/>
              </w:rPr>
              <w:t xml:space="preserve">Non-linear model to predict cellular uptake of metal cored NMs in pancreatic cell lines. The model was described by </w:t>
            </w:r>
            <w:r w:rsidR="00CD23B8" w:rsidRPr="008E5B32">
              <w:rPr>
                <w:lang w:val="en-GB"/>
              </w:rPr>
              <w:t>six</w:t>
            </w:r>
            <w:r w:rsidRPr="008E5B32">
              <w:rPr>
                <w:lang w:val="en-GB"/>
              </w:rPr>
              <w:t xml:space="preserve"> </w:t>
            </w:r>
            <w:r w:rsidR="000E0DBC" w:rsidRPr="008E5B32">
              <w:rPr>
                <w:lang w:val="en-GB"/>
              </w:rPr>
              <w:t xml:space="preserve">chemical </w:t>
            </w:r>
            <w:r w:rsidRPr="008E5B32">
              <w:rPr>
                <w:lang w:val="en-GB"/>
              </w:rPr>
              <w:t xml:space="preserve">descriptors computed by Dragon software and chosen by feature selection thanks to a </w:t>
            </w:r>
            <w:r w:rsidR="006819D7" w:rsidRPr="008E5B32">
              <w:rPr>
                <w:lang w:val="en-GB"/>
              </w:rPr>
              <w:t>SOM</w:t>
            </w:r>
            <w:r w:rsidRPr="008E5B32">
              <w:rPr>
                <w:lang w:val="en-GB"/>
              </w:rPr>
              <w:t>. Authors also provided a less performing linear model was derived by MLR using the same descriptors.</w:t>
            </w:r>
          </w:p>
        </w:tc>
        <w:tc>
          <w:tcPr>
            <w:tcW w:w="2268" w:type="dxa"/>
          </w:tcPr>
          <w:p w14:paraId="14BA8979"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5338AD3D"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 xml:space="preserve"> (</w:t>
            </w:r>
            <w:r w:rsidRPr="008E5B32">
              <w:rPr>
                <w:lang w:val="en-GB"/>
              </w:rPr>
              <w:t>Cellular uptake in PaCa2 cell line</w:t>
            </w:r>
            <w:r w:rsidRPr="008E5B32">
              <w:rPr>
                <w:rFonts w:ascii="Segoe UI Symbol" w:eastAsia="Segoe UI Symbol" w:hAnsi="Segoe UI Symbol" w:cs="Segoe UI Symbol"/>
                <w:color w:val="222222"/>
                <w:shd w:val="clear" w:color="auto" w:fill="FFFFFF"/>
                <w:lang w:val="en-GB"/>
              </w:rPr>
              <w:t>)</w:t>
            </w:r>
          </w:p>
        </w:tc>
        <w:tc>
          <w:tcPr>
            <w:tcW w:w="960" w:type="dxa"/>
          </w:tcPr>
          <w:p w14:paraId="405AE589" w14:textId="482F8B17" w:rsidR="001801DA" w:rsidRPr="008E5B32" w:rsidRDefault="001801DA" w:rsidP="00BA08CB">
            <w:pPr>
              <w:jc w:val="center"/>
            </w:pPr>
            <w:r w:rsidRPr="008E5B32">
              <w:rPr>
                <w:lang w:val="en-GB"/>
              </w:rPr>
              <w:t xml:space="preserve">109 </w:t>
            </w:r>
            <w:r w:rsidRPr="008E5B32">
              <w:fldChar w:fldCharType="begin" w:fldLock="1"/>
            </w:r>
            <w:r w:rsidR="00434385" w:rsidRPr="008E5B32">
              <w:rPr>
                <w:lang w:val="en-GB"/>
              </w:rPr>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7A249394"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683E9AA9"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eastAsia="Segoe UI Symbol"/>
                <w:color w:val="222222"/>
                <w:shd w:val="clear" w:color="auto" w:fill="FFFFFF"/>
                <w:lang w:val="en-GB"/>
              </w:rPr>
              <w:t>(</w:t>
            </w:r>
            <w:r w:rsidRPr="008E5B32">
              <w:rPr>
                <w:lang w:val="en-GB"/>
              </w:rPr>
              <w:t>Multi-layered perceptron neural network</w:t>
            </w:r>
            <w:r w:rsidRPr="008E5B32">
              <w:rPr>
                <w:rFonts w:eastAsia="Segoe UI Symbol"/>
                <w:i/>
                <w:color w:val="222222"/>
                <w:shd w:val="clear" w:color="auto" w:fill="FFFFFF"/>
                <w:lang w:val="en-GB"/>
              </w:rPr>
              <w:t>)</w:t>
            </w:r>
          </w:p>
        </w:tc>
        <w:tc>
          <w:tcPr>
            <w:tcW w:w="540" w:type="dxa"/>
          </w:tcPr>
          <w:p w14:paraId="44C03603"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1CE4EB28"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151E1DBF"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 xml:space="preserve">✓ </w:t>
            </w:r>
            <w:r w:rsidRPr="008E5B32">
              <w:rPr>
                <w:rFonts w:ascii="Segoe UI Symbol" w:eastAsia="Segoe UI Symbol" w:hAnsi="Segoe UI Symbol" w:cs="Segoe UI Symbol"/>
                <w:color w:val="222222"/>
                <w:shd w:val="clear" w:color="auto" w:fill="FFFFFF"/>
              </w:rPr>
              <w:br/>
            </w:r>
            <w:r w:rsidRPr="008E5B32">
              <w:rPr>
                <w:rFonts w:eastAsia="Segoe UI Symbol"/>
                <w:color w:val="222222"/>
                <w:shd w:val="clear" w:color="auto" w:fill="FFFFFF"/>
              </w:rPr>
              <w:t>(Descriptor ranges + Leverage approach)</w:t>
            </w:r>
          </w:p>
        </w:tc>
        <w:tc>
          <w:tcPr>
            <w:tcW w:w="1350" w:type="dxa"/>
          </w:tcPr>
          <w:p w14:paraId="3F67F56A" w14:textId="77777777" w:rsidR="001801DA" w:rsidRPr="008E5B32" w:rsidRDefault="001801DA"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123EB2DC" w14:textId="77777777" w:rsidR="001801DA" w:rsidRPr="008E5B32" w:rsidRDefault="001801DA" w:rsidP="00BA08CB">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w:t>
            </w:r>
          </w:p>
        </w:tc>
      </w:tr>
      <w:tr w:rsidR="001801DA" w:rsidRPr="008E5B32" w14:paraId="178183F7" w14:textId="77777777" w:rsidTr="00D6682C">
        <w:tc>
          <w:tcPr>
            <w:tcW w:w="426" w:type="dxa"/>
          </w:tcPr>
          <w:p w14:paraId="2EC70410" w14:textId="3CD96F92" w:rsidR="001801DA" w:rsidRPr="008E5B32" w:rsidRDefault="001801DA" w:rsidP="00BA08CB">
            <w:r w:rsidRPr="008E5B32">
              <w:fldChar w:fldCharType="begin" w:fldLock="1"/>
            </w:r>
            <w:r w:rsidR="00434385" w:rsidRPr="008E5B32">
              <w:instrText>ADDIN CSL_CITATION {"citationItems":[{"id":"ITEM-1","itemData":{"DOI":"10.1021/ci3005308","ISBN":"1549-9596","ISSN":"15499596","PMID":"23252880","abstract":"Little attention has been given to the selection of trial descriptor sets when designing a QSAR analysis even though a great number of descriptor classes, and often a greater number of descriptors within a given class, are now available. This paper reports an effort to explore interrelationships between QSAR models and descriptor sets. Zhou and co-workers (Zhou et al., Nano Lett.2008, 8 (3), 859–865) designed, synthesized, and tested a combinatorial library of 80 surface modified, that is decorated, multi-walled carbon nanotubes for their composite nanotoxicity using six endpoints all based on a common 0 to 100 activity scale. Each of the six endpoints for the 29 most nanotoxic decorated nanotubes were incorporated as the training set for this study. The study reported here includes trial descriptor sets for all possible combinations of MOE, VolSurf, and 4D-fingerprints (FP) descriptor classes, as well as including and excluding explicit spatial contributions from the nanotube. Optimized QSAR models were ...","author":[{"dropping-particle":"","family":"Shao","given":"Chi Yu","non-dropping-particle":"","parse-names":false,"suffix":""},{"dropping-particle":"","family":"Chen","given":"Sing Zuo","non-dropping-particle":"","parse-names":false,"suffix":""},{"dropping-particle":"","family":"Su","given":"Bo Han","non-dropping-particle":"","parse-names":false,"suffix":""},{"dropping-particle":"","family":"Tseng","given":"Yufeng J.","non-dropping-particle":"","parse-names":false,"suffix":""},{"dropping-particle":"","family":"Esposito","given":"Emilio Xavier","non-dropping-particle":"","parse-names":false,"suffix":""},{"dropping-particle":"","family":"Hopfinger","given":"Anton J.","non-dropping-particle":"","parse-names":false,"suffix":""}],"container-title":"Journal of Chemical Information and Modeling","id":"ITEM-1","issued":{"date-parts":[["2013"]]},"title":"Dependence of QSAR models on the selection of trial descriptor sets: A demonstration using nanotoxicity endpoints of decorated nanotubes","type":"article-journal"},"uris":["http://www.mendeley.com/documents/?uuid=b4643c23-c14a-473f-9037-bdac0acc68eb","http://www.mendeley.com/documents/?uuid=5fb9614d-1225-40ba-bc4e-06316c5fc6be","http://www.mendeley.com/documents/?uuid=9c4152d1-68b0-4eb9-8ece-bf4cad83c52a"]}],"mendeley":{"formattedCitation":"&lt;sup&gt;111&lt;/sup&gt;","plainTextFormattedCitation":"111","previouslyFormattedCitation":"&lt;sup&gt;111&lt;/sup&gt;"},"properties":{"noteIndex":0},"schema":"https://github.com/citation-style-language/schema/raw/master/csl-citation.json"}</w:instrText>
            </w:r>
            <w:r w:rsidRPr="008E5B32">
              <w:fldChar w:fldCharType="separate"/>
            </w:r>
            <w:r w:rsidR="004C12A8" w:rsidRPr="008E5B32">
              <w:rPr>
                <w:noProof/>
                <w:vertAlign w:val="superscript"/>
              </w:rPr>
              <w:t>111</w:t>
            </w:r>
            <w:r w:rsidRPr="008E5B32">
              <w:fldChar w:fldCharType="end"/>
            </w:r>
          </w:p>
        </w:tc>
        <w:tc>
          <w:tcPr>
            <w:tcW w:w="4536" w:type="dxa"/>
          </w:tcPr>
          <w:p w14:paraId="23F399F4" w14:textId="50EB189A" w:rsidR="001801DA" w:rsidRPr="008E5B32" w:rsidRDefault="001801DA" w:rsidP="00BA08CB">
            <w:pPr>
              <w:jc w:val="both"/>
              <w:rPr>
                <w:lang w:val="en-GB"/>
              </w:rPr>
            </w:pPr>
            <w:r w:rsidRPr="008E5B32">
              <w:rPr>
                <w:lang w:val="en-GB"/>
              </w:rPr>
              <w:t>Demonstration of the dependence of QSAR models on the selection of trial descriptors</w:t>
            </w:r>
            <w:r w:rsidR="00011409" w:rsidRPr="008E5B32">
              <w:rPr>
                <w:lang w:val="en-GB"/>
              </w:rPr>
              <w:t xml:space="preserve"> </w:t>
            </w:r>
            <w:r w:rsidR="009F4F11" w:rsidRPr="008E5B32">
              <w:rPr>
                <w:lang w:val="en-GB"/>
              </w:rPr>
              <w:t xml:space="preserve">sets </w:t>
            </w:r>
            <w:r w:rsidR="00011409" w:rsidRPr="008E5B32">
              <w:rPr>
                <w:lang w:val="en-GB"/>
              </w:rPr>
              <w:t xml:space="preserve">computed by </w:t>
            </w:r>
            <w:r w:rsidR="009F4F11" w:rsidRPr="008E5B32">
              <w:rPr>
                <w:lang w:val="en-GB"/>
              </w:rPr>
              <w:t>different softwares from the chemical structure of the NMs</w:t>
            </w:r>
            <w:r w:rsidRPr="008E5B32">
              <w:rPr>
                <w:lang w:val="en-GB"/>
              </w:rPr>
              <w:t xml:space="preserve"> using </w:t>
            </w:r>
            <w:r w:rsidR="00CD23B8" w:rsidRPr="008E5B32">
              <w:rPr>
                <w:lang w:val="en-GB"/>
              </w:rPr>
              <w:t>six</w:t>
            </w:r>
            <w:r w:rsidRPr="008E5B32">
              <w:rPr>
                <w:lang w:val="en-GB"/>
              </w:rPr>
              <w:t xml:space="preserve"> different endpoints (BSA binding, CA binding, HB Binding, CT binding, NO response, and Cell Viability) and a combination of these endpoints for decorated nanotubes.</w:t>
            </w:r>
          </w:p>
        </w:tc>
        <w:tc>
          <w:tcPr>
            <w:tcW w:w="2268" w:type="dxa"/>
          </w:tcPr>
          <w:p w14:paraId="5365EBB3" w14:textId="77777777" w:rsidR="00A578DC" w:rsidRPr="008E5B32" w:rsidRDefault="00A578DC" w:rsidP="00A578DC">
            <w:pPr>
              <w:jc w:val="center"/>
              <w:rPr>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szCs w:val="18"/>
                <w:lang w:val="en-GB"/>
              </w:rPr>
              <w:t>/✗</w:t>
            </w:r>
          </w:p>
          <w:p w14:paraId="08100580" w14:textId="7EF3E22F" w:rsidR="001801DA" w:rsidRPr="008E5B32" w:rsidRDefault="001801DA" w:rsidP="00B71247">
            <w:pPr>
              <w:jc w:val="center"/>
              <w:rPr>
                <w:lang w:val="en-GB"/>
              </w:rPr>
            </w:pPr>
            <w:r w:rsidRPr="008E5B32">
              <w:rPr>
                <w:rFonts w:ascii="Segoe UI Symbol" w:eastAsia="Segoe UI Symbol" w:hAnsi="Segoe UI Symbol" w:cs="Segoe UI Symbol"/>
                <w:color w:val="222222"/>
                <w:shd w:val="clear" w:color="auto" w:fill="FFFFFF"/>
                <w:lang w:val="en-GB"/>
              </w:rPr>
              <w:t>(</w:t>
            </w:r>
            <w:r w:rsidR="00CD23B8" w:rsidRPr="008E5B32">
              <w:rPr>
                <w:lang w:val="en-GB"/>
              </w:rPr>
              <w:t>Six</w:t>
            </w:r>
            <w:r w:rsidRPr="008E5B32">
              <w:rPr>
                <w:lang w:val="en-GB"/>
              </w:rPr>
              <w:t xml:space="preserve"> different endpoints, and a combination of such endpoints</w:t>
            </w:r>
            <w:r w:rsidRPr="008E5B32">
              <w:rPr>
                <w:rFonts w:ascii="Segoe UI Symbol" w:eastAsia="Segoe UI Symbol" w:hAnsi="Segoe UI Symbol" w:cs="Segoe UI Symbol"/>
                <w:color w:val="222222"/>
                <w:shd w:val="clear" w:color="auto" w:fill="FFFFFF"/>
                <w:lang w:val="en-GB"/>
              </w:rPr>
              <w:t>)</w:t>
            </w:r>
          </w:p>
        </w:tc>
        <w:tc>
          <w:tcPr>
            <w:tcW w:w="960" w:type="dxa"/>
          </w:tcPr>
          <w:p w14:paraId="69AFC050" w14:textId="28E9DF74" w:rsidR="001801DA" w:rsidRPr="008E5B32" w:rsidRDefault="001801DA" w:rsidP="00BA08CB">
            <w:pPr>
              <w:jc w:val="center"/>
            </w:pPr>
            <w:r w:rsidRPr="008E5B32">
              <w:t xml:space="preserve">80 </w:t>
            </w:r>
            <w:r w:rsidRPr="008E5B32">
              <w:fldChar w:fldCharType="begin" w:fldLock="1"/>
            </w:r>
            <w:r w:rsidR="00434385" w:rsidRPr="008E5B32">
              <w:instrText>ADDIN CSL_CITATION {"citationItems":[{"id":"ITEM-1","itemData":{"DOI":"10.1021/nl0730155","ISBN":"9014955715","ISSN":"15306984","PMID":"18288815","abstract":"We have discovered functionalized multiwalled carbon nanotubes with reduced protein-binding, cytotoxicity, and immune response and the associated structure–activity relationships using in silico surface molecular diversity design, combinatorial library synthesis, and multiple biological screenings. Our results demonstrated the general utility of the nanocombinatorial library approach in nanomedicine and nanotoxicity research.","author":[{"dropping-particle":"","family":"Zhou","given":"Hongyu","non-dropping-particle":"","parse-names":false,"suffix":""},{"dropping-particle":"","family":"Mu","given":"Qingxin","non-dropping-particle":"","parse-names":false,"suffix":""},{"dropping-particle":"","family":"Gao","given":"Ningning","non-dropping-particle":"","parse-names":false,"suffix":""},{"dropping-particle":"","family":"Liu","given":"Aifeng","non-dropping-particle":"","parse-names":false,"suffix":""},{"dropping-particle":"","family":"Xing","given":"Yuehan","non-dropping-particle":"","parse-names":false,"suffix":""},{"dropping-particle":"","family":"Gao","given":"Sulian","non-dropping-particle":"","parse-names":false,"suffix":""},{"dropping-particle":"","family":"Zhang","given":"Qiu","non-dropping-particle":"","parse-names":false,"suffix":""},{"dropping-particle":"","family":"Qu","given":"Guangbo","non-dropping-particle":"","parse-names":false,"suffix":""},{"dropping-particle":"","family":"Chen","given":"Yuyan","non-dropping-particle":"","parse-names":false,"suffix":""},{"dropping-particle":"","family":"Liu","given":"Gang","non-dropping-particle":"","parse-names":false,"suffix":""},{"dropping-particle":"","family":"Zhang","given":"Bin","non-dropping-particle":"","parse-names":false,"suffix":""},{"dropping-particle":"","family":"Yan","given":"Bing","non-dropping-particle":"","parse-names":false,"suffix":""}],"container-title":"Nano Letters","id":"ITEM-1","issue":"3","issued":{"date-parts":[["2008"]]},"page":"859-865","title":"A nano-combinatorial library strategy for the discovery of nanotubes with reduced protein-binding, cytotoxicity, and immune response","type":"article-journal","volume":"8"},"uris":["http://www.mendeley.com/documents/?uuid=7d1be9d8-485f-4411-9e30-950cdcb8df8e"]}],"mendeley":{"formattedCitation":"&lt;sup&gt;112&lt;/sup&gt;","plainTextFormattedCitation":"112","previouslyFormattedCitation":"&lt;sup&gt;112&lt;/sup&gt;"},"properties":{"noteIndex":0},"schema":"https://github.com/citation-style-language/schema/raw/master/csl-citation.json"}</w:instrText>
            </w:r>
            <w:r w:rsidRPr="008E5B32">
              <w:fldChar w:fldCharType="separate"/>
            </w:r>
            <w:r w:rsidR="004C12A8" w:rsidRPr="008E5B32">
              <w:rPr>
                <w:noProof/>
                <w:vertAlign w:val="superscript"/>
              </w:rPr>
              <w:t>112</w:t>
            </w:r>
            <w:r w:rsidRPr="008E5B32">
              <w:fldChar w:fldCharType="end"/>
            </w:r>
          </w:p>
        </w:tc>
        <w:tc>
          <w:tcPr>
            <w:tcW w:w="1620" w:type="dxa"/>
          </w:tcPr>
          <w:p w14:paraId="16719B7A"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1F6645B4"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eastAsia="Segoe UI Symbol"/>
                <w:color w:val="222222"/>
                <w:shd w:val="clear" w:color="auto" w:fill="FFFFFF"/>
              </w:rPr>
              <w:t>(</w:t>
            </w:r>
            <w:r w:rsidRPr="008E5B32">
              <w:t>MLR</w:t>
            </w:r>
            <w:r w:rsidR="00604FF1" w:rsidRPr="008E5B32">
              <w:t xml:space="preserve"> with Genetic Algorithm</w:t>
            </w:r>
            <w:r w:rsidRPr="008E5B32">
              <w:rPr>
                <w:rFonts w:eastAsia="Segoe UI Symbol"/>
                <w:i/>
                <w:color w:val="222222"/>
                <w:shd w:val="clear" w:color="auto" w:fill="FFFFFF"/>
              </w:rPr>
              <w:t>)</w:t>
            </w:r>
          </w:p>
        </w:tc>
        <w:tc>
          <w:tcPr>
            <w:tcW w:w="540" w:type="dxa"/>
          </w:tcPr>
          <w:p w14:paraId="318CCE94"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t>≈</w:t>
            </w:r>
          </w:p>
        </w:tc>
        <w:tc>
          <w:tcPr>
            <w:tcW w:w="540" w:type="dxa"/>
          </w:tcPr>
          <w:p w14:paraId="01DDC27C"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t>≈</w:t>
            </w:r>
          </w:p>
        </w:tc>
        <w:tc>
          <w:tcPr>
            <w:tcW w:w="1350" w:type="dxa"/>
          </w:tcPr>
          <w:p w14:paraId="337AC3CC"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hAnsi="Segoe UI Symbol" w:cs="Segoe UI Symbol"/>
                <w:szCs w:val="18"/>
              </w:rPr>
              <w:t>✗</w:t>
            </w:r>
          </w:p>
        </w:tc>
        <w:tc>
          <w:tcPr>
            <w:tcW w:w="1350" w:type="dxa"/>
          </w:tcPr>
          <w:p w14:paraId="07B63E29" w14:textId="77777777" w:rsidR="001801DA" w:rsidRPr="008E5B32" w:rsidRDefault="001801DA" w:rsidP="00BA08CB">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757B553A"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1801DA" w:rsidRPr="008E5B32" w14:paraId="36264B77" w14:textId="77777777" w:rsidTr="00D6682C">
        <w:tc>
          <w:tcPr>
            <w:tcW w:w="426" w:type="dxa"/>
          </w:tcPr>
          <w:p w14:paraId="5EB051CD" w14:textId="47101182" w:rsidR="001801DA" w:rsidRPr="008E5B32" w:rsidRDefault="001801DA" w:rsidP="00BA08CB">
            <w:pPr>
              <w:rPr>
                <w:lang w:val="en-GB"/>
              </w:rPr>
            </w:pPr>
            <w:r w:rsidRPr="008E5B32">
              <w:fldChar w:fldCharType="begin" w:fldLock="1"/>
            </w:r>
            <w:r w:rsidR="00434385" w:rsidRPr="008E5B32">
              <w:instrText xml:space="preserve">ADDIN CSL_CITATION {"citationItems":[{"id":"ITEM-1","itemData":{"DOI":"10.1039/c3nr01533e","ISBN":"2040-3372","ISSN":"20403364","PMID":"23689214","abstract":"Nanomaterial structure–activity relationships (nano-SARs) for metal oxide nanoparticles (NPs) toxicity were investigated using metrics based on dose–response analysis and consensus self-organizing map clustering. The NP cellular toxicity dataset included toxicity profiles consisting of seven different assays for human bronchial epithelial (BEAS-2B) and murine myeloid (RAW 264.7) cells, over a concentration range of 0.39–100 mg L−1 and exposure time up to 24 h, for twenty-four different metal oxide NPs. Various nano-SAR building models were evaluated, based on an initial pool of thirty NP descriptors. The conduction band energy and ionic index (often correlated with the hydration enthalpy) were identified as suitable NP descriptors that are consistent with suggested toxicity mechanisms for metal oxide NPs and metal ions. The best performing nano-SAR with the above two descriptors, built with support vector machine (SVM) model and of validated robustness, had a balanced classification accuracy of </w:instrText>
            </w:r>
            <w:r w:rsidR="00434385" w:rsidRPr="008E5B32">
              <w:rPr>
                <w:rFonts w:ascii="Cambria Math" w:hAnsi="Cambria Math" w:cs="Cambria Math"/>
              </w:rPr>
              <w:instrText>∼</w:instrText>
            </w:r>
            <w:r w:rsidR="00434385" w:rsidRPr="008E5B32">
              <w:instrText>94%. An applicability domain for the present data was established with a reasonable confidence level of 80%. Given the potential role of nano-SARs in decision making, regarding the environmental impact of NPs, the class probabilities provided by the SVM nano-SAR enabled the construction of decision boundaries with respect to toxicity classification under different acceptance levels of false negative relative to false positive predictions.","author":[{"dropping-particle":"","family":"Liu","given":"Rong","non-dropping-particle":"","parse-names":false,"suffix":""},{"dropping-parti</w:instrText>
            </w:r>
            <w:r w:rsidR="00434385" w:rsidRPr="008E5B32">
              <w:rPr>
                <w:lang w:val="en-US"/>
              </w:rPr>
              <w:instrText>cle":"","family":"Zhang","given":"Hai Yuan","non-dropping-particle":"","parse-names":false,"suffix":""},{"dropping-particle":"","family":"Ji","given":"Zhao Xia","non-dropping-particle":"","parse-names":false,"suffix":""},{"dropping-particle":"","family":"Rallo","given":"Robert","non-dropping-particle":"","parse-names":false,"suffix":""},{"dropping-particle":"","family":"Xia","given":"Tian","non-dropping-particle":"","parse-names":false,"suffix":""},{"dropping-particle":"","family":"Chang","given":"Chong Hyun","non-dropping-particle":"","parse-names":false,"suffix":""},{"dropping-particle":"","family":"Nel","given":"Andre","non-dropping-particle":"","parse-names":false,"suffix":""},{"dropping-particle":"","family":"Cohen","given":"Yoram","non-dropping-particle":"","parse-names":false,"suffix":""}],"container-title":"Nanoscale","id":"ITEM-1","issued":{"date-parts":[["2013"]]},"title":"Development of structure-activity relationship for metal oxide nanoparticles","type":"article-journal"},"uris":["http://www.mendeley.com/documents/?uuid=be3f646b-2a94-4efc-9abc-bea1d09c64fc","http://www.mendeley.com/documents/?uuid=24d1f6ff-622e-45b3-b4be-b04f6fb51c0a","http://www.mendeley.com/documents/?uuid=6edb26df-6abf-45a9-b082-45e3a5bff943"]}],"mendeley":{"formattedCitation":"&lt;sup&gt;113&lt;/sup&gt;","plainTextFormattedCitation":"113","previouslyFormattedCitation":"&lt;sup&gt;113&lt;/sup&gt;"},"properties":{"noteIndex":0},"schema":"https://github.com/citation-style-language/schema/raw/master/csl-citation.json"}</w:instrText>
            </w:r>
            <w:r w:rsidRPr="008E5B32">
              <w:fldChar w:fldCharType="separate"/>
            </w:r>
            <w:r w:rsidR="004C12A8" w:rsidRPr="008E5B32">
              <w:rPr>
                <w:noProof/>
                <w:vertAlign w:val="superscript"/>
                <w:lang w:val="en-GB"/>
              </w:rPr>
              <w:t>113</w:t>
            </w:r>
            <w:r w:rsidRPr="008E5B32">
              <w:fldChar w:fldCharType="end"/>
            </w:r>
          </w:p>
        </w:tc>
        <w:tc>
          <w:tcPr>
            <w:tcW w:w="4536" w:type="dxa"/>
          </w:tcPr>
          <w:p w14:paraId="2D3F12B8" w14:textId="231FC049" w:rsidR="001801DA" w:rsidRPr="008E5B32" w:rsidRDefault="001801DA" w:rsidP="00BA08CB">
            <w:pPr>
              <w:jc w:val="both"/>
              <w:rPr>
                <w:lang w:val="en-GB"/>
              </w:rPr>
            </w:pPr>
            <w:r w:rsidRPr="008E5B32">
              <w:rPr>
                <w:spacing w:val="-5"/>
                <w:shd w:val="clear" w:color="auto" w:fill="FFFFFF"/>
                <w:lang w:val="en-GB"/>
              </w:rPr>
              <w:t>SAR model for metal </w:t>
            </w:r>
            <w:r w:rsidRPr="008E5B32">
              <w:rPr>
                <w:lang w:val="en-GB"/>
              </w:rPr>
              <w:t>oxide</w:t>
            </w:r>
            <w:r w:rsidRPr="008E5B32">
              <w:rPr>
                <w:spacing w:val="-5"/>
                <w:shd w:val="clear" w:color="auto" w:fill="FFFFFF"/>
                <w:lang w:val="en-GB"/>
              </w:rPr>
              <w:t> </w:t>
            </w:r>
            <w:r w:rsidRPr="008E5B32">
              <w:rPr>
                <w:lang w:val="en-GB"/>
              </w:rPr>
              <w:t xml:space="preserve">NMs </w:t>
            </w:r>
            <w:r w:rsidRPr="008E5B32">
              <w:rPr>
                <w:spacing w:val="-5"/>
                <w:shd w:val="clear" w:color="auto" w:fill="FFFFFF"/>
                <w:lang w:val="en-GB"/>
              </w:rPr>
              <w:t xml:space="preserve">toxicity using metrics based on dose–response analysis and consensus self-organizing map clustering. Authors explored different classification models (NBC, Linear </w:t>
            </w:r>
            <w:r w:rsidR="000D2186" w:rsidRPr="008E5B32">
              <w:rPr>
                <w:spacing w:val="-5"/>
                <w:shd w:val="clear" w:color="auto" w:fill="FFFFFF"/>
                <w:lang w:val="en-GB"/>
              </w:rPr>
              <w:t>r</w:t>
            </w:r>
            <w:r w:rsidRPr="008E5B32">
              <w:rPr>
                <w:spacing w:val="-5"/>
                <w:shd w:val="clear" w:color="auto" w:fill="FFFFFF"/>
                <w:lang w:val="en-GB"/>
              </w:rPr>
              <w:t xml:space="preserve">egression, LDA, Logistic regression, quadratic </w:t>
            </w:r>
            <w:r w:rsidR="000D2186" w:rsidRPr="008E5B32">
              <w:rPr>
                <w:spacing w:val="-5"/>
                <w:shd w:val="clear" w:color="auto" w:fill="FFFFFF"/>
                <w:lang w:val="en-GB"/>
              </w:rPr>
              <w:t>l</w:t>
            </w:r>
            <w:r w:rsidRPr="008E5B32">
              <w:rPr>
                <w:spacing w:val="-5"/>
                <w:shd w:val="clear" w:color="auto" w:fill="FFFFFF"/>
                <w:lang w:val="en-GB"/>
              </w:rPr>
              <w:t xml:space="preserve">ogistic </w:t>
            </w:r>
            <w:r w:rsidR="000D2186" w:rsidRPr="008E5B32">
              <w:rPr>
                <w:spacing w:val="-5"/>
                <w:shd w:val="clear" w:color="auto" w:fill="FFFFFF"/>
                <w:lang w:val="en-GB"/>
              </w:rPr>
              <w:t>r</w:t>
            </w:r>
            <w:r w:rsidRPr="008E5B32">
              <w:rPr>
                <w:spacing w:val="-5"/>
                <w:shd w:val="clear" w:color="auto" w:fill="FFFFFF"/>
                <w:lang w:val="en-GB"/>
              </w:rPr>
              <w:t>egression, and SVM)</w:t>
            </w:r>
            <w:r w:rsidRPr="008E5B32">
              <w:rPr>
                <w:lang w:val="en-GB"/>
              </w:rPr>
              <w:t xml:space="preserve"> with different combinations of </w:t>
            </w:r>
            <w:r w:rsidR="00DF4189" w:rsidRPr="008E5B32">
              <w:rPr>
                <w:lang w:val="en-GB"/>
              </w:rPr>
              <w:t xml:space="preserve">nanospecific, </w:t>
            </w:r>
            <w:r w:rsidR="000D32A5" w:rsidRPr="008E5B32">
              <w:rPr>
                <w:lang w:val="en-GB"/>
              </w:rPr>
              <w:t>physicochemical</w:t>
            </w:r>
            <w:r w:rsidR="00DF4189" w:rsidRPr="008E5B32">
              <w:rPr>
                <w:lang w:val="en-GB"/>
              </w:rPr>
              <w:t xml:space="preserve"> and metal oxide</w:t>
            </w:r>
            <w:r w:rsidR="000D32A5" w:rsidRPr="008E5B32">
              <w:rPr>
                <w:lang w:val="en-GB"/>
              </w:rPr>
              <w:t xml:space="preserve"> </w:t>
            </w:r>
            <w:r w:rsidRPr="008E5B32">
              <w:rPr>
                <w:lang w:val="en-GB"/>
              </w:rPr>
              <w:t>descriptors</w:t>
            </w:r>
            <w:r w:rsidR="00CD23B8" w:rsidRPr="008E5B32">
              <w:rPr>
                <w:lang w:val="en-GB"/>
              </w:rPr>
              <w:t>, ending up with a model composed by two</w:t>
            </w:r>
            <w:r w:rsidR="000D32A5" w:rsidRPr="008E5B32">
              <w:rPr>
                <w:lang w:val="en-GB"/>
              </w:rPr>
              <w:t xml:space="preserve"> </w:t>
            </w:r>
            <w:r w:rsidR="00CD23B8" w:rsidRPr="008E5B32">
              <w:rPr>
                <w:lang w:val="en-GB"/>
              </w:rPr>
              <w:t>descriptors</w:t>
            </w:r>
            <w:r w:rsidR="000D32A5" w:rsidRPr="008E5B32">
              <w:rPr>
                <w:lang w:val="en-GB"/>
              </w:rPr>
              <w:t xml:space="preserve"> (</w:t>
            </w:r>
            <w:r w:rsidR="00DF4189" w:rsidRPr="008E5B32">
              <w:rPr>
                <w:lang w:val="en-US"/>
              </w:rPr>
              <w:t>conduction band energy and ionic index</w:t>
            </w:r>
            <w:r w:rsidR="000D32A5" w:rsidRPr="008E5B32">
              <w:rPr>
                <w:lang w:val="en-GB"/>
              </w:rPr>
              <w:t>)</w:t>
            </w:r>
            <w:r w:rsidR="00CD23B8" w:rsidRPr="008E5B32">
              <w:rPr>
                <w:spacing w:val="-5"/>
                <w:shd w:val="clear" w:color="auto" w:fill="FFFFFF"/>
                <w:lang w:val="en-GB"/>
              </w:rPr>
              <w:t>.</w:t>
            </w:r>
          </w:p>
        </w:tc>
        <w:tc>
          <w:tcPr>
            <w:tcW w:w="2268" w:type="dxa"/>
          </w:tcPr>
          <w:p w14:paraId="67BDF03D" w14:textId="77777777" w:rsidR="004C46E2" w:rsidRPr="008E5B32" w:rsidRDefault="004C46E2" w:rsidP="004C46E2">
            <w:pPr>
              <w:jc w:val="center"/>
              <w:rPr>
                <w:lang w:val="en-GB"/>
              </w:rPr>
            </w:pPr>
            <w:r w:rsidRPr="008E5B32">
              <w:rPr>
                <w:rFonts w:ascii="Segoe UI Symbol" w:hAnsi="Segoe UI Symbol" w:cs="Segoe UI Symbol"/>
                <w:szCs w:val="18"/>
                <w:lang w:val="en-GB"/>
              </w:rPr>
              <w:t>✗</w:t>
            </w:r>
          </w:p>
          <w:p w14:paraId="7CB6345D" w14:textId="77777777" w:rsidR="001801DA" w:rsidRPr="008E5B32" w:rsidRDefault="004C46E2" w:rsidP="004C46E2">
            <w:pPr>
              <w:jc w:val="center"/>
              <w:rPr>
                <w:rFonts w:ascii="Segoe UI Symbol" w:eastAsia="Segoe UI Symbol" w:hAnsi="Segoe UI Symbol" w:cs="Segoe UI Symbol"/>
                <w:color w:val="222222"/>
                <w:shd w:val="clear" w:color="auto" w:fill="FFFFFF"/>
                <w:lang w:val="en-GB"/>
              </w:rPr>
            </w:pPr>
            <w:r w:rsidRPr="008E5B32">
              <w:rPr>
                <w:lang w:val="en-GB"/>
              </w:rPr>
              <w:t xml:space="preserve"> </w:t>
            </w:r>
            <w:r w:rsidR="001801DA" w:rsidRPr="008E5B32">
              <w:rPr>
                <w:lang w:val="en-GB"/>
              </w:rPr>
              <w:t>(Cell viability in BEAS-2B and RAW264.7 cell lines)</w:t>
            </w:r>
          </w:p>
        </w:tc>
        <w:tc>
          <w:tcPr>
            <w:tcW w:w="960" w:type="dxa"/>
          </w:tcPr>
          <w:p w14:paraId="7503DCAD" w14:textId="188DE50C" w:rsidR="001801DA" w:rsidRPr="008E5B32" w:rsidRDefault="001801DA" w:rsidP="00BA08CB">
            <w:pPr>
              <w:jc w:val="center"/>
              <w:rPr>
                <w:lang w:val="en-GB"/>
              </w:rPr>
            </w:pPr>
            <w:r w:rsidRPr="008E5B32">
              <w:rPr>
                <w:lang w:val="en-GB"/>
              </w:rPr>
              <w:t xml:space="preserve">24 </w:t>
            </w:r>
            <w:r w:rsidRPr="008E5B32">
              <w:fldChar w:fldCharType="begin" w:fldLock="1"/>
            </w:r>
            <w:r w:rsidR="00434385" w:rsidRPr="008E5B32">
              <w:rPr>
                <w:lang w:val="en-GB"/>
              </w:rPr>
              <w:instrText>ADDIN CSL_CITATION {"citationItems":[{"id":"ITEM-1","itemData":{"DOI":"10.1021/nn3010087","ISBN":"1936-0851","ISSN":"19360851","PMID":"22502734","abstract":"We demonstrate for 24 metal oxide (MOx) nanoparticles that it is possible to use conduction band energy levels to delineate their toxicological potential at cellular and whole animal levels. Among the materials, the over of conduction band energy (E-c) levels with the cellular redox potential (-4.12 to 4.84 eV) was strongly correlated to the ability of Co3O4, Cr2O3, Ni2O3, Mn2O3,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CO3O4, Ni2O3, Mn2O3, and CoO nanoparticles could also oxidize cytochrome c as a representative redox couple Involved in redox homeostasis. While CuO and ZnO generated oxidative stress and acute pulmonary Inflammation that is not predicted by E-c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author":[{"dropping-particle":"","family":"Zhang","given":"Haiyuan","non-dropping-particle":"","parse-names":false,"suffix":""},{"dropping-particle":"","family":"Ji","given":"Zhaoxia","non-dropping-particle":"","parse-names":false,"suffix":""},{"dropping-particle":"","family":"Xia","given":"Tian","non-dropping-particle":"","parse-names":false,"suffix":""},{"dropping-particle":"","family":"Meng","given":"Huan","non-dropping-particle":"","parse-names":false,"suffix":""},{"dropping-particle":"","family":"Low-Kam","given":"Cecile","non-dropping-particle":"","parse-names":false,"suffix":""},{"dropping-particle":"","family":"Liu","given":"Rong","non-dropping-particle":"","parse-names":false,"suffix":""},{"dropping-particle":"","family":"Pokhrel","given":"Suman","non-dropping-particle":"","parse-names":false,"suffix":""},{"dropping-particle":"","family":"Lin","given":"Sijie","non-dropping-particle":"","parse-names":false,"suffix":""},{"dropping-particle":"","family":"Wang","given":"Xiang","non-dropping-particle":"","parse-names":false,"suffix":""},{"dropping-particle":"","family":"Liao","given":"Yu Pei","non-dropping-particle":"","parse-names":false,"suffix":""},{"dropping-particle":"","family":"Wang","given":"Meiying","non-dropping-particle":"","parse-names":false,"suffix":""},{"dropping-particle":"","family":"Li","given":"Linjiang","non-dropping-particle":"","parse-names":false,"suffix":""},{"dropping-particle":"","family":"Rallo","given":"Robert","non-dropping-particle":"","parse-names":false,"suffix":""},{"dropping-particle":"","family":"Damoiseaux","given":"Robert","non-dropping-particle":"","parse-names":false,"suffix":""},{"dropping-particle":"","family":"Telesca","given":"Donatello","non-dropping-particle":"","parse-names":false,"suffix":""},{"dropping-particle":"","family":"Mädler","given":"Lutz","non-dropping-particle":"","parse-names":false,"suffix":""},{"dropping-particle":"","family":"Cohen","given":"Yoram","non-dropping-particle":"","parse-names":false,"suffix":""},{"dropping-particle":"","family":"Zink","given":"Jeffrey I.","non-dropping-particle":"","parse-names":false,"suffix":""},{"dropping-particle":"","family":"Nel","given":"Andre E.","non-dropping-particle":"","parse-names":false,"suffix":""}],"container-title":"ACS Nano","id":"ITEM-1","issue":"5","issued":{"date-parts":[["2012"]]},"page":"4349-4368","title":"Use of metal oxide nanoparticle band gap to develop a predictive paradigm for oxidative stress and acute pulmonary inflammation","type":"article-journal","volume":"6"},"uris":["http://www.mendeley.com/documents/?uuid=01504e3f-6499-4ecf-a397-0fb4e09da17c","http://www.mendeley.com/documents/?uuid=e068791c-40d1-46cf-bfce-06a540625e70"]}],"mendeley":{"formattedCitation":"&lt;sup&gt;114&lt;/sup&gt;","plainTextFormattedCitation":"114","previouslyFormattedCitation":"&lt;sup&gt;114&lt;/sup&gt;"},"properties":{"noteIndex":0},"schema":"https://github.com/citation-style-language/schema/raw/master/csl-citation.json"}</w:instrText>
            </w:r>
            <w:r w:rsidRPr="008E5B32">
              <w:fldChar w:fldCharType="separate"/>
            </w:r>
            <w:r w:rsidR="004C12A8" w:rsidRPr="008E5B32">
              <w:rPr>
                <w:noProof/>
                <w:vertAlign w:val="superscript"/>
                <w:lang w:val="en-GB"/>
              </w:rPr>
              <w:t>114</w:t>
            </w:r>
            <w:r w:rsidRPr="008E5B32">
              <w:fldChar w:fldCharType="end"/>
            </w:r>
          </w:p>
        </w:tc>
        <w:tc>
          <w:tcPr>
            <w:tcW w:w="1620" w:type="dxa"/>
          </w:tcPr>
          <w:p w14:paraId="3035D3A8"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1C05A2C9"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color w:val="222222"/>
                <w:shd w:val="clear" w:color="auto" w:fill="FFFFFF"/>
                <w:lang w:val="en-GB"/>
              </w:rPr>
              <w:t>(</w:t>
            </w:r>
            <w:r w:rsidRPr="008E5B32">
              <w:rPr>
                <w:i/>
                <w:iCs/>
                <w:color w:val="222222"/>
                <w:shd w:val="clear" w:color="auto" w:fill="FFFFFF"/>
                <w:lang w:val="en-GB"/>
              </w:rPr>
              <w:t>SVM classifier with gaussian kernel</w:t>
            </w:r>
            <w:r w:rsidRPr="008E5B32">
              <w:rPr>
                <w:color w:val="222222"/>
                <w:shd w:val="clear" w:color="auto" w:fill="FFFFFF"/>
                <w:lang w:val="en-GB"/>
              </w:rPr>
              <w:t>)</w:t>
            </w:r>
          </w:p>
        </w:tc>
        <w:tc>
          <w:tcPr>
            <w:tcW w:w="540" w:type="dxa"/>
          </w:tcPr>
          <w:p w14:paraId="1F42A8D3" w14:textId="77777777" w:rsidR="001801DA" w:rsidRPr="008E5B32" w:rsidRDefault="001801DA" w:rsidP="00BA08CB">
            <w:pPr>
              <w:jc w:val="center"/>
              <w:rPr>
                <w:lang w:val="en-GB"/>
              </w:rPr>
            </w:pPr>
            <w:r w:rsidRPr="008E5B32">
              <w:rPr>
                <w:lang w:val="en-GB"/>
              </w:rPr>
              <w:t>≈</w:t>
            </w:r>
          </w:p>
        </w:tc>
        <w:tc>
          <w:tcPr>
            <w:tcW w:w="540" w:type="dxa"/>
          </w:tcPr>
          <w:p w14:paraId="5B537C25"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2CCE7AF3"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084F7826" w14:textId="7D3528A9" w:rsidR="001801DA" w:rsidRPr="008E5B32" w:rsidRDefault="001801DA" w:rsidP="00BA08CB">
            <w:pPr>
              <w:jc w:val="center"/>
              <w:rPr>
                <w:rFonts w:ascii="Segoe UI Symbol" w:hAnsi="Segoe UI Symbol" w:cs="Segoe UI Symbol"/>
                <w:b/>
                <w:szCs w:val="18"/>
                <w:lang w:val="en-GB"/>
              </w:rPr>
            </w:pPr>
            <w:r w:rsidRPr="008E5B32">
              <w:rPr>
                <w:szCs w:val="18"/>
                <w:lang w:val="en-GB"/>
              </w:rPr>
              <w:t xml:space="preserve">(Probabilistic, based on kernel density </w:t>
            </w:r>
            <w:r w:rsidR="006819D7" w:rsidRPr="008E5B32">
              <w:rPr>
                <w:szCs w:val="18"/>
                <w:lang w:val="en-GB"/>
              </w:rPr>
              <w:t>estimation</w:t>
            </w:r>
            <w:r w:rsidRPr="008E5B32">
              <w:rPr>
                <w:szCs w:val="18"/>
                <w:lang w:val="en-GB"/>
              </w:rPr>
              <w:t>)</w:t>
            </w:r>
          </w:p>
        </w:tc>
        <w:tc>
          <w:tcPr>
            <w:tcW w:w="1350" w:type="dxa"/>
          </w:tcPr>
          <w:p w14:paraId="6BC1024C"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w:t>
            </w:r>
          </w:p>
          <w:p w14:paraId="66821C29" w14:textId="77777777" w:rsidR="001801DA" w:rsidRPr="008E5B32" w:rsidRDefault="001801DA" w:rsidP="00BA08CB">
            <w:pPr>
              <w:jc w:val="center"/>
              <w:rPr>
                <w:rFonts w:ascii="Segoe UI Symbol" w:hAnsi="Segoe UI Symbol" w:cs="Segoe UI Symbol"/>
                <w:szCs w:val="18"/>
                <w:lang w:val="en-GB"/>
              </w:rPr>
            </w:pPr>
            <w:r w:rsidRPr="008E5B32">
              <w:rPr>
                <w:lang w:val="en-GB"/>
              </w:rPr>
              <w:t>(Y-scrambling + considerations on the decision boundaries)</w:t>
            </w:r>
          </w:p>
        </w:tc>
        <w:tc>
          <w:tcPr>
            <w:tcW w:w="581" w:type="dxa"/>
          </w:tcPr>
          <w:p w14:paraId="287F4928"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1801DA" w:rsidRPr="008E5B32" w14:paraId="22DB827D" w14:textId="77777777" w:rsidTr="00D6682C">
        <w:tc>
          <w:tcPr>
            <w:tcW w:w="426" w:type="dxa"/>
          </w:tcPr>
          <w:p w14:paraId="7629D617" w14:textId="5CD68369" w:rsidR="001801DA" w:rsidRPr="008E5B32" w:rsidRDefault="001801DA" w:rsidP="00BA08CB">
            <w:pPr>
              <w:rPr>
                <w:lang w:val="en-GB"/>
              </w:rPr>
            </w:pPr>
            <w:r w:rsidRPr="008E5B32">
              <w:fldChar w:fldCharType="begin" w:fldLock="1"/>
            </w:r>
            <w:r w:rsidR="00434385" w:rsidRPr="008E5B32">
              <w:rPr>
                <w:lang w:val="en-GB"/>
              </w:rPr>
              <w:instrText>ADDIN CSL_CITATION {"citationItems":[{"id":"ITEM-1","itemData":{"DOI":"10.1002/smll.201201903","ISBN":"1613-6829","ISSN":"16136810","PMID":"23423856","abstract":"The development of classification nano-structure-activity Relationships (nano-SARs) of nanoparticle (NP) bioactivity is presented with the aim of demonstrating the integration of multiparametric toxicity/bioactivity assays to arrive at statistically meaningful class definitions (i.e., bioactivity/ inactivity endpoints), as well as the implications of nano-SAR applicability domains and decision boundaries. Nano-SARs are constructed based on a dataset of 44 iron oxide core nanoparticles (NPs), used in molecular imaging and nano-sensing, containing bioactivity profiles for four cell types and four different assays. Class definitions are developed on the basis of 'hit' (i.e., significant bioactivity) identification analysis and self-organizing map based consensus clustering; these class definitions enable construction of nano-SARs of a high classification accuracy (&gt;78%) with different NP descriptor combinations that include primary size, spin-lattice and spin-spin relaxivities, and zeta potentials. Analysis of the nano-SAR performance for different class definitions suggests that H4 (i.e., class with at least four hits) is a reasonable endpoint (from a 'regulatory' viewpoint) for keeping the level of false negatives (i.e., incorrect labeling of bioactive NPs as inactive) low. The establishment of a quantitative nano-SAR applicability domain is demonstrated, making use of a probability density with the H4 class definition and naive Bayesian classifier (NBC) model (with spin-lattice relaxivity and zeta potential as descriptors). Decision boundaries are determined for the above H4/NBC nano-SAR for different acceptance levels of false negative to false positive predictions, illustrating a practical approach that may assist in regulatory decision making with a consideration of reducing the likelihood of identifying bioactive NPs as being inactive. A classification nano-structure-activity relationships (nano-SARs) development process is presented for nanoparticle (NP) bioactivity, in which multiparametric high-throughput screening (HTS) bioactivity profiles are integrated to arrive at statistically meaningful nano-SAR endpoints (bioactive/inactive class definitions). The approach presents quantification of nano-SAR applicability domains and determination of nano-SAR decision boundaries for different acceptance levels of false negative to false positive predictions. Copyright © 2013 WILEY-VCH Verlag GmbH &amp; Co. KGaA, Weinheim.","author":[{"dropping-particle":"","family":"Liu","given":"Rong","non-dropping-particle":"","parse-names":false,"suffix":""},{"dropping-particle":"","family":"Rallo","given":"Robert","non-dropping-particle":"","parse-names":false,"suffix":""},{"dropping-particle":"","family":"Weissleder","given":"Ralph","non-dropping-particle":"","parse-names":false,"suffix":""},{"dropping-particle":"","family":"Tassa","given":"Carlos","non-dropping-particle":"","parse-names":false,"suffix":""},{"dropping-particle":"","family":"Shaw","given":"Stanley","non-dropping-particle":"","parse-names":false,"suffix":""},{"dropping-particle":"","family":"Cohen","given":"Yoram","non-dropping-particle":"","parse-names":false,"suffix":""}],"container-title":"Small","id":"ITEM-1","issue":"9-10","issued":{"date-parts":[["2013"]]},"page":"1842-1852","title":"Nano-SAR development for bioactivity of nanoparticles with considerations of decision boundaries","type":"article-journal","volume":"9"},"uris":["http://www.mendeley.com/documents/?uuid=e2114d14-3cea-4598-b3d2-8824a4420975"]}],"mendeley":{"formattedCitation":"&lt;sup&gt;115&lt;/sup&gt;","plainTextFormattedCitation":"115","previouslyFormattedCitation":"&lt;sup&gt;115&lt;/sup&gt;"},"properties":{"noteIndex":0},"schema":"https://github.com/citation-style-language/schema/raw/master/csl-citation.json"}</w:instrText>
            </w:r>
            <w:r w:rsidRPr="008E5B32">
              <w:fldChar w:fldCharType="separate"/>
            </w:r>
            <w:r w:rsidR="004C12A8" w:rsidRPr="008E5B32">
              <w:rPr>
                <w:noProof/>
                <w:vertAlign w:val="superscript"/>
                <w:lang w:val="en-GB"/>
              </w:rPr>
              <w:t>115</w:t>
            </w:r>
            <w:r w:rsidRPr="008E5B32">
              <w:fldChar w:fldCharType="end"/>
            </w:r>
          </w:p>
        </w:tc>
        <w:tc>
          <w:tcPr>
            <w:tcW w:w="4536" w:type="dxa"/>
          </w:tcPr>
          <w:p w14:paraId="3E072398" w14:textId="0D1DD72B" w:rsidR="001801DA" w:rsidRPr="008E5B32" w:rsidRDefault="001801DA" w:rsidP="00BA08CB">
            <w:pPr>
              <w:jc w:val="both"/>
              <w:rPr>
                <w:lang w:val="en-GB"/>
              </w:rPr>
            </w:pPr>
            <w:r w:rsidRPr="008E5B32">
              <w:rPr>
                <w:lang w:val="en-GB"/>
              </w:rPr>
              <w:t xml:space="preserve">SAR binary models using different ML techniques, classifying diverse meta cored NMs based on combinations of different </w:t>
            </w:r>
            <w:r w:rsidR="000B5457" w:rsidRPr="008E5B32">
              <w:rPr>
                <w:lang w:val="en-GB"/>
              </w:rPr>
              <w:t xml:space="preserve">nanospecific, molecular and physicochemical </w:t>
            </w:r>
            <w:r w:rsidRPr="008E5B32">
              <w:rPr>
                <w:lang w:val="en-GB"/>
              </w:rPr>
              <w:t>descriptors. Activity was described by a “bioactivity profile” which averaged 64 features (</w:t>
            </w:r>
            <w:r w:rsidR="00CD23B8" w:rsidRPr="008E5B32">
              <w:rPr>
                <w:lang w:val="en-GB"/>
              </w:rPr>
              <w:t>four</w:t>
            </w:r>
            <w:r w:rsidRPr="008E5B32">
              <w:rPr>
                <w:lang w:val="en-GB"/>
              </w:rPr>
              <w:t xml:space="preserve"> doses, </w:t>
            </w:r>
            <w:r w:rsidR="00CD23B8" w:rsidRPr="008E5B32">
              <w:rPr>
                <w:lang w:val="en-GB"/>
              </w:rPr>
              <w:t>four</w:t>
            </w:r>
            <w:r w:rsidRPr="008E5B32">
              <w:rPr>
                <w:lang w:val="en-GB"/>
              </w:rPr>
              <w:t xml:space="preserve"> different cell lines, and </w:t>
            </w:r>
            <w:r w:rsidR="00CD23B8" w:rsidRPr="008E5B32">
              <w:rPr>
                <w:lang w:val="en-GB"/>
              </w:rPr>
              <w:t>four</w:t>
            </w:r>
            <w:r w:rsidRPr="008E5B32">
              <w:rPr>
                <w:lang w:val="en-GB"/>
              </w:rPr>
              <w:t xml:space="preserve"> different </w:t>
            </w:r>
            <w:r w:rsidRPr="008E5B32">
              <w:rPr>
                <w:i/>
                <w:lang w:val="en-GB"/>
              </w:rPr>
              <w:t xml:space="preserve">in vitro </w:t>
            </w:r>
            <w:r w:rsidR="00665C30" w:rsidRPr="008E5B32">
              <w:rPr>
                <w:lang w:val="en-GB"/>
              </w:rPr>
              <w:t>assays.</w:t>
            </w:r>
          </w:p>
        </w:tc>
        <w:tc>
          <w:tcPr>
            <w:tcW w:w="2268" w:type="dxa"/>
          </w:tcPr>
          <w:p w14:paraId="32ED6625" w14:textId="77777777" w:rsidR="001801DA" w:rsidRPr="008E5B32" w:rsidRDefault="001801DA" w:rsidP="00BA08CB">
            <w:pPr>
              <w:jc w:val="center"/>
              <w:rPr>
                <w:lang w:val="en-GB"/>
              </w:rPr>
            </w:pPr>
            <w:r w:rsidRPr="008E5B32">
              <w:rPr>
                <w:rFonts w:ascii="Segoe UI Symbol" w:hAnsi="Segoe UI Symbol" w:cs="Segoe UI Symbol"/>
                <w:szCs w:val="18"/>
                <w:lang w:val="en-GB"/>
              </w:rPr>
              <w:t>✗</w:t>
            </w:r>
          </w:p>
          <w:p w14:paraId="587470CE"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w:t>
            </w:r>
            <w:r w:rsidR="00665C30" w:rsidRPr="008E5B32">
              <w:rPr>
                <w:lang w:val="en-GB"/>
              </w:rPr>
              <w:t>Normalized</w:t>
            </w:r>
            <w:r w:rsidRPr="008E5B32">
              <w:rPr>
                <w:lang w:val="en-GB"/>
              </w:rPr>
              <w:t xml:space="preserve"> SNR ratio with respected to unexposed cell responses of the “bioactivity profile”)</w:t>
            </w:r>
          </w:p>
        </w:tc>
        <w:tc>
          <w:tcPr>
            <w:tcW w:w="960" w:type="dxa"/>
          </w:tcPr>
          <w:p w14:paraId="0618871A" w14:textId="6FC46218" w:rsidR="001801DA" w:rsidRPr="008E5B32" w:rsidRDefault="001801DA" w:rsidP="00BA08CB">
            <w:pPr>
              <w:jc w:val="center"/>
            </w:pPr>
            <w:r w:rsidRPr="008E5B32">
              <w:rPr>
                <w:lang w:val="en-GB"/>
              </w:rPr>
              <w:t xml:space="preserve">44 </w:t>
            </w:r>
            <w:r w:rsidRPr="008E5B32">
              <w:fldChar w:fldCharType="begin" w:fldLock="1"/>
            </w:r>
            <w:r w:rsidR="00434385" w:rsidRPr="008E5B32">
              <w:rPr>
                <w:lang w:val="en-GB"/>
              </w:rPr>
              <w:instrText>ADDIN CSL_CITATION {"citationItems":[{"id":"ITEM-1","itemData":{"DOI":"10.1073/pnas.0802878105","ISBN":"0802878105","ISSN":"0027-8424","PMID":"18492802","abstract":"Our understanding of the biologic effects (including toxicity) of nanomaterials is incomplete. In vivo animal studies remain the gold standard; however, widespread testing remains impractical, and the development of in vitro assays that correlate with in vivo activity has proven challenging. Here, we demonstrate the feasibility of analyzing in vitro nanomaterial activity in a generalizable, systematic fashion. We assessed nanoparticle effects in a multidimensional manner, using multiple cell types and multiple assays that reflect different aspects of cellular physiology. Hierarchical clustering of these data identifies nanomaterials with similar patterns of biologic activity across a broad sampling of cellular contexts, as opposed to extrapolating from results of a single in vitro assay. We show that this approach yields robust and detailed structure-activity relationships. Furthermore, a subset of nanoparticles were tested in mice, and nanoparticles with similar activity profiles in vitro exert similar effects on monocyte number in vivo. These data suggest a strategy of multidimensional characterization of nanomaterials in vitro that can inform the design of novel nanomaterials and guide studies of in vivo activity.","author":[{"dropping-particle":"","family":"Shaw","given":"S. Y.","non-dropping-particle":"","parse-names":false,"suffix":""},{"dropping-particle":"","family":"Westly","given":"E. C.","non-dropping-particle":"","parse-names":false,"suffix":""},{"dropping-particle":"","family":"Pittet","given":"M. J.","non-dropping-particle":"","parse-names":false,"suffix":""},{"dropping-particle":"","family":"Subramanian","given":"A.","non-dropping-particle":"","parse-names":false,"suffix":""},{"dropping-particle":"","family":"Schreiber","given":"S. L.","non-dropping-particle":"","parse-names":false,"suffix":""},{"dropping-particle":"","family":"Weissleder","given":"R.","non-dropping-particle":"","parse-names":false,"suffix":""}],"container-title":"Proceedings of the National Academy of Sciences","id":"ITEM-1","issue":"21","issued":{"date-parts":[["2008"]]},"page":"7387-7392","title":"Perturbational profiling of nanomaterial biologic activity","type":"article-journal","volume":"105"},"uris":["http://www.mendeley.com/documents/?uuid=83e77dea-cfe9-4fca-9b89-5cd64509f53b"]}],"mendeley":{"formattedCitation":"&lt;sup&gt;101&lt;/sup&gt;","plainTextFormattedCitation":"101","previouslyFormattedCitation":"&lt;sup&gt;101&lt;/sup&gt;"},"properties":{"noteIndex":0},"schema":"https://github.com/citation-style-language/schema/raw/master/csl-citation.json"}</w:instrText>
            </w:r>
            <w:r w:rsidRPr="008E5B32">
              <w:fldChar w:fldCharType="separate"/>
            </w:r>
            <w:r w:rsidR="004C12A8" w:rsidRPr="008E5B32">
              <w:rPr>
                <w:noProof/>
                <w:vertAlign w:val="superscript"/>
              </w:rPr>
              <w:t>101</w:t>
            </w:r>
            <w:r w:rsidRPr="008E5B32">
              <w:fldChar w:fldCharType="end"/>
            </w:r>
          </w:p>
        </w:tc>
        <w:tc>
          <w:tcPr>
            <w:tcW w:w="1620" w:type="dxa"/>
          </w:tcPr>
          <w:p w14:paraId="76039203"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02056552" w14:textId="77777777" w:rsidR="001801DA" w:rsidRPr="008E5B32" w:rsidRDefault="001801DA" w:rsidP="000D2186">
            <w:pPr>
              <w:jc w:val="center"/>
              <w:rPr>
                <w:i/>
                <w:iCs/>
                <w:lang w:val="en-GB"/>
              </w:rPr>
            </w:pPr>
            <w:r w:rsidRPr="008E5B32">
              <w:rPr>
                <w:lang w:val="en-GB"/>
              </w:rPr>
              <w:t>(</w:t>
            </w:r>
            <w:r w:rsidRPr="008E5B32">
              <w:rPr>
                <w:i/>
                <w:iCs/>
                <w:lang w:val="en-GB"/>
              </w:rPr>
              <w:t xml:space="preserve">LDA, Naïve Bayes Classifier (NBC), Logistic </w:t>
            </w:r>
            <w:r w:rsidR="000D2186" w:rsidRPr="008E5B32">
              <w:rPr>
                <w:i/>
                <w:iCs/>
                <w:lang w:val="en-GB"/>
              </w:rPr>
              <w:t>r</w:t>
            </w:r>
            <w:r w:rsidRPr="008E5B32">
              <w:rPr>
                <w:i/>
                <w:iCs/>
                <w:lang w:val="en-GB"/>
              </w:rPr>
              <w:t>egression, and Nearest Neighbour</w:t>
            </w:r>
            <w:r w:rsidRPr="008E5B32">
              <w:rPr>
                <w:lang w:val="en-GB"/>
              </w:rPr>
              <w:t>)</w:t>
            </w:r>
          </w:p>
        </w:tc>
        <w:tc>
          <w:tcPr>
            <w:tcW w:w="540" w:type="dxa"/>
          </w:tcPr>
          <w:p w14:paraId="240CA161"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t>≈</w:t>
            </w:r>
          </w:p>
        </w:tc>
        <w:tc>
          <w:tcPr>
            <w:tcW w:w="540" w:type="dxa"/>
          </w:tcPr>
          <w:p w14:paraId="1397CEA0"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41DE8613"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10CA585A" w14:textId="77777777" w:rsidR="001801DA" w:rsidRPr="008E5B32" w:rsidRDefault="001801DA" w:rsidP="00BA08CB">
            <w:pPr>
              <w:jc w:val="center"/>
              <w:rPr>
                <w:szCs w:val="18"/>
                <w:lang w:val="en-GB"/>
              </w:rPr>
            </w:pPr>
            <w:r w:rsidRPr="008E5B32">
              <w:rPr>
                <w:szCs w:val="18"/>
                <w:lang w:val="en-GB"/>
              </w:rPr>
              <w:t>(Probabilistic, based on the Naïve bayes classifier)</w:t>
            </w:r>
          </w:p>
        </w:tc>
        <w:tc>
          <w:tcPr>
            <w:tcW w:w="1350" w:type="dxa"/>
          </w:tcPr>
          <w:p w14:paraId="3DAC392E"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w:t>
            </w:r>
          </w:p>
          <w:p w14:paraId="131A744D" w14:textId="77777777" w:rsidR="001801DA" w:rsidRPr="008E5B32" w:rsidRDefault="001801DA" w:rsidP="00BA08CB">
            <w:pPr>
              <w:jc w:val="center"/>
              <w:rPr>
                <w:rFonts w:ascii="Segoe UI Symbol" w:hAnsi="Segoe UI Symbol" w:cs="Segoe UI Symbol"/>
                <w:szCs w:val="18"/>
                <w:lang w:val="en-GB"/>
              </w:rPr>
            </w:pPr>
            <w:r w:rsidRPr="008E5B32">
              <w:rPr>
                <w:lang w:val="en-GB"/>
              </w:rPr>
              <w:t>(Y-scrambling + considerations on the decision boundaries of the NBC)</w:t>
            </w:r>
          </w:p>
        </w:tc>
        <w:tc>
          <w:tcPr>
            <w:tcW w:w="581" w:type="dxa"/>
          </w:tcPr>
          <w:p w14:paraId="78EC7899" w14:textId="77777777" w:rsidR="001801DA" w:rsidRPr="008E5B32" w:rsidRDefault="001801DA" w:rsidP="00BA08CB">
            <w:pPr>
              <w:jc w:val="center"/>
            </w:pPr>
            <w:r w:rsidRPr="008E5B32">
              <w:rPr>
                <w:rFonts w:ascii="Segoe UI Symbol" w:eastAsia="Segoe UI Symbol" w:hAnsi="Segoe UI Symbol" w:cs="Segoe UI Symbol"/>
                <w:color w:val="222222"/>
                <w:shd w:val="clear" w:color="auto" w:fill="FFFFFF"/>
              </w:rPr>
              <w:t>✓</w:t>
            </w:r>
            <w:r w:rsidRPr="008E5B32">
              <w:t xml:space="preserve"> </w:t>
            </w:r>
          </w:p>
        </w:tc>
      </w:tr>
      <w:tr w:rsidR="001801DA" w:rsidRPr="008E5B32" w14:paraId="27B5D342" w14:textId="77777777" w:rsidTr="00D6682C">
        <w:tc>
          <w:tcPr>
            <w:tcW w:w="426" w:type="dxa"/>
          </w:tcPr>
          <w:p w14:paraId="5A29C775" w14:textId="45ED7F61" w:rsidR="001801DA" w:rsidRPr="008E5B32" w:rsidRDefault="001801DA" w:rsidP="00BA08CB">
            <w:pPr>
              <w:rPr>
                <w:lang w:val="en-GB"/>
              </w:rPr>
            </w:pPr>
            <w:r w:rsidRPr="008E5B32">
              <w:fldChar w:fldCharType="begin" w:fldLock="1"/>
            </w:r>
            <w:r w:rsidR="00434385" w:rsidRPr="008E5B32">
              <w:instrText>ADDIN CSL_CITATION {"citationItems":[{"id":"ITEM-1","itemData":{"DOI":"10.1186/1743-8977-10-32","ISBN":"1743-8977 (Electronic)\\r1743-8977 (Linking)","ISSN":"1743-8977","PMID":"23895432","abstract":"BACKGROUND: Cobalt-ferrite nanoparticles (Co-Fe NPs) are attractive for nanotechnology-based therapies. Thus, exploring their effect on viability of seven different cell lines representing different organs of the human body is highly important.\\n\\nMETHODS: The toxicological effects of Co-Fe NPs were studied by in-vitro exposure of A549 and NCIH441 cell-lines (lung), precision-cut lung slices from rat, HepG2 cell-line (liver), MDCK cell-line (kidney), Caco-2 TC7 cell-line (intestine), TK6 (lymphoblasts) and primary mouse dendritic-cells. Toxicity was examined following exposure to Co-Fe NPs in the concentration range of 0.05 -1.2 mM for 24 and 72 h, using Alamar blue, MTT and neutral red assays. Changes in oxidative stress were determined by a dichlorodihydrofluorescein diacetate based assay. Data analysis and predictive modeling of the obtained data sets were executed by employing methods of Knowledge Discovery from Data with emphasis on a decision tree model (J48).\\n\\nRESULTS: Different dose-response curves of cell viability were obtained for each of the seven cell lines upon exposure to Co-Fe NPs. Increase of oxidative stress was induced by Co-Fe NPs and found to be dependent on the cell type. A high linear correlation (R2=0.97) was found between the toxicity of Co-Fe NPs and the extent of ROS generation following their exposure to Co-Fe NPs. The algorithm we applied to model the observed toxicity belongs to a type of supervised classifier. The decision tree model yielded the following order with decrease of the ranking parameter: NP concentrations (as the most influencing parameter), cell type (possessing the following hierarchy of cell sensitivity towards viability decrease: TK6 &gt; Lung slices &gt; NCIH441 &gt; Caco-2 = MDCK &gt; A549 &gt; HepG2 = Dendritic) and time of exposure, where the highest-ranking parameter (NP concentration) provides the highest information gain with respect to toxicity. The validity of the chosen decision tree model J48 was established by yielding a higher accuracy than that of the well-known \"naive bayes\" classifier.\\n\\nCONCLUSIONS: The observed correlation between the oxidative stress, caused by the presence of the Co-Fe NPs, with the hierarchy of sensitivity of the different cell types towards toxicity, suggests that oxidative stress is one possible mechanism for the toxicity of Co-Fe NPs.","author":[{"dropping-particle":"","family":"Horev-Azaria","given":"Limor","non-dropping-particle":"","parse-names":false,"suffix":""},{"dropping-particle":"","family":"Baldi","given":"Giovanni","non-dropping-particle":"","parse-names":false,"suffix":""},{"dropping-particle":"","family":"Beno","given":"Delila","non-dropping-particle":"","parse-names":false,"suffix":""},{"dropping-particle":"","family":"Bonacchi","given":"Daniel","non-dropping-particle":"","parse-names":false,"suffix":""},{"dropping-particle":"","family":"Golla-Schindler","given":"Ute","non-dropping-particle":"","parse-names":false,"suffix":""},{"dropping-particle":"","family":"Kirkpatrick","given":"James C","non-dropping-particle":"","parse-names":false,"suffix":""},{"dropping-particle":"","family":"Kolle","given":"Susanne","non-dropping-particle":"","parse-names":false,"suffix":""},{"dropping-particle":"","family":"Landsiedel","given":"Robert","non-dropping-particle":"","parse-names":false,"suffix":""},{"dropping-particle":"","family":"Maimon","given":"Oded","non-dropping-particle":"","parse-names":false,"suffix":""},{"dropping-particle":"","family":"Marche","given":"Patrice N","non-dropping-particle":"","parse-names":false,"suffix":""},{"dropping-particle":"","family":"Ponti","given":"Jessica","non-dropping-particle":"","parse-names":false,"suffix":""},{"dropping-par</w:instrText>
            </w:r>
            <w:r w:rsidR="00434385" w:rsidRPr="008E5B32">
              <w:rPr>
                <w:lang w:val="en-US"/>
              </w:rPr>
              <w:instrText>ticle":"","family":"Romano","given":"Roni","non-dropping-particle":"","parse-names":false,"suffix":""},{"dropping-particle":"","family":"Rossi","given":"François","non-dropping-particle":"","parse-names":false,"suffix":""},{"dropping-particle":"","family":"Sommer","given":"Dieter","non-dropping-particle":"","parse-names":false,"suffix":""},{"dropping-particle":"","family":"Uboldi","given":"Chiara","non-dropping-particle":"","parse-names":false,"suffix":""},{"dropping-particle":"","family":"Unger","given":"Ronald E","non-dropping-particle":"","parse-names":false,"suffix":""},{"dropping-particle":"","family":"Villiers","given":"Christian","non-dropping-particle":"","parse-names":false,"suffix":""},{"dropping-particle":"","family":"Korenstein","given":"Rafi","non-dropping-particle":"","parse-names":false,"suffix":""}],"container-title":"Particle and Fibre Toxicology","id":"ITEM-1","issue":"1","issued":{"date-parts":[["2013"]]},"page":"32","title":"Predictive Toxicology of cobalt ferrite nanoparticles: comparative in-vitro study of different cellular models using methods of knowledge discovery from data","type":"article-journal","volume":"10"},"uris":["http://www.mendeley.com/documents/?uuid=f923a23e-4eca-4a06-93f0-7d09c9234ffc"]}],"mendeley":{"formattedCitation":"&lt;sup&gt;116&lt;/sup&gt;","plainTextFormattedCitation":"116","previouslyFormattedCitation":"&lt;sup&gt;116&lt;/sup&gt;"},"properties":{"noteIndex":0},"schema":"https://github.com/citation-style-language/schema/raw/master/csl-citation.json"}</w:instrText>
            </w:r>
            <w:r w:rsidRPr="008E5B32">
              <w:fldChar w:fldCharType="separate"/>
            </w:r>
            <w:r w:rsidR="004C12A8" w:rsidRPr="008E5B32">
              <w:rPr>
                <w:noProof/>
                <w:vertAlign w:val="superscript"/>
                <w:lang w:val="en-GB"/>
              </w:rPr>
              <w:t>116</w:t>
            </w:r>
            <w:r w:rsidRPr="008E5B32">
              <w:fldChar w:fldCharType="end"/>
            </w:r>
          </w:p>
        </w:tc>
        <w:tc>
          <w:tcPr>
            <w:tcW w:w="4536" w:type="dxa"/>
          </w:tcPr>
          <w:p w14:paraId="0FD5A960" w14:textId="0F56EA86" w:rsidR="001801DA" w:rsidRPr="008E5B32" w:rsidRDefault="001801DA" w:rsidP="00BA08CB">
            <w:pPr>
              <w:jc w:val="both"/>
              <w:rPr>
                <w:lang w:val="en-GB"/>
              </w:rPr>
            </w:pPr>
            <w:r w:rsidRPr="008E5B32">
              <w:rPr>
                <w:lang w:val="en-GB"/>
              </w:rPr>
              <w:t>Toxicology effects of Cobalt Ferrite NMs, at different doses and different exposure times, with respect to seven different cell types (representing different organs of the human body) and precision-cut lung slices. Descriptors were: cell type, concentration, exposure time, and extent of viability decrease.</w:t>
            </w:r>
          </w:p>
        </w:tc>
        <w:tc>
          <w:tcPr>
            <w:tcW w:w="2268" w:type="dxa"/>
          </w:tcPr>
          <w:p w14:paraId="12CF817F"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3DA7B2C3" w14:textId="77777777" w:rsidR="001801DA" w:rsidRPr="008E5B32" w:rsidRDefault="001801DA" w:rsidP="00BA08CB">
            <w:pPr>
              <w:jc w:val="center"/>
              <w:rPr>
                <w:rFonts w:ascii="Segoe UI Symbol" w:hAnsi="Segoe UI Symbol" w:cs="Segoe UI Symbol"/>
                <w:szCs w:val="18"/>
                <w:lang w:val="en-GB"/>
              </w:rPr>
            </w:pPr>
            <w:r w:rsidRPr="008E5B32">
              <w:rPr>
                <w:lang w:val="en-GB"/>
              </w:rPr>
              <w:t>(ROS level)</w:t>
            </w:r>
          </w:p>
        </w:tc>
        <w:tc>
          <w:tcPr>
            <w:tcW w:w="960" w:type="dxa"/>
          </w:tcPr>
          <w:p w14:paraId="6581C392" w14:textId="77777777" w:rsidR="001801DA" w:rsidRPr="008E5B32" w:rsidRDefault="001801DA" w:rsidP="00BA08CB">
            <w:pPr>
              <w:jc w:val="center"/>
              <w:rPr>
                <w:lang w:val="en-GB"/>
              </w:rPr>
            </w:pPr>
            <w:r w:rsidRPr="008E5B32">
              <w:rPr>
                <w:lang w:val="en-GB"/>
              </w:rPr>
              <w:t>2380</w:t>
            </w:r>
          </w:p>
        </w:tc>
        <w:tc>
          <w:tcPr>
            <w:tcW w:w="1620" w:type="dxa"/>
          </w:tcPr>
          <w:p w14:paraId="3E38A4FC"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1E1E356F" w14:textId="77777777" w:rsidR="001801DA" w:rsidRPr="008E5B32" w:rsidRDefault="001801DA" w:rsidP="00BA08CB">
            <w:pPr>
              <w:jc w:val="center"/>
              <w:rPr>
                <w:color w:val="222222"/>
                <w:szCs w:val="18"/>
                <w:shd w:val="clear" w:color="auto" w:fill="FFFFFF"/>
                <w:lang w:val="en-GB"/>
              </w:rPr>
            </w:pPr>
            <w:r w:rsidRPr="008E5B32">
              <w:rPr>
                <w:color w:val="222222"/>
                <w:shd w:val="clear" w:color="auto" w:fill="FFFFFF"/>
                <w:lang w:val="en-GB"/>
              </w:rPr>
              <w:t>(</w:t>
            </w:r>
            <w:r w:rsidRPr="008E5B32">
              <w:rPr>
                <w:i/>
                <w:iCs/>
                <w:color w:val="222222"/>
                <w:shd w:val="clear" w:color="auto" w:fill="FFFFFF"/>
                <w:lang w:val="en-GB"/>
              </w:rPr>
              <w:t>Decision Tree</w:t>
            </w:r>
            <w:r w:rsidRPr="008E5B32">
              <w:rPr>
                <w:color w:val="222222"/>
                <w:shd w:val="clear" w:color="auto" w:fill="FFFFFF"/>
                <w:lang w:val="en-GB"/>
              </w:rPr>
              <w:t xml:space="preserve"> </w:t>
            </w:r>
            <w:r w:rsidRPr="008E5B32">
              <w:rPr>
                <w:i/>
                <w:iCs/>
                <w:color w:val="222222"/>
                <w:shd w:val="clear" w:color="auto" w:fill="FFFFFF"/>
                <w:lang w:val="en-GB"/>
              </w:rPr>
              <w:t>compared against an NBC</w:t>
            </w:r>
            <w:r w:rsidRPr="008E5B32">
              <w:rPr>
                <w:color w:val="222222"/>
                <w:shd w:val="clear" w:color="auto" w:fill="FFFFFF"/>
                <w:lang w:val="en-GB"/>
              </w:rPr>
              <w:t>)</w:t>
            </w:r>
          </w:p>
        </w:tc>
        <w:tc>
          <w:tcPr>
            <w:tcW w:w="540" w:type="dxa"/>
          </w:tcPr>
          <w:p w14:paraId="07F4ADA8" w14:textId="77777777" w:rsidR="001801DA" w:rsidRPr="008E5B32" w:rsidRDefault="001801DA" w:rsidP="00BA08CB">
            <w:pPr>
              <w:jc w:val="center"/>
              <w:rPr>
                <w:szCs w:val="18"/>
                <w:lang w:val="en-GB"/>
              </w:rPr>
            </w:pPr>
            <w:r w:rsidRPr="008E5B32">
              <w:rPr>
                <w:szCs w:val="18"/>
                <w:lang w:val="en-GB"/>
              </w:rPr>
              <w:t>≈</w:t>
            </w:r>
          </w:p>
        </w:tc>
        <w:tc>
          <w:tcPr>
            <w:tcW w:w="540" w:type="dxa"/>
          </w:tcPr>
          <w:p w14:paraId="50B6C0B3"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0E0B757D"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lang w:val="en-GB"/>
              </w:rPr>
              <w:t>✗</w:t>
            </w:r>
          </w:p>
        </w:tc>
        <w:tc>
          <w:tcPr>
            <w:tcW w:w="1350" w:type="dxa"/>
          </w:tcPr>
          <w:p w14:paraId="68A6E372"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lang w:val="en-GB"/>
              </w:rPr>
              <w:t>✗</w:t>
            </w:r>
          </w:p>
        </w:tc>
        <w:tc>
          <w:tcPr>
            <w:tcW w:w="581" w:type="dxa"/>
          </w:tcPr>
          <w:p w14:paraId="65707E9A"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1801DA" w:rsidRPr="008E5B32" w14:paraId="4C93F8DC" w14:textId="77777777" w:rsidTr="00D6682C">
        <w:tc>
          <w:tcPr>
            <w:tcW w:w="426" w:type="dxa"/>
          </w:tcPr>
          <w:p w14:paraId="05764161" w14:textId="1B0333F2" w:rsidR="001801DA" w:rsidRPr="008E5B32" w:rsidRDefault="001801DA" w:rsidP="00BA08CB">
            <w:pPr>
              <w:rPr>
                <w:lang w:val="en-GB"/>
              </w:rPr>
            </w:pPr>
            <w:r w:rsidRPr="008E5B32">
              <w:fldChar w:fldCharType="begin" w:fldLock="1"/>
            </w:r>
            <w:r w:rsidR="00434385" w:rsidRPr="008E5B32">
              <w:rPr>
                <w:lang w:val="en-GB"/>
              </w:rPr>
              <w:instrText>ADDIN CSL_CITATION {"citationItems":[{"id":"ITEM-1","itemData":{"DOI":"10.1016/j.chemosphere.2013.03.012","ISSN":"00456535","PMID":"23566368","abstract":"Quantitative structure-property/activity relationships (QSPRs/QSARs) are a tool to predict various endpoints for various substances. The \"classic\" QSPR/QSAR analysis is based on the representation of the molecular structure by the molecular graph. However, simplified molecular input-line entry system (SMILES) gradually becomes most popular representation of the molecular structure in the databases available on the Internet. Under such circumstances, the development of molecular descriptors calculated directly from SMILES becomes attractive alternative to \"classic\" descriptors. The CORAL software (http://www.insilico.eu/coral) is provider of SMILES-based optimal molecular descriptors which are aimed to correlate with various endpoints. We analyzed data set on nanoparticles uptake in PaCa2 pancreatic cancer cells. The data set includes 109 nanoparticles with the same core but different surface modifiers (small organic molecules). The concept of a QSAR as a random event is suggested in opposition to \"classic\" QSARs which are based on the only one distribution of available data into the training and the validation sets. In other words, five random splits into the \"visible\" training set and the \"invisible\" validation set were examined. The SMILES-based optimal descriptors (obtained by the Monte Carlo technique) for these splits are calculated with the CORAL software. The statistical quality of all these models is good. © 2013 Elsevier Ltd.","author":[{"dropping-particle":"","family":"Toropov","given":"Andrey A.","non-dropping-particle":"","parse-names":false,"suffix":""},{"dropping-particle":"","family":"Toropova","given":"Alla P.","non-dropping-particle":"","parse-names":false,"suffix":""},{"dropping-particle":"","family":"Puzyn","given":"Tomasz","non-dropping-particle":"","parse-names":false,"suffix":""},{"dropping-particle":"","family":"Benfenati","given":"Emilio","non-dropping-particle":"","parse-names":false,"suffix":""},{"dropping-particle":"","family":"Gini","given":"Giuseppina","non-dropping-particle":"","parse-names":false,"suffix":""},{"dropping-particle":"","family":"Leszczynska","given":"Danuta","non-dropping-particle":"","parse-names":false,"suffix":""},{"dropping-particle":"","family":"Leszczynski","given":"Jerzy","non-dropping-particle":"","parse-names":false,"suffix":""}],"container-title":"Chemosphere","id":"ITEM-1","issued":{"date-parts":[["2013"]]},"title":"QSAR as a random event: Modeling of nanoparticles uptake in PaCa2 cancer cells","type":"article-journal"},"uris":["http://www.mendeley.com/documents/?uuid=05d3a620-a626-4ace-afd7-34399974a2fb","http://www.mendeley.com/documents/?uuid=b6145903-3469-4fac-a762-d93687e40835","http://www.mendeley.com/documents/?uuid=ecebaa4f-0879-4579-a8fa-ff04fdb9e731"]}],"mendeley":{"formattedCitation":"&lt;sup&gt;117&lt;/sup&gt;","plainTextFormattedCitation":"117","previouslyFormattedCitation":"&lt;sup&gt;117&lt;/sup&gt;"},"properties":{"noteIndex":0},"schema":"https://github.com/citation-style-language/schema/raw/master/csl-citation.json"}</w:instrText>
            </w:r>
            <w:r w:rsidRPr="008E5B32">
              <w:fldChar w:fldCharType="separate"/>
            </w:r>
            <w:r w:rsidR="004C12A8" w:rsidRPr="008E5B32">
              <w:rPr>
                <w:noProof/>
                <w:vertAlign w:val="superscript"/>
                <w:lang w:val="en-GB"/>
              </w:rPr>
              <w:t>117</w:t>
            </w:r>
            <w:r w:rsidRPr="008E5B32">
              <w:fldChar w:fldCharType="end"/>
            </w:r>
          </w:p>
        </w:tc>
        <w:tc>
          <w:tcPr>
            <w:tcW w:w="4536" w:type="dxa"/>
          </w:tcPr>
          <w:p w14:paraId="24B6D4C5" w14:textId="593CDF7F" w:rsidR="001801DA" w:rsidRPr="008E5B32" w:rsidRDefault="001801DA" w:rsidP="00BA08CB">
            <w:pPr>
              <w:jc w:val="both"/>
              <w:rPr>
                <w:lang w:val="en-GB"/>
              </w:rPr>
            </w:pPr>
            <w:r w:rsidRPr="008E5B32">
              <w:rPr>
                <w:lang w:val="en-GB"/>
              </w:rPr>
              <w:t xml:space="preserve">Application of the CORAL software to predict, using SMILES </w:t>
            </w:r>
            <w:r w:rsidR="000B5457" w:rsidRPr="008E5B32">
              <w:rPr>
                <w:lang w:val="en-GB"/>
              </w:rPr>
              <w:t>descriptors</w:t>
            </w:r>
            <w:r w:rsidRPr="008E5B32">
              <w:rPr>
                <w:lang w:val="en-GB"/>
              </w:rPr>
              <w:t xml:space="preserve">, NMs cellular uptake in PaCa2 pancreatic cancer cells. To validate their approach, authors repeated the model training and testing using five different random splits </w:t>
            </w:r>
            <w:r w:rsidR="00536ADA" w:rsidRPr="008E5B32">
              <w:rPr>
                <w:lang w:val="en-GB"/>
              </w:rPr>
              <w:t>of the dataset</w:t>
            </w:r>
            <w:r w:rsidRPr="008E5B32">
              <w:rPr>
                <w:lang w:val="en-GB"/>
              </w:rPr>
              <w:t>.</w:t>
            </w:r>
          </w:p>
        </w:tc>
        <w:tc>
          <w:tcPr>
            <w:tcW w:w="2268" w:type="dxa"/>
          </w:tcPr>
          <w:p w14:paraId="150D5BB1"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3C834BC6"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lang w:val="en-GB"/>
              </w:rPr>
              <w:t>(Cellular uptake in PaCa2 cell lines)</w:t>
            </w:r>
          </w:p>
        </w:tc>
        <w:tc>
          <w:tcPr>
            <w:tcW w:w="960" w:type="dxa"/>
          </w:tcPr>
          <w:p w14:paraId="13FEC6CB" w14:textId="0B543D7F" w:rsidR="001801DA" w:rsidRPr="008E5B32" w:rsidRDefault="001801DA" w:rsidP="00BA08CB">
            <w:pPr>
              <w:jc w:val="center"/>
            </w:pPr>
            <w:r w:rsidRPr="008E5B32">
              <w:rPr>
                <w:lang w:val="en-GB"/>
              </w:rPr>
              <w:t xml:space="preserve">109 </w:t>
            </w:r>
            <w:r w:rsidRPr="008E5B32">
              <w:fldChar w:fldCharType="begin" w:fldLock="1"/>
            </w:r>
            <w:r w:rsidR="00434385" w:rsidRPr="008E5B32">
              <w:rPr>
                <w:lang w:val="en-GB"/>
              </w:rPr>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301D27BF"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(Monte Carlo optimization)</w:t>
            </w:r>
          </w:p>
        </w:tc>
        <w:tc>
          <w:tcPr>
            <w:tcW w:w="540" w:type="dxa"/>
          </w:tcPr>
          <w:p w14:paraId="698AA798" w14:textId="77777777" w:rsidR="001801DA" w:rsidRPr="008E5B32" w:rsidRDefault="001801DA" w:rsidP="00BA08CB">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074C70ED"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1A94ED7F"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5E67D9DB" w14:textId="77777777" w:rsidR="001801DA" w:rsidRPr="008E5B32" w:rsidRDefault="001801DA" w:rsidP="00BA08CB">
            <w:pPr>
              <w:jc w:val="center"/>
              <w:rPr>
                <w:rFonts w:ascii="Segoe UI Symbol" w:eastAsia="Segoe UI Symbol" w:hAnsi="Segoe UI Symbol" w:cs="Segoe UI Symbol"/>
                <w:lang w:val="en-GB"/>
              </w:rPr>
            </w:pPr>
            <w:r w:rsidRPr="008E5B32">
              <w:rPr>
                <w:szCs w:val="18"/>
                <w:lang w:val="en-GB"/>
              </w:rPr>
              <w:t>(Defined as NMs containing the same SMILES attributes)</w:t>
            </w:r>
          </w:p>
        </w:tc>
        <w:tc>
          <w:tcPr>
            <w:tcW w:w="1350" w:type="dxa"/>
          </w:tcPr>
          <w:p w14:paraId="511D93A7" w14:textId="77777777" w:rsidR="001801DA" w:rsidRPr="008E5B32" w:rsidRDefault="001801DA" w:rsidP="00BA08CB">
            <w:pPr>
              <w:jc w:val="center"/>
              <w:rPr>
                <w:rFonts w:ascii="Segoe UI Symbol" w:eastAsia="Segoe UI Symbol" w:hAnsi="Segoe UI Symbol" w:cs="Segoe UI Symbol"/>
              </w:rPr>
            </w:pPr>
            <w:r w:rsidRPr="008E5B32">
              <w:rPr>
                <w:rFonts w:ascii="Segoe UI Symbol" w:eastAsia="Segoe UI Symbol" w:hAnsi="Segoe UI Symbol" w:cs="Segoe UI Symbol"/>
              </w:rPr>
              <w:t>✗</w:t>
            </w:r>
          </w:p>
        </w:tc>
        <w:tc>
          <w:tcPr>
            <w:tcW w:w="581" w:type="dxa"/>
          </w:tcPr>
          <w:p w14:paraId="76B6597D" w14:textId="77777777" w:rsidR="001801DA" w:rsidRPr="008E5B32" w:rsidRDefault="001801DA" w:rsidP="00BA08CB">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1801DA" w:rsidRPr="008E5B32" w14:paraId="3B3FFD9A" w14:textId="77777777" w:rsidTr="00D6682C">
        <w:tc>
          <w:tcPr>
            <w:tcW w:w="426" w:type="dxa"/>
          </w:tcPr>
          <w:p w14:paraId="63BEF1DA" w14:textId="47174E35" w:rsidR="001801DA" w:rsidRPr="008E5B32" w:rsidRDefault="001801DA" w:rsidP="00BA08CB">
            <w:r w:rsidRPr="008E5B32">
              <w:fldChar w:fldCharType="begin" w:fldLock="1"/>
            </w:r>
            <w:r w:rsidR="00434385" w:rsidRPr="008E5B32">
              <w:instrText>ADDIN CSL_CITATION {"citationItems":[{"id":"ITEM-1","itemData":{"DOI":"10.1016/j.tiv.2013.12.018","ISBN":"0887-2333","ISSN":"08872333","PMID":"24412539","abstract":"As experimental evaluation of the safety of nanoparticles (NPs) is expensive and time-consuming, computational approaches have been found to be an efficient alternative for predicting the potential toxicity of new NPs before mass production. In this background, we have developed here a regression-based nano quantitative structure-activity relationship (nano-QSAR) model to establish statistically significant relationships between the measured cellular uptakes of 109 magnetofluorescent NPs in pancreatic cancer cells with their physical, chemical, and structural properties encoded within easily computable, interpretable and reproducible descriptors. The developed model was rigorously validated internally as well as externally with the application of the principles of Organization for Economic Cooperation and Development (OECD). The test for domain of applicability was also carried out for checking reliability of the predictions. Important fragments contributing to higher/lower cellular uptake of NPs were identified through critical analysis and interpretation of the developed model. Considering all these identified structural attributes, one can choose or design safe, economical and suitable surface modifiers for NPs. The presented approach provides rich information in the context of virtual screening of relevant NP libraries. © 2014 Elsevier Ltd.","author":[{"dropping-particle":"","family":"Kar","given":"Supratik","non-dropping-particle":"","parse-names":false,"suffix":""},{"dropping-particle":"","family":"Gajewicz","given":"Agnieszka","non-dropping-particle":"","parse-names":false,"suffix":""},{"dropping-particle":"","family":"Puzyn","given":"Tomasz","non-dropping-particle":"","parse-names":false,"suffix":""},{"dropping-particle":"","family":"Roy","given":"Kunal","non-dropping-particle":"","parse-names":false,"suffix":""}],"container-title":"Toxicology in Vitro","id":"ITEM-1","issue":"4","issued":{"date-parts":[["2014"]]},"page":"600-606","title":"Nano-quantitative structure-activity relationship modeling using easily computable and interpretable descriptors for uptake of magnetofluorescent engineered nanoparticles in pancreatic cancer cells","type":"article-journal","volume":"28"},"uris":["http://www.mendeley.com/documents/?uuid=31d90f22-b601-4380-ba79-8d07037c55ac"]}],"mendeley":{"formattedCitation":"&lt;sup&gt;118&lt;/sup&gt;","plainTextFormattedCitation":"118","previouslyFormattedCitation":"&lt;sup&gt;118&lt;/sup&gt;"},"properties":{"noteIndex":0},"schema":"https://github.com/citation-style-language/schema/raw/master/csl-citation.json"}</w:instrText>
            </w:r>
            <w:r w:rsidRPr="008E5B32">
              <w:fldChar w:fldCharType="separate"/>
            </w:r>
            <w:r w:rsidR="004C12A8" w:rsidRPr="008E5B32">
              <w:rPr>
                <w:noProof/>
                <w:vertAlign w:val="superscript"/>
              </w:rPr>
              <w:t>118</w:t>
            </w:r>
            <w:r w:rsidRPr="008E5B32">
              <w:fldChar w:fldCharType="end"/>
            </w:r>
          </w:p>
        </w:tc>
        <w:tc>
          <w:tcPr>
            <w:tcW w:w="4536" w:type="dxa"/>
          </w:tcPr>
          <w:p w14:paraId="2F51218C" w14:textId="5E690353" w:rsidR="001801DA" w:rsidRPr="008E5B32" w:rsidRDefault="00123621" w:rsidP="00BA08CB">
            <w:pPr>
              <w:jc w:val="both"/>
              <w:rPr>
                <w:lang w:val="en-GB"/>
              </w:rPr>
            </w:pPr>
            <w:r w:rsidRPr="008E5B32">
              <w:rPr>
                <w:lang w:val="en-GB"/>
              </w:rPr>
              <w:t>Model</w:t>
            </w:r>
            <w:r w:rsidR="001801DA" w:rsidRPr="008E5B32">
              <w:rPr>
                <w:lang w:val="en-GB"/>
              </w:rPr>
              <w:t xml:space="preserve"> </w:t>
            </w:r>
            <w:r w:rsidRPr="008E5B32">
              <w:rPr>
                <w:lang w:val="en-GB"/>
              </w:rPr>
              <w:t>predicting</w:t>
            </w:r>
            <w:r w:rsidR="001801DA" w:rsidRPr="008E5B32">
              <w:rPr>
                <w:lang w:val="en-GB"/>
              </w:rPr>
              <w:t xml:space="preserve"> cellular uptake in PaCa2 cell lines of a set of NMs with common metal core and different surface modifications, in relation with a pool of 307 descriptors</w:t>
            </w:r>
            <w:r w:rsidR="00981597" w:rsidRPr="008E5B32">
              <w:rPr>
                <w:lang w:val="en-GB"/>
              </w:rPr>
              <w:t xml:space="preserve"> (structural, molecular, </w:t>
            </w:r>
            <w:r w:rsidR="00AC3FBA" w:rsidRPr="008E5B32">
              <w:rPr>
                <w:lang w:val="en-GB"/>
              </w:rPr>
              <w:t>topological, spatial, and electronic)</w:t>
            </w:r>
            <w:r w:rsidR="001801DA" w:rsidRPr="008E5B32">
              <w:rPr>
                <w:lang w:val="en-GB"/>
              </w:rPr>
              <w:t xml:space="preserve"> computed using different software (Cerius, Dragon and PaDeL-</w:t>
            </w:r>
            <w:r w:rsidR="001801DA" w:rsidRPr="008E5B32">
              <w:rPr>
                <w:szCs w:val="18"/>
                <w:lang w:val="en-GB"/>
              </w:rPr>
              <w:t>Descriptor</w:t>
            </w:r>
            <w:r w:rsidRPr="008E5B32">
              <w:rPr>
                <w:szCs w:val="18"/>
                <w:lang w:val="en-GB"/>
              </w:rPr>
              <w:t xml:space="preserve">). </w:t>
            </w:r>
            <w:r w:rsidR="001801DA" w:rsidRPr="008E5B32">
              <w:rPr>
                <w:szCs w:val="18"/>
                <w:lang w:val="en-GB"/>
              </w:rPr>
              <w:t xml:space="preserve">Genetic Function Approximation (GFA </w:t>
            </w:r>
            <w:r w:rsidR="001801DA" w:rsidRPr="008E5B32">
              <w:rPr>
                <w:szCs w:val="18"/>
              </w:rPr>
              <w:fldChar w:fldCharType="begin" w:fldLock="1"/>
            </w:r>
            <w:r w:rsidR="00434385" w:rsidRPr="008E5B32">
              <w:rPr>
                <w:szCs w:val="18"/>
                <w:lang w:val="en-GB"/>
              </w:rPr>
              <w:instrText>ADDIN CSL_CITATION {"citationItems":[{"id":"ITEM-1","itemData":{"DOI":"10.1021/ci00020a020","ISSN":"00952338","author":[{"dropping-particle":"","family":"Rogers","given":"David","non-dropping-particle":"","parse-names":false,"suffix":""},{"dropping-particle":"","family":"Hopfinger","given":"A. J.","non-dropping-particle":"","parse-names":false,"suffix":""}],"container-title":"Journal of Chemical Information and Computer Sciences","id":"ITEM-1","issue":"4","issued":{"date-parts":[["1994"]]},"page":"854-866","title":"Application of Genetic Function Approximation to Quantitative Structure-Activity Relationships and Quantitative Structure-Property Relationships","type":"article-journal","volume":"34"},"uris":["http://www.mendeley.com/documents/?uuid=821fbdf5-ed7b-4f58-8837-70be16068307","http://www.mendeley.com/documents/?uuid=f17b227c-e717-42fa-aa2f-44d1bc71e33f"]}],"mendeley":{"formattedCitation":"&lt;sup&gt;119&lt;/sup&gt;","plainTextFormattedCitation":"119","previouslyFormattedCitation":"&lt;sup&gt;119&lt;/sup&gt;"},"properties":{"noteIndex":0},"schema":"https://github.com/citation-style-language/schema/raw/master/csl-citation.json"}</w:instrText>
            </w:r>
            <w:r w:rsidR="001801DA" w:rsidRPr="008E5B32">
              <w:rPr>
                <w:szCs w:val="18"/>
              </w:rPr>
              <w:fldChar w:fldCharType="separate"/>
            </w:r>
            <w:r w:rsidR="004C12A8" w:rsidRPr="008E5B32">
              <w:rPr>
                <w:noProof/>
                <w:szCs w:val="18"/>
                <w:vertAlign w:val="superscript"/>
                <w:lang w:val="en-GB"/>
              </w:rPr>
              <w:t>119</w:t>
            </w:r>
            <w:r w:rsidR="001801DA" w:rsidRPr="008E5B32">
              <w:rPr>
                <w:szCs w:val="18"/>
              </w:rPr>
              <w:fldChar w:fldCharType="end"/>
            </w:r>
            <w:r w:rsidR="001801DA" w:rsidRPr="008E5B32">
              <w:rPr>
                <w:szCs w:val="18"/>
                <w:lang w:val="en-GB"/>
              </w:rPr>
              <w:t xml:space="preserve">) </w:t>
            </w:r>
            <w:r w:rsidRPr="008E5B32">
              <w:rPr>
                <w:szCs w:val="18"/>
                <w:lang w:val="en-GB"/>
              </w:rPr>
              <w:t xml:space="preserve">was applied </w:t>
            </w:r>
            <w:r w:rsidR="001801DA" w:rsidRPr="008E5B32">
              <w:rPr>
                <w:szCs w:val="18"/>
                <w:lang w:val="en-GB"/>
              </w:rPr>
              <w:t>to find best descriptors from this pool</w:t>
            </w:r>
            <w:r w:rsidRPr="008E5B32">
              <w:rPr>
                <w:szCs w:val="18"/>
                <w:lang w:val="en-GB"/>
              </w:rPr>
              <w:t>,</w:t>
            </w:r>
            <w:r w:rsidR="001801DA" w:rsidRPr="008E5B32">
              <w:rPr>
                <w:szCs w:val="18"/>
                <w:lang w:val="en-GB"/>
              </w:rPr>
              <w:t xml:space="preserve"> ending up with a linear model composed by </w:t>
            </w:r>
            <w:r w:rsidR="00CD23B8" w:rsidRPr="008E5B32">
              <w:rPr>
                <w:szCs w:val="18"/>
                <w:lang w:val="en-GB"/>
              </w:rPr>
              <w:t>six</w:t>
            </w:r>
            <w:r w:rsidR="00AC3FBA" w:rsidRPr="008E5B32">
              <w:rPr>
                <w:szCs w:val="18"/>
                <w:lang w:val="en-GB"/>
              </w:rPr>
              <w:t xml:space="preserve"> calculated</w:t>
            </w:r>
            <w:r w:rsidR="001801DA" w:rsidRPr="008E5B32">
              <w:rPr>
                <w:szCs w:val="18"/>
                <w:lang w:val="en-GB"/>
              </w:rPr>
              <w:t xml:space="preserve"> descriptors</w:t>
            </w:r>
            <w:r w:rsidR="00AC3FBA" w:rsidRPr="008E5B32">
              <w:rPr>
                <w:szCs w:val="18"/>
                <w:lang w:val="en-GB"/>
              </w:rPr>
              <w:t xml:space="preserve">, which were related to </w:t>
            </w:r>
            <w:r w:rsidR="00AC3FBA" w:rsidRPr="008E5B32">
              <w:rPr>
                <w:lang w:val="en-US"/>
              </w:rPr>
              <w:t>hydrophobicity, measure of electronic features relative to molecular size, wiener index of the chemical graph, and relative positive charge surface area</w:t>
            </w:r>
            <w:r w:rsidR="001801DA" w:rsidRPr="008E5B32">
              <w:rPr>
                <w:szCs w:val="18"/>
                <w:lang w:val="en-GB"/>
              </w:rPr>
              <w:t>.</w:t>
            </w:r>
          </w:p>
        </w:tc>
        <w:tc>
          <w:tcPr>
            <w:tcW w:w="2268" w:type="dxa"/>
          </w:tcPr>
          <w:p w14:paraId="5680BA2B" w14:textId="77777777" w:rsidR="001801DA" w:rsidRPr="008E5B32" w:rsidRDefault="001801DA" w:rsidP="00BA08CB">
            <w:pPr>
              <w:jc w:val="center"/>
              <w:rPr>
                <w:lang w:val="en-GB"/>
              </w:rPr>
            </w:pPr>
            <w:r w:rsidRPr="008E5B32">
              <w:rPr>
                <w:rFonts w:ascii="Segoe UI Symbol" w:eastAsia="Segoe UI Symbol" w:hAnsi="Segoe UI Symbol" w:cs="Segoe UI Symbol"/>
                <w:color w:val="222222"/>
                <w:shd w:val="clear" w:color="auto" w:fill="FFFFFF"/>
                <w:lang w:val="en-GB"/>
              </w:rPr>
              <w:t>✓</w:t>
            </w:r>
          </w:p>
          <w:p w14:paraId="2372FA4F"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(Cellular uptake in PaCa2 cell lines)</w:t>
            </w:r>
          </w:p>
        </w:tc>
        <w:tc>
          <w:tcPr>
            <w:tcW w:w="960" w:type="dxa"/>
          </w:tcPr>
          <w:p w14:paraId="0CF977C1" w14:textId="2C5C248B" w:rsidR="001801DA" w:rsidRPr="008E5B32" w:rsidRDefault="001801DA" w:rsidP="00BA08CB">
            <w:pPr>
              <w:jc w:val="center"/>
            </w:pPr>
            <w:r w:rsidRPr="008E5B32">
              <w:t xml:space="preserve">109 </w:t>
            </w:r>
            <w:r w:rsidRPr="008E5B32">
              <w:fldChar w:fldCharType="begin" w:fldLock="1"/>
            </w:r>
            <w:r w:rsidR="00434385" w:rsidRPr="008E5B32">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5973CC6D"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4A765CF8"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lang w:val="en-GB"/>
              </w:rPr>
              <w:t>(Stepwise MLR followed by PLS)</w:t>
            </w:r>
          </w:p>
        </w:tc>
        <w:tc>
          <w:tcPr>
            <w:tcW w:w="540" w:type="dxa"/>
          </w:tcPr>
          <w:p w14:paraId="39D97B19"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67544239"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267D843D" w14:textId="77777777" w:rsidR="001801DA" w:rsidRPr="008E5B32" w:rsidRDefault="001801DA" w:rsidP="00BA08CB">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w:t>
            </w:r>
            <w:r w:rsidRPr="008E5B32">
              <w:br/>
              <w:t>(Leverage approach + DModX)</w:t>
            </w:r>
          </w:p>
        </w:tc>
        <w:tc>
          <w:tcPr>
            <w:tcW w:w="1350" w:type="dxa"/>
          </w:tcPr>
          <w:p w14:paraId="3846D17B" w14:textId="77777777" w:rsidR="001801DA" w:rsidRPr="008E5B32" w:rsidRDefault="001801DA" w:rsidP="00BA08CB">
            <w:pPr>
              <w:jc w:val="center"/>
              <w:rPr>
                <w:szCs w:val="18"/>
              </w:rPr>
            </w:pPr>
            <w:r w:rsidRPr="008E5B32">
              <w:rPr>
                <w:szCs w:val="18"/>
              </w:rPr>
              <w:t>≈</w:t>
            </w:r>
          </w:p>
          <w:p w14:paraId="0FDF33CD" w14:textId="77777777" w:rsidR="001801DA" w:rsidRPr="008E5B32" w:rsidRDefault="001801DA" w:rsidP="00BA08CB">
            <w:pPr>
              <w:jc w:val="center"/>
              <w:rPr>
                <w:rFonts w:ascii="Segoe UI Symbol" w:hAnsi="Segoe UI Symbol" w:cs="Segoe UI Symbol"/>
                <w:szCs w:val="18"/>
              </w:rPr>
            </w:pPr>
            <w:r w:rsidRPr="008E5B32">
              <w:t>(Y-scrambling)</w:t>
            </w:r>
          </w:p>
        </w:tc>
        <w:tc>
          <w:tcPr>
            <w:tcW w:w="581" w:type="dxa"/>
          </w:tcPr>
          <w:p w14:paraId="00D30A55" w14:textId="77777777" w:rsidR="001801DA" w:rsidRPr="008E5B32" w:rsidRDefault="001801DA" w:rsidP="00BA08CB">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1801DA" w:rsidRPr="008E5B32" w14:paraId="324D7AED" w14:textId="77777777" w:rsidTr="00D6682C">
        <w:tc>
          <w:tcPr>
            <w:tcW w:w="426" w:type="dxa"/>
          </w:tcPr>
          <w:p w14:paraId="20F0C28F" w14:textId="7E09BEB7" w:rsidR="001801DA" w:rsidRPr="008E5B32" w:rsidRDefault="001801DA" w:rsidP="00BA08CB">
            <w:r w:rsidRPr="008E5B32">
              <w:fldChar w:fldCharType="begin" w:fldLock="1"/>
            </w:r>
            <w:r w:rsidR="00434385" w:rsidRPr="008E5B32">
              <w:instrText>ADDIN CSL_CITATION {"citationItems":[{"id":"ITEM-1","itemData":{"DOI":"10.1039/C4RA01274G","ISBN":"2046-2069","ISSN":"2046-2069","abstract":"&lt;p&gt;Case study-1 (diverse metal core NPs); case study-2 (similar metal core NPs); case study-3 (metal oxide NPs); case study-4 (surface modified multi-walled CNTs); case study-5 (fullerene derivatives).&lt;/p&gt;","author":[{"dropping-particle":"","family":"Singh","given":"Kunwar P.","non-dropping-particle":"","parse-names":false,"suffix":""},{"dropping-particle":"","family":"Gupta","given":"Shikha","non-dropping-particle":"","parse-names":false,"suffix":""}],"container-title":"RSC Adv.","id":"ITEM-1","issue":"26","issued":{"date-parts":[["2014"]]},"page":"13215-13230","title":"Nano-QSAR modeling for predicting biological activity of diverse nanomaterials","type":"article-journal","volume":"4"},"uris":["http://www.mendeley.com/documents/?uuid=217f3ef2-cca2-4d0b-84ab-ea8271f2d7b4"]}],"mendeley":{"formattedCitation":"&lt;sup&gt;120&lt;/sup&gt;","plainTextFormattedCitation":"120","previouslyFormattedCitation":"&lt;sup&gt;120&lt;/sup&gt;"},"properties":{"noteIndex":0},"schema":"https://github.com/citation-style-language/schema/raw/master/csl-citation.json"}</w:instrText>
            </w:r>
            <w:r w:rsidRPr="008E5B32">
              <w:fldChar w:fldCharType="separate"/>
            </w:r>
            <w:r w:rsidR="004C12A8" w:rsidRPr="008E5B32">
              <w:rPr>
                <w:noProof/>
                <w:vertAlign w:val="superscript"/>
              </w:rPr>
              <w:t>120</w:t>
            </w:r>
            <w:r w:rsidRPr="008E5B32">
              <w:fldChar w:fldCharType="end"/>
            </w:r>
          </w:p>
        </w:tc>
        <w:tc>
          <w:tcPr>
            <w:tcW w:w="4536" w:type="dxa"/>
          </w:tcPr>
          <w:p w14:paraId="4F649D13" w14:textId="674D4D6C" w:rsidR="001801DA" w:rsidRPr="008E5B32" w:rsidRDefault="001801DA" w:rsidP="00BA08CB">
            <w:pPr>
              <w:jc w:val="both"/>
              <w:rPr>
                <w:lang w:val="en-GB"/>
              </w:rPr>
            </w:pPr>
            <w:r w:rsidRPr="008E5B32">
              <w:rPr>
                <w:lang w:val="en-GB"/>
              </w:rPr>
              <w:t xml:space="preserve">Investigation of the reliability of two Ensemble Learning methods (Decision Tree Forests (DTF) and Decision Tree Boost (DTB)) applied to </w:t>
            </w:r>
            <w:r w:rsidR="00CD23B8" w:rsidRPr="008E5B32">
              <w:rPr>
                <w:lang w:val="en-GB"/>
              </w:rPr>
              <w:t>five</w:t>
            </w:r>
            <w:r w:rsidRPr="008E5B32">
              <w:rPr>
                <w:lang w:val="en-GB"/>
              </w:rPr>
              <w:t xml:space="preserve"> different datasets (NMs with same metal core, NMs with common metal core and different surface modifications, different metal oxide NMs, surface modified multi-walled carbon nanotubes, and fullerene derivatives NMs), using </w:t>
            </w:r>
            <w:r w:rsidR="00A46489" w:rsidRPr="008E5B32">
              <w:rPr>
                <w:lang w:val="en-GB"/>
              </w:rPr>
              <w:t xml:space="preserve">nanospecific and </w:t>
            </w:r>
            <w:r w:rsidR="00830A09" w:rsidRPr="008E5B32">
              <w:rPr>
                <w:lang w:val="en-GB"/>
              </w:rPr>
              <w:t>simple</w:t>
            </w:r>
            <w:r w:rsidRPr="008E5B32">
              <w:rPr>
                <w:lang w:val="en-GB"/>
              </w:rPr>
              <w:t xml:space="preserve"> structural descriptors.</w:t>
            </w:r>
          </w:p>
        </w:tc>
        <w:tc>
          <w:tcPr>
            <w:tcW w:w="2268" w:type="dxa"/>
          </w:tcPr>
          <w:p w14:paraId="61EAB36C" w14:textId="6A741DC4" w:rsidR="00C66A42" w:rsidRPr="008E5B32" w:rsidRDefault="00CD23B8" w:rsidP="00CD23B8">
            <w:pPr>
              <w:jc w:val="center"/>
              <w:rPr>
                <w:lang w:val="en-GB"/>
              </w:rPr>
            </w:pPr>
            <w:r w:rsidRPr="008E5B32">
              <w:rPr>
                <w:rFonts w:ascii="Segoe UI Symbol" w:hAnsi="Segoe UI Symbol" w:cs="Segoe UI Symbol"/>
                <w:szCs w:val="18"/>
                <w:lang w:val="en-GB"/>
              </w:rPr>
              <w:t>✗</w:t>
            </w:r>
            <w:r w:rsidRPr="008E5B32">
              <w:rPr>
                <w:lang w:val="en-GB"/>
              </w:rPr>
              <w:t>/</w:t>
            </w:r>
            <w:r w:rsidR="00073460" w:rsidRPr="008E5B32">
              <w:rPr>
                <w:rFonts w:ascii="Segoe UI Symbol" w:eastAsia="Segoe UI Symbol" w:hAnsi="Segoe UI Symbol" w:cs="Segoe UI Symbol"/>
                <w:color w:val="222222"/>
                <w:shd w:val="clear" w:color="auto" w:fill="FFFFFF"/>
                <w:lang w:val="en-GB"/>
              </w:rPr>
              <w:t>✓</w:t>
            </w:r>
          </w:p>
          <w:p w14:paraId="03F2280E" w14:textId="0D2BEB67" w:rsidR="001801DA" w:rsidRPr="008E5B32" w:rsidRDefault="00C66A42" w:rsidP="00C66A42">
            <w:pPr>
              <w:jc w:val="center"/>
              <w:rPr>
                <w:rFonts w:ascii="Segoe UI Symbol" w:hAnsi="Segoe UI Symbol" w:cs="Segoe UI Symbol"/>
                <w:color w:val="222222"/>
                <w:szCs w:val="18"/>
                <w:shd w:val="clear" w:color="auto" w:fill="FFFFFF"/>
                <w:lang w:val="en-GB"/>
              </w:rPr>
            </w:pPr>
            <w:r w:rsidRPr="008E5B32">
              <w:rPr>
                <w:szCs w:val="18"/>
                <w:lang w:val="en-GB"/>
              </w:rPr>
              <w:t xml:space="preserve"> </w:t>
            </w:r>
            <w:r w:rsidR="001801DA" w:rsidRPr="008E5B32">
              <w:rPr>
                <w:szCs w:val="18"/>
                <w:lang w:val="en-GB"/>
              </w:rPr>
              <w:t xml:space="preserve">(CS1: activity profile </w:t>
            </w:r>
            <w:r w:rsidR="001801DA" w:rsidRPr="008E5B32">
              <w:rPr>
                <w:szCs w:val="18"/>
              </w:rPr>
              <w:fldChar w:fldCharType="begin" w:fldLock="1"/>
            </w:r>
            <w:r w:rsidR="00434385" w:rsidRPr="008E5B32">
              <w:rPr>
                <w:szCs w:val="18"/>
                <w:lang w:val="en-GB"/>
              </w:rPr>
              <w:instrText>ADDIN CSL_CITATION {"citationItems":[{"id":"ITEM-1","itemData":{"DOI":"10.1021/nn1013484","ISBN":"1936-0851","ISSN":"1936-0851","PMID":"20857979","abstract":"Evaluation of biological effects, both desired and undesired, caused by manufactured nanoparticles (MNPs) is of critical importance for nanotechnology. Experimental studies, especially toxicological, are time-consuming, costly, and often impractical, calling for the development of efficient computational approaches capable of predicting biological effects of MNPs. To this end, we have investigated the potential of cheminformatics methods such as quantitative structure−activity relationship (QSAR) modeling to establish statistically significant relationships between measured biological activity profiles of MNPs and their physical, chemical, and geometrical properties, either measured experimentally or computed from the structure of MNPs. To reflect the context of the study, we termed our approach quantitative nanostructure−activity relationship (QNAR) modeling. We have employed two representative sets of MNPs studied recently using in vitro cell-based assays: (i) 51 various MNPs with diverse metal cores (P...","author":[{"dropping-particle":"","family":"Fourches","given":"Denis","non-dropping-particle":"","parse-names":false,"suffix":""},{"dropping-particle":"","family":"Pu","given":"Dongqiuye","non-dropping-particle":"","parse-names":false,"suffix":""},{"dropping-particle":"","family":"Tassa","given":"Carlos","non-dropping-particle":"","parse-names":false,"suffix":""},{"dropping-particle":"","family":"Weissleder","given":"Ralph","non-dropping-particle":"","parse-names":false,"suffix":""},{"dropping-particle":"","family":"Shaw","given":"Stanley Y.","non-dropping-particle":"","parse-names":false,"suffix":""},{"dropping-particle":"","family":"Mumper","given":"Russell J.","non-dropping-particle":"","parse-names":false,"suffix":""},{"dropping-particle":"","family":"Tropsha","given":"Alexander","non-dropping-particle":"","parse-names":false,"suffix":""}],"container-title":"ACS Nano","id":"ITEM-1","issue":"10","issued":{"date-parts":[["2010"]]},"page":"5703-5712","title":"Quantitative Nanostructure−Activity Relationship Modeling","type":"article-journal","volume":"4"},"uris":["http://www.mendeley.com/documents/?uuid=60483abc-289a-49e6-8656-ebabdaafed4d"]}],"mendeley":{"formattedCitation":"&lt;sup&gt;100&lt;/sup&gt;","plainTextFormattedCitation":"100","previouslyFormattedCitation":"&lt;sup&gt;100&lt;/sup&gt;"},"properties":{"noteIndex":0},"schema":"https://github.com/citation-style-language/schema/raw/master/csl-citation.json"}</w:instrText>
            </w:r>
            <w:r w:rsidR="001801DA" w:rsidRPr="008E5B32">
              <w:rPr>
                <w:szCs w:val="18"/>
              </w:rPr>
              <w:fldChar w:fldCharType="separate"/>
            </w:r>
            <w:r w:rsidR="004C12A8" w:rsidRPr="008E5B32">
              <w:rPr>
                <w:noProof/>
                <w:szCs w:val="18"/>
                <w:vertAlign w:val="superscript"/>
                <w:lang w:val="en-GB"/>
              </w:rPr>
              <w:t>100</w:t>
            </w:r>
            <w:r w:rsidR="001801DA" w:rsidRPr="008E5B32">
              <w:rPr>
                <w:szCs w:val="18"/>
              </w:rPr>
              <w:fldChar w:fldCharType="end"/>
            </w:r>
            <w:r w:rsidR="001801DA" w:rsidRPr="008E5B32">
              <w:rPr>
                <w:szCs w:val="18"/>
                <w:lang w:val="en-GB"/>
              </w:rPr>
              <w:t>, CS2: cellular uptake in PaCa2 cell lines, CS3: cytotoxicity in</w:t>
            </w:r>
            <w:r w:rsidR="001801DA" w:rsidRPr="008E5B32">
              <w:rPr>
                <w:i/>
                <w:szCs w:val="18"/>
                <w:lang w:val="en-GB"/>
              </w:rPr>
              <w:t xml:space="preserve"> E. Coli, </w:t>
            </w:r>
            <w:r w:rsidR="001801DA" w:rsidRPr="008E5B32">
              <w:rPr>
                <w:szCs w:val="18"/>
                <w:lang w:val="en-GB"/>
              </w:rPr>
              <w:t>CS4: Cell viability by dehydrogenase activity, CS5: Binding affinity with the HIV-1 PR virus)</w:t>
            </w:r>
          </w:p>
        </w:tc>
        <w:tc>
          <w:tcPr>
            <w:tcW w:w="960" w:type="dxa"/>
          </w:tcPr>
          <w:p w14:paraId="7BF75130" w14:textId="239E3949" w:rsidR="001801DA" w:rsidRPr="008E5B32" w:rsidRDefault="001801DA" w:rsidP="00BA08CB">
            <w:pPr>
              <w:jc w:val="center"/>
              <w:rPr>
                <w:szCs w:val="18"/>
              </w:rPr>
            </w:pPr>
            <w:r w:rsidRPr="008E5B32">
              <w:rPr>
                <w:szCs w:val="18"/>
              </w:rPr>
              <w:t xml:space="preserve">44 </w:t>
            </w:r>
            <w:r w:rsidRPr="008E5B32">
              <w:rPr>
                <w:szCs w:val="18"/>
              </w:rPr>
              <w:fldChar w:fldCharType="begin" w:fldLock="1"/>
            </w:r>
            <w:r w:rsidR="00434385" w:rsidRPr="008E5B32">
              <w:rPr>
                <w:szCs w:val="18"/>
              </w:rPr>
              <w:instrText>ADDIN CSL_CITATION {"citationItems":[{"id":"ITEM-1","itemData":{"DOI":"10.1073/pnas.0802878105","ISBN":"0802878105","ISSN":"0027-8424","PMID":"18492802","abstract":"Our understanding of the biologic effects (including toxicity) of nanomaterials is incomplete. In vivo animal studies remain the gold standard; however, widespread testing remains impractical, and the development of in vitro assays that correlate with in vivo activity has proven challenging. Here, we demonstrate the feasibility of analyzing in vitro nanomaterial activity in a generalizable, systematic fashion. We assessed nanoparticle effects in a multidimensional manner, using multiple cell types and multiple assays that reflect different aspects of cellular physiology. Hierarchical clustering of these data identifies nanomaterials with similar patterns of biologic activity across a broad sampling of cellular contexts, as opposed to extrapolating from results of a single in vitro assay. We show that this approach yields robust and detailed structure-activity relationships. Furthermore, a subset of nanoparticles were tested in mice, and nanoparticles with similar activity profiles in vitro exert similar effects on monocyte number in vivo. These data suggest a strategy of multidimensional characterization of nanomaterials in vitro that can inform the design of novel nanomaterials and guide studies of in vivo activity.","author":[{"dropping-particle":"","family":"Shaw","given":"S. Y.","non-dropping-particle":"","parse-names":false,"suffix":""},{"dropping-particle":"","family":"Westly","given":"E. C.","non-dropping-particle":"","parse-names":false,"suffix":""},{"dropping-particle":"","family":"Pittet","given":"M. J.","non-dropping-particle":"","parse-names":false,"suffix":""},{"dropping-particle":"","family":"Subramanian","given":"A.","non-dropping-particle":"","parse-names":false,"suffix":""},{"dropping-particle":"","family":"Schreiber","given":"S. L.","non-dropping-particle":"","parse-names":false,"suffix":""},{"dropping-particle":"","family":"Weissleder","given":"R.","non-dropping-particle":"","parse-names":false,"suffix":""}],"container-title":"Proceedings of the National Academy of Sciences","id":"ITEM-1","issue":"21","issued":{"date-parts":[["2008"]]},"page":"7387-7392","title":"Perturbational profiling of nanomaterial biologic activity","type":"article-journal","volume":"105"},"uris":["http://www.mendeley.com/documents/?uuid=83e77dea-cfe9-4fca-9b89-5cd64509f53b"]}],"mendeley":{"formattedCitation":"&lt;sup&gt;101&lt;/sup&gt;","plainTextFormattedCitation":"101","previouslyFormattedCitation":"&lt;sup&gt;101&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101</w:t>
            </w:r>
            <w:r w:rsidRPr="008E5B32">
              <w:rPr>
                <w:szCs w:val="18"/>
              </w:rPr>
              <w:fldChar w:fldCharType="end"/>
            </w:r>
            <w:r w:rsidRPr="008E5B32">
              <w:rPr>
                <w:szCs w:val="18"/>
              </w:rPr>
              <w:t>,</w:t>
            </w:r>
          </w:p>
          <w:p w14:paraId="59F28FCE" w14:textId="124897DD" w:rsidR="001801DA" w:rsidRPr="008E5B32" w:rsidRDefault="001801DA" w:rsidP="00BA08CB">
            <w:pPr>
              <w:jc w:val="center"/>
              <w:rPr>
                <w:lang w:val="en-GB"/>
              </w:rPr>
            </w:pPr>
            <w:r w:rsidRPr="008E5B32">
              <w:rPr>
                <w:szCs w:val="18"/>
              </w:rPr>
              <w:t xml:space="preserve">109 </w:t>
            </w:r>
            <w:r w:rsidRPr="008E5B32">
              <w:rPr>
                <w:szCs w:val="18"/>
              </w:rPr>
              <w:fldChar w:fldCharType="begin" w:fldLock="1"/>
            </w:r>
            <w:r w:rsidR="00434385" w:rsidRPr="008E5B32">
              <w:rPr>
                <w:szCs w:val="18"/>
              </w:rPr>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102</w:t>
            </w:r>
            <w:r w:rsidRPr="008E5B32">
              <w:rPr>
                <w:szCs w:val="18"/>
              </w:rPr>
              <w:fldChar w:fldCharType="end"/>
            </w:r>
            <w:r w:rsidRPr="008E5B32">
              <w:rPr>
                <w:szCs w:val="18"/>
              </w:rPr>
              <w:t>,</w:t>
            </w:r>
            <w:r w:rsidRPr="008E5B32">
              <w:rPr>
                <w:szCs w:val="18"/>
              </w:rPr>
              <w:br/>
              <w:t xml:space="preserve">17 </w:t>
            </w:r>
            <w:r w:rsidRPr="008E5B32">
              <w:rPr>
                <w:szCs w:val="18"/>
              </w:rPr>
              <w:fldChar w:fldCharType="begin" w:fldLock="1"/>
            </w:r>
            <w:r w:rsidR="004C12A8" w:rsidRPr="008E5B32">
              <w:rPr>
                <w:szCs w:val="18"/>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rPr>
                <w:szCs w:val="18"/>
              </w:rPr>
              <w:fldChar w:fldCharType="separate"/>
            </w:r>
            <w:r w:rsidR="005D1733" w:rsidRPr="008E5B32">
              <w:rPr>
                <w:noProof/>
                <w:szCs w:val="18"/>
                <w:vertAlign w:val="superscript"/>
              </w:rPr>
              <w:t>23</w:t>
            </w:r>
            <w:r w:rsidRPr="008E5B32">
              <w:rPr>
                <w:szCs w:val="18"/>
              </w:rPr>
              <w:fldChar w:fldCharType="end"/>
            </w:r>
            <w:r w:rsidRPr="008E5B32">
              <w:rPr>
                <w:szCs w:val="18"/>
              </w:rPr>
              <w:t>,</w:t>
            </w:r>
            <w:r w:rsidRPr="008E5B32">
              <w:rPr>
                <w:szCs w:val="18"/>
              </w:rPr>
              <w:br/>
              <w:t xml:space="preserve">29 </w:t>
            </w:r>
            <w:r w:rsidRPr="008E5B32">
              <w:rPr>
                <w:szCs w:val="18"/>
              </w:rPr>
              <w:fldChar w:fldCharType="begin" w:fldLock="1"/>
            </w:r>
            <w:r w:rsidR="00434385" w:rsidRPr="008E5B32">
              <w:rPr>
                <w:szCs w:val="18"/>
              </w:rPr>
              <w:instrText>ADDIN CSL_CITATION {"citationItems":[{"id":"ITEM-1","itemData":{"DOI":"10.1021/nl0730155","ISBN":"9014955715","ISSN":"15306984","PMID":"18288815","abstract":"We have discovered functionalized multiwalled carbon nanotubes with reduced protein-binding, cytotoxicity, and immune response and the associated structure–activity relationships using in silico surface molecular diversity design, combinatorial library synthesis, and multiple biological screenings. Our results demonstrated the general utility of the nanocombinatorial library approach in nanomedicine and nanotoxicity research.","author":[{"dropping-particle":"","family":"Zhou","given":"Hongyu","non-dropping-particle":"","parse-names":false,"suffix":""},{"dropping-particle":"","family":"Mu","given":"Qingxin","non-dropping-particle":"","parse-names":false,"suffix":""},{"dropping-particle":"","family":"Gao","given":"Ningning","non-dropping-particle":"","parse-names":false,"suffix":""},{"dropping-particle":"","family":"Liu","given":"Aifeng","non-dropping-particle":"","parse-names":false,"suffix":""},{"dropping-particle":"","family":"Xing","given":"Yuehan","non-dropping-particle":"","parse-names":false,"suffix":""},{"dropping-particle":"","family":"Gao","given":"Sulian","non-dropping-particle":"","parse-names":false,"suffix":""},{"dropping-particle":"","family":"Zhang","given":"Qiu","non-dropping-particle":"","parse-names":false,"suffix":""},{"dropping-particle":"","family":"Qu","given":"Guangbo","non-dropping-particle":"","parse-names":false,"suffix":""},{"dropping-particle":"","family":"Chen","given":"Yuyan","non-dropping-particle":"","parse-names":false,"suffix":""},{"dropping-particle":"","family":"Liu","given":"Gang","non-dropping-particle":"","parse-names":false,"suffix":""},{"dropping-particle":"","family":"Zhang","given":"Bin","non-dropping-particle":"","parse-names":false,"suffix":""},{"dropping-particle":"","family":"Yan","given":"Bing","non-dropping-particle":"","parse-names":false,"suffix":""}],"container-title":"Nano Letters","id":"ITEM-1","issue":"3","issued":{"date-parts":[["2008"]]},"page":"859-865","title":"A nano-combinatorial library strategy for the discovery of nanotubes with reduced protein-binding, cytotoxicity, and immune response","type":"article-journal","volume":"8"},"uris":["http://www.mendeley.com/documents/?uuid=7d1be9d8-485f-4411-9e30-950cdcb8df8e","http://www.mendeley.com/documents/?uuid=da057d4c-b780-4eb9-bbdd-d47089d00a55"]}],"mendeley":{"formattedCitation":"&lt;sup&gt;112&lt;/sup&gt;","plainTextFormattedCitation":"112","previouslyFormattedCitation":"&lt;sup&gt;112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112</w:t>
            </w:r>
            <w:r w:rsidRPr="008E5B32">
              <w:rPr>
                <w:szCs w:val="18"/>
              </w:rPr>
              <w:fldChar w:fldCharType="end"/>
            </w:r>
            <w:r w:rsidRPr="008E5B32">
              <w:rPr>
                <w:szCs w:val="18"/>
              </w:rPr>
              <w:t>,</w:t>
            </w:r>
            <w:r w:rsidRPr="008E5B32">
              <w:rPr>
                <w:szCs w:val="18"/>
              </w:rPr>
              <w:br/>
              <w:t xml:space="preserve">48 </w:t>
            </w:r>
            <w:r w:rsidRPr="008E5B32">
              <w:rPr>
                <w:szCs w:val="18"/>
              </w:rPr>
              <w:fldChar w:fldCharType="begin" w:fldLock="1"/>
            </w:r>
            <w:r w:rsidR="00434385" w:rsidRPr="008E5B32">
              <w:rPr>
                <w:szCs w:val="18"/>
              </w:rPr>
              <w:instrText>ADDIN CSL_CITATION {"citationItems":[{"id":"ITEM-1","itemData":{"DOI":"10.1016/j.bmc.2008.10.039","ISBN":"0968-0896","ISSN":"09680896","PMID":"18996019","abstract":"A series of experimentally reported as well as computationally designed monoadducts and bisadducts of [60]fullerene analogues have been used in order to analyze the binding interactions between fullerene based inhibitors and HIV-1 PR employing docking studies. MD simulations of ligand-free and the inhibitor bound HIV-1 PR systems complemented the above studies and provided proper input structure of HIV-1 PR in docking simulations. The obtained results revealed a different orientation of the β-hairpin flaps at these two systems. In inhibitor bound system, the flaps of the enzyme are pulled in toward the bottom of the active site (the closed form) while, in ligand-free system flaps shifted away from the dual Asp25 catalytic site and this system adopts a semi-open form. The structural analysis of these systems at catalytic and flexible flap regions of the HIV-1 PR through the simulation, assisted in understanding the structural preferences of these regions, as well as, the adopted orientations of fullerene derivatives within the active site of the enzyme. Five different combinations of steroelectronic fields of 3D QSAR/CoMSIA models were obtained from the set of biologically evaluated and computationally designed fullerene derivatives (training set = 43, test set = 6) in order to predict novel compounds with improved inhibition effect. The best 3D QSAR/CoMSIA model yielded a cross validated r2value of 0.739 and a non-cross validated r2value of 0.993. The derived model indicated the importance of steric (42.6%), electrostatic (12.7%), H-bond donor (16.7%) and H-bond acceptor (28.0%) contributions. The derived contour plots together with de novo drug design were then used as pilot models for proposing the novel analogues with enhanced binding affinities. Such structures may tr</w:instrText>
            </w:r>
            <w:r w:rsidR="00434385" w:rsidRPr="008E5B32">
              <w:rPr>
                <w:szCs w:val="18"/>
                <w:lang w:val="en-US"/>
              </w:rPr>
              <w:instrText>igger the interest of medicinal chemists for novel HIV-1 PR inhibitors possessing higher bioactivity. © 2008 Elsevier Ltd. All rights reserved.","author":[{"dropping-particle":"","family":"Durdagi","given":"Serdar","non-dropping-particle":"","parse-names":false,"suffix":""},{"dropping-particle":"","family":"Mavromoustakos","given":"Thomas","non-dropping-particle":"","parse-names":false,"suffix":""},{"dropping-particle":"","family":"Chronakis","given":"Nikos","non-dropping-particle":"","parse-names":false,"suffix":""},{"dropping-particle":"","family":"Papadopoulos","given":"Manthos G.","non-dropping-particle":"","parse-names":false,"suffix":""}],"container-title":"Bioorganic and Medicinal Chemistry","id":"ITEM-1","issue":"23","issued":{"date-parts":[["2008"]]},"page":"9957-9974","title":"Computational design of novel fullerene analogues as potential HIV-1 PR inhibitors: Analysis of the binding interactions between fullerene inhibitors and HIV-1 PR residues using 3D QSAR, molecular docking and molecular dynamics simulations","type":"article-journal","volume":"16"},"uris":["http://www.mendeley.com/documents/?uuid=df8cf604-79fe-43a4-8ecf-5a827a996352","http://www.mendeley.com/documents/?uuid=ff447b95-aa8e-4884-a335-17ddebcd3a21"]}],"mendeley":{"formattedCitation":"&lt;sup&gt;121&lt;/sup&gt;","plainTextFormattedCitation":"121","previouslyFormattedCitation":"&lt;sup&gt;121&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121</w:t>
            </w:r>
            <w:r w:rsidRPr="008E5B32">
              <w:rPr>
                <w:szCs w:val="18"/>
              </w:rPr>
              <w:fldChar w:fldCharType="end"/>
            </w:r>
          </w:p>
        </w:tc>
        <w:tc>
          <w:tcPr>
            <w:tcW w:w="1620" w:type="dxa"/>
          </w:tcPr>
          <w:p w14:paraId="4983A4EE"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 xml:space="preserve">(Two different Ensemble Learning methods, for regression and </w:t>
            </w:r>
            <w:r w:rsidRPr="008E5B32">
              <w:rPr>
                <w:i/>
                <w:iCs/>
                <w:lang w:val="en-GB"/>
              </w:rPr>
              <w:t xml:space="preserve">classification </w:t>
            </w:r>
            <w:r w:rsidRPr="008E5B32">
              <w:rPr>
                <w:lang w:val="en-GB"/>
              </w:rPr>
              <w:t>purposes)</w:t>
            </w:r>
          </w:p>
        </w:tc>
        <w:tc>
          <w:tcPr>
            <w:tcW w:w="540" w:type="dxa"/>
          </w:tcPr>
          <w:p w14:paraId="5A5B2928"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7646D68B"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16A18BBC"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(Distance based)</w:t>
            </w:r>
          </w:p>
        </w:tc>
        <w:tc>
          <w:tcPr>
            <w:tcW w:w="1350" w:type="dxa"/>
          </w:tcPr>
          <w:p w14:paraId="4E7A5AE0" w14:textId="77777777" w:rsidR="001801DA" w:rsidRPr="008E5B32" w:rsidRDefault="001801DA" w:rsidP="00BA08CB">
            <w:pPr>
              <w:jc w:val="center"/>
              <w:rPr>
                <w:szCs w:val="18"/>
                <w:lang w:val="en-GB"/>
              </w:rPr>
            </w:pPr>
            <w:r w:rsidRPr="008E5B32">
              <w:rPr>
                <w:szCs w:val="18"/>
                <w:lang w:val="en-GB"/>
              </w:rPr>
              <w:t>≈</w:t>
            </w:r>
            <w:r w:rsidRPr="008E5B32">
              <w:rPr>
                <w:lang w:val="en-GB"/>
              </w:rPr>
              <w:t xml:space="preserve"> </w:t>
            </w:r>
          </w:p>
          <w:p w14:paraId="46FD2A54" w14:textId="1814B854" w:rsidR="001801DA" w:rsidRPr="008E5B32" w:rsidRDefault="00DF2866" w:rsidP="00BA08CB">
            <w:pPr>
              <w:jc w:val="center"/>
              <w:rPr>
                <w:szCs w:val="18"/>
                <w:lang w:val="en-GB"/>
              </w:rPr>
            </w:pPr>
            <w:r w:rsidRPr="008E5B32">
              <w:rPr>
                <w:lang w:val="en-GB"/>
              </w:rPr>
              <w:t>(C</w:t>
            </w:r>
            <w:r w:rsidR="001801DA" w:rsidRPr="008E5B32">
              <w:rPr>
                <w:lang w:val="en-GB"/>
              </w:rPr>
              <w:t>ontribution of each descriptor to the final prediction)</w:t>
            </w:r>
          </w:p>
        </w:tc>
        <w:tc>
          <w:tcPr>
            <w:tcW w:w="581" w:type="dxa"/>
          </w:tcPr>
          <w:p w14:paraId="794DA204" w14:textId="77777777" w:rsidR="001801DA" w:rsidRPr="008E5B32" w:rsidRDefault="001801DA" w:rsidP="00BA08CB">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1801DA" w:rsidRPr="008E5B32" w14:paraId="76869492" w14:textId="77777777" w:rsidTr="00D6682C">
        <w:tc>
          <w:tcPr>
            <w:tcW w:w="426" w:type="dxa"/>
          </w:tcPr>
          <w:p w14:paraId="61719928" w14:textId="0BCF6D47" w:rsidR="001801DA" w:rsidRPr="008E5B32" w:rsidRDefault="001801DA" w:rsidP="00BA08CB">
            <w:pPr>
              <w:rPr>
                <w:lang w:val="en-GB"/>
              </w:rPr>
            </w:pPr>
            <w:r w:rsidRPr="008E5B32">
              <w:fldChar w:fldCharType="begin" w:fldLock="1"/>
            </w:r>
            <w:r w:rsidR="00434385" w:rsidRPr="008E5B32">
              <w:rPr>
                <w:lang w:val="en-GB"/>
              </w:rPr>
              <w:instrText>ADDIN CSL_CITATION {"citationItems":[{"id":"ITEM-1","itemData":{"DOI":"10.1021/es503861x","ISSN":"15205851","PMID":"25384130","abstract":"Nanomaterials have revolutionized modern science and technology due to their multiple applications in engineering, physics, chemistry, and biomedicine. Nevertheless, the use and manipulation of nanoparticles (NPs) can bring serious damages to living organisms and their ecosystems. For this reason, ecotoxicity and cytotoxicity assays are of special interest in order to determine the potential harmful effects of NPs. Processes based on ecotoxicity and cytotoxicity tests can significantly consume time and financial resources. In this sense, alternative approaches such as quantitative structure-activity/toxicity relationships (QSAR/QSTR) modeling have provided important insights for the better understanding of the biological behavior of NPs that may be responsible for causing toxicity. Until now, QSAR/QSTR models have predicted ecotoxicity or cytotoxicity separately against only one organism (bioindicator species or cell line) and have not reported information regarding the quantitative influence of characteristics other than composition or size. In this work, we developed a unified QSTR-perturbation model to simultaneously probe ecotoxicity and cytotoxicity of NPs under different experimental conditions, including diverse measures of toxicities, multiple biological targets, compositions, sizes and conditions to measure those sizes, shapes, times during which the biological targets were exposed to NPs, and coating agents. The model was created from 36488 cases (NP-NP pairs) and exhibited accuracies higher than 98% in both training and prediction sets. The model was used to predict toxicities of several NPs that were not included in the original data set. The results of the predictions suggest that the present QSTR-perturbation model can be employed as a highly promising tool for the fast and efficient assessment of ecotoxicity and cytotoxicity of NPs.","author":[{"dropping-particle":"V.","family":"Kleandrova","given":"Valeria","non-dropping-particle":"","parse-names":false,"suffix":""},{"dropping-particle":"","family":"Luan","given":"Feng","non-dropping-particle":"","parse-names":false,"suffix":""},{"dropping-particle":"","family":"González-Díaz","given":"Humberto","non-dropping-particle":"","parse-names":false,"suffix":""},{"dropping-particle":"","family":"Ruso","given":"Juan M.","non-dropping-particle":"","parse-names":false,"suffix":""},{"dropping-particle":"","family":"Speck-Planche","given":"Alejandro","non-dropping-particle":"","parse-names":false,"suffix":""},{"dropping-particle":"","family":"Cordeiro","given":"M. Natália D.S.","non-dropping-particle":"","parse-names":false,"suffix":""}],"container-title":"Environmental Science and Technology","id":"ITEM-1","issued":{"date-parts":[["2014"]]},"title":"Computational tool for risk assessment of nanomaterials: Novel QSTR-perturbation model for simultaneous prediction of ecotoxicity and cytotoxicity of uncoated and coated nanoparticles under multiple experimental conditions","type":"article-journal"},"uris":["http://www.mendeley.com/documents/?uuid=f8a1c551-b4a9-423a-864c-2f81f34958d6","http://www.mendeley.com/documents/?uuid=0f07f4c6-e06d-44b8-bcb4-cd966f04bad4","http://www.mendeley.com/documents/?uuid=8194816f-375c-451f-ae15-c12354431cf2"]}],"mendeley":{"formattedCitation":"&lt;sup&gt;122&lt;/sup&gt;","plainTextFormattedCitation":"122","previouslyFormattedCitation":"&lt;sup&gt;122&lt;/sup&gt;"},"properties":{"noteIndex":0},"schema":"https://github.com/citation-style-language/schema/raw/master/csl-citation.json"}</w:instrText>
            </w:r>
            <w:r w:rsidRPr="008E5B32">
              <w:fldChar w:fldCharType="separate"/>
            </w:r>
            <w:r w:rsidR="004C12A8" w:rsidRPr="008E5B32">
              <w:rPr>
                <w:noProof/>
                <w:vertAlign w:val="superscript"/>
                <w:lang w:val="en-GB"/>
              </w:rPr>
              <w:t>122</w:t>
            </w:r>
            <w:r w:rsidRPr="008E5B32">
              <w:fldChar w:fldCharType="end"/>
            </w:r>
          </w:p>
        </w:tc>
        <w:tc>
          <w:tcPr>
            <w:tcW w:w="4536" w:type="dxa"/>
          </w:tcPr>
          <w:p w14:paraId="5E0D832C" w14:textId="2BD23B30" w:rsidR="001801DA" w:rsidRPr="008E5B32" w:rsidRDefault="001801DA" w:rsidP="00BA08CB">
            <w:pPr>
              <w:jc w:val="both"/>
              <w:rPr>
                <w:lang w:val="en-US"/>
              </w:rPr>
            </w:pPr>
            <w:r w:rsidRPr="008E5B32">
              <w:rPr>
                <w:lang w:val="en-GB"/>
              </w:rPr>
              <w:t>Model to simultaneously predict ecotoxicity and cytotoxicity of NMs under different experimental conditions and against different biological targets. The model, defined by authors QSAR-perturbation model, is a variation of the classical (Q)SAR principle</w:t>
            </w:r>
            <w:r w:rsidR="00123621" w:rsidRPr="008E5B32">
              <w:rPr>
                <w:lang w:val="en-GB"/>
              </w:rPr>
              <w:t xml:space="preserve"> that</w:t>
            </w:r>
            <w:r w:rsidRPr="008E5B32">
              <w:rPr>
                <w:lang w:val="en-GB"/>
              </w:rPr>
              <w:t xml:space="preserve"> make use of perturbation theory to study how changes in the set of descriptors produce changes in the outcome, by random sampling NM pairs and using one as reference and the other as output.</w:t>
            </w:r>
            <w:r w:rsidR="00830A09" w:rsidRPr="008E5B32">
              <w:rPr>
                <w:lang w:val="en-GB"/>
              </w:rPr>
              <w:t xml:space="preserve"> Four descriptors were used for each NM pair: three physicochemical descriptors</w:t>
            </w:r>
            <w:r w:rsidR="00432CDD" w:rsidRPr="008E5B32">
              <w:rPr>
                <w:lang w:val="en-GB"/>
              </w:rPr>
              <w:t xml:space="preserve"> depending on the chemical composition of the NM</w:t>
            </w:r>
            <w:r w:rsidR="00830A09" w:rsidRPr="008E5B32">
              <w:rPr>
                <w:lang w:val="en-GB"/>
              </w:rPr>
              <w:t xml:space="preserve"> (</w:t>
            </w:r>
            <w:r w:rsidR="00830A09" w:rsidRPr="008E5B32">
              <w:rPr>
                <w:lang w:val="en-US"/>
              </w:rPr>
              <w:t xml:space="preserve">molar volume, electronegativity and polarizability), plus the </w:t>
            </w:r>
            <w:r w:rsidR="00432CDD" w:rsidRPr="008E5B32">
              <w:rPr>
                <w:lang w:val="en-US"/>
              </w:rPr>
              <w:t>measured size</w:t>
            </w:r>
            <w:r w:rsidR="00830A09" w:rsidRPr="008E5B32">
              <w:rPr>
                <w:lang w:val="en-US"/>
              </w:rPr>
              <w:t>.</w:t>
            </w:r>
          </w:p>
        </w:tc>
        <w:tc>
          <w:tcPr>
            <w:tcW w:w="2268" w:type="dxa"/>
          </w:tcPr>
          <w:p w14:paraId="476E218D" w14:textId="77777777" w:rsidR="004C46E2" w:rsidRPr="008E5B32" w:rsidRDefault="004C46E2" w:rsidP="004C46E2">
            <w:pPr>
              <w:jc w:val="center"/>
              <w:rPr>
                <w:lang w:val="en-GB"/>
              </w:rPr>
            </w:pPr>
            <w:r w:rsidRPr="008E5B32">
              <w:rPr>
                <w:rFonts w:ascii="Segoe UI Symbol" w:hAnsi="Segoe UI Symbol" w:cs="Segoe UI Symbol"/>
                <w:szCs w:val="18"/>
                <w:lang w:val="en-GB"/>
              </w:rPr>
              <w:t>✗</w:t>
            </w:r>
          </w:p>
          <w:p w14:paraId="6709EDA5" w14:textId="77777777" w:rsidR="001801DA" w:rsidRPr="008E5B32" w:rsidRDefault="004C46E2" w:rsidP="004C46E2">
            <w:pPr>
              <w:jc w:val="center"/>
              <w:rPr>
                <w:rFonts w:ascii="Segoe UI Symbol" w:eastAsia="Segoe UI Symbol" w:hAnsi="Segoe UI Symbol" w:cs="Segoe UI Symbol"/>
                <w:color w:val="222222"/>
                <w:shd w:val="clear" w:color="auto" w:fill="FFFFFF"/>
                <w:lang w:val="en-GB"/>
              </w:rPr>
            </w:pPr>
            <w:r w:rsidRPr="008E5B32">
              <w:rPr>
                <w:lang w:val="en-GB"/>
              </w:rPr>
              <w:t xml:space="preserve"> </w:t>
            </w:r>
            <w:r w:rsidR="001801DA" w:rsidRPr="008E5B32">
              <w:rPr>
                <w:lang w:val="en-GB"/>
              </w:rPr>
              <w:t>(Different measures of toxicity depending on biological target, namely Cytotoxicity, EC</w:t>
            </w:r>
            <w:r w:rsidR="001801DA" w:rsidRPr="008E5B32">
              <w:rPr>
                <w:vertAlign w:val="subscript"/>
                <w:lang w:val="en-GB"/>
              </w:rPr>
              <w:t>50</w:t>
            </w:r>
            <w:r w:rsidR="001801DA" w:rsidRPr="008E5B32">
              <w:rPr>
                <w:lang w:val="en-GB"/>
              </w:rPr>
              <w:t>, IC</w:t>
            </w:r>
            <w:r w:rsidR="001801DA" w:rsidRPr="008E5B32">
              <w:rPr>
                <w:vertAlign w:val="subscript"/>
                <w:lang w:val="en-GB"/>
              </w:rPr>
              <w:t>50</w:t>
            </w:r>
            <w:r w:rsidR="001801DA" w:rsidRPr="008E5B32">
              <w:rPr>
                <w:lang w:val="en-GB"/>
              </w:rPr>
              <w:t>, TC</w:t>
            </w:r>
            <w:r w:rsidR="001801DA" w:rsidRPr="008E5B32">
              <w:rPr>
                <w:vertAlign w:val="subscript"/>
                <w:lang w:val="en-GB"/>
              </w:rPr>
              <w:t>50</w:t>
            </w:r>
            <w:r w:rsidR="001801DA" w:rsidRPr="008E5B32">
              <w:rPr>
                <w:lang w:val="en-GB"/>
              </w:rPr>
              <w:t>, and LC</w:t>
            </w:r>
            <w:r w:rsidR="001801DA" w:rsidRPr="008E5B32">
              <w:rPr>
                <w:vertAlign w:val="subscript"/>
                <w:lang w:val="en-GB"/>
              </w:rPr>
              <w:t>50</w:t>
            </w:r>
            <w:r w:rsidR="001801DA" w:rsidRPr="008E5B32">
              <w:rPr>
                <w:lang w:val="en-GB"/>
              </w:rPr>
              <w:t>)</w:t>
            </w:r>
          </w:p>
        </w:tc>
        <w:tc>
          <w:tcPr>
            <w:tcW w:w="960" w:type="dxa"/>
          </w:tcPr>
          <w:p w14:paraId="02EEC177" w14:textId="77777777" w:rsidR="001801DA" w:rsidRPr="008E5B32" w:rsidRDefault="001801DA" w:rsidP="00BA08CB">
            <w:pPr>
              <w:jc w:val="center"/>
              <w:rPr>
                <w:lang w:val="en-GB"/>
              </w:rPr>
            </w:pPr>
            <w:r w:rsidRPr="008E5B32">
              <w:rPr>
                <w:lang w:val="en-GB"/>
              </w:rPr>
              <w:t>229</w:t>
            </w:r>
          </w:p>
        </w:tc>
        <w:tc>
          <w:tcPr>
            <w:tcW w:w="1620" w:type="dxa"/>
          </w:tcPr>
          <w:p w14:paraId="1C80A2A3"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w:t>
            </w:r>
            <w:r w:rsidRPr="008E5B32">
              <w:rPr>
                <w:i/>
                <w:lang w:val="en-GB"/>
              </w:rPr>
              <w:t>LDA</w:t>
            </w:r>
            <w:r w:rsidRPr="008E5B32">
              <w:rPr>
                <w:lang w:val="en-GB"/>
              </w:rPr>
              <w:t>)</w:t>
            </w:r>
          </w:p>
        </w:tc>
        <w:tc>
          <w:tcPr>
            <w:tcW w:w="540" w:type="dxa"/>
          </w:tcPr>
          <w:p w14:paraId="0DEC07BC" w14:textId="77777777" w:rsidR="001801DA" w:rsidRPr="008E5B32" w:rsidRDefault="001801DA" w:rsidP="00BA08CB">
            <w:pPr>
              <w:jc w:val="center"/>
              <w:rPr>
                <w:szCs w:val="18"/>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32F16A79"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728E801E"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lang w:val="en-GB"/>
              </w:rPr>
              <w:t>✗</w:t>
            </w:r>
          </w:p>
        </w:tc>
        <w:tc>
          <w:tcPr>
            <w:tcW w:w="1350" w:type="dxa"/>
          </w:tcPr>
          <w:p w14:paraId="5FD5E8C5" w14:textId="77777777" w:rsidR="001801DA" w:rsidRPr="008E5B32" w:rsidRDefault="001801DA" w:rsidP="00BA08CB">
            <w:pPr>
              <w:jc w:val="center"/>
              <w:rPr>
                <w:lang w:val="en-GB"/>
              </w:rPr>
            </w:pPr>
            <w:r w:rsidRPr="008E5B32">
              <w:rPr>
                <w:szCs w:val="18"/>
                <w:lang w:val="en-GB"/>
              </w:rPr>
              <w:t>≈</w:t>
            </w:r>
            <w:r w:rsidRPr="008E5B32">
              <w:rPr>
                <w:lang w:val="en-GB"/>
              </w:rPr>
              <w:t xml:space="preserve"> </w:t>
            </w:r>
          </w:p>
          <w:p w14:paraId="2C4FC0BC" w14:textId="77777777" w:rsidR="001801DA" w:rsidRPr="008E5B32" w:rsidRDefault="001801DA" w:rsidP="00BA08CB">
            <w:pPr>
              <w:jc w:val="center"/>
              <w:rPr>
                <w:szCs w:val="18"/>
                <w:lang w:val="en-GB"/>
              </w:rPr>
            </w:pPr>
            <w:r w:rsidRPr="008E5B32">
              <w:rPr>
                <w:lang w:val="en-GB"/>
              </w:rPr>
              <w:t>(A</w:t>
            </w:r>
            <w:r w:rsidR="00E90DBC" w:rsidRPr="008E5B32">
              <w:rPr>
                <w:lang w:val="en-GB"/>
              </w:rPr>
              <w:t xml:space="preserve">rea </w:t>
            </w:r>
            <w:r w:rsidRPr="008E5B32">
              <w:rPr>
                <w:lang w:val="en-GB"/>
              </w:rPr>
              <w:t>U</w:t>
            </w:r>
            <w:r w:rsidR="00E90DBC" w:rsidRPr="008E5B32">
              <w:rPr>
                <w:lang w:val="en-GB"/>
              </w:rPr>
              <w:t xml:space="preserve">nder the </w:t>
            </w:r>
            <w:r w:rsidRPr="008E5B32">
              <w:rPr>
                <w:lang w:val="en-GB"/>
              </w:rPr>
              <w:t>C</w:t>
            </w:r>
            <w:r w:rsidR="00E90DBC" w:rsidRPr="008E5B32">
              <w:rPr>
                <w:lang w:val="en-GB"/>
              </w:rPr>
              <w:t>urve</w:t>
            </w:r>
            <w:r w:rsidRPr="008E5B32">
              <w:rPr>
                <w:lang w:val="en-GB"/>
              </w:rPr>
              <w:t>)</w:t>
            </w:r>
          </w:p>
        </w:tc>
        <w:tc>
          <w:tcPr>
            <w:tcW w:w="581" w:type="dxa"/>
          </w:tcPr>
          <w:p w14:paraId="0AA1A6BF" w14:textId="77777777" w:rsidR="001801DA" w:rsidRPr="008E5B32" w:rsidRDefault="001801DA" w:rsidP="00BA08CB">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0777BE" w:rsidRPr="008E5B32" w14:paraId="640D2C1D" w14:textId="77777777" w:rsidTr="00D6682C">
        <w:tc>
          <w:tcPr>
            <w:tcW w:w="426" w:type="dxa"/>
          </w:tcPr>
          <w:p w14:paraId="23FEA52B" w14:textId="2557A018" w:rsidR="000777BE" w:rsidRPr="008E5B32" w:rsidRDefault="000777BE" w:rsidP="000777BE">
            <w:pPr>
              <w:rPr>
                <w:lang w:val="en-GB"/>
              </w:rPr>
            </w:pPr>
            <w:r w:rsidRPr="008E5B32">
              <w:fldChar w:fldCharType="begin" w:fldLock="1"/>
            </w:r>
            <w:r w:rsidR="00434385" w:rsidRPr="008E5B32">
              <w:rPr>
                <w:lang w:val="en-GB"/>
              </w:rPr>
              <w:instrText>ADDIN CSL_CITATION {"citationItems":[{"id":"ITEM-1","itemData":{"DOI":"10.1039/c4nr01285b","ISBN":"2040-3364, 2040-3372","ISSN":"20403372","PMID":"25083742","abstract":"Nowadays, the interest in the search for new nanomaterials with improved electrical, optical, catalytic and biological properties has increased. Despite the potential benefits that can be gathered from the use of nanoparticles, only little attention has been paid to their possible toxic effects that may affect human health. In this context, several assays have been carried out to evaluate the cytotoxicity of nanoparticles in mammalian cells. Owing to the cost in both resources and time involved in such toxicological assays, there has been a considerable increase in the interest towards alternative computational methods, like the application of quantitative structure-activity/toxicity relationship (QSAR/QSTR) models for risk assessment of nanoparticles. However, most QSAR/QSTR models developed so far have predicted cytotoxicity against only one cell line, and they did not provide information regarding the influence of important factors rather than composition or size. This work reports a QSTR-perturbation model aiming at simultaneously predicting the cytotoxicity of different nanoparticles against several mammalian cell lines, and also considering different times of exposure of the cell lines, as well as the chemical composition of nanoparticles, size, conditions under which the size was measured, and shape. The derived QSTR-perturbation model, using a dataset of 1681 cases (nanoparticle-nanoparticle pairs), exhibited an accuracy higher than 93% for both training and prediction sets. In order to demonstrate the practical applicability of our model, the cytotoxicity of different silica (SiO 2), nickel (Ni), and nickel(ii) oxide (NiO) nanoparticles were predicted and found to be in very good agreement with experimental reports. To the best of our knowledge, this is the first attempt to simultaneously predict the cytotoxicity of nanoparticles under multiple experimental conditions by applying a single unique QSTR model. © the Partner Organisations 2014.","author":[{"dropping-particle":"","family":"Luan","given":"Feng","non-dropping-particle":"","parse-names":false,"suffix":""},{"dropping-particle":"V.","family":"Kleandrova","given":"Valeria","non-dropping-particle":"","parse-names":false,"suffix":""},{"dropping-particle":"","family":"González-Díaz","given":"Humberto","non-dropping-particle":"","parse-names":false,"suffix":""},{"dropping-particle":"","family":"Ruso","given":"Juan M.","non-dropping-particle":"","parse-names":false,"suffix":""},{"dropping-particle":"","family":"Melo","given":"André","non-dropping-particle":"","parse-names":false,"suffix":""},{"dropping-particle":"","family":"Speck-Planche","given":"Alejandro","non-dropping-particle":"","parse-names":false,"suffix":""},{"dropping-particle":"","family":"Cordeiro","given":"M. Natália D S","non-dropping-particle":"","parse-names":false,"suffix":""}],"container-title":"Nanoscale","id":"ITEM-1","issued":{"date-parts":[["2014"]]},"title":"Computer-aided nanotoxicology: Assessing cytotoxicity of nanoparticles under diverse experimental conditions by using a novel QSTR-perturbation approach","type":"article-journal"},"uris":["http://www.mendeley.com/documents/?uuid=ec7aaaa3-ab2e-4868-bab4-e868e75183ab","http://www.mendeley.com/documents/?uuid=054924b8-e31a-4d98-9a8b-a5a0001af595","http://www.mendeley.com/documents/?uuid=d836c629-7e8e-470f-a5a1-7d41d9d50425"]}],"mendeley":{"formattedCitation":"&lt;sup&gt;123&lt;/sup&gt;","plainTextFormattedCitation":"123","previouslyFormattedCitation":"&lt;sup&gt;123&lt;/sup&gt;"},"properties":{"noteIndex":0},"schema":"https://github.com/citation-style-language/schema/raw/master/csl-citation.json"}</w:instrText>
            </w:r>
            <w:r w:rsidRPr="008E5B32">
              <w:fldChar w:fldCharType="separate"/>
            </w:r>
            <w:r w:rsidR="004C12A8" w:rsidRPr="008E5B32">
              <w:rPr>
                <w:noProof/>
                <w:vertAlign w:val="superscript"/>
                <w:lang w:val="en-GB"/>
              </w:rPr>
              <w:t>123</w:t>
            </w:r>
            <w:r w:rsidRPr="008E5B32">
              <w:fldChar w:fldCharType="end"/>
            </w:r>
          </w:p>
        </w:tc>
        <w:tc>
          <w:tcPr>
            <w:tcW w:w="4536" w:type="dxa"/>
          </w:tcPr>
          <w:p w14:paraId="7B132D79" w14:textId="204ED2EF" w:rsidR="000777BE" w:rsidRPr="008E5B32" w:rsidRDefault="000777BE" w:rsidP="000777BE">
            <w:pPr>
              <w:jc w:val="both"/>
              <w:rPr>
                <w:lang w:val="en-GB"/>
              </w:rPr>
            </w:pPr>
            <w:r w:rsidRPr="008E5B32">
              <w:rPr>
                <w:lang w:val="en-GB"/>
              </w:rPr>
              <w:t xml:space="preserve">QSAR-perturbation model aiming at simultaneously predicting the cytotoxicity of different </w:t>
            </w:r>
            <w:r w:rsidR="00A2245A" w:rsidRPr="008E5B32">
              <w:rPr>
                <w:lang w:val="en-GB"/>
              </w:rPr>
              <w:t>NMs</w:t>
            </w:r>
            <w:r w:rsidRPr="008E5B32">
              <w:rPr>
                <w:lang w:val="en-GB"/>
              </w:rPr>
              <w:t xml:space="preserve"> against several mammalian cell lines, considering different times of exposure of the cell lines, as well as the chemical composition of </w:t>
            </w:r>
            <w:r w:rsidR="00A2245A" w:rsidRPr="008E5B32">
              <w:rPr>
                <w:lang w:val="en-GB"/>
              </w:rPr>
              <w:t>NMs</w:t>
            </w:r>
            <w:r w:rsidRPr="008E5B32">
              <w:rPr>
                <w:lang w:val="en-GB"/>
              </w:rPr>
              <w:t>, size, conditions under which the size was measured, and shape.</w:t>
            </w:r>
            <w:r w:rsidR="00432CDD" w:rsidRPr="008E5B32">
              <w:rPr>
                <w:lang w:val="en-GB"/>
              </w:rPr>
              <w:t xml:space="preserve"> Four descriptors were used for each NM pair: three physicochemical descriptors depending on the chemical composition of the NM (</w:t>
            </w:r>
            <w:r w:rsidR="00432CDD" w:rsidRPr="008E5B32">
              <w:rPr>
                <w:lang w:val="en-US"/>
              </w:rPr>
              <w:t>molar volume, electronegativity and polarizability), plus the measured size.</w:t>
            </w:r>
          </w:p>
        </w:tc>
        <w:tc>
          <w:tcPr>
            <w:tcW w:w="2268" w:type="dxa"/>
          </w:tcPr>
          <w:p w14:paraId="29C46668" w14:textId="77777777" w:rsidR="004C46E2" w:rsidRPr="008E5B32" w:rsidRDefault="004C46E2" w:rsidP="004C46E2">
            <w:pPr>
              <w:jc w:val="center"/>
              <w:rPr>
                <w:lang w:val="en-GB"/>
              </w:rPr>
            </w:pPr>
            <w:r w:rsidRPr="008E5B32">
              <w:rPr>
                <w:rFonts w:ascii="Segoe UI Symbol" w:hAnsi="Segoe UI Symbol" w:cs="Segoe UI Symbol"/>
                <w:szCs w:val="18"/>
                <w:lang w:val="en-GB"/>
              </w:rPr>
              <w:t>✗</w:t>
            </w:r>
          </w:p>
          <w:p w14:paraId="6E996989" w14:textId="77777777" w:rsidR="000777BE" w:rsidRPr="008E5B32" w:rsidRDefault="004C46E2" w:rsidP="004C46E2">
            <w:pPr>
              <w:jc w:val="center"/>
              <w:rPr>
                <w:rFonts w:ascii="Segoe UI Symbol" w:eastAsia="Segoe UI Symbol" w:hAnsi="Segoe UI Symbol" w:cs="Segoe UI Symbol"/>
                <w:color w:val="222222"/>
                <w:shd w:val="clear" w:color="auto" w:fill="FFFFFF"/>
                <w:lang w:val="en-GB"/>
              </w:rPr>
            </w:pPr>
            <w:r w:rsidRPr="008E5B32">
              <w:rPr>
                <w:lang w:val="en-GB"/>
              </w:rPr>
              <w:t xml:space="preserve"> </w:t>
            </w:r>
            <w:r w:rsidR="00072897" w:rsidRPr="008E5B32">
              <w:rPr>
                <w:lang w:val="en-GB"/>
              </w:rPr>
              <w:t>(Different measures of Cytotoxicity)</w:t>
            </w:r>
          </w:p>
        </w:tc>
        <w:tc>
          <w:tcPr>
            <w:tcW w:w="960" w:type="dxa"/>
          </w:tcPr>
          <w:p w14:paraId="0E72B119" w14:textId="410F8D38" w:rsidR="000777BE" w:rsidRPr="008E5B32" w:rsidRDefault="00846371" w:rsidP="000777BE">
            <w:pPr>
              <w:jc w:val="center"/>
            </w:pPr>
            <w:r w:rsidRPr="008E5B32">
              <w:rPr>
                <w:lang w:val="en-GB"/>
              </w:rPr>
              <w:t>41</w:t>
            </w:r>
            <w:r w:rsidR="00123621" w:rsidRPr="008E5B32">
              <w:rPr>
                <w:lang w:val="en-GB"/>
              </w:rPr>
              <w:t xml:space="preserve"> </w:t>
            </w:r>
            <w:r w:rsidR="003F46B3" w:rsidRPr="008E5B32">
              <w:fldChar w:fldCharType="begin" w:fldLock="1"/>
            </w:r>
            <w:r w:rsidR="00434385" w:rsidRPr="008E5B32">
              <w:rPr>
                <w:lang w:val="en-GB"/>
              </w:rPr>
              <w:instrText>ADDIN CSL_CITATION {"citationItems":[{"id":"ITEM-1","itemData":{"DOI":"10.1021/nn3010087","abstract":"We demonstrate for 24 metal oxide (MOx) nanoparticles that it is possible to use conduction band energy levels to delineate their toxicological potential at cellular and whole animal levels. Among the materials, the overlap of conduction band energy (E c ) levels with the cellular redox potential (-4.12 to-4.84 eV) was strongly correlated to the ability of Co 3 O 4 , Cr 2 O 3 , Ni 2 O 3 , Mn 2 O 3 ,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 3 O 4 , Ni 2 O 3 , Mn 2 O 3 , and CoO nanoparticles could also oxidize cytochrome c as a representative redox couple involved in redox homeostasis. While CuO and ZnO generated oxidative stress and acute pulmonary inflammation that is not predicted by E 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 © 2012 American Chemical Society.","author":[{"dropping-particle":"","family":"Zhang","given":"H.","non-dropping-particle":"","parse-names":false,"suffix":""},{"dropping-particle":"","family":"Ji","given":"Z.","non-dropping-particle":"","parse-names":false,"suffix":""},{"dropping-particle":"","family":"Xia","given":"T.","non-dropping-particle":"","parse-names":false,"suffix":""},{"dropping-particle":"","family":"Meng","given":"H.","non-dropping-particle":"","parse-names":false,"suffix":""},{"dropping-particle":"","family":"Low-Kam","given":"C.","non-dropping-particle":"","parse-names":false,"suffix":""},{"dropping-particle":"","family":"Liu","given":"R.","non-dropping-particle":"","parse-names":false,"suffix":""},{"dropping-particle":"","family":"Pokhrel","given":"S.","non-dropping-particle":"","parse-names":false,"suffix":""},{"dropping-particle":"","family":"Lin","given":"S.","non-dropping-particle":"","parse-names":false,"suffix":""},{"dropping-particle":"","family":"Wang","given":"X.","non-dropping-particle":"","parse-names":false,"suffix":""},{"dropping-particle":"","family":"Liao","given":"Y.-P.","non-dropping-particle":"","parse-names":false,"suffix":""},{"dropping-particle":"","family":"Wang","given":"M.","non-dropping-particle":"","parse-names":false,"suffix":""},{"dropping-particle":"","family":"Li","given":"L.","non-dropping-particle":"","parse-names":false,"suffix":""},{"dropping-particle":"","family":"Rallo","given":"R.","non-dropping-particle":"","parse-names":false,"suffix":""},{"dropping-particle":"","family":"Damoiseaux","given":"R.","non-dropping-particle":"","parse-names":false,"suffix":""},{"dropping-particle":"","family":"Telesca","given":"D.","non-dropping-particle":"","parse-names":false,"suffix":""},{"dropping-particle":"","family":"Mädler","given":"L.","non-dropping-particle":"","parse-names":false,"suffix":""},{"dropping-particle":"","family":"Cohen","given":"Y.","non-dropping-particle":"","parse-names":false,"suffix":""},{"dropping-particle":"","family":"Zink","given":"J.I.","non-dropping-particle":"","parse-names":false,"suffix":""},{"dropping-particle":"","family":"Nel","given":"A.E.","non-dropping-particle":"","parse-names":false,"suffix":""}],"container-title":"ACS Nano","id":"ITEM-1","issue":"5","issued":{"date-parts":[["2012"]]},"page":"4349-4368","title":"Use of metal oxide nanoparticle band gap to develop a predictive paradigm for oxidative stress and acute pulmonary inflammation","type":"article-journal","volume":"6"},"uris":["http://www.mendeley.com/documents/?uuid=bd940e61-3c9a-4e68-a4de-98c8ed4bd96e","http://www.mendeley.com/documents/?uuid=114d45b8-ad18-475e-8309-7ed8d62a4253"]}],"mendeley":{"formattedCitation":"&lt;sup&gt;79&lt;/sup&gt;","plainTextFormattedCitation":"79","previouslyFormattedCitation":"&lt;sup&gt;79&lt;/sup&gt;"},"properties":{"noteIndex":0},"schema":"https://github.com/citation-style-language/schema/raw/master/csl-citation.json"}</w:instrText>
            </w:r>
            <w:r w:rsidR="003F46B3" w:rsidRPr="008E5B32">
              <w:fldChar w:fldCharType="separate"/>
            </w:r>
            <w:r w:rsidR="004C12A8" w:rsidRPr="008E5B32">
              <w:rPr>
                <w:noProof/>
                <w:vertAlign w:val="superscript"/>
              </w:rPr>
              <w:t>79</w:t>
            </w:r>
            <w:r w:rsidR="003F46B3" w:rsidRPr="008E5B32">
              <w:fldChar w:fldCharType="end"/>
            </w:r>
          </w:p>
        </w:tc>
        <w:tc>
          <w:tcPr>
            <w:tcW w:w="1620" w:type="dxa"/>
          </w:tcPr>
          <w:p w14:paraId="6100B72A" w14:textId="77777777" w:rsidR="000777BE" w:rsidRPr="008E5B32" w:rsidRDefault="00012C6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w:t>
            </w:r>
            <w:r w:rsidRPr="008E5B32">
              <w:rPr>
                <w:i/>
              </w:rPr>
              <w:t>LDA</w:t>
            </w:r>
            <w:r w:rsidRPr="008E5B32">
              <w:t>)</w:t>
            </w:r>
          </w:p>
        </w:tc>
        <w:tc>
          <w:tcPr>
            <w:tcW w:w="540" w:type="dxa"/>
          </w:tcPr>
          <w:p w14:paraId="737FB11A" w14:textId="77777777" w:rsidR="000777BE" w:rsidRPr="008E5B32" w:rsidRDefault="00072897"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04BA3367" w14:textId="77777777" w:rsidR="000777BE" w:rsidRPr="008E5B32" w:rsidRDefault="00072897"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76529AC1" w14:textId="77777777" w:rsidR="000777BE" w:rsidRPr="008E5B32" w:rsidRDefault="00233E1F" w:rsidP="000777BE">
            <w:pPr>
              <w:jc w:val="center"/>
              <w:rPr>
                <w:rFonts w:ascii="Segoe UI Symbol" w:eastAsia="Segoe UI Symbol" w:hAnsi="Segoe UI Symbol" w:cs="Segoe UI Symbol"/>
              </w:rPr>
            </w:pPr>
            <w:r w:rsidRPr="008E5B32">
              <w:rPr>
                <w:rFonts w:ascii="Segoe UI Symbol" w:eastAsia="Segoe UI Symbol" w:hAnsi="Segoe UI Symbol" w:cs="Segoe UI Symbol"/>
              </w:rPr>
              <w:t>✗</w:t>
            </w:r>
          </w:p>
        </w:tc>
        <w:tc>
          <w:tcPr>
            <w:tcW w:w="1350" w:type="dxa"/>
          </w:tcPr>
          <w:p w14:paraId="5A07E1FC" w14:textId="77777777" w:rsidR="000777BE" w:rsidRPr="008E5B32" w:rsidRDefault="00072897" w:rsidP="000777BE">
            <w:pPr>
              <w:jc w:val="center"/>
              <w:rPr>
                <w:szCs w:val="18"/>
              </w:rPr>
            </w:pPr>
            <w:r w:rsidRPr="008E5B32">
              <w:rPr>
                <w:rFonts w:ascii="Segoe UI Symbol" w:eastAsia="Segoe UI Symbol" w:hAnsi="Segoe UI Symbol" w:cs="Segoe UI Symbol"/>
              </w:rPr>
              <w:t>✗</w:t>
            </w:r>
          </w:p>
        </w:tc>
        <w:tc>
          <w:tcPr>
            <w:tcW w:w="581" w:type="dxa"/>
          </w:tcPr>
          <w:p w14:paraId="7B7574C2" w14:textId="77777777" w:rsidR="000777BE" w:rsidRPr="008E5B32" w:rsidRDefault="00072897"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7ADCAF19" w14:textId="77777777" w:rsidTr="00D6682C">
        <w:tc>
          <w:tcPr>
            <w:tcW w:w="426" w:type="dxa"/>
          </w:tcPr>
          <w:p w14:paraId="68623544" w14:textId="4F8D4B24" w:rsidR="000777BE" w:rsidRPr="008E5B32" w:rsidRDefault="000777BE" w:rsidP="000777BE">
            <w:r w:rsidRPr="008E5B32">
              <w:fldChar w:fldCharType="begin" w:fldLock="1"/>
            </w:r>
            <w:r w:rsidR="00434385" w:rsidRPr="008E5B32">
              <w:instrText>ADDIN CSL_CITATION {"citationItems":[{"id":"ITEM-1","itemData":{"DOI":"10.1016/j.ecoenv.2014.05.026","ISSN":"10902414","PMID":"24949897","abstract":"Nanotechnology has evolved as a frontrunner in the development of modern science. Current studies have established toxicity of some nanoparticles to human and environment. Lack of sufficient data and low adequacy of experimental protocols hinder comprehensive risk assessment of nanoparticles (NPs). In the present work, metal electronegativity (χ), the charge of the metal cation corresponding to a given oxide (χox), atomic number and valence electron number of the metal have been used as simple molecular descriptors to build up quantitative structure-toxicity relationship (QSTR) models for prediction of cytotoxicity of metal oxide NPs to bacteria Escherichia coli. These descriptors can be easily obtained from molecular formula and information acquired from periodic table in no time. It has been shown that a simple molecular descriptor χoxcan efficiently encode cytotoxicity of metal oxides leading to models with high statistical quality as well as interpretability. Based on this model and previously published experimental results, we have hypothesized the most probable mechanism of the cytotoxicity of metal oxide nanoparticles to E. coli. Moreover, the required information for descriptor calculation is independent of size range of NPs, nullifying a significant problem that various physical properties of NPs change for different size ranges. © 2014 Elsevier Inc.","author":[{"dropping-particle":"","family":"Kar","given":"Supratik","non-dropping-particle":"","parse-names":false,"suffix":""},{"dropping-particle":"","family":"Gajewicz","given":"Agnieszka","non-dropping-particle":"","parse-names":false,"suffix":""},{"dropping-particle":"","family":"Puzyn","given":"Tomasz","non-dropping-particle":"","parse-names":false,"suffix":""},{"dropping-particle":"","family":"Roy","given":"Kunal","non-dropping-particle":"","parse-names":false,"suffix":""},{"dropping-particle":"","family":"Leszczynski","given":"Jerzy","non-dropping-particle":"","parse-names":false,"suffix":""}],"container-title":"Ecotoxicology and Environmental Safety","id":"ITEM-1","issued":{"date-parts":[["2014"]]},"page":"162-169","title":"Periodic table-based descriptors to encode cytotoxicity profile of metal oxide nanoparticles: A mechanistic QSTR approach","type":"article-journal","volume":"107"},"uris":["http://www.mendeley.com/documents/?uuid=32fd8cf5-24f0-45a4-b438-90a6e892832a"]}],"mendeley":{"formattedCitation":"&lt;sup&gt;124&lt;/sup&gt;","plainTextFormattedCitation":"124","previouslyFormattedCitation":"&lt;sup&gt;124&lt;/sup&gt;"},"properties":{"noteIndex":0},"schema":"https://github.com/citation-style-language/schema/raw/master/csl-citation.json"}</w:instrText>
            </w:r>
            <w:r w:rsidRPr="008E5B32">
              <w:fldChar w:fldCharType="separate"/>
            </w:r>
            <w:r w:rsidR="004C12A8" w:rsidRPr="008E5B32">
              <w:rPr>
                <w:noProof/>
                <w:vertAlign w:val="superscript"/>
              </w:rPr>
              <w:t>124</w:t>
            </w:r>
            <w:r w:rsidRPr="008E5B32">
              <w:fldChar w:fldCharType="end"/>
            </w:r>
          </w:p>
        </w:tc>
        <w:tc>
          <w:tcPr>
            <w:tcW w:w="4536" w:type="dxa"/>
          </w:tcPr>
          <w:p w14:paraId="1AA25EA7" w14:textId="29A0DA79" w:rsidR="000777BE" w:rsidRPr="008E5B32" w:rsidRDefault="000777BE" w:rsidP="000777BE">
            <w:pPr>
              <w:jc w:val="both"/>
              <w:rPr>
                <w:lang w:val="en-GB"/>
              </w:rPr>
            </w:pPr>
            <w:r w:rsidRPr="008E5B32">
              <w:rPr>
                <w:lang w:val="en-GB"/>
              </w:rPr>
              <w:t xml:space="preserve">Models to predict cytotoxicity of metal oxide NMs: the first model uses a single descriptor (charge of metal cation corresponding to a given oxide), while the second uses an additional descriptor (metal electronegativity), resulting to be more predictive. </w:t>
            </w:r>
          </w:p>
        </w:tc>
        <w:tc>
          <w:tcPr>
            <w:tcW w:w="2268" w:type="dxa"/>
          </w:tcPr>
          <w:p w14:paraId="6215E430" w14:textId="77777777" w:rsidR="00C66A42" w:rsidRPr="008E5B32" w:rsidRDefault="000777BE" w:rsidP="00073460">
            <w:pPr>
              <w:jc w:val="center"/>
              <w:rPr>
                <w:lang w:val="en-GB"/>
              </w:rPr>
            </w:pPr>
            <w:r w:rsidRPr="008E5B32">
              <w:rPr>
                <w:rFonts w:ascii="Segoe UI Symbol" w:eastAsia="Segoe UI Symbol" w:hAnsi="Segoe UI Symbol" w:cs="Segoe UI Symbol"/>
                <w:color w:val="222222"/>
                <w:shd w:val="clear" w:color="auto" w:fill="FFFFFF"/>
                <w:lang w:val="en-GB"/>
              </w:rPr>
              <w:t xml:space="preserve"> </w:t>
            </w:r>
            <w:r w:rsidR="00073460" w:rsidRPr="008E5B32">
              <w:rPr>
                <w:rFonts w:ascii="Segoe UI Symbol" w:eastAsia="Segoe UI Symbol" w:hAnsi="Segoe UI Symbol" w:cs="Segoe UI Symbol"/>
                <w:color w:val="222222"/>
                <w:shd w:val="clear" w:color="auto" w:fill="FFFFFF"/>
                <w:lang w:val="en-GB"/>
              </w:rPr>
              <w:t>✓</w:t>
            </w:r>
            <w:r w:rsidR="00C66A42" w:rsidRPr="008E5B32">
              <w:rPr>
                <w:lang w:val="en-GB"/>
              </w:rPr>
              <w:t xml:space="preserve"> </w:t>
            </w:r>
          </w:p>
          <w:p w14:paraId="7CDFF620"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36F23105" w14:textId="292151CB" w:rsidR="000777BE" w:rsidRPr="008E5B32" w:rsidRDefault="000777BE" w:rsidP="000777BE">
            <w:pPr>
              <w:jc w:val="center"/>
            </w:pPr>
            <w:r w:rsidRPr="008E5B32">
              <w:t xml:space="preserve">17 </w:t>
            </w: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p>
        </w:tc>
        <w:tc>
          <w:tcPr>
            <w:tcW w:w="1620" w:type="dxa"/>
          </w:tcPr>
          <w:p w14:paraId="044F6F5A"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(stepwise MLR for the first model, and PLS for the second)</w:t>
            </w:r>
          </w:p>
        </w:tc>
        <w:tc>
          <w:tcPr>
            <w:tcW w:w="540" w:type="dxa"/>
          </w:tcPr>
          <w:p w14:paraId="766F7DB3" w14:textId="77777777" w:rsidR="000777BE" w:rsidRPr="008E5B32" w:rsidRDefault="000777BE" w:rsidP="000777BE">
            <w:pPr>
              <w:jc w:val="center"/>
            </w:pPr>
            <w:r w:rsidRPr="008E5B32">
              <w:rPr>
                <w:szCs w:val="18"/>
              </w:rPr>
              <w:t>≈</w:t>
            </w:r>
            <w:r w:rsidRPr="008E5B32">
              <w:t xml:space="preserve"> </w:t>
            </w:r>
          </w:p>
        </w:tc>
        <w:tc>
          <w:tcPr>
            <w:tcW w:w="540" w:type="dxa"/>
          </w:tcPr>
          <w:p w14:paraId="2E362A19"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6EF9D47A"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01592C88" w14:textId="77777777" w:rsidR="000777BE" w:rsidRPr="008E5B32" w:rsidRDefault="000777BE" w:rsidP="000777BE">
            <w:pPr>
              <w:jc w:val="center"/>
            </w:pPr>
            <w:r w:rsidRPr="008E5B32">
              <w:rPr>
                <w:szCs w:val="18"/>
              </w:rPr>
              <w:t>≈</w:t>
            </w:r>
            <w:r w:rsidRPr="008E5B32">
              <w:t xml:space="preserve"> </w:t>
            </w:r>
          </w:p>
          <w:p w14:paraId="550E1993" w14:textId="77777777" w:rsidR="000777BE" w:rsidRPr="008E5B32" w:rsidRDefault="000777BE" w:rsidP="000777BE">
            <w:pPr>
              <w:jc w:val="center"/>
              <w:rPr>
                <w:szCs w:val="18"/>
              </w:rPr>
            </w:pPr>
            <w:r w:rsidRPr="008E5B32">
              <w:t>(Y-scrambling)</w:t>
            </w:r>
          </w:p>
        </w:tc>
        <w:tc>
          <w:tcPr>
            <w:tcW w:w="581" w:type="dxa"/>
          </w:tcPr>
          <w:p w14:paraId="18F7F0C7"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384958FD" w14:textId="77777777" w:rsidTr="00D6682C">
        <w:tc>
          <w:tcPr>
            <w:tcW w:w="426" w:type="dxa"/>
          </w:tcPr>
          <w:p w14:paraId="7F3643BF" w14:textId="1C92394E" w:rsidR="000777BE" w:rsidRPr="008E5B32" w:rsidRDefault="000777BE" w:rsidP="000777BE">
            <w:r w:rsidRPr="008E5B32">
              <w:fldChar w:fldCharType="begin" w:fldLock="1"/>
            </w:r>
            <w:r w:rsidR="00434385" w:rsidRPr="008E5B32">
              <w:instrText>ADDIN CSL_CITATION {"citationItems":[{"id":"ITEM-1","itemData":{"DOI":"10.1016/j.jphotobiol.2013.11.023","ISSN":"10111344","PMID":"24362319","abstract":"A quantitative structure-activity relationship (QSAR) study of seventeen metal oxide nanoparticles (MNPs), in regard to their photo-induced toxicity to bacteria Escherichia coli, was developed by using quantum chemical methods. A simple and statistically significant QSAR model (F = 33.83, R2 = 0.87) was successfully developed for the dark group based on two descriptors, absolute electronegativity of the metal and the metal oxide. Similarly, a best correlation (F = 20.51, R2 = 0.804) was obtained to predict the photo-induced toxicity of MNPs by using two descriptors, molar heat capacity and average of the alpha and beta LUMO (lowest unoccupied molecular orbital) energies of the metal oxide. Revelation of these influential molecular descriptors may be useful in elucidating the mechanisms of nanotoxicity and for predicting the environmental risk associated with release of the MNPs. In addition, the developed model may have a role in the future design and manufacture of safe nanomaterials. ?? 2013 Elsevier B.V. All rights reserved.","author":[{"dropping-particle":"","family":"Pathakoti","given":"Kavitha","non-dropping-particle":"","parse-names":false,"suffix":""},{"dropping-particle":"","family":"Huang","given":"Ming Ju","non-dropping-particle":"","parse-names":false,"suffix":""},{"dropping-particle":"","family":"Watts","given":"John D.","non-dropping-particle":"","parse-names":false,"suffix":""},{"dropping-particle":"","family":"He","given":"Xiaojia","non-dropping-particle":"","parse-names":false,"suffix":""},{"dropping-particle":"","family":"Hwang","given":"Huey Min","non-dropping-particle":"","parse-names":false,"suffix":""}],"container-title":"Journal of Photochemistry and Photobiology B: Biology","id":"ITEM-1","issued":{"date-parts":[["2014"]]},"page":"234-240","title":"Using experimental data of Escherichia coli to develop a QSAR model for predicting the photo-induced cytotoxicity of metal oxide nanoparticles","type":"article-journal","volume":"130"},"uris":["http://www.mendeley.com/documents/?uuid=21f55f04-6231-4202-920b-c665f14ff5bd"]}],"mendeley":{"formattedCitation":"&lt;sup&gt;88&lt;/sup&gt;","plainTextFormattedCitation":"88","previouslyFormattedCitation":"&lt;sup&gt;88&lt;/sup&gt;"},"properties":{"noteIndex":0},"schema":"https://github.com/citation-style-language/schema/raw/master/csl-citation.json"}</w:instrText>
            </w:r>
            <w:r w:rsidRPr="008E5B32">
              <w:fldChar w:fldCharType="separate"/>
            </w:r>
            <w:r w:rsidR="004C12A8" w:rsidRPr="008E5B32">
              <w:rPr>
                <w:noProof/>
                <w:vertAlign w:val="superscript"/>
              </w:rPr>
              <w:t>88</w:t>
            </w:r>
            <w:r w:rsidRPr="008E5B32">
              <w:fldChar w:fldCharType="end"/>
            </w:r>
          </w:p>
        </w:tc>
        <w:tc>
          <w:tcPr>
            <w:tcW w:w="4536" w:type="dxa"/>
          </w:tcPr>
          <w:p w14:paraId="5FD1E55B" w14:textId="2E455B38" w:rsidR="000777BE" w:rsidRPr="008E5B32" w:rsidRDefault="000777BE" w:rsidP="000777BE">
            <w:pPr>
              <w:jc w:val="both"/>
              <w:rPr>
                <w:lang w:val="en-GB"/>
              </w:rPr>
            </w:pPr>
            <w:r w:rsidRPr="008E5B32">
              <w:rPr>
                <w:lang w:val="en-GB"/>
              </w:rPr>
              <w:t xml:space="preserve">QSAR relating photo-induced toxicity of metal oxide NMs to </w:t>
            </w:r>
            <w:r w:rsidRPr="008E5B32">
              <w:rPr>
                <w:i/>
                <w:lang w:val="en-GB"/>
              </w:rPr>
              <w:t>E. Coli</w:t>
            </w:r>
            <w:r w:rsidRPr="008E5B32">
              <w:rPr>
                <w:lang w:val="en-GB"/>
              </w:rPr>
              <w:t>, after exposure to natural sunlight irradiation in comparison to dark, with respect to different combinations of physicochemical and calculated descriptors.</w:t>
            </w:r>
          </w:p>
        </w:tc>
        <w:tc>
          <w:tcPr>
            <w:tcW w:w="2268" w:type="dxa"/>
          </w:tcPr>
          <w:p w14:paraId="1258AE5A"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6F256173"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08185FCF" w14:textId="77777777" w:rsidR="000777BE" w:rsidRPr="008E5B32" w:rsidRDefault="000777BE" w:rsidP="000777BE">
            <w:pPr>
              <w:jc w:val="center"/>
            </w:pPr>
            <w:r w:rsidRPr="008E5B32">
              <w:t>17</w:t>
            </w:r>
          </w:p>
        </w:tc>
        <w:tc>
          <w:tcPr>
            <w:tcW w:w="1620" w:type="dxa"/>
          </w:tcPr>
          <w:p w14:paraId="2A20326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(Least Square regression)</w:t>
            </w:r>
          </w:p>
        </w:tc>
        <w:tc>
          <w:tcPr>
            <w:tcW w:w="540" w:type="dxa"/>
          </w:tcPr>
          <w:p w14:paraId="3039BD8F"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3229D644"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w:t>
            </w:r>
          </w:p>
        </w:tc>
        <w:tc>
          <w:tcPr>
            <w:tcW w:w="1350" w:type="dxa"/>
          </w:tcPr>
          <w:p w14:paraId="0A0DB4D7"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rPr>
              <w:t>✗</w:t>
            </w:r>
          </w:p>
        </w:tc>
        <w:tc>
          <w:tcPr>
            <w:tcW w:w="1350" w:type="dxa"/>
          </w:tcPr>
          <w:p w14:paraId="4ADF502E" w14:textId="77777777" w:rsidR="000777BE" w:rsidRPr="008E5B32" w:rsidRDefault="000777BE" w:rsidP="000777BE">
            <w:pPr>
              <w:jc w:val="center"/>
              <w:rPr>
                <w:szCs w:val="18"/>
              </w:rPr>
            </w:pPr>
            <w:r w:rsidRPr="008E5B32">
              <w:rPr>
                <w:rFonts w:ascii="Segoe UI Symbol" w:hAnsi="Segoe UI Symbol" w:cs="Segoe UI Symbol"/>
                <w:szCs w:val="18"/>
              </w:rPr>
              <w:t>✗</w:t>
            </w:r>
          </w:p>
        </w:tc>
        <w:tc>
          <w:tcPr>
            <w:tcW w:w="581" w:type="dxa"/>
          </w:tcPr>
          <w:p w14:paraId="7413D7C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50C69E09" w14:textId="77777777" w:rsidTr="00D6682C">
        <w:tc>
          <w:tcPr>
            <w:tcW w:w="426" w:type="dxa"/>
          </w:tcPr>
          <w:p w14:paraId="70E7B334" w14:textId="45810BBB" w:rsidR="000777BE" w:rsidRPr="008E5B32" w:rsidRDefault="000777BE" w:rsidP="000777BE">
            <w:r w:rsidRPr="008E5B32">
              <w:fldChar w:fldCharType="begin" w:fldLock="1"/>
            </w:r>
            <w:r w:rsidR="00434385" w:rsidRPr="008E5B32">
              <w:instrText>ADDIN CSL_CITATION {"citationItems":[{"id":"ITEM-1","itemData":{"DOI":"10.1016/j.ecoenv.2014.07.005","ISSN":"10902414","PMID":"24161577","abstract":"The development of quantitative structure-activity relationships for nanomaterials needs representation of molecular structure of extremely complex molecular systems. Obviously, various characteristics of nanomaterial could impact associated biochemical endpoints. Following features of TiO2and ZnO nanoparticles (n=42) are considered here: (i) engineered size (nm); (ii) size in water suspension (nm); (iii) size in phosphate buffered saline (PBS, nm); (iv) concentration (mg/L); and (v) zeta potential (mV). The damage to cellular membranes (units/L) is selected as an endpoint. Quantitative features-activity relationships (QFARs) are calculated by the Monte Carlo technique for three distributions of data representing values associated with membrane damage into the training and validation sets. The obtained models are characterized by the following average statistics: 0.78&lt;r2training&lt;0.92 and 0.67&lt;r2validation&lt;0.83. •Nanoparticles (NPs) are represented by codes of physicochemical features.•Two kinds of NPs are examined TiO2and ZnO.•Optimal descriptors were used to build up a predictive model for membrane damage.•The optimal descriptor is a mathematical function of physicochemical NPs features.•The statistical quality of the model is quite good. © 2014 Elsevier Inc.","author":[{"dropping-particle":"","family":"Toropova","given":"Alla P.","non-dropping-particle":"","parse-names":false,"suffix":""},{"dropping-particle":"","family":"Toropov","given":"Andrey A.","non-dropping-particle":"","parse-names":false,"suffix":""},{"dropping-particle":"","family":"Benfenati","given":"Emilio","non-dropping-particle":"","parse-names":false,"suffix":""},{"dropping-particle":"","family":"Puzyn","given":"Tomasz","non-dropping-particle":"","parse-names":false,"suffix":""},{"dropping-particle":"","family":"Leszczynska","given":"Danuta","non-dropping-particle":"","parse-names":false,"suffix":""},{"dropping-particle":"","family":"Leszczynski","given":"Jerzy","non-dropping-particle":"","parse-names":false,"suffix":""}],"container-title":"Ecotoxicology and Environmental Safety","id":"ITEM-1","issued":{"date-parts":[["2014"]]},"page":"203-209","title":"Optimal descriptor as a translator of eclectic information into the prediction of membrane damage: The case of a group of ZnO and TiO2nanoparticles","type":"article-journal","volume":"108"},"uris":["http://www.mendeley.com/documents/?uuid=03fbc0f0-5e8d-46cc-8f6b-f9b9f109445c","http://www.mendeley.com/documents/?uuid=891c935c-a4e8-4918-9b39-688f0ea7e75a"]}],"mendeley":{"formattedCitation":"&lt;sup&gt;125&lt;/sup&gt;","plainTextFormattedCitation":"125","previouslyFormattedCitation":"&lt;sup&gt;125&lt;/sup&gt;"},"properties":{"noteIndex":0},"schema":"https://github.com/citation-style-language/schema/raw/master/csl-citation.json"}</w:instrText>
            </w:r>
            <w:r w:rsidRPr="008E5B32">
              <w:fldChar w:fldCharType="separate"/>
            </w:r>
            <w:r w:rsidR="004C12A8" w:rsidRPr="008E5B32">
              <w:rPr>
                <w:noProof/>
                <w:vertAlign w:val="superscript"/>
              </w:rPr>
              <w:t>125</w:t>
            </w:r>
            <w:r w:rsidRPr="008E5B32">
              <w:fldChar w:fldCharType="end"/>
            </w:r>
          </w:p>
        </w:tc>
        <w:tc>
          <w:tcPr>
            <w:tcW w:w="4536" w:type="dxa"/>
          </w:tcPr>
          <w:p w14:paraId="03D2D52B" w14:textId="06C16D4E" w:rsidR="000777BE" w:rsidRPr="008E5B32" w:rsidRDefault="000777BE" w:rsidP="000777BE">
            <w:pPr>
              <w:jc w:val="both"/>
              <w:rPr>
                <w:lang w:val="en-GB"/>
              </w:rPr>
            </w:pPr>
            <w:r w:rsidRPr="008E5B32">
              <w:rPr>
                <w:lang w:val="en-GB"/>
              </w:rPr>
              <w:t xml:space="preserve">QSAR for the prediction of dark and photo-induced cytotoxicity, using SMILES and quasi-SMILES attributes as descriptors </w:t>
            </w:r>
            <w:r w:rsidRPr="008E5B32">
              <w:fldChar w:fldCharType="begin" w:fldLock="1"/>
            </w:r>
            <w:r w:rsidR="00434385" w:rsidRPr="008E5B32">
              <w:rPr>
                <w:lang w:val="en-GB"/>
              </w:rPr>
              <w:instrText>ADDIN CSL_CITATION {"citationItems":[{"id":"ITEM-1","itemData":{"DOI":"10.1002/jcc.21333","ISBN":"1096-987X","ISSN":"01928651","PMID":"19479738","abstract":"Quantitative structure-activity relationships (QSAR) for prediction of binding affinities (pEC50, i.e., minus decimal logarithm of the 50% effective concentration) of 20 fullerene derivatives inhibitors of the HIV-1 PR (human immunodeficiency virus type 1 protease) have been developed by application of the optimal descriptors approach calculated with SMILES (simplified molecular input line entry system). The applied models were constructed by the balance of correlations. Three various splits of the experimental data into subtraining set, calibration set, and test set were examined. Comparison of classic scheme (training-test system) and the balance of correlations (subtraining-calibration-test system) show that the balance of correlations gives more robust predictions than the classic scheme for the pEC50 of the fullerene derivatives.","author":[{"dropping-particle":"","family":"Toropov","given":"Andrey A.","non-dropping-particle":"","parse-names":false,"suffix":""},{"dropping-particle":"","family":"Toropova","given":"Alla P.","non-dropping-particle":"","parse-names":false,"suffix":""},{"dropping-particle":"","family":"Benfenati","given":"Emilio","non-dropping-particle":"","parse-names":false,"suffix":""},{"dropping-particle":"","family":"Leszczynska","given":"Danutad","non-dropping-particle":"","parse-names":false,"suffix":""},{"dropping-particle":"","family":"Leszczynski","given":"Jerzy","non-dropping-particle":"","parse-names":false,"suffix":""}],"container-title":"Journal of Computational Chemistry","id":"ITEM-1","issue":"2","issued":{"date-parts":[["2010"]]},"page":"381-392","title":"SMILES-based optimal descriptors: QSAR analysis of fullerene-based HIV-1 PR inhibitors by means of balance of correlations","type":"article-journal","volume":"31"},"uris":["http://www.mendeley.com/documents/?uuid=105a55d1-4827-479a-84c9-4d45946518b1"]}],"mendeley":{"formattedCitation":"&lt;sup&gt;108&lt;/sup&gt;","plainTextFormattedCitation":"108","previouslyFormattedCitation":"&lt;sup&gt;108&lt;/sup&gt;"},"properties":{"noteIndex":0},"schema":"https://github.com/citation-style-language/schema/raw/master/csl-citation.json"}</w:instrText>
            </w:r>
            <w:r w:rsidRPr="008E5B32">
              <w:fldChar w:fldCharType="separate"/>
            </w:r>
            <w:r w:rsidR="004C12A8" w:rsidRPr="008E5B32">
              <w:rPr>
                <w:noProof/>
                <w:vertAlign w:val="superscript"/>
                <w:lang w:val="en-GB"/>
              </w:rPr>
              <w:t>108</w:t>
            </w:r>
            <w:r w:rsidRPr="008E5B32">
              <w:fldChar w:fldCharType="end"/>
            </w:r>
            <w:r w:rsidRPr="008E5B32">
              <w:rPr>
                <w:sz w:val="24"/>
                <w:lang w:val="en-GB"/>
              </w:rPr>
              <w:t>.</w:t>
            </w:r>
          </w:p>
        </w:tc>
        <w:tc>
          <w:tcPr>
            <w:tcW w:w="2268" w:type="dxa"/>
          </w:tcPr>
          <w:p w14:paraId="4A488F17"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5CA62F3C"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6E6EEE61" w14:textId="5E1FDEEE" w:rsidR="000777BE" w:rsidRPr="008E5B32" w:rsidRDefault="000777BE" w:rsidP="000777BE">
            <w:pPr>
              <w:jc w:val="center"/>
            </w:pPr>
            <w:r w:rsidRPr="008E5B32">
              <w:t xml:space="preserve">17 </w:t>
            </w:r>
            <w:r w:rsidRPr="008E5B32">
              <w:fldChar w:fldCharType="begin" w:fldLock="1"/>
            </w:r>
            <w:r w:rsidR="00434385" w:rsidRPr="008E5B32">
              <w:instrText>ADDIN CSL_CITATION {"citationItems":[{"id":"ITEM-1","itemData":{"DOI":"10.1016/j.jphotobiol.2013.11.023","ISSN":"10111344","PMID":"24362319","abstract":"A quantitative structure-activity relationship (QSAR) study of seventeen metal oxide nanoparticles (MNPs), in regard to their photo-induced toxicity to bacteria Escherichia coli, was developed by using quantum chemical methods. A simple and statistically significant QSAR model (F = 33.83, R2 = 0.87) was successfully developed for the dark group based on two descriptors, absolute electronegativity of the metal and the metal oxide. Similarly, a best correlation (F = 20.51, R2 = 0.804) was obtained to predict the photo-induced toxicity of MNPs by using two descriptors, molar heat capacity and average of the alpha and beta LUMO (lowest unoccupied molecular orbital) energies of the metal oxide. Revelation of these influential molecular descriptors may be useful in elucidating the mechanisms of nanotoxicity and for predicting the environmental risk associated with release of the MNPs. In addition, the developed model may have a role in the future design and manufacture of safe nanomaterials. ?? 2013 Elsevier B.V. All rights reserved.","author":[{"dropping-particle":"","family":"Pathakoti","given":"Kavitha","non-dropping-particle":"","parse-names":false,"suffix":""},{"dropping-particle":"","family":"Huang","given":"Ming Ju","non-dropping-particle":"","parse-names":false,"suffix":""},{"dropping-particle":"","family":"Watts","given":"John D.","non-dropping-particle":"","parse-names":false,"suffix":""},{"dropping-particle":"","family":"He","given":"Xiaojia","non-dropping-particle":"","parse-names":false,"suffix":""},{"dropping-particle":"","family":"Hwang","given":"Huey Min","non-dropping-particle":"","parse-names":false,"suffix":""}],"container-title":"Journal of Photochemistry and Photobiology B: Biology","id":"ITEM-1","issued":{"date-parts":[["2014"]]},"page":"234-240","title":"Using experimental data of Escherichia coli to develop a QSAR model for predicting the photo-induced cytotoxicity of metal oxide nanoparticles","type":"article-journal","volume":"130"},"uris":["http://www.mendeley.com/documents/?uuid=21f55f04-6231-4202-920b-c665f14ff5bd"]}],"mendeley":{"formattedCitation":"&lt;sup&gt;88&lt;/sup&gt;","plainTextFormattedCitation":"88","previouslyFormattedCitation":"&lt;sup&gt;88&lt;/sup&gt;"},"properties":{"noteIndex":0},"schema":"https://github.com/citation-style-language/schema/raw/master/csl-citation.json"}</w:instrText>
            </w:r>
            <w:r w:rsidRPr="008E5B32">
              <w:fldChar w:fldCharType="separate"/>
            </w:r>
            <w:r w:rsidR="004C12A8" w:rsidRPr="008E5B32">
              <w:rPr>
                <w:noProof/>
                <w:vertAlign w:val="superscript"/>
              </w:rPr>
              <w:t>88</w:t>
            </w:r>
            <w:r w:rsidRPr="008E5B32">
              <w:fldChar w:fldCharType="end"/>
            </w:r>
          </w:p>
        </w:tc>
        <w:tc>
          <w:tcPr>
            <w:tcW w:w="1620" w:type="dxa"/>
          </w:tcPr>
          <w:p w14:paraId="30BBFA6C"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(Monte Carlo optimization)</w:t>
            </w:r>
          </w:p>
        </w:tc>
        <w:tc>
          <w:tcPr>
            <w:tcW w:w="540" w:type="dxa"/>
          </w:tcPr>
          <w:p w14:paraId="3682CC6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w:t>
            </w:r>
          </w:p>
        </w:tc>
        <w:tc>
          <w:tcPr>
            <w:tcW w:w="540" w:type="dxa"/>
          </w:tcPr>
          <w:p w14:paraId="52E7D2EC" w14:textId="77777777" w:rsidR="000777BE" w:rsidRPr="008E5B32" w:rsidRDefault="000777BE" w:rsidP="000777BE">
            <w:pPr>
              <w:jc w:val="center"/>
              <w:rPr>
                <w:szCs w:val="18"/>
              </w:rPr>
            </w:pPr>
            <w:r w:rsidRPr="008E5B32">
              <w:rPr>
                <w:rFonts w:ascii="Segoe UI Symbol" w:eastAsia="Segoe UI Symbol" w:hAnsi="Segoe UI Symbol" w:cs="Segoe UI Symbol"/>
                <w:color w:val="222222"/>
                <w:shd w:val="clear" w:color="auto" w:fill="FFFFFF"/>
              </w:rPr>
              <w:t>✓</w:t>
            </w:r>
          </w:p>
        </w:tc>
        <w:tc>
          <w:tcPr>
            <w:tcW w:w="1350" w:type="dxa"/>
          </w:tcPr>
          <w:p w14:paraId="22938339"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101DF33B" w14:textId="77777777" w:rsidR="000777BE" w:rsidRPr="008E5B32" w:rsidRDefault="000777BE" w:rsidP="000777BE">
            <w:pPr>
              <w:jc w:val="center"/>
              <w:rPr>
                <w:rFonts w:ascii="Segoe UI Symbol" w:hAnsi="Segoe UI Symbol" w:cs="Segoe UI Symbol"/>
                <w:szCs w:val="18"/>
              </w:rPr>
            </w:pPr>
            <w:r w:rsidRPr="008E5B32">
              <w:rPr>
                <w:color w:val="222222"/>
                <w:shd w:val="clear" w:color="auto" w:fill="FFFFFF"/>
              </w:rPr>
              <w:t>(Probabilistic)</w:t>
            </w:r>
          </w:p>
        </w:tc>
        <w:tc>
          <w:tcPr>
            <w:tcW w:w="1350" w:type="dxa"/>
          </w:tcPr>
          <w:p w14:paraId="6808E9E2" w14:textId="77777777" w:rsidR="000777BE" w:rsidRPr="008E5B32" w:rsidRDefault="000777BE" w:rsidP="000777BE">
            <w:pPr>
              <w:jc w:val="center"/>
            </w:pPr>
            <w:r w:rsidRPr="008E5B32">
              <w:rPr>
                <w:szCs w:val="18"/>
              </w:rPr>
              <w:t>≈</w:t>
            </w:r>
            <w:r w:rsidRPr="008E5B32">
              <w:t xml:space="preserve"> </w:t>
            </w:r>
          </w:p>
          <w:p w14:paraId="39017FEF" w14:textId="77777777" w:rsidR="000777BE" w:rsidRPr="008E5B32" w:rsidRDefault="000777BE" w:rsidP="000777BE">
            <w:pPr>
              <w:jc w:val="center"/>
              <w:rPr>
                <w:rFonts w:ascii="Segoe UI Symbol" w:hAnsi="Segoe UI Symbol" w:cs="Segoe UI Symbol"/>
                <w:szCs w:val="18"/>
              </w:rPr>
            </w:pPr>
            <w:r w:rsidRPr="008E5B32">
              <w:t>(Y-scrambling)</w:t>
            </w:r>
          </w:p>
        </w:tc>
        <w:tc>
          <w:tcPr>
            <w:tcW w:w="581" w:type="dxa"/>
          </w:tcPr>
          <w:p w14:paraId="0995BED5"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15F19687" w14:textId="77777777" w:rsidTr="00D6682C">
        <w:tc>
          <w:tcPr>
            <w:tcW w:w="426" w:type="dxa"/>
          </w:tcPr>
          <w:p w14:paraId="6EA9A2FF" w14:textId="05D9FFC1" w:rsidR="000777BE" w:rsidRPr="008E5B32" w:rsidRDefault="000777BE" w:rsidP="000777BE">
            <w:pPr>
              <w:rPr>
                <w:lang w:val="en-GB"/>
              </w:rPr>
            </w:pPr>
            <w:r w:rsidRPr="008E5B32">
              <w:fldChar w:fldCharType="begin" w:fldLock="1"/>
            </w:r>
            <w:r w:rsidR="00434385" w:rsidRPr="008E5B32">
              <w:instrText>ADDIN CSL_CITATION {"citationItems":[{"id":"ITEM-1","itemData":{"DOI":"10.1080/1062936X.2013.874367","ISBN":"1062-936X","ISSN":"1029046X","PMID":"24625316","abstract":"The commercial applications of nanoparticles are growing rapidly, but we know relatively little about how nanoparticles interact with biological systems. Their value--but also their risk--is related to their nanophase properties being markedly different to those of the same material in bulk. Experiments to determine how nanoparticles are taken up, distributed, modified, and elicit any adverse effects are essential. However, cost and time considerations mean that predictive models would also be extremely valuable, particularly assisting regulators to minimize health and environmental risks. We used novel sparse machine learning methods that employ Bayesian neural networks to model three nanoparticle data sets using both linear and nonlinear machine learning methods. The first data comprised iron oxide nanoparticles decorated with 108 different molecules tested against five cell lines, HUVEC, pancreatic cancer, and three macrophage or macrophage-like lines. The second data set comprised 52 nanoparticles with various core compositions, coatings, and surface attachments. The nanoparticles were characterized using four descriptors (size, relaxivities, and zeta potential), and their biological effects on four cells lines assessed using four biological assays per cell line and four concentrations per assay. The third data set involved the biological responses to gold nanoparticles functionalized by 80 different small molecules. Nonspecific binding and binding to AChE were the biological endpoints modelled. The biological effects of nanoparticles were modelled using molecular descriptors for the molecules that decorated the nanoparticle surface. Models with good statistical quality were constructed for most biological endpoints. These proof-of-concept models show that modelling biological effects of nanomaterials is possible using modern modelling methods.","author":[{"dropping-particle"</w:instrText>
            </w:r>
            <w:r w:rsidR="00434385" w:rsidRPr="008E5B32">
              <w:rPr>
                <w:lang w:val="en-US"/>
              </w:rPr>
              <w:instrText>:"","family":"Winkler","given":"D. A.","non-dropping-particle":"","parse-names":false,"suffix":""},{"dropping-particle":"","family":"Burden","given":"F. R.","non-dropping-particle":"","parse-names":false,"suffix":""},{"dropping-particle":"","family":"Yan","given":"B.","non-dropping-particle":"","parse-names":false,"suffix":""},{"dropping-particle":"","family":"Weissleder","given":"R.","non-dropping-particle":"","parse-names":false,"suffix":""},{"dropping-particle":"","family":"Tassa","given":"C.","non-dropping-particle":"","parse-names":false,"suffix":""},{"dropping-particle":"","family":"Shaw","given":"S.","non-dropping-particle":"","parse-names":false,"suffix":""},{"dropping-particle":"","family":"Epa","given":"V. C.","non-dropping-particle":"","parse-names":false,"suffix":""}],"container-title":"SAR and QSAR in Environmental Research","id":"ITEM-1","issued":{"date-parts":[["2014"]]},"title":"Modelling and predicting the biological effects of nanomaterials","type":"article-journal"},"uris":["http://www.mendeley.com/documents/?uuid=d5aa2ebc-3fad-4e6e-aead-feb5a629bd7c","http://www.mendeley.com/documents/?uuid=995d83e9-11d3-4582-8266-c2780d41ec58","http://www.mendeley.com/documents/?uuid=5b5be282-6a3d-4426-8ddc-c8db44dc9113"]}],"mendeley":{"formattedCitation":"&lt;sup&gt;126&lt;/sup&gt;","plainTextFormattedCitation":"126","previouslyFormattedCitation":"&lt;sup&gt;126&lt;/sup&gt;"},"properties":{"noteIndex":0},"schema":"https://github.com/citation-style-language/schema/raw/master/csl-citation.json"}</w:instrText>
            </w:r>
            <w:r w:rsidRPr="008E5B32">
              <w:fldChar w:fldCharType="separate"/>
            </w:r>
            <w:r w:rsidR="004C12A8" w:rsidRPr="008E5B32">
              <w:rPr>
                <w:noProof/>
                <w:vertAlign w:val="superscript"/>
                <w:lang w:val="en-GB"/>
              </w:rPr>
              <w:t>126</w:t>
            </w:r>
            <w:r w:rsidRPr="008E5B32">
              <w:fldChar w:fldCharType="end"/>
            </w:r>
          </w:p>
        </w:tc>
        <w:tc>
          <w:tcPr>
            <w:tcW w:w="4536" w:type="dxa"/>
          </w:tcPr>
          <w:p w14:paraId="7CDF07C5" w14:textId="0D9644D0" w:rsidR="000777BE" w:rsidRPr="008E5B32" w:rsidRDefault="000777BE" w:rsidP="00BD4886">
            <w:pPr>
              <w:jc w:val="both"/>
              <w:rPr>
                <w:lang w:val="en-GB"/>
              </w:rPr>
            </w:pPr>
            <w:r w:rsidRPr="008E5B32">
              <w:rPr>
                <w:lang w:val="en-GB"/>
              </w:rPr>
              <w:t>Linear and non-linear methods that employ Bayesian neural networks to model three different data sets</w:t>
            </w:r>
            <w:r w:rsidR="005704DC" w:rsidRPr="008E5B32">
              <w:rPr>
                <w:lang w:val="en-GB"/>
              </w:rPr>
              <w:t xml:space="preserve"> using four nanospecific descriptors (</w:t>
            </w:r>
            <w:r w:rsidR="005704DC" w:rsidRPr="008E5B32">
              <w:rPr>
                <w:lang w:val="en-US"/>
              </w:rPr>
              <w:t>size, R1 and R2 relaxivities, and zeta potential)</w:t>
            </w:r>
            <w:r w:rsidR="005704DC" w:rsidRPr="008E5B32">
              <w:rPr>
                <w:lang w:val="en-GB"/>
              </w:rPr>
              <w:t>.</w:t>
            </w:r>
          </w:p>
        </w:tc>
        <w:tc>
          <w:tcPr>
            <w:tcW w:w="2268" w:type="dxa"/>
          </w:tcPr>
          <w:p w14:paraId="133A0994" w14:textId="77777777" w:rsidR="000777BE" w:rsidRPr="008E5B32" w:rsidRDefault="000777BE" w:rsidP="000777BE">
            <w:pPr>
              <w:jc w:val="center"/>
              <w:rPr>
                <w:szCs w:val="18"/>
                <w:lang w:val="en-GB"/>
              </w:rPr>
            </w:pPr>
            <w:r w:rsidRPr="008E5B32">
              <w:rPr>
                <w:rFonts w:ascii="Segoe UI Symbol" w:eastAsia="Segoe UI Symbol" w:hAnsi="Segoe UI Symbol" w:cs="Segoe UI Symbol"/>
                <w:color w:val="222222"/>
                <w:szCs w:val="18"/>
                <w:shd w:val="clear" w:color="auto" w:fill="FFFFFF"/>
                <w:lang w:val="en-GB"/>
              </w:rPr>
              <w:t>✓</w:t>
            </w:r>
          </w:p>
          <w:p w14:paraId="348E33BB" w14:textId="77777777" w:rsidR="000777BE" w:rsidRPr="008E5B32" w:rsidRDefault="000777BE" w:rsidP="000777BE">
            <w:pPr>
              <w:jc w:val="center"/>
              <w:rPr>
                <w:rFonts w:ascii="Segoe UI Symbol" w:eastAsia="Segoe UI Symbol" w:hAnsi="Segoe UI Symbol" w:cs="Segoe UI Symbol"/>
                <w:color w:val="222222"/>
                <w:szCs w:val="18"/>
                <w:shd w:val="clear" w:color="auto" w:fill="FFFFFF"/>
                <w:lang w:val="en-GB"/>
              </w:rPr>
            </w:pPr>
            <w:r w:rsidRPr="008E5B32">
              <w:rPr>
                <w:szCs w:val="18"/>
                <w:lang w:val="en-GB"/>
              </w:rPr>
              <w:t>(CS1: Cellular apoptosis, CS2: cellular uptake in 4 different cell lines, CS3: protein adsorption)</w:t>
            </w:r>
          </w:p>
        </w:tc>
        <w:tc>
          <w:tcPr>
            <w:tcW w:w="960" w:type="dxa"/>
          </w:tcPr>
          <w:p w14:paraId="4E6352EB" w14:textId="65B26575" w:rsidR="000777BE" w:rsidRPr="008E5B32" w:rsidRDefault="000777BE" w:rsidP="000777BE">
            <w:pPr>
              <w:jc w:val="center"/>
              <w:rPr>
                <w:szCs w:val="18"/>
              </w:rPr>
            </w:pPr>
            <w:r w:rsidRPr="008E5B32">
              <w:rPr>
                <w:szCs w:val="18"/>
                <w:lang w:val="en-GB"/>
              </w:rPr>
              <w:t xml:space="preserve">50 </w:t>
            </w:r>
            <w:r w:rsidRPr="008E5B32">
              <w:rPr>
                <w:szCs w:val="18"/>
              </w:rPr>
              <w:fldChar w:fldCharType="begin" w:fldLock="1"/>
            </w:r>
            <w:r w:rsidR="00434385" w:rsidRPr="008E5B32">
              <w:rPr>
                <w:szCs w:val="18"/>
                <w:lang w:val="en-GB"/>
              </w:rPr>
              <w:instrText>ADDIN CSL_CITATION {"citationItems":[{"id":"ITEM-1","itemData":{"DOI":"10.1073/pnas.0802878105","ISBN":"0802878105","ISSN":"0027-8424","PMID":"18492802","abstract":"Our understanding of the biologic effects (including toxicity) of nanomaterials is incomplete. In vivo animal studies remain the gold standard; however, widespread testing remains impractical, and the development of in vitro assays that correlate with in vivo activity has proven challenging. Here, we demonstrate the feasibility of analyzing in vitro nanomaterial activity in a generalizable, systematic fashion. We assessed nanoparticle effects in a multidimensional manner, using multiple cell types and multiple assays that reflect different aspects of cellular physiology. Hierarchical clustering of these data identifies nanomaterials with similar patterns of biologic activity across a broad sampling of cellular contexts, as opposed to extrapolating from results of a single in vitro assay. We show that this approach yields robust and detailed structure-activity relationships. Furthermore, a subset of nanoparticles were tested in mice, and nanoparticles with similar activity profiles in vitro exert similar effects on monocyte number in vivo. These data suggest a strategy of multidimensional characterization of nanomaterials in vitro that can inform the design of novel nanomaterials and guide studies of in vivo activity.","author":[{"dropping-particle":"","family":"Shaw","given":"S. Y.","non-dropping-particle":"","parse-names":false,"suffix":""},{"dropping-particle":"","family":"Westly","given":"E. C.","non-dropping-particle":"","parse-names":false,"suffix":""},{"dropping-particle":"","family":"Pittet","given":"M. J.","non-dropping-particle":"","parse-names":false,"suffix":""},{"dropping-particle":"","family":"Subramanian","given":"A.","non-dropping-particle":"","parse-names":false,"suffix":""},{"dropping-particle":"","family":"Schreiber","given":"S. L.","non-dropping-particle":"","parse-names":false,"suffix":""},{"dropping-particle":"","family":"Weissleder","given":"R.","non-dropping-particle":"","parse-names":false,"suffix":""}],"container-title":"Proceedings of the National Academy of Sciences","id":"ITEM-1","issue":"21","issued":{"date-parts":[["2008"]]},"page":"7387-7392","title":"Perturbational profiling of nanomaterial biologic activity","type":"article-journal","volume":"105"},"uris":["http://www.mendeley.com/documents/?uuid=83e77dea-cfe9-4fca-9b89-5cd64509f53b"]}],"mendeley":{"formattedCitation":"&lt;sup&gt;101&lt;/sup&gt;","plainTextFormattedCitation":"101","previouslyFormattedCitation":"&lt;sup&gt;101&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101</w:t>
            </w:r>
            <w:r w:rsidRPr="008E5B32">
              <w:rPr>
                <w:szCs w:val="18"/>
              </w:rPr>
              <w:fldChar w:fldCharType="end"/>
            </w:r>
            <w:r w:rsidRPr="008E5B32">
              <w:rPr>
                <w:szCs w:val="18"/>
              </w:rPr>
              <w:t xml:space="preserve">, 109 </w:t>
            </w:r>
            <w:r w:rsidRPr="008E5B32">
              <w:rPr>
                <w:szCs w:val="18"/>
              </w:rPr>
              <w:fldChar w:fldCharType="begin" w:fldLock="1"/>
            </w:r>
            <w:r w:rsidR="00434385" w:rsidRPr="008E5B32">
              <w:rPr>
                <w:szCs w:val="18"/>
              </w:rPr>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102</w:t>
            </w:r>
            <w:r w:rsidRPr="008E5B32">
              <w:rPr>
                <w:szCs w:val="18"/>
              </w:rPr>
              <w:fldChar w:fldCharType="end"/>
            </w:r>
            <w:r w:rsidRPr="008E5B32">
              <w:rPr>
                <w:szCs w:val="18"/>
              </w:rPr>
              <w:t>, 80</w:t>
            </w:r>
          </w:p>
        </w:tc>
        <w:tc>
          <w:tcPr>
            <w:tcW w:w="1620" w:type="dxa"/>
          </w:tcPr>
          <w:p w14:paraId="5370CDDF"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2996CF50" w14:textId="77777777" w:rsidR="000777BE" w:rsidRPr="008E5B32" w:rsidRDefault="000777BE" w:rsidP="000777BE">
            <w:pPr>
              <w:jc w:val="center"/>
              <w:rPr>
                <w:rFonts w:eastAsia="Segoe UI Symbol"/>
                <w:color w:val="222222"/>
                <w:shd w:val="clear" w:color="auto" w:fill="FFFFFF"/>
                <w:lang w:val="en-GB"/>
              </w:rPr>
            </w:pPr>
            <w:r w:rsidRPr="008E5B32">
              <w:rPr>
                <w:rFonts w:eastAsia="Segoe UI Symbol"/>
                <w:color w:val="222222"/>
                <w:shd w:val="clear" w:color="auto" w:fill="FFFFFF"/>
                <w:lang w:val="en-GB"/>
              </w:rPr>
              <w:t>(Linear and non-linear Bayesian networks)</w:t>
            </w:r>
          </w:p>
        </w:tc>
        <w:tc>
          <w:tcPr>
            <w:tcW w:w="540" w:type="dxa"/>
          </w:tcPr>
          <w:p w14:paraId="199BE7BD"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tc>
        <w:tc>
          <w:tcPr>
            <w:tcW w:w="540" w:type="dxa"/>
          </w:tcPr>
          <w:p w14:paraId="0D15EF91"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1D94401B"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rPr>
              <w:t>✗</w:t>
            </w:r>
          </w:p>
        </w:tc>
        <w:tc>
          <w:tcPr>
            <w:tcW w:w="1350" w:type="dxa"/>
          </w:tcPr>
          <w:p w14:paraId="5B6C08A6" w14:textId="77777777" w:rsidR="000777BE" w:rsidRPr="008E5B32" w:rsidRDefault="000777BE" w:rsidP="000777BE">
            <w:pPr>
              <w:jc w:val="center"/>
              <w:rPr>
                <w:szCs w:val="18"/>
              </w:rPr>
            </w:pPr>
            <w:r w:rsidRPr="008E5B32">
              <w:rPr>
                <w:rFonts w:ascii="Segoe UI Symbol" w:eastAsia="Segoe UI Symbol" w:hAnsi="Segoe UI Symbol" w:cs="Segoe UI Symbol"/>
              </w:rPr>
              <w:t>✗</w:t>
            </w:r>
          </w:p>
        </w:tc>
        <w:tc>
          <w:tcPr>
            <w:tcW w:w="581" w:type="dxa"/>
          </w:tcPr>
          <w:p w14:paraId="5A94B506"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64B83A3F" w14:textId="77777777" w:rsidTr="00D6682C">
        <w:tc>
          <w:tcPr>
            <w:tcW w:w="426" w:type="dxa"/>
          </w:tcPr>
          <w:p w14:paraId="7028695E" w14:textId="1932538D" w:rsidR="000777BE" w:rsidRPr="008E5B32" w:rsidRDefault="000777BE" w:rsidP="000777BE">
            <w:r w:rsidRPr="008E5B32">
              <w:fldChar w:fldCharType="begin" w:fldLock="1"/>
            </w:r>
            <w:r w:rsidR="00434385" w:rsidRPr="008E5B32">
              <w:instrText>ADDIN CSL_CITATION {"citationItems":[{"id":"ITEM-1","itemData":{"DOI":"10.1007/s11051-014-2282-9","ISSN":"1388-0764","abstract":"The possibility of building up predictive model for cytotoxicity of SiO2-nanoparticles (SiO2-NPs) by means of so-called optimal descriptors which are mathematical functions of size and concentration of SiO2-NPs is demonstrated with data on sixteen systems' \"size-concentration.\" The calculation has been carried out by means of the CORAL software (http://www.insilico.eu/coral/). The statistical quality of the best model for the cytotoxic inhibition ratio (%) of human lung fibroblasts cultured in the media containing different concentrations of SiO 2â€.©Springer Science+Business Media Dordrecht 2014.","author":[{"dropping-particle":"","family":"Toropova","given":"Alla P.","non-dropping-particle":"","parse-names":false,"suffix":""},{"dropping-particle":"","family":"Toropov","given":"Andrey A.","non-dropping-particle":"","parse-names":false,"suffix":""},{"dropping-particle":"","family":"Benfenati","given":"Emilio","non-dropping-particle":"","parse-names":false,"suffix":""},{"dropping-particle":"","family":"Korenstein","given":"Rafi","non-dropping-particle":"","parse-names":false,"suffix":""}],"container-title":"Journal of Nanoparticle Research","id":"ITEM-1","issued":{"date-parts":[["2014"]]},"title":"QSAR model for cytotoxicity of SiO2 nanoparticles on human lung fibroblasts","type":"article-journal"},"uris":["http://www.mendeley.com/documents/?uuid=d16e1011-f16e-4c55-8722-034193475f44","http://www.mendeley.com/documents/?uuid=0f1a9b24-e43e-488b-b0ff-b6b1a3f8055b","http://www.mendeley.com/documents/?uuid=c76d331e-31ab-4697-878a-96896df66512"]}],"mendeley":{"formattedCitation":"&lt;sup&gt;127&lt;/sup&gt;","plainTextFormattedCitation":"127","previouslyFormattedCitation":"&lt;sup&gt;127&lt;/sup&gt;"},"properties":{"noteIndex":0},"schema":"https://github.com/citation-style-language/schema/raw/master/csl-citation.json"}</w:instrText>
            </w:r>
            <w:r w:rsidRPr="008E5B32">
              <w:fldChar w:fldCharType="separate"/>
            </w:r>
            <w:r w:rsidR="004C12A8" w:rsidRPr="008E5B32">
              <w:rPr>
                <w:noProof/>
                <w:vertAlign w:val="superscript"/>
              </w:rPr>
              <w:t>127</w:t>
            </w:r>
            <w:r w:rsidRPr="008E5B32">
              <w:fldChar w:fldCharType="end"/>
            </w:r>
          </w:p>
        </w:tc>
        <w:tc>
          <w:tcPr>
            <w:tcW w:w="4536" w:type="dxa"/>
          </w:tcPr>
          <w:p w14:paraId="595F416B" w14:textId="77777777" w:rsidR="000777BE" w:rsidRPr="008E5B32" w:rsidRDefault="000777BE" w:rsidP="000777BE">
            <w:pPr>
              <w:jc w:val="both"/>
              <w:rPr>
                <w:lang w:val="en-GB"/>
              </w:rPr>
            </w:pPr>
            <w:r w:rsidRPr="008E5B32">
              <w:rPr>
                <w:lang w:val="en-GB"/>
              </w:rPr>
              <w:t>Model to predict cytotoxicity of S</w:t>
            </w:r>
            <w:r w:rsidR="007D2C06" w:rsidRPr="008E5B32">
              <w:rPr>
                <w:lang w:val="en-GB"/>
              </w:rPr>
              <w:t>iO</w:t>
            </w:r>
            <w:r w:rsidR="007D2C06" w:rsidRPr="008E5B32">
              <w:rPr>
                <w:lang w:val="en-GB"/>
              </w:rPr>
              <w:softHyphen/>
            </w:r>
            <w:r w:rsidR="007D2C06" w:rsidRPr="008E5B32">
              <w:rPr>
                <w:vertAlign w:val="subscript"/>
                <w:lang w:val="en-GB"/>
              </w:rPr>
              <w:t>2</w:t>
            </w:r>
            <w:r w:rsidR="007D2C06" w:rsidRPr="008E5B32">
              <w:rPr>
                <w:lang w:val="en-GB"/>
              </w:rPr>
              <w:t xml:space="preserve"> </w:t>
            </w:r>
            <w:r w:rsidRPr="008E5B32">
              <w:rPr>
                <w:lang w:val="en-GB"/>
              </w:rPr>
              <w:t>NMs by means of mathematical functions of size and concentration, through the CORAL software.</w:t>
            </w:r>
          </w:p>
        </w:tc>
        <w:tc>
          <w:tcPr>
            <w:tcW w:w="2268" w:type="dxa"/>
          </w:tcPr>
          <w:p w14:paraId="365D92E5"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3ED919AF"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lang w:val="en-GB"/>
              </w:rPr>
              <w:t>(Cytotoxicity via inhibition ratio of human lung fibroblasts)</w:t>
            </w:r>
          </w:p>
        </w:tc>
        <w:tc>
          <w:tcPr>
            <w:tcW w:w="960" w:type="dxa"/>
          </w:tcPr>
          <w:p w14:paraId="29BB14C9" w14:textId="1BBB9D31" w:rsidR="000777BE" w:rsidRPr="008E5B32" w:rsidRDefault="000777BE" w:rsidP="000777BE">
            <w:pPr>
              <w:jc w:val="center"/>
            </w:pPr>
            <w:r w:rsidRPr="008E5B32">
              <w:t xml:space="preserve">18 </w:t>
            </w:r>
            <w:r w:rsidRPr="008E5B32">
              <w:fldChar w:fldCharType="begin" w:fldLock="1"/>
            </w:r>
            <w:r w:rsidR="00434385" w:rsidRPr="008E5B32">
              <w:instrText>ADDIN CSL_CITATION {"citationItems":[{"id":"ITEM-1","itemData":{"DOI":"10.1002/jat.1710","ISSN":"0260437X","PMID":"21766316","abstract":"Silicon dioxide nanoparticles (SiO(2) NPs) have attracted increasing interest as nanovehicles for delivering drugs, genes and bio-active molecules into cells. However, it is still unknown whether SiO(2) NPs could cause side-effects to normal cells. In the present study, human lung fibroblasts (HFL-Is) were directly exposed to two different sizes of SiO(2) NPs. The effect of size and concentration on cell response was studied by analyzing the cell viability, the ratio of apoptosis and the pathway of cell injury. The results demonstrated that a size-associated and a dose-dependent toxicity of HFL-Is was induced by SiO(2) NPs. Meanwhile, the expression of reactive oxygen species in HFL-I was significantly increased. This activation effect was accompanied by upregulation of p53 expression, release of cytochrome C from chondriosomes, inhibition of Bcl2, and activation of Bax and caspase 9. These findings implied that SiO(2) NPs might induce apoptosis of HFL-Is by stimulating reactive oxygen species release and subsequently causing the activation of p53 pathway in vitro.","author":[{"dropping-particle":"","family":"Xu","given":"Zhengli","non-dropping-particle":"","parse-names":false,"suffix":""},{"dropping-particle":"","family":"Chou","given":"Laisheng","non-dropping-particle":"","parse-names":false,"suffix":""},{"dropping-particle":"","family":"Sun","given":"Jiao","non-dropping-particle":"","parse-names":false,"suffix":""}],"container-title":"Journal of Applied Toxicology","id":"ITEM-1","issued":{"date-parts":[["2012"]]},"title":"Effects of SiO2nanoparticles on HFL-I activating ROS-mediated apoptosis via p53 pathway","type":"article-journal"},"uris":["http://www.mendeley.com/documents/?uuid=c36fdfcb-28b1-4f78-b3e2-0891cfdfdceb","http://www.mendeley.com/documents/?uuid=8dac4f4c-5e08-4a39-8673-4b1cc9befff5","http://www.mendeley.com/documents/?uuid=024e950e-3cb5-452b-910c-595774c567b8"]}],"mendeley":{"formattedCitation":"&lt;sup&gt;128&lt;/sup&gt;","plainTextFormattedCitation":"128","previouslyFormattedCitation":"&lt;sup&gt;128&lt;/sup&gt;"},"properties":{"noteIndex":0},"schema":"https://github.com/citation-style-language/schema/raw/master/csl-citation.json"}</w:instrText>
            </w:r>
            <w:r w:rsidRPr="008E5B32">
              <w:fldChar w:fldCharType="separate"/>
            </w:r>
            <w:r w:rsidR="004C12A8" w:rsidRPr="008E5B32">
              <w:rPr>
                <w:noProof/>
                <w:vertAlign w:val="superscript"/>
              </w:rPr>
              <w:t>128</w:t>
            </w:r>
            <w:r w:rsidRPr="008E5B32">
              <w:fldChar w:fldCharType="end"/>
            </w:r>
          </w:p>
        </w:tc>
        <w:tc>
          <w:tcPr>
            <w:tcW w:w="1620" w:type="dxa"/>
          </w:tcPr>
          <w:p w14:paraId="09191E11"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(Monte Carlo optimization)</w:t>
            </w:r>
          </w:p>
        </w:tc>
        <w:tc>
          <w:tcPr>
            <w:tcW w:w="540" w:type="dxa"/>
          </w:tcPr>
          <w:p w14:paraId="23A32AC0"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tc>
        <w:tc>
          <w:tcPr>
            <w:tcW w:w="540" w:type="dxa"/>
          </w:tcPr>
          <w:p w14:paraId="45ABC08C"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6906888F"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rPr>
              <w:t>✗</w:t>
            </w:r>
          </w:p>
        </w:tc>
        <w:tc>
          <w:tcPr>
            <w:tcW w:w="1350" w:type="dxa"/>
          </w:tcPr>
          <w:p w14:paraId="3AB1BDA7" w14:textId="77777777" w:rsidR="000777BE" w:rsidRPr="008E5B32" w:rsidRDefault="000777BE" w:rsidP="000777BE">
            <w:pPr>
              <w:jc w:val="center"/>
              <w:rPr>
                <w:szCs w:val="18"/>
              </w:rPr>
            </w:pPr>
            <w:r w:rsidRPr="008E5B32">
              <w:rPr>
                <w:rFonts w:ascii="Segoe UI Symbol" w:eastAsia="Segoe UI Symbol" w:hAnsi="Segoe UI Symbol" w:cs="Segoe UI Symbol"/>
              </w:rPr>
              <w:t>✗</w:t>
            </w:r>
          </w:p>
        </w:tc>
        <w:tc>
          <w:tcPr>
            <w:tcW w:w="581" w:type="dxa"/>
          </w:tcPr>
          <w:p w14:paraId="4FC57221"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rPr>
              <w:t>✗</w:t>
            </w:r>
          </w:p>
        </w:tc>
      </w:tr>
      <w:tr w:rsidR="000777BE" w:rsidRPr="008E5B32" w14:paraId="76237E88" w14:textId="77777777" w:rsidTr="00D6682C">
        <w:tc>
          <w:tcPr>
            <w:tcW w:w="426" w:type="dxa"/>
          </w:tcPr>
          <w:p w14:paraId="0A9F7010" w14:textId="16A880E2" w:rsidR="000777BE" w:rsidRPr="008E5B32" w:rsidRDefault="000777BE" w:rsidP="000777BE">
            <w:r w:rsidRPr="008E5B32">
              <w:fldChar w:fldCharType="begin" w:fldLock="1"/>
            </w:r>
            <w:r w:rsidR="004C12A8" w:rsidRPr="008E5B32">
              <w:instrText>ADDIN CSL_CITATION {"citationItems":[{"id":"ITEM-1","itemData":{"DOI":"10.1039/c5ra11399g","ISBN":"8610825434","ISSN":"2046-2069","abstract":"Knowledge about the toxicity of nanomaterials and factors responsible for such phenomena are important tasks necessary for efficient human health protection and safety risk estimation associated with nanotechnology. In this study, the causation inference method within structure-activity relationship modeling for nanomaterials was introduced to elucidate the underlying structure of the nanotoxicity data. As case studies, the structure-activity relationships for toxicity of metal oxide nanoparticles (nano-SARs) towards BEAS-2B and RAW 264.7 cell lines were established. To describe the nanoparticles, the simple ionic, fragmental and \"liquid drop model\" based descriptors that represent the nanoparticles' structure and characteristics were applied. The developed classification nano-SAR models were validated to confirm reliability of predicting toxicity for all studied metal oxide nanoparticles. Developed models suggest different mechanisms of nanotoxicity for the two types of cells. © 2015 The Royal Society of Chemistry.","author":[{"dropping-particle":"","family":"Sizochenko","given":"N","non-dropping-particle":"","parse-names":false,"suffix":""},{"dropping-particle":"","family":"Rasulev","given":"B","non-dropping-particle":"","parse-names":false,"suffix":""},{"dropping-particle":"","family":"Gajewicz","given":"A","non-dropping-particle":"","parse-names":false,"suffix":""},{"dropping-particle":"","family":"Mokshyna","given":"E","non-dropping-particle":"","parse-names":false,"suffix":""},{"dropping-particle":"","family":"Kuz'min","given":"V E","non-dropping-particle":"","parse-names":false,"suffix":""},{"dropping-particle":"","family":"Leszczynski","given":"J","non-dropping-particle":"","parse-names":false,"suffix":""},{"dropping-particle":"","family":"Puzyn","given":"T","non-dropping-particle":"","parse-names":false,"suffix":""}],"container-title":"RSC Advances","id":"ITEM-1","issue":"95","issued":{"date-parts":[["2015"]]},"page":"77739-77745","title":"Causal inference methods to assist in mechanistic interpretation of classification nano-SAR models","type":"article-journal","volume":"5"},"uris":["http://www.mendeley.com/documents/?uuid=6243dcb3-1589-4fbf-98b3-e26d914a1d3f"]}],"mendeley":{"formattedCitation":"&lt;sup&gt;65&lt;/sup&gt;","plainTextFormattedCitation":"65","previouslyFormattedCitation":"&lt;sup&gt;65&lt;/sup&gt;"},"properties":{"noteIndex":0},"schema":"https://github.com/citation-style-language/schema/raw/master/csl-citation.json"}</w:instrText>
            </w:r>
            <w:r w:rsidRPr="008E5B32">
              <w:fldChar w:fldCharType="separate"/>
            </w:r>
            <w:r w:rsidR="005D1733" w:rsidRPr="008E5B32">
              <w:rPr>
                <w:noProof/>
                <w:vertAlign w:val="superscript"/>
              </w:rPr>
              <w:t>65</w:t>
            </w:r>
            <w:r w:rsidRPr="008E5B32">
              <w:fldChar w:fldCharType="end"/>
            </w:r>
          </w:p>
        </w:tc>
        <w:tc>
          <w:tcPr>
            <w:tcW w:w="4536" w:type="dxa"/>
          </w:tcPr>
          <w:p w14:paraId="219ABBE1" w14:textId="4B1E503D" w:rsidR="000777BE" w:rsidRPr="008E5B32" w:rsidRDefault="000777BE" w:rsidP="000777BE">
            <w:pPr>
              <w:jc w:val="both"/>
              <w:rPr>
                <w:lang w:val="en-GB"/>
              </w:rPr>
            </w:pPr>
            <w:r w:rsidRPr="008E5B32">
              <w:rPr>
                <w:lang w:val="en-GB"/>
              </w:rPr>
              <w:t xml:space="preserve">Application of causation inference method to assist the </w:t>
            </w:r>
            <w:r w:rsidRPr="008E5B32">
              <w:rPr>
                <w:szCs w:val="18"/>
                <w:lang w:val="en-GB"/>
              </w:rPr>
              <w:t xml:space="preserve">development and the mechanistic interpretation of SAR models relating human BEAS-2B cell line and murine myeloid cell line RAW264.7 towards a series of metal oxide NMs. Ionic, fragmental, and “liquid drop model” </w:t>
            </w:r>
            <w:r w:rsidRPr="008E5B32">
              <w:rPr>
                <w:szCs w:val="18"/>
              </w:rPr>
              <w:fldChar w:fldCharType="begin" w:fldLock="1"/>
            </w:r>
            <w:r w:rsidR="00434385" w:rsidRPr="008E5B32">
              <w:rPr>
                <w:szCs w:val="18"/>
                <w:lang w:val="en-GB"/>
              </w:rPr>
              <w:instrText>ADDIN CSL_CITATION {"citationItems":[{"id":"ITEM-1","itemData":{"DOI":"10.1039/C4NR03487B","ISBN":"10.1039/C4NR03487B","ISSN":"2040-3364","PMID":"25317542","abstract":"&lt;p&gt; &lt;italic&gt;HaCaT&lt;/italic&gt; and &lt;italic&gt;E.coli&lt;/italic&gt; cells toxicity of MeOx nanoparticles were investigated. The new “liquid drop” model and SiRMS method were able to assess the factors responsible for toxicity. &lt;/p&gt;","author":[{"dropping-particle":"","family":"Sizochenko","given":"Natalia","non-dropping-particle":"","parse-names":false,"suffix":""},{"dropping-particle":"","family":"Rasulev","given":"Bakhtiyor","non-dropping-particle":"","parse-names":false,"suffix":""},{"dropping-particle":"","family":"Gajewicz","given":"Agnieszka","non-dropping-particle":"","parse-names":false,"suffix":""},{"dropping-particle":"","family":"Kuz'min","given":"Victor","non-dropping-particle":"","parse-names":false,"suffix":""},{"dropping-particle":"","family":"Puzyn","given":"Tomasz","non-dropping-particle":"","parse-names":false,"suffix":""},{"dropping-particle":"","family":"Leszczynski","given":"Jerzy","non-dropping-particle":"","parse-names":false,"suffix":""}],"container-title":"Nanoscale","id":"ITEM-1","issue":"22","issued":{"date-parts":[["2014"]]},"page":"13986-13993","title":"From basic physics to mechanisms of toxicity: the “liquid drop” approach applied to develop predictive classification models for toxicity of metal oxide nanoparticles","type":"article-journal","volume":"6"},"uris":["http://www.mendeley.com/documents/?uuid=ba4bb503-280b-406f-9e67-907e511c530b","http://www.mendeley.com/documents/?uuid=7019daaa-9d5f-40de-8190-258d1ff3a47b"]}],"mendeley":{"formattedCitation":"&lt;sup&gt;129&lt;/sup&gt;","plainTextFormattedCitation":"129","previouslyFormattedCitation":"&lt;sup&gt;129&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129</w:t>
            </w:r>
            <w:r w:rsidRPr="008E5B32">
              <w:rPr>
                <w:szCs w:val="18"/>
              </w:rPr>
              <w:fldChar w:fldCharType="end"/>
            </w:r>
            <w:r w:rsidRPr="008E5B32">
              <w:rPr>
                <w:szCs w:val="18"/>
                <w:lang w:val="en-GB"/>
              </w:rPr>
              <w:t xml:space="preserve"> based descriptors were used.</w:t>
            </w:r>
          </w:p>
        </w:tc>
        <w:tc>
          <w:tcPr>
            <w:tcW w:w="2268" w:type="dxa"/>
          </w:tcPr>
          <w:p w14:paraId="482664B4" w14:textId="77777777" w:rsidR="004C46E2" w:rsidRPr="008E5B32" w:rsidRDefault="004C46E2" w:rsidP="004C46E2">
            <w:pPr>
              <w:jc w:val="center"/>
              <w:rPr>
                <w:lang w:val="en-GB"/>
              </w:rPr>
            </w:pPr>
            <w:r w:rsidRPr="008E5B32">
              <w:rPr>
                <w:rFonts w:ascii="Segoe UI Symbol" w:hAnsi="Segoe UI Symbol" w:cs="Segoe UI Symbol"/>
                <w:szCs w:val="18"/>
                <w:lang w:val="en-GB"/>
              </w:rPr>
              <w:t>✗</w:t>
            </w:r>
          </w:p>
          <w:p w14:paraId="03F22F8D" w14:textId="77777777" w:rsidR="000777BE" w:rsidRPr="008E5B32" w:rsidRDefault="004C46E2" w:rsidP="004C46E2">
            <w:pPr>
              <w:jc w:val="center"/>
              <w:rPr>
                <w:rFonts w:ascii="Segoe UI Symbol" w:hAnsi="Segoe UI Symbol"/>
                <w:color w:val="222222"/>
                <w:shd w:val="clear" w:color="auto" w:fill="FFFFFF"/>
                <w:lang w:val="en-GB"/>
              </w:rPr>
            </w:pPr>
            <w:r w:rsidRPr="008E5B32">
              <w:rPr>
                <w:lang w:val="en-GB"/>
              </w:rPr>
              <w:t xml:space="preserve"> </w:t>
            </w:r>
            <w:r w:rsidR="000777BE" w:rsidRPr="008E5B32">
              <w:rPr>
                <w:lang w:val="en-GB"/>
              </w:rPr>
              <w:t>(Cell viability in BEAS-2B and RAW264.7 cell lines)</w:t>
            </w:r>
          </w:p>
        </w:tc>
        <w:tc>
          <w:tcPr>
            <w:tcW w:w="960" w:type="dxa"/>
          </w:tcPr>
          <w:p w14:paraId="7D16E5BF" w14:textId="7DEABB09" w:rsidR="000777BE" w:rsidRPr="008E5B32" w:rsidRDefault="000777BE" w:rsidP="000777BE">
            <w:pPr>
              <w:jc w:val="center"/>
              <w:rPr>
                <w:lang w:val="en-GB"/>
              </w:rPr>
            </w:pPr>
            <w:r w:rsidRPr="008E5B32">
              <w:t xml:space="preserve">24 </w:t>
            </w:r>
            <w:r w:rsidRPr="008E5B32">
              <w:fldChar w:fldCharType="begin" w:fldLock="1"/>
            </w:r>
            <w:r w:rsidR="00434385" w:rsidRPr="008E5B32">
              <w:instrText>ADDIN CSL_CITATION {"citationItems":[{"id":"ITEM-1","itemData":{"DOI":"10.1021/nn3010087","ISBN":"1936-0851","ISSN":"19360851","PMID":"22502734","abstract":"We demonstrate for 24 metal oxide (MOx) nanoparticles that it is possible to use conduction band energy levels to delineate their toxicological potential at cellular and whole animal levels. Among the materials, the over of conduction band energy (E-c) levels with the cellular redox potential (-4.12 to 4.84 eV) was strongly correlated to the ability of Co3O4, Cr2O3, Ni2O3, Mn2O3,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CO3O4, Ni2O3, Mn2O3, and CoO nanoparticles could also oxidize cytochrome c as a representative redox couple Involved in redox homeostasis. While CuO and ZnO generated oxidative stress and acute pulmonary Inflammation that is not predicted by E-c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author":[{"dropping-particle":"","family":"Zhang","given":"Haiyuan","non-dropping-particle":"","parse-names":false,"suffix":""},{"dropping-particle":"","family":"Ji","given":"Zhaoxia","non-dropping-particle":"","parse-names":false,"suffix":""},{"dropping-particle":"","family":"Xia","given":"Tian","non-dropping-particle":"","parse-names":false,"suffix":""},{"dropping-particle":"","family":"Meng","given":"Huan","non-dropping-particle":"","parse-names":false,"suffix":""},{"dropping-particle":"","family":"Low-Kam","given":"Cecile","non-dropping-particle":"","parse-names":false,"suffix":""},{"dropping-particle":"","family":"Liu","given":"Rong","non-dropping-particle":"","parse-names":false,"suffix":""},{"dropping-particle":"","family":"Pokhrel","given":"Suman","non-dropping-particle":"","parse-names":false,"suffix":""},{"dropping-particle":"","family":"Lin","given":"Sijie","non-dropping-particle":"","parse-names":false,"suffix":""},{"dropping-particle":"","family":"Wang","given":"Xiang","non-dropping-particle":"","parse-names":false,"suffix":""},{"dropping-particle":"","family":"Liao","given":"Yu Pei","non-dropping-particle":"","parse-names":false,"suffix":""},{"dropping-particle":"","family":"Wang","given":"Meiying","non-dropping-particle":"","parse-names":false,"suffix":""},{"dropping-particle":"","family":"Li","given":"Linjiang","non-dropping-particle":"","parse-names":false,"suffix":""},{"dropping-particle":"","family":"Rallo","giv</w:instrText>
            </w:r>
            <w:r w:rsidR="00434385" w:rsidRPr="008E5B32">
              <w:rPr>
                <w:lang w:val="en-US"/>
              </w:rPr>
              <w:instrText>en":"Robert","non-dropping-particle":"","parse-names":false,"suffix":""},{"dropping-particle":"","family":"Damoiseaux","given":"Robert","non-dropping-particle":"","parse-names":false,"suffix":""},{"dropping-particle":"","family":"Telesca","given":"Donatello","non-dropping-particle":"","parse-names":false,"suffix":""},{"dropping-particle":"","family":"Mädler","given":"Lutz","non-dropping-particle":"","parse-names":false,"suffix":""},{"dropping-particle":"","family":"Cohen","given":"Yoram","non-dropping-particle":"","parse-names":false,"suffix":""},{"dropping-particle":"","family":"Zink","given":"Jeffrey I.","non-dropping-particle":"","parse-names":false,"suffix":""},{"dropping-particle":"","family":"Nel","given":"Andre E.","non-dropping-particle":"","parse-names":false,"suffix":""}],"container-title":"ACS Nano","id":"ITEM-1","issue":"5","issued":{"date-parts":[["2012"]]},"page":"4349-4368","title":"Use of metal oxide nanoparticle band gap to develop a predictive paradigm for oxidative stress and acute pulmonary inflammation","type":"article-journal","volume":"6"},"uris":["http://www.mendeley.com/documents/?uuid=01504e3f-6499-4ecf-a397-0fb4e09da17c","http://www.mendeley.com/documents/?uuid=e068791c-40d1-46cf-bfce-06a540625e70"]}],"mendeley":{"formattedCitation":"&lt;sup&gt;114&lt;/sup&gt;","plainTextFormattedCitation":"114","previouslyFormattedCitation":"&lt;sup&gt;114&lt;/sup&gt;"},"properties":{"noteIndex":0},"schema":"https://github.com/citation-style-language/schema/raw/master/csl-citation.json"}</w:instrText>
            </w:r>
            <w:r w:rsidRPr="008E5B32">
              <w:fldChar w:fldCharType="separate"/>
            </w:r>
            <w:r w:rsidR="004C12A8" w:rsidRPr="008E5B32">
              <w:rPr>
                <w:noProof/>
                <w:vertAlign w:val="superscript"/>
                <w:lang w:val="en-GB"/>
              </w:rPr>
              <w:t>114</w:t>
            </w:r>
            <w:r w:rsidRPr="008E5B32">
              <w:fldChar w:fldCharType="end"/>
            </w:r>
          </w:p>
        </w:tc>
        <w:tc>
          <w:tcPr>
            <w:tcW w:w="1620" w:type="dxa"/>
          </w:tcPr>
          <w:p w14:paraId="7278D30F"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w:t>
            </w:r>
            <w:r w:rsidRPr="008E5B32">
              <w:rPr>
                <w:i/>
                <w:iCs/>
                <w:lang w:val="en-GB"/>
              </w:rPr>
              <w:t>Random Forests</w:t>
            </w:r>
            <w:r w:rsidRPr="008E5B32">
              <w:rPr>
                <w:lang w:val="en-GB"/>
              </w:rPr>
              <w:t>)</w:t>
            </w:r>
          </w:p>
        </w:tc>
        <w:tc>
          <w:tcPr>
            <w:tcW w:w="540" w:type="dxa"/>
          </w:tcPr>
          <w:p w14:paraId="2045DE43" w14:textId="77777777" w:rsidR="000777BE" w:rsidRPr="008E5B32" w:rsidRDefault="000777BE" w:rsidP="000777BE">
            <w:pPr>
              <w:jc w:val="center"/>
              <w:rPr>
                <w:rFonts w:ascii="Segoe UI Symbol" w:hAnsi="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336C74E6"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62CD7D1C"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0045880C" w14:textId="0B716DA1" w:rsidR="000777BE" w:rsidRPr="008E5B32" w:rsidRDefault="000777BE" w:rsidP="000777BE">
            <w:pPr>
              <w:jc w:val="center"/>
              <w:rPr>
                <w:color w:val="222222"/>
                <w:szCs w:val="18"/>
                <w:shd w:val="clear" w:color="auto" w:fill="FFFFFF"/>
                <w:lang w:val="en-GB"/>
              </w:rPr>
            </w:pPr>
            <w:r w:rsidRPr="008E5B32">
              <w:rPr>
                <w:color w:val="222222"/>
                <w:shd w:val="clear" w:color="auto" w:fill="FFFFFF"/>
                <w:lang w:val="en-GB"/>
              </w:rPr>
              <w:t>(Minimum-cost-tree of variable importance)</w:t>
            </w:r>
          </w:p>
        </w:tc>
        <w:tc>
          <w:tcPr>
            <w:tcW w:w="1350" w:type="dxa"/>
          </w:tcPr>
          <w:p w14:paraId="0680E4EB" w14:textId="77777777" w:rsidR="000777BE" w:rsidRPr="008E5B32" w:rsidRDefault="000777BE" w:rsidP="000777BE">
            <w:pPr>
              <w:jc w:val="center"/>
              <w:rPr>
                <w:lang w:val="en-GB"/>
              </w:rPr>
            </w:pPr>
            <w:r w:rsidRPr="008E5B32">
              <w:rPr>
                <w:rFonts w:ascii="Segoe UI Symbol" w:hAnsi="Segoe UI Symbol" w:cs="Segoe UI Symbol"/>
                <w:szCs w:val="18"/>
                <w:lang w:val="en-GB"/>
              </w:rPr>
              <w:t>✗</w:t>
            </w:r>
          </w:p>
        </w:tc>
        <w:tc>
          <w:tcPr>
            <w:tcW w:w="581" w:type="dxa"/>
          </w:tcPr>
          <w:p w14:paraId="19DAB376"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0777BE" w:rsidRPr="008E5B32" w14:paraId="34C99495" w14:textId="77777777" w:rsidTr="00D6682C">
        <w:tc>
          <w:tcPr>
            <w:tcW w:w="426" w:type="dxa"/>
          </w:tcPr>
          <w:p w14:paraId="4ABA1810" w14:textId="060C6CD0" w:rsidR="000777BE" w:rsidRPr="008E5B32" w:rsidRDefault="000777BE" w:rsidP="000777BE">
            <w:pPr>
              <w:rPr>
                <w:lang w:val="en-GB"/>
              </w:rPr>
            </w:pPr>
            <w:r w:rsidRPr="008E5B32">
              <w:fldChar w:fldCharType="begin" w:fldLock="1"/>
            </w:r>
            <w:r w:rsidR="00434385" w:rsidRPr="008E5B32">
              <w:rPr>
                <w:lang w:val="en-GB"/>
              </w:rPr>
              <w:instrText>ADDIN CSL_CITATION {"citationItems":[{"id":"ITEM-1","itemData":{"DOI":"10.1039/c4ra07756c","ISSN":"20462069","abstract":"&lt;p&gt;A QNAR model, available online through Enalos InSilicoNano platform, has been developed and validated for the risk assessment of nanoparticles (NPs).&lt;/p&gt;","author":[{"dropping-particle":"","family":"Melagraki","given":"Georgia","non-dropping-particle":"","parse-names":false,"suffix":""},{"dropping-particle":"","family":"Afantitis","given":"Antreas","non-dropping-particle":"","parse-names":false,"suffix":""}],"container-title":"RSC Advances","id":"ITEM-1","issued":{"date-parts":[["2014"]]},"title":"Enalos InSilicoNano platform: An online decision support tool for the design and virtual screening of nanoparticles","type":"article-journal"},"uris":["http://www.mendeley.com/documents/?uuid=b7ec25b8-e866-468f-ac02-442665a4406e","http://www.mendeley.com/documents/?uuid=9f4e741e-d90e-4fdc-97bf-1263ebd02774","http://www.mendeley.com/documents/?uuid=a083dddb-a719-4d50-a39d-146f67125e78"]}],"mendeley":{"formattedCitation":"&lt;sup&gt;130&lt;/sup&gt;","plainTextFormattedCitation":"130","previouslyFormattedCitation":"&lt;sup&gt;130&lt;/sup&gt;"},"properties":{"noteIndex":0},"schema":"https://github.com/citation-style-language/schema/raw/master/csl-citation.json"}</w:instrText>
            </w:r>
            <w:r w:rsidRPr="008E5B32">
              <w:fldChar w:fldCharType="separate"/>
            </w:r>
            <w:r w:rsidR="004C12A8" w:rsidRPr="008E5B32">
              <w:rPr>
                <w:noProof/>
                <w:vertAlign w:val="superscript"/>
                <w:lang w:val="en-GB"/>
              </w:rPr>
              <w:t>130</w:t>
            </w:r>
            <w:r w:rsidRPr="008E5B32">
              <w:fldChar w:fldCharType="end"/>
            </w:r>
          </w:p>
        </w:tc>
        <w:tc>
          <w:tcPr>
            <w:tcW w:w="4536" w:type="dxa"/>
          </w:tcPr>
          <w:p w14:paraId="6039E837" w14:textId="77777777" w:rsidR="000777BE" w:rsidRPr="008E5B32" w:rsidRDefault="000777BE" w:rsidP="00A2245A">
            <w:pPr>
              <w:jc w:val="both"/>
              <w:rPr>
                <w:lang w:val="en-GB"/>
              </w:rPr>
            </w:pPr>
            <w:r w:rsidRPr="008E5B32">
              <w:rPr>
                <w:lang w:val="en-GB"/>
              </w:rPr>
              <w:t xml:space="preserve">QSAR model for the prediction of the cellular uptake of </w:t>
            </w:r>
            <w:r w:rsidR="00A2245A" w:rsidRPr="008E5B32">
              <w:rPr>
                <w:lang w:val="en-GB"/>
              </w:rPr>
              <w:t>NMs</w:t>
            </w:r>
            <w:r w:rsidRPr="008E5B32">
              <w:rPr>
                <w:lang w:val="en-GB"/>
              </w:rPr>
              <w:t xml:space="preserve"> in pancreatic cancer cells using SMILES descriptors. The workflow was made available online through the Enalos InSilicoNano platform </w:t>
            </w:r>
            <w:r w:rsidRPr="008E5B32">
              <w:rPr>
                <w:rStyle w:val="FootnoteReference"/>
              </w:rPr>
              <w:footnoteReference w:id="8"/>
            </w:r>
            <w:r w:rsidRPr="008E5B32">
              <w:rPr>
                <w:lang w:val="en-GB"/>
              </w:rPr>
              <w:t>.</w:t>
            </w:r>
          </w:p>
        </w:tc>
        <w:tc>
          <w:tcPr>
            <w:tcW w:w="2268" w:type="dxa"/>
          </w:tcPr>
          <w:p w14:paraId="288E6DFC"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7B1E1484"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lang w:val="en-GB"/>
              </w:rPr>
              <w:t>(Cellular uptake in PaCa2 cell lines)</w:t>
            </w:r>
          </w:p>
        </w:tc>
        <w:tc>
          <w:tcPr>
            <w:tcW w:w="960" w:type="dxa"/>
          </w:tcPr>
          <w:p w14:paraId="4C060017" w14:textId="624C7521" w:rsidR="000777BE" w:rsidRPr="008E5B32" w:rsidRDefault="000777BE" w:rsidP="000777BE">
            <w:pPr>
              <w:jc w:val="center"/>
            </w:pPr>
            <w:r w:rsidRPr="008E5B32">
              <w:t xml:space="preserve">109 </w:t>
            </w:r>
            <w:r w:rsidRPr="008E5B32">
              <w:fldChar w:fldCharType="begin" w:fldLock="1"/>
            </w:r>
            <w:r w:rsidR="00434385" w:rsidRPr="008E5B32">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fldChar w:fldCharType="separate"/>
            </w:r>
            <w:r w:rsidR="004C12A8" w:rsidRPr="008E5B32">
              <w:rPr>
                <w:noProof/>
                <w:vertAlign w:val="superscript"/>
              </w:rPr>
              <w:t>102</w:t>
            </w:r>
            <w:r w:rsidRPr="008E5B32">
              <w:fldChar w:fldCharType="end"/>
            </w:r>
          </w:p>
        </w:tc>
        <w:tc>
          <w:tcPr>
            <w:tcW w:w="1620" w:type="dxa"/>
          </w:tcPr>
          <w:p w14:paraId="1D3E612D"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(kNN)</w:t>
            </w:r>
          </w:p>
        </w:tc>
        <w:tc>
          <w:tcPr>
            <w:tcW w:w="540" w:type="dxa"/>
          </w:tcPr>
          <w:p w14:paraId="7D22C79F"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3A511B85"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5499816D"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br/>
              <w:t>(Distance based)</w:t>
            </w:r>
          </w:p>
        </w:tc>
        <w:tc>
          <w:tcPr>
            <w:tcW w:w="1350" w:type="dxa"/>
          </w:tcPr>
          <w:p w14:paraId="200710B6"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4A18CEFD"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hAnsi="Segoe UI Symbol" w:cs="Segoe UI Symbol"/>
                <w:szCs w:val="18"/>
              </w:rPr>
              <w:t>✗</w:t>
            </w:r>
          </w:p>
        </w:tc>
      </w:tr>
      <w:tr w:rsidR="000777BE" w:rsidRPr="008E5B32" w14:paraId="0D8DDD00" w14:textId="77777777" w:rsidTr="00D6682C">
        <w:tc>
          <w:tcPr>
            <w:tcW w:w="426" w:type="dxa"/>
          </w:tcPr>
          <w:p w14:paraId="3455D559" w14:textId="29B9E5EC" w:rsidR="000777BE" w:rsidRPr="008E5B32" w:rsidRDefault="000777BE" w:rsidP="000777BE">
            <w:r w:rsidRPr="008E5B32">
              <w:fldChar w:fldCharType="begin" w:fldLock="1"/>
            </w:r>
            <w:r w:rsidR="00434385" w:rsidRPr="008E5B32">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Pr="008E5B32">
              <w:fldChar w:fldCharType="separate"/>
            </w:r>
            <w:r w:rsidR="004C12A8" w:rsidRPr="008E5B32">
              <w:rPr>
                <w:noProof/>
                <w:vertAlign w:val="superscript"/>
              </w:rPr>
              <w:t>85</w:t>
            </w:r>
            <w:r w:rsidRPr="008E5B32">
              <w:fldChar w:fldCharType="end"/>
            </w:r>
          </w:p>
        </w:tc>
        <w:tc>
          <w:tcPr>
            <w:tcW w:w="4536" w:type="dxa"/>
          </w:tcPr>
          <w:p w14:paraId="5BE67A2B" w14:textId="2DA5D3E7" w:rsidR="000777BE" w:rsidRPr="008E5B32" w:rsidRDefault="000777BE" w:rsidP="000777BE">
            <w:pPr>
              <w:jc w:val="both"/>
              <w:rPr>
                <w:lang w:val="en-GB"/>
              </w:rPr>
            </w:pPr>
            <w:r w:rsidRPr="008E5B32">
              <w:rPr>
                <w:lang w:val="en-GB"/>
              </w:rPr>
              <w:t>Characterization of the protein serum corona fingerprint of gold NMs, that have been used</w:t>
            </w:r>
            <w:r w:rsidR="00BD4886" w:rsidRPr="008E5B32">
              <w:rPr>
                <w:lang w:val="en-GB"/>
              </w:rPr>
              <w:t xml:space="preserve"> as descriptors</w:t>
            </w:r>
            <w:r w:rsidRPr="008E5B32">
              <w:rPr>
                <w:lang w:val="en-GB"/>
              </w:rPr>
              <w:t xml:space="preserve"> to predict cell association. Performance of the model have been compared against another one that used only size, aggregation state and surface charge, resulting to be 50% more accurate.</w:t>
            </w:r>
          </w:p>
        </w:tc>
        <w:tc>
          <w:tcPr>
            <w:tcW w:w="2268" w:type="dxa"/>
          </w:tcPr>
          <w:p w14:paraId="33E99E5C"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246D07FD"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lang w:val="en-GB"/>
              </w:rPr>
              <w:t>(Cell association in A549 cells)</w:t>
            </w:r>
          </w:p>
        </w:tc>
        <w:tc>
          <w:tcPr>
            <w:tcW w:w="960" w:type="dxa"/>
          </w:tcPr>
          <w:p w14:paraId="05D84337" w14:textId="77777777" w:rsidR="000777BE" w:rsidRPr="008E5B32" w:rsidRDefault="000777BE" w:rsidP="000777BE">
            <w:pPr>
              <w:jc w:val="center"/>
            </w:pPr>
            <w:r w:rsidRPr="008E5B32">
              <w:t>105</w:t>
            </w:r>
          </w:p>
        </w:tc>
        <w:tc>
          <w:tcPr>
            <w:tcW w:w="1620" w:type="dxa"/>
          </w:tcPr>
          <w:p w14:paraId="54974156"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(PLS regression)</w:t>
            </w:r>
          </w:p>
        </w:tc>
        <w:tc>
          <w:tcPr>
            <w:tcW w:w="540" w:type="dxa"/>
          </w:tcPr>
          <w:p w14:paraId="49B26E76" w14:textId="77777777" w:rsidR="000777BE" w:rsidRPr="008E5B32" w:rsidRDefault="000777BE" w:rsidP="000777BE">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5D44861F"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28DA4AA0" w14:textId="77777777" w:rsidR="000777BE" w:rsidRPr="008E5B32" w:rsidRDefault="000777BE" w:rsidP="000777BE">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596D9D29"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5D332135"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3EB3A569" w14:textId="77777777" w:rsidTr="00D6682C">
        <w:tc>
          <w:tcPr>
            <w:tcW w:w="426" w:type="dxa"/>
          </w:tcPr>
          <w:p w14:paraId="16640E50" w14:textId="64A5FEAE" w:rsidR="000777BE" w:rsidRPr="008E5B32" w:rsidRDefault="000777BE" w:rsidP="000777BE">
            <w:pPr>
              <w:rPr>
                <w:lang w:val="en-GB"/>
              </w:rPr>
            </w:pPr>
            <w:r w:rsidRPr="008E5B32">
              <w:fldChar w:fldCharType="begin" w:fldLock="1"/>
            </w:r>
            <w:r w:rsidR="00434385" w:rsidRPr="008E5B32">
              <w:instrText>ADDIN CSL_CITATION {"citationItems":[{"id":"ITEM-1","itemData":{"DOI":"10.1021/es504259s","ISBN":"0013-936X","ISSN":"15205851","PMID":"25563693","abstract":"Metal oxide nanoparticles (MOx NPs) are used for a host of applications, such as electronics, cosmetics, construction, and medicine, and as a result, the safety of these materials to humans and the environment is of considerable interest. A prior study of 24 MOx NPs in mammalian cells revealed that some of these materials show hazard potential. Here, we report the growth inhibitory effects of the same series of MOx NPs in the bacterium Escherichia coli and show that toxicity trends observed in E. coli parallel those seen previously in mammalian cells. Of the 24 materials studied, only ZnO, CuO, CoO, Mn2O3, Co3O4, Ni2O3, and Cr2O3 were found to exert significant growth inhibitory effects; these effects were found to relate to membrane damage and oxidative stress responses in minimal trophic media. A correlation of the toxicological data with physicochemical parameters of MOx NPs revealed that the probability of a MOx NP being toxic increases as the hydration enthalpy becomes less negative and as the conduction band energy approaches those of biological molecules. These observations are consistent with prior results observed in mammalian cells, revealing that mechanisms of toxicity of MOx NPs are consistent across two very different taxa. These results suggest that studying nanotoxicity in E. coli may help to predict toxicity patterns in higher organisms.","author":[{"dropping-particle":"","family":"Kaweeteerawat","given":"Chitrada","non-dropping-particle":"","parse-names":false,"suffix":""},{"dropping-particle":"","family":"Ivask","given":"Angela","non-dropping-particle":"","parse-names":false,"suffix":""},{"dropping-particle":"","family":"Liu","given":"Rong","non-dropping-particle":"","parse-names":false,"suffix":""},{"dropping-particle":"","family":"Zhang","given":"Haiyuan","non-dropping-particle":"","parse-names":false,"suffix":""},{"dropping-particle":"","family":"Chang","given":"Chong Hyun","non-dropping-particle":"","parse-names":false,"suffix":""},{"dropping-particle":"","family":"Low-Kam","given":"Cecile","non-dropping-particle":"","parse-names":false,"suffix":""},{"dropping-particle":"","family":"Fischer","given":"Heidi","non-dropping-particle":"","parse-names":false,"suffix":""},{"dropping-particle":"","family":"Ji","given":"Zhaoxia","non-dropping-particle":"","parse-names":false,"suffix":""},{"dropping-particle":"","family":"Pokhrel","given":"Suman","non-dropping-particle":"","parse-names":false,"suffix":""},{"dropping-particle":"","family":"Cohen","given":"Yoram","non-dropping-particle":"","p</w:instrText>
            </w:r>
            <w:r w:rsidR="00434385" w:rsidRPr="008E5B32">
              <w:rPr>
                <w:lang w:val="en-US"/>
              </w:rPr>
              <w:instrText>arse-names":false,"suffix":""},{"dropping-particle":"","family":"Telesca","given":"Donatello","non-dropping-particle":"","parse-names":false,"suffix":""},{"dropping-particle":"","family":"Zink","given":"Jeffrey","non-dropping-particle":"","parse-names":false,"suffix":""},{"dropping-particle":"","family":"Mädler","given":"Lutz","non-dropping-particle":"","parse-names":false,"suffix":""},{"dropping-particle":"","family":"Holden","given":"Patricia A.","non-dropping-particle":"","parse-names":false,"suffix":""},{"dropping-particle":"","family":"Nel","given":"Andre","non-dropping-particle":"","parse-names":false,"suffix":""},{"dropping-particle":"","family":"Godwin","given":"Hilary","non-dropping-particle":"","parse-names":false,"suffix":""}],"container-title":"Environmental Science and Technology","id":"ITEM-1","issued":{"date-parts":[["2015"]]},"title":"Toxicity of metal oxide nanoparticles in Escherichia coli correlates with conduction band and hydration energies","type":"article-journal"},"uris":["http://www.mendeley.com/documents/?uuid=20a02e71-790a-47e8-b338-edc6facfba47","http://www.mendeley.com/documents/?uuid=2bb6009d-647d-4692-88f8-9179e7c8ed35","http://www.mendeley.com/documents/?uuid=f630ad02-ddff-4a3d-90d6-9c6b355ce970"]}],"mendeley":{"formattedCitation":"&lt;sup&gt;90&lt;/sup&gt;","plainTextFormattedCitation":"90","previouslyFormattedCitation":"&lt;sup&gt;90&lt;/sup&gt;"},"properties":{"noteIndex":0},"schema":"https://github.com/citation-style-language/schema/raw/master/csl-citation.json"}</w:instrText>
            </w:r>
            <w:r w:rsidRPr="008E5B32">
              <w:fldChar w:fldCharType="separate"/>
            </w:r>
            <w:r w:rsidR="004C12A8" w:rsidRPr="008E5B32">
              <w:rPr>
                <w:noProof/>
                <w:vertAlign w:val="superscript"/>
                <w:lang w:val="en-GB"/>
              </w:rPr>
              <w:t>90</w:t>
            </w:r>
            <w:r w:rsidRPr="008E5B32">
              <w:fldChar w:fldCharType="end"/>
            </w:r>
          </w:p>
        </w:tc>
        <w:tc>
          <w:tcPr>
            <w:tcW w:w="4536" w:type="dxa"/>
          </w:tcPr>
          <w:p w14:paraId="1785C737" w14:textId="4B739BE0" w:rsidR="000777BE" w:rsidRPr="008E5B32" w:rsidRDefault="000777BE" w:rsidP="00A2245A">
            <w:pPr>
              <w:jc w:val="both"/>
              <w:rPr>
                <w:lang w:val="en-GB"/>
              </w:rPr>
            </w:pPr>
            <w:r w:rsidRPr="008E5B32">
              <w:rPr>
                <w:lang w:val="en-GB"/>
              </w:rPr>
              <w:t xml:space="preserve">Investigation of the growth inhibitory for a set of metal oxide NMs in the bacterium </w:t>
            </w:r>
            <w:r w:rsidRPr="008E5B32">
              <w:rPr>
                <w:i/>
                <w:lang w:val="en-GB"/>
              </w:rPr>
              <w:t>E</w:t>
            </w:r>
            <w:r w:rsidR="00123621" w:rsidRPr="008E5B32">
              <w:rPr>
                <w:i/>
                <w:lang w:val="en-GB"/>
              </w:rPr>
              <w:t>.</w:t>
            </w:r>
            <w:r w:rsidRPr="008E5B32">
              <w:rPr>
                <w:i/>
                <w:lang w:val="en-GB"/>
              </w:rPr>
              <w:t xml:space="preserve"> Coli</w:t>
            </w:r>
            <w:r w:rsidRPr="008E5B32">
              <w:rPr>
                <w:lang w:val="en-GB"/>
              </w:rPr>
              <w:t>. The resulting model used as descriptors the conduction band energy levels and the hydration enthalpy.</w:t>
            </w:r>
          </w:p>
        </w:tc>
        <w:tc>
          <w:tcPr>
            <w:tcW w:w="2268" w:type="dxa"/>
          </w:tcPr>
          <w:p w14:paraId="02384CA5"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44E10A3E"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w:t>
            </w:r>
          </w:p>
        </w:tc>
        <w:tc>
          <w:tcPr>
            <w:tcW w:w="960" w:type="dxa"/>
          </w:tcPr>
          <w:p w14:paraId="0852BE20" w14:textId="77777777" w:rsidR="000777BE" w:rsidRPr="008E5B32" w:rsidRDefault="000777BE" w:rsidP="000777BE">
            <w:pPr>
              <w:jc w:val="center"/>
              <w:rPr>
                <w:lang w:val="en-GB"/>
              </w:rPr>
            </w:pPr>
            <w:r w:rsidRPr="008E5B32">
              <w:rPr>
                <w:lang w:val="en-GB"/>
              </w:rPr>
              <w:t>24</w:t>
            </w:r>
          </w:p>
        </w:tc>
        <w:tc>
          <w:tcPr>
            <w:tcW w:w="1620" w:type="dxa"/>
          </w:tcPr>
          <w:p w14:paraId="695494AF"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p w14:paraId="6CD8ED37" w14:textId="77777777" w:rsidR="000777BE" w:rsidRPr="008E5B32" w:rsidRDefault="000777BE" w:rsidP="000777BE">
            <w:pPr>
              <w:jc w:val="center"/>
              <w:rPr>
                <w:i/>
                <w:lang w:val="en-GB"/>
              </w:rPr>
            </w:pPr>
            <w:r w:rsidRPr="008E5B32">
              <w:rPr>
                <w:lang w:val="en-GB"/>
              </w:rPr>
              <w:t>(</w:t>
            </w:r>
            <w:r w:rsidRPr="008E5B32">
              <w:rPr>
                <w:i/>
                <w:lang w:val="en-GB"/>
              </w:rPr>
              <w:t xml:space="preserve">SVM </w:t>
            </w:r>
            <w:r w:rsidR="00245A4B" w:rsidRPr="008E5B32">
              <w:rPr>
                <w:i/>
                <w:lang w:val="en-GB"/>
              </w:rPr>
              <w:t>c</w:t>
            </w:r>
            <w:r w:rsidRPr="008E5B32">
              <w:rPr>
                <w:i/>
                <w:lang w:val="en-GB"/>
              </w:rPr>
              <w:t>lassifier)</w:t>
            </w:r>
          </w:p>
          <w:p w14:paraId="5911498B"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p>
        </w:tc>
        <w:tc>
          <w:tcPr>
            <w:tcW w:w="540" w:type="dxa"/>
          </w:tcPr>
          <w:p w14:paraId="073F4F5D"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hAnsi="Segoe UI Symbol" w:cs="Segoe UI Symbol"/>
                <w:szCs w:val="18"/>
                <w:lang w:val="en-GB"/>
              </w:rPr>
              <w:t>✗</w:t>
            </w:r>
          </w:p>
        </w:tc>
        <w:tc>
          <w:tcPr>
            <w:tcW w:w="540" w:type="dxa"/>
          </w:tcPr>
          <w:p w14:paraId="22D44B8C"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szCs w:val="18"/>
                <w:lang w:val="en-GB"/>
              </w:rPr>
              <w:t>≈</w:t>
            </w:r>
          </w:p>
        </w:tc>
        <w:tc>
          <w:tcPr>
            <w:tcW w:w="1350" w:type="dxa"/>
          </w:tcPr>
          <w:p w14:paraId="45630C81"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hAnsi="Segoe UI Symbol" w:cs="Segoe UI Symbol"/>
                <w:szCs w:val="18"/>
                <w:lang w:val="en-GB"/>
              </w:rPr>
              <w:t>✗</w:t>
            </w:r>
          </w:p>
        </w:tc>
        <w:tc>
          <w:tcPr>
            <w:tcW w:w="1350" w:type="dxa"/>
          </w:tcPr>
          <w:p w14:paraId="03E3981E" w14:textId="77777777" w:rsidR="000777BE" w:rsidRPr="008E5B32" w:rsidRDefault="000777BE" w:rsidP="000777BE">
            <w:pPr>
              <w:jc w:val="center"/>
              <w:rPr>
                <w:lang w:val="en-GB"/>
              </w:rPr>
            </w:pPr>
            <w:r w:rsidRPr="008E5B32">
              <w:rPr>
                <w:szCs w:val="18"/>
                <w:lang w:val="en-GB"/>
              </w:rPr>
              <w:t>≈</w:t>
            </w:r>
            <w:r w:rsidRPr="008E5B32">
              <w:rPr>
                <w:lang w:val="en-GB"/>
              </w:rPr>
              <w:t xml:space="preserve"> </w:t>
            </w:r>
          </w:p>
          <w:p w14:paraId="4D4F75EA" w14:textId="1677CDF0" w:rsidR="000777BE" w:rsidRPr="008E5B32" w:rsidRDefault="000777BE" w:rsidP="000777BE">
            <w:pPr>
              <w:jc w:val="center"/>
              <w:rPr>
                <w:rFonts w:ascii="Segoe UI Symbol" w:hAnsi="Segoe UI Symbol" w:cs="Segoe UI Symbol"/>
                <w:szCs w:val="18"/>
                <w:lang w:val="en-GB"/>
              </w:rPr>
            </w:pPr>
            <w:r w:rsidRPr="008E5B32">
              <w:rPr>
                <w:lang w:val="en-GB"/>
              </w:rPr>
              <w:t xml:space="preserve"> (</w:t>
            </w:r>
            <w:r w:rsidR="00DF2866" w:rsidRPr="008E5B32">
              <w:rPr>
                <w:lang w:val="en-GB"/>
              </w:rPr>
              <w:t>Assessment</w:t>
            </w:r>
            <w:r w:rsidRPr="008E5B32">
              <w:rPr>
                <w:lang w:val="en-GB"/>
              </w:rPr>
              <w:t xml:space="preserve"> of the decision boundaries)</w:t>
            </w:r>
          </w:p>
        </w:tc>
        <w:tc>
          <w:tcPr>
            <w:tcW w:w="581" w:type="dxa"/>
          </w:tcPr>
          <w:p w14:paraId="7C6B62A1"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r>
      <w:tr w:rsidR="000777BE" w:rsidRPr="008E5B32" w14:paraId="021BD896" w14:textId="77777777" w:rsidTr="00D6682C">
        <w:tc>
          <w:tcPr>
            <w:tcW w:w="426" w:type="dxa"/>
          </w:tcPr>
          <w:p w14:paraId="0CDD8EC8" w14:textId="017DF02B" w:rsidR="000777BE" w:rsidRPr="008E5B32" w:rsidRDefault="000777BE" w:rsidP="000777BE">
            <w:r w:rsidRPr="008E5B32">
              <w:fldChar w:fldCharType="begin" w:fldLock="1"/>
            </w:r>
            <w:r w:rsidR="00434385" w:rsidRPr="008E5B32">
              <w:rPr>
                <w:lang w:val="en-GB"/>
              </w:rPr>
              <w:instrText>ADDIN CSL_CITATION {"citationItems":[{"id":"ITEM-1","itemData":{"DOI":"10.1039/C5RA06198A","ISSN":"2046-2069","abstract":"&lt;p&gt;A nano-quantitative structure-activity relationship (nano-QSAR) model is proposed to indicate the determining factors responsible in the exocytosis of gold nanoparticles in macrophages.&lt;/p&gt;","author":[{"dropping-particle":"","family":"Bigdeli","given":"Arafeh","non-dropping-particle":"","parse-names":false,"suffix":""},{"dropping-particle":"","family":"Hormozi-Nezhad","given":"Mohammad Reza","non-dropping-particle":"","parse-names":false,"suffix":""},{"dropping-particle":"","family":"Parastar","given":"Hadi","non-dropping-particle":"","parse-names":false,"suffix":""}],"container-title":"RSC Adv.","id":"ITEM-1","issue":"70","issued":{"date-parts":[["2015"]]},"page":"57030-57037","title":"Using nano-QSAR to determine the most responsible factor(s) in gold nanoparticle exocytosis","type":"article-journal","volume":"5"},"uris":["http://www.mendeley.com/documents/?uuid=c6c37caf-7c0d-4f60-a606-3bffaee90b65"]}],"mendeley":{"formattedCitation":"&lt;sup&gt;131&lt;/sup&gt;","plainTextFormattedCitation":"131","previouslyFormattedCitation":"&lt;sup&gt;131&lt;/sup&gt;"},"properties":{"noteIndex":0},"schema":"https://github.com/citation-style-language/schema/raw/master/csl-citation.json"}</w:instrText>
            </w:r>
            <w:r w:rsidRPr="008E5B32">
              <w:fldChar w:fldCharType="separate"/>
            </w:r>
            <w:r w:rsidR="004C12A8" w:rsidRPr="008E5B32">
              <w:rPr>
                <w:noProof/>
                <w:vertAlign w:val="superscript"/>
              </w:rPr>
              <w:t>131</w:t>
            </w:r>
            <w:r w:rsidRPr="008E5B32">
              <w:fldChar w:fldCharType="end"/>
            </w:r>
          </w:p>
        </w:tc>
        <w:tc>
          <w:tcPr>
            <w:tcW w:w="4536" w:type="dxa"/>
          </w:tcPr>
          <w:p w14:paraId="2ABB35C5" w14:textId="77777777" w:rsidR="000777BE" w:rsidRPr="008E5B32" w:rsidRDefault="000777BE" w:rsidP="000777BE">
            <w:pPr>
              <w:jc w:val="both"/>
              <w:rPr>
                <w:lang w:val="en-GB"/>
              </w:rPr>
            </w:pPr>
            <w:r w:rsidRPr="008E5B32">
              <w:rPr>
                <w:lang w:val="en-GB"/>
              </w:rPr>
              <w:t xml:space="preserve">Investigation on the most responsible factors in gold NMs exocytosis in macrophages, using TEM extracted, experimental parameters and combinatorial descriptors. </w:t>
            </w:r>
          </w:p>
        </w:tc>
        <w:tc>
          <w:tcPr>
            <w:tcW w:w="2268" w:type="dxa"/>
          </w:tcPr>
          <w:p w14:paraId="6B0A995C"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p w14:paraId="10AA539D"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(Exocytosis in macrophages)</w:t>
            </w:r>
          </w:p>
        </w:tc>
        <w:tc>
          <w:tcPr>
            <w:tcW w:w="960" w:type="dxa"/>
          </w:tcPr>
          <w:p w14:paraId="715664CE" w14:textId="6459193A" w:rsidR="000777BE" w:rsidRPr="008E5B32" w:rsidRDefault="000777BE" w:rsidP="000777BE">
            <w:pPr>
              <w:jc w:val="center"/>
            </w:pPr>
            <w:r w:rsidRPr="008E5B32">
              <w:t xml:space="preserve">12 </w:t>
            </w:r>
            <w:r w:rsidRPr="008E5B32">
              <w:fldChar w:fldCharType="begin" w:fldLock="1"/>
            </w:r>
            <w:r w:rsidR="00434385" w:rsidRPr="008E5B32">
              <w:instrText>ADDIN CSL_CITATION {"citationItems":[{"id":"ITEM-1","itemData":{"DOI":"10.1021/nn501668a","ISBN":"1936-0851","ISSN":"1936086X","PMID":"24836308","abstract":"Significant quantities of synthetic nanoparticles circulating in the body are cleared and retained long in the resident macrophages of the mononuclear phagocytic system (MPS), increasing the likelihood of nanoparticle-mediated chronic toxicity. To date, there has been limited effort to understand how these nanoparticles leave the macrophages. Here, we demonstrate that the native surface chemistries of gold nanoparticles (GNPs) and their subsequent opsonization by serum proteins play critical roles in the exocytosis patterns in macrophages. The cationic GNPs were retained in the cells for a relatively long time, likely due to their intracellular agglomeration. Contrarily, the PEGylated GNPs migrated in the cytoplasm in the form of individual particles and exited the cells rapidly because the PEG coating mitigated interactions between GNPs and intracellular proteins. Additionally, their exocytosis pattern was not significantly governed by the size, particularly in the range from 10 to 40 nm. These results suggest that systemic excretion and toxicity of nanoparticles cleared in the MPS could be modulated by engineering their surface chemistry.","author":[{"dropping-particle":"","family":"Oh","given":"Nuri","non-dropping-particle":"","parse-names":false,"suffix":""},{"dropping-particle":"","family":"Park","given":"Ji Ho","non-dropping-particle":"","parse-names":false,"suffix":""}],"container-title":"ACS Nano","id":"ITEM-1","issue":"6","issued":{"date-parts":[["2014"]]},"page":"6232-6241","title":"Surface chemistry of gold nanoparticles mediates their exocytosis in macrophages","type":"article-journal","volume":"8"},"uris":["http://www.mendeley.com/documents/?uuid=6c086184-c753-4802-89a2-576f6535e62b","http://www.mendeley.com/documents/?uuid=9bc4d92e-4572-42af-82ec-108737fafd65"]}],"mendeley":{"formattedCitation":"&lt;sup&gt;132&lt;/sup&gt;","plainTextFormattedCitation":"132","previouslyFormattedCitation":"&lt;sup&gt;132&lt;/sup&gt;"},"properties":{"noteIndex":0},"schema":"https://github.com/citation-style-language/schema/raw/master/csl-citation.json"}</w:instrText>
            </w:r>
            <w:r w:rsidRPr="008E5B32">
              <w:fldChar w:fldCharType="separate"/>
            </w:r>
            <w:r w:rsidR="004C12A8" w:rsidRPr="008E5B32">
              <w:rPr>
                <w:noProof/>
                <w:vertAlign w:val="superscript"/>
              </w:rPr>
              <w:t>132</w:t>
            </w:r>
            <w:r w:rsidRPr="008E5B32">
              <w:fldChar w:fldCharType="end"/>
            </w:r>
          </w:p>
        </w:tc>
        <w:tc>
          <w:tcPr>
            <w:tcW w:w="1620" w:type="dxa"/>
          </w:tcPr>
          <w:p w14:paraId="1A662A9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(PLS regression)</w:t>
            </w:r>
          </w:p>
        </w:tc>
        <w:tc>
          <w:tcPr>
            <w:tcW w:w="540" w:type="dxa"/>
          </w:tcPr>
          <w:p w14:paraId="5C7C0711" w14:textId="77777777" w:rsidR="000777BE" w:rsidRPr="008E5B32" w:rsidRDefault="000777BE" w:rsidP="000777BE">
            <w:pPr>
              <w:jc w:val="center"/>
            </w:pPr>
            <w:r w:rsidRPr="008E5B32">
              <w:rPr>
                <w:szCs w:val="18"/>
              </w:rPr>
              <w:t>≈</w:t>
            </w:r>
            <w:r w:rsidRPr="008E5B32">
              <w:t xml:space="preserve"> </w:t>
            </w:r>
          </w:p>
        </w:tc>
        <w:tc>
          <w:tcPr>
            <w:tcW w:w="540" w:type="dxa"/>
          </w:tcPr>
          <w:p w14:paraId="1D2803D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232777AB" w14:textId="77777777" w:rsidR="000777BE" w:rsidRPr="008E5B32" w:rsidRDefault="000777BE" w:rsidP="000777BE">
            <w:pPr>
              <w:jc w:val="center"/>
            </w:pPr>
            <w:r w:rsidRPr="008E5B32">
              <w:rPr>
                <w:rFonts w:ascii="Segoe UI Symbol" w:hAnsi="Segoe UI Symbol" w:cs="Segoe UI Symbol"/>
                <w:szCs w:val="18"/>
              </w:rPr>
              <w:t>✗</w:t>
            </w:r>
          </w:p>
        </w:tc>
        <w:tc>
          <w:tcPr>
            <w:tcW w:w="1350" w:type="dxa"/>
          </w:tcPr>
          <w:p w14:paraId="3C268F92"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2E5EB39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r>
      <w:tr w:rsidR="000777BE" w:rsidRPr="008E5B32" w14:paraId="046384C5" w14:textId="77777777" w:rsidTr="00D6682C">
        <w:tc>
          <w:tcPr>
            <w:tcW w:w="426" w:type="dxa"/>
          </w:tcPr>
          <w:p w14:paraId="01509F3B" w14:textId="5DBE740F" w:rsidR="000777BE" w:rsidRPr="008E5B32" w:rsidRDefault="000777BE" w:rsidP="000777BE">
            <w:r w:rsidRPr="008E5B32">
              <w:fldChar w:fldCharType="begin" w:fldLock="1"/>
            </w:r>
            <w:r w:rsidR="00434385" w:rsidRPr="008E5B32">
              <w:instrText>ADDIN CSL_CITATION {"citationItems":[{"id":"ITEM-1","itemData":{"DOI":"10.3762/bjnano.6.192","ISSN":"21904286","abstract":"The use of data mining techniques in the field of nanomedicine has been very limited. In this paper we demonstrate that data mining techniques can be used for the development of predictive models of the cytotoxicity of poly(amido amine) (PAMAM) dendrimers using their chemical and structural properties. We present predictive models developed using 103 PAMAM dendrimer cytotoxicity values that were extracted from twelve cancer nanomedicine journal articles. The results indicate that data mining and machine learning can be effectively used to predict the cytotoxicity of PAMAM dendrimers on Caco-2 cells.","author":[{"dropping-particle":"","family":"Jones","given":"David E.","non-dropping-particle":"","parse-names":false,"suffix":""},{"dropping-particle":"","family":"Ghandehari","given":"Hamidreza","non-dropping-particle":"","parse-names":false,"suffix":""},{"dropping-particle":"","family":"Facelli","given":"Julio C.","non-dropping-particle":"","parse-names":false,"suffix":""}],"container-title":"Beilstein Journal of Nanotechnology","id":"ITEM-1","issue":"1","issued":{"date-parts":[["2015"]]},"page":"1886-1896","title":"Predicting cytotoxicity of PAMAM dendrimers using molecular descriptors","type":"article-journal","volume":"6"},"uris":["http://www.mendeley.com/documents/?uuid=5a504209-0bbb-456f-8221-ed59eb7b9041","http://www.mendeley.com/documents/?uuid=8f999da7-b031-4d3e-b300-5ea7ec0547cc"]}],"mendeley":{"formattedCitation":"&lt;sup&gt;133&lt;/sup&gt;","plainTextFormattedCitation":"133","previouslyFormattedCitation":"&lt;sup&gt;133&lt;/sup&gt;"},"properties":{"noteIndex":0},"schema":"https://github.com/citation-style-language/schema/raw/master/csl-citation.json"}</w:instrText>
            </w:r>
            <w:r w:rsidRPr="008E5B32">
              <w:fldChar w:fldCharType="separate"/>
            </w:r>
            <w:r w:rsidR="004C12A8" w:rsidRPr="008E5B32">
              <w:rPr>
                <w:noProof/>
                <w:vertAlign w:val="superscript"/>
              </w:rPr>
              <w:t>133</w:t>
            </w:r>
            <w:r w:rsidRPr="008E5B32">
              <w:fldChar w:fldCharType="end"/>
            </w:r>
          </w:p>
        </w:tc>
        <w:tc>
          <w:tcPr>
            <w:tcW w:w="4536" w:type="dxa"/>
          </w:tcPr>
          <w:p w14:paraId="0CF93869" w14:textId="2288A872" w:rsidR="000777BE" w:rsidRPr="008E5B32" w:rsidRDefault="000777BE" w:rsidP="000777BE">
            <w:pPr>
              <w:jc w:val="both"/>
              <w:rPr>
                <w:lang w:val="en-GB"/>
              </w:rPr>
            </w:pPr>
            <w:r w:rsidRPr="008E5B32">
              <w:rPr>
                <w:lang w:val="en-GB"/>
              </w:rPr>
              <w:t xml:space="preserve">Comparison of different </w:t>
            </w:r>
            <w:r w:rsidR="00B02C4E" w:rsidRPr="008E5B32">
              <w:rPr>
                <w:lang w:val="en-GB"/>
              </w:rPr>
              <w:t>classification</w:t>
            </w:r>
            <w:r w:rsidRPr="008E5B32">
              <w:rPr>
                <w:lang w:val="en-GB"/>
              </w:rPr>
              <w:t xml:space="preserve"> techniques to predict the cytotoxicity of poly (amino amine) (PAMAM) dendrimers using different chemical and structural </w:t>
            </w:r>
            <w:r w:rsidR="00BD4886" w:rsidRPr="008E5B32">
              <w:rPr>
                <w:lang w:val="en-GB"/>
              </w:rPr>
              <w:t>descriptors</w:t>
            </w:r>
            <w:r w:rsidRPr="008E5B32">
              <w:rPr>
                <w:lang w:val="en-GB"/>
              </w:rPr>
              <w:t xml:space="preserve">. Authors retrieved the data from 12 different nanomedicine journal articles using </w:t>
            </w:r>
            <w:r w:rsidRPr="008E5B32">
              <w:rPr>
                <w:szCs w:val="18"/>
                <w:lang w:val="en-GB"/>
              </w:rPr>
              <w:t>NanoSifter NLP as a tool for datamining</w:t>
            </w:r>
            <w:r w:rsidR="00CD0E75" w:rsidRPr="008E5B32">
              <w:rPr>
                <w:szCs w:val="18"/>
                <w:lang w:val="en-GB"/>
              </w:rPr>
              <w:t xml:space="preserve"> </w:t>
            </w:r>
            <w:r w:rsidRPr="008E5B32">
              <w:rPr>
                <w:szCs w:val="18"/>
              </w:rPr>
              <w:fldChar w:fldCharType="begin" w:fldLock="1"/>
            </w:r>
            <w:r w:rsidR="004C12A8" w:rsidRPr="008E5B32">
              <w:rPr>
                <w:szCs w:val="18"/>
                <w:lang w:val="en-GB"/>
              </w:rPr>
              <w:instrText>ADDIN CSL_CITATION {"citationItems":[{"id":"ITEM-1","itemData":{"DOI":"10.1371/journal.pone.0083932","ISBN":"1932-6203 (Electronic)\\r1932-6203 (Linking)","ISSN":"19326203","PMID":"24392101","abstract":"In this study, we demonstrate the use of natural language processing methods to extract, from nanomedicine literature, numeric values of biomedical property terms of poly(amidoamine) dendrimers. We have developed a method for extracting these values for properties taken from the NanoParticle Ontology, using the General Architecture for Text Engineering and a Nearly-New Information Extraction System. We also created a method for associating the identified numeric values with their corresponding dendrimer properties, called NanoSifter. We demonstrate that our system can correctly extract numeric values of dendrimer properties reported in the cancer treatment literature with high recall, precision, and f-measure. The micro-averaged recall was 0.99, precision was 0.84, and f-measure was 0.91. Similarly, the macro-averaged recall was 0.99, precision was 0.87, and f-measure was 0.92. To our knowledge, these results are the first application of text mining to extract and associate dendrimer property terms and their corresponding numeric values.","author":[{"dropping-particle":"","family":"Jones","given":"David E.","non-dropping-particle":"","parse-names":false,"suffix":""},{"dropping-particle":"","family":"Igo","given":"Sean","non-dropping-particle":"","parse-names":false,"suffix":""},{"dropping-particle":"","family":"Hurdle","given":"John","non-dropping-particle":"","parse-names":false,"suffix":""},{"dropping-particle":"","family":"Facelli","given":"Julio C.","non-dropping-particle":"","parse-names":false,"suffix":""}],"container-title":"PLoS ONE","id":"ITEM-1","issue":"1","issued":{"date-parts":[["2014"]]},"title":"Automatic Extraction of NanoParticle properties using natural language processing: NanoSifter an application to acquire pamam dendrimer properties","type":"article-journal","volume":"9"},"uris":["http://www.mendeley.com/documents/?uuid=6c56e58d-88e7-4909-81c7-98e0f310254b","http://www.mendeley.com/documents/?uuid=d2179a50-dc99-4c1a-aa8a-81c05b521011"]}],"mendeley":{"formattedCitation":"&lt;sup&gt;43&lt;/sup&gt;","plainTextFormattedCitation":"43","previouslyFormattedCitation":"&lt;sup&gt;43&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43</w:t>
            </w:r>
            <w:r w:rsidRPr="008E5B32">
              <w:rPr>
                <w:szCs w:val="18"/>
              </w:rPr>
              <w:fldChar w:fldCharType="end"/>
            </w:r>
            <w:r w:rsidRPr="008E5B32">
              <w:rPr>
                <w:szCs w:val="18"/>
                <w:lang w:val="en-GB"/>
              </w:rPr>
              <w:t xml:space="preserve">, and performed </w:t>
            </w:r>
            <w:r w:rsidR="00CD23B8" w:rsidRPr="008E5B32">
              <w:rPr>
                <w:szCs w:val="18"/>
                <w:lang w:val="en-GB"/>
              </w:rPr>
              <w:t>five</w:t>
            </w:r>
            <w:r w:rsidRPr="008E5B32">
              <w:rPr>
                <w:szCs w:val="18"/>
                <w:lang w:val="en-GB"/>
              </w:rPr>
              <w:t xml:space="preserve"> different analyses to classify NM, using different combinations of descriptors.</w:t>
            </w:r>
          </w:p>
        </w:tc>
        <w:tc>
          <w:tcPr>
            <w:tcW w:w="2268" w:type="dxa"/>
          </w:tcPr>
          <w:p w14:paraId="4FF5D16E"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p w14:paraId="24704601" w14:textId="77777777" w:rsidR="000777BE" w:rsidRPr="008E5B32" w:rsidRDefault="000777BE" w:rsidP="000777BE">
            <w:pPr>
              <w:jc w:val="center"/>
            </w:pPr>
            <w:r w:rsidRPr="008E5B32">
              <w:t xml:space="preserve">(Cytotoxicity in </w:t>
            </w:r>
          </w:p>
          <w:p w14:paraId="023A66A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Caco-2 cells)</w:t>
            </w:r>
          </w:p>
        </w:tc>
        <w:tc>
          <w:tcPr>
            <w:tcW w:w="960" w:type="dxa"/>
          </w:tcPr>
          <w:p w14:paraId="15803FA1" w14:textId="77777777" w:rsidR="000777BE" w:rsidRPr="008E5B32" w:rsidRDefault="000777BE" w:rsidP="000777BE">
            <w:pPr>
              <w:jc w:val="center"/>
            </w:pPr>
            <w:r w:rsidRPr="008E5B32">
              <w:t>103</w:t>
            </w:r>
          </w:p>
        </w:tc>
        <w:tc>
          <w:tcPr>
            <w:tcW w:w="1620" w:type="dxa"/>
          </w:tcPr>
          <w:p w14:paraId="7415B0BF"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w:t>
            </w:r>
            <w:r w:rsidRPr="008E5B32">
              <w:rPr>
                <w:i/>
                <w:iCs/>
                <w:lang w:val="en-GB"/>
              </w:rPr>
              <w:t xml:space="preserve">NBC, SMO, J48, Bagging, Classification via regression, Filtered classifier, LWL Decision table, DTNB, NBTree, </w:t>
            </w:r>
            <w:r w:rsidR="002B3FDB" w:rsidRPr="008E5B32">
              <w:rPr>
                <w:i/>
                <w:iCs/>
                <w:lang w:val="en-GB"/>
              </w:rPr>
              <w:t>R</w:t>
            </w:r>
            <w:r w:rsidR="00D5474F" w:rsidRPr="008E5B32">
              <w:rPr>
                <w:i/>
                <w:iCs/>
                <w:lang w:val="en-GB"/>
              </w:rPr>
              <w:t xml:space="preserve">andom </w:t>
            </w:r>
            <w:r w:rsidR="002B3FDB" w:rsidRPr="008E5B32">
              <w:rPr>
                <w:i/>
                <w:iCs/>
                <w:lang w:val="en-GB"/>
              </w:rPr>
              <w:t>F</w:t>
            </w:r>
            <w:r w:rsidR="00D5474F" w:rsidRPr="008E5B32">
              <w:rPr>
                <w:i/>
                <w:iCs/>
                <w:lang w:val="en-GB"/>
              </w:rPr>
              <w:t>orest</w:t>
            </w:r>
            <w:r w:rsidRPr="008E5B32">
              <w:rPr>
                <w:lang w:val="en-GB"/>
              </w:rPr>
              <w:t>)</w:t>
            </w:r>
          </w:p>
        </w:tc>
        <w:tc>
          <w:tcPr>
            <w:tcW w:w="540" w:type="dxa"/>
          </w:tcPr>
          <w:p w14:paraId="7F2A7523"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1ADCB355"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1FD881D9"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1350" w:type="dxa"/>
          </w:tcPr>
          <w:p w14:paraId="4FFA1DA0"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494F5B04"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rPr>
              <w:t>✗</w:t>
            </w:r>
            <w:r w:rsidRPr="008E5B32">
              <w:rPr>
                <w:rStyle w:val="FootnoteReference"/>
                <w:rFonts w:ascii="Segoe UI Symbol" w:eastAsia="Segoe UI Symbol" w:hAnsi="Segoe UI Symbol" w:cs="Segoe UI Symbol"/>
              </w:rPr>
              <w:footnoteReference w:id="9"/>
            </w:r>
          </w:p>
        </w:tc>
      </w:tr>
      <w:tr w:rsidR="000777BE" w:rsidRPr="008E5B32" w14:paraId="65DEFB73" w14:textId="77777777" w:rsidTr="00D6682C">
        <w:tc>
          <w:tcPr>
            <w:tcW w:w="426" w:type="dxa"/>
          </w:tcPr>
          <w:p w14:paraId="78E924A6" w14:textId="38D2260F" w:rsidR="000777BE" w:rsidRPr="008E5B32" w:rsidRDefault="000777BE" w:rsidP="000777BE">
            <w:r w:rsidRPr="008E5B32">
              <w:fldChar w:fldCharType="begin" w:fldLock="1"/>
            </w:r>
            <w:r w:rsidR="00434385" w:rsidRPr="008E5B32">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fldChar w:fldCharType="separate"/>
            </w:r>
            <w:r w:rsidR="004C12A8" w:rsidRPr="008E5B32">
              <w:rPr>
                <w:noProof/>
                <w:vertAlign w:val="superscript"/>
              </w:rPr>
              <w:t>83</w:t>
            </w:r>
            <w:r w:rsidRPr="008E5B32">
              <w:fldChar w:fldCharType="end"/>
            </w:r>
          </w:p>
        </w:tc>
        <w:tc>
          <w:tcPr>
            <w:tcW w:w="4536" w:type="dxa"/>
          </w:tcPr>
          <w:p w14:paraId="232FDF28" w14:textId="6742B0FA" w:rsidR="000777BE" w:rsidRPr="008E5B32" w:rsidRDefault="000777BE" w:rsidP="000777BE">
            <w:pPr>
              <w:jc w:val="both"/>
              <w:rPr>
                <w:lang w:val="en-GB"/>
              </w:rPr>
            </w:pPr>
            <w:r w:rsidRPr="008E5B32">
              <w:rPr>
                <w:lang w:val="en-GB"/>
              </w:rPr>
              <w:t>Investigation on difference in modes of action of a set of metal oxide NMs between eukaryotic system (HaCaT cell line) and prokaryotic system (</w:t>
            </w:r>
            <w:r w:rsidRPr="008E5B32">
              <w:rPr>
                <w:i/>
                <w:lang w:val="en-GB"/>
              </w:rPr>
              <w:t>E. Coli</w:t>
            </w:r>
            <w:r w:rsidRPr="008E5B32">
              <w:rPr>
                <w:lang w:val="en-GB"/>
              </w:rPr>
              <w:t>) starting from a pool of 27 parameters quantitatively describing structure of NMs, and obtaining a model composed by two</w:t>
            </w:r>
            <w:r w:rsidR="005D35EA" w:rsidRPr="008E5B32">
              <w:rPr>
                <w:lang w:val="en-GB"/>
              </w:rPr>
              <w:t xml:space="preserve"> </w:t>
            </w:r>
            <w:r w:rsidR="00BD4886" w:rsidRPr="008E5B32">
              <w:rPr>
                <w:lang w:val="en-GB"/>
              </w:rPr>
              <w:t xml:space="preserve">computed </w:t>
            </w:r>
            <w:r w:rsidR="005D35EA" w:rsidRPr="008E5B32">
              <w:rPr>
                <w:lang w:val="en-GB"/>
              </w:rPr>
              <w:t>descriptors</w:t>
            </w:r>
            <w:r w:rsidR="00BD4886" w:rsidRPr="008E5B32">
              <w:rPr>
                <w:lang w:val="en-GB"/>
              </w:rPr>
              <w:t xml:space="preserve"> (</w:t>
            </w:r>
            <w:r w:rsidR="00BD4886" w:rsidRPr="008E5B32">
              <w:rPr>
                <w:lang w:val="en-US"/>
              </w:rPr>
              <w:t>enthalpy of formation of metal oxide nanocluster surface and the Mulliken’s electronegativity of the cluster</w:t>
            </w:r>
            <w:r w:rsidR="00BD4886" w:rsidRPr="008E5B32">
              <w:rPr>
                <w:lang w:val="en-GB"/>
              </w:rPr>
              <w:t>)</w:t>
            </w:r>
            <w:r w:rsidRPr="008E5B32">
              <w:rPr>
                <w:lang w:val="en-GB"/>
              </w:rPr>
              <w:t>.</w:t>
            </w:r>
          </w:p>
        </w:tc>
        <w:tc>
          <w:tcPr>
            <w:tcW w:w="2268" w:type="dxa"/>
          </w:tcPr>
          <w:p w14:paraId="7E90B5E7" w14:textId="77777777" w:rsidR="004C46E2" w:rsidRPr="008E5B32" w:rsidRDefault="004C46E2" w:rsidP="004C46E2">
            <w:pPr>
              <w:jc w:val="center"/>
              <w:rPr>
                <w:lang w:val="en-GB"/>
              </w:rPr>
            </w:pPr>
            <w:r w:rsidRPr="008E5B32">
              <w:rPr>
                <w:rFonts w:ascii="Segoe UI Symbol" w:hAnsi="Segoe UI Symbol" w:cs="Segoe UI Symbol"/>
                <w:szCs w:val="18"/>
                <w:lang w:val="en-GB"/>
              </w:rPr>
              <w:t>✗</w:t>
            </w:r>
          </w:p>
          <w:p w14:paraId="109F5DDA" w14:textId="77777777" w:rsidR="000777BE" w:rsidRPr="008E5B32" w:rsidRDefault="000777BE" w:rsidP="00C66A42">
            <w:pPr>
              <w:jc w:val="center"/>
              <w:rPr>
                <w:rFonts w:ascii="Segoe UI Symbol" w:hAnsi="Segoe UI Symbol" w:cs="Segoe UI Symbol"/>
                <w:color w:val="222222"/>
                <w:szCs w:val="18"/>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 and cytotoxicity via cellular uptake of HaCaT cells)</w:t>
            </w:r>
          </w:p>
        </w:tc>
        <w:tc>
          <w:tcPr>
            <w:tcW w:w="960" w:type="dxa"/>
          </w:tcPr>
          <w:p w14:paraId="4CE01C48" w14:textId="0B99D671" w:rsidR="000777BE" w:rsidRPr="008E5B32" w:rsidRDefault="000777BE" w:rsidP="000777BE">
            <w:pPr>
              <w:jc w:val="center"/>
            </w:pPr>
            <w:r w:rsidRPr="008E5B32">
              <w:t xml:space="preserve">17 </w:t>
            </w: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r w:rsidRPr="008E5B32">
              <w:rPr>
                <w:sz w:val="24"/>
              </w:rPr>
              <w:t xml:space="preserve">, </w:t>
            </w:r>
          </w:p>
          <w:p w14:paraId="4CA9D6D0" w14:textId="77777777" w:rsidR="000777BE" w:rsidRPr="008E5B32" w:rsidRDefault="000777BE" w:rsidP="000777BE">
            <w:pPr>
              <w:jc w:val="center"/>
            </w:pPr>
            <w:r w:rsidRPr="008E5B32">
              <w:t>18</w:t>
            </w:r>
          </w:p>
        </w:tc>
        <w:tc>
          <w:tcPr>
            <w:tcW w:w="1620" w:type="dxa"/>
          </w:tcPr>
          <w:p w14:paraId="2AA2CF8B"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(MLR combined with a Genetic Algorithm)</w:t>
            </w:r>
          </w:p>
        </w:tc>
        <w:tc>
          <w:tcPr>
            <w:tcW w:w="540" w:type="dxa"/>
          </w:tcPr>
          <w:p w14:paraId="4300C324"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tc>
        <w:tc>
          <w:tcPr>
            <w:tcW w:w="540" w:type="dxa"/>
          </w:tcPr>
          <w:p w14:paraId="0F4B0609"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4C334576" w14:textId="77777777" w:rsidR="000777BE" w:rsidRPr="008E5B32" w:rsidRDefault="000777BE" w:rsidP="000777BE">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65FC9090" w14:textId="77777777" w:rsidR="000777BE" w:rsidRPr="008E5B32" w:rsidRDefault="000777BE" w:rsidP="000777BE">
            <w:pPr>
              <w:jc w:val="center"/>
            </w:pPr>
            <w:r w:rsidRPr="008E5B32">
              <w:rPr>
                <w:szCs w:val="18"/>
              </w:rPr>
              <w:t>≈</w:t>
            </w:r>
            <w:r w:rsidRPr="008E5B32">
              <w:t xml:space="preserve"> </w:t>
            </w:r>
          </w:p>
          <w:p w14:paraId="2542D635" w14:textId="77777777" w:rsidR="000777BE" w:rsidRPr="008E5B32" w:rsidRDefault="000777BE" w:rsidP="000777BE">
            <w:pPr>
              <w:jc w:val="center"/>
              <w:rPr>
                <w:rFonts w:ascii="Segoe UI Symbol" w:hAnsi="Segoe UI Symbol" w:cs="Segoe UI Symbol"/>
                <w:szCs w:val="18"/>
              </w:rPr>
            </w:pPr>
            <w:r w:rsidRPr="008E5B32">
              <w:t>(Y-scrambling)</w:t>
            </w:r>
          </w:p>
        </w:tc>
        <w:tc>
          <w:tcPr>
            <w:tcW w:w="581" w:type="dxa"/>
          </w:tcPr>
          <w:p w14:paraId="10206654"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p>
          <w:p w14:paraId="46026B66" w14:textId="77777777" w:rsidR="000777BE" w:rsidRPr="008E5B32" w:rsidRDefault="000777BE" w:rsidP="000777BE">
            <w:pPr>
              <w:jc w:val="center"/>
              <w:rPr>
                <w:rFonts w:ascii="Segoe UI Symbol" w:hAnsi="Segoe UI Symbol" w:cs="Segoe UI Symbol"/>
                <w:szCs w:val="18"/>
              </w:rPr>
            </w:pPr>
          </w:p>
        </w:tc>
      </w:tr>
      <w:tr w:rsidR="000777BE" w:rsidRPr="008E5B32" w14:paraId="78129BA4" w14:textId="77777777" w:rsidTr="00D6682C">
        <w:tc>
          <w:tcPr>
            <w:tcW w:w="426" w:type="dxa"/>
          </w:tcPr>
          <w:p w14:paraId="36614AFC" w14:textId="10DB74AA" w:rsidR="000777BE" w:rsidRPr="008E5B32" w:rsidRDefault="000777BE" w:rsidP="000777BE">
            <w:r w:rsidRPr="008E5B32">
              <w:fldChar w:fldCharType="begin" w:fldLock="1"/>
            </w:r>
            <w:r w:rsidR="00434385" w:rsidRPr="008E5B32">
              <w:instrText>ADDIN CSL_CITATION {"citationItems":[{"id":"ITEM-1","itemData":{"DOI":"10.1080/1062936X.2015.1080186","ISSN":"1029-046X","PMID":"26330049","abstract":"Titanium oxide (TiO2) and zinc oxide (ZnO) nanoparticles are among the most widely used in different applications in daily life. In this study, local regression and classification models were developed for a set of ZnO and TiO2 nanoparticles tested at different concentrations for their ability to disrupt the lipid membrane in cells. Different regression techniques were applied and compared by checking the robustness of the models and their external predictive ability. Additionally, a simple classification model was developed, which predicts the potential for disruption of the studied nanoparticles with good accuracy (overall accuracy, specificity, and sensitivity &gt;80%) on the basis of two empirical descriptors. The present study demonstrates that empirical descriptors, such as experimentally determined size and tested concentrations, are relevant to modelling the activity of nanoparticles. This information may be useful to screen the potential for harmful effect of nanoparticles in different experimental conditions and to optimize the design of toxicological tests. Results from the present study are useful to support and refine the future application of in silico tools to nanoparticles, for research and regulatory purposes.","author":[{"dropping-particle":"","family":"Papa","given":"E","non-dropping-particle":"","parse-names":false,"suffix":""},{"dropping-particle":"","family":"Doucet","given":"J P","non-dropping-particle":"","parse-names":false,"suffix":""},{"dropping-particle":"","family":"Doucet-Panaye","given":"A","non-dropping-particle":"","parse-names":false,"suffix":""}],"container-title":"SAR and QSAR in environmental research","id":"ITEM-1","issued":{"date-parts":[["2015"]]},"title":"Linear and non-linear modelling of the cytotoxicity of TiO2 and ZnO nanoparticles by empirical descriptors.","type":"article-journal"},"uris":["http://www.mendeley.com/documents/?uuid=b3795586-66f7-4cdf-aeac-f82dcbae6128","http://www.mendeley.com/documents/?uuid=373d3757-2dd7-4411-b323-b67cbddffbee","http://www.mendeley.com/documents/?uuid=c4ce7b51-997f-47ef-889e-8e451e813f4e"]}],"mendeley":{"formattedCitation":"&lt;sup&gt;134&lt;/sup&gt;","plainTextFormattedCitation":"134","previouslyFormattedCitation":"&lt;sup&gt;134&lt;/sup&gt;"},"properties":{"noteIndex":0},"schema":"https://github.com/citation-style-language/schema/raw/master/csl-citation.json"}</w:instrText>
            </w:r>
            <w:r w:rsidRPr="008E5B32">
              <w:fldChar w:fldCharType="separate"/>
            </w:r>
            <w:r w:rsidR="004C12A8" w:rsidRPr="008E5B32">
              <w:rPr>
                <w:noProof/>
                <w:vertAlign w:val="superscript"/>
              </w:rPr>
              <w:t>134</w:t>
            </w:r>
            <w:r w:rsidRPr="008E5B32">
              <w:fldChar w:fldCharType="end"/>
            </w:r>
          </w:p>
        </w:tc>
        <w:tc>
          <w:tcPr>
            <w:tcW w:w="4536" w:type="dxa"/>
          </w:tcPr>
          <w:p w14:paraId="4D868814" w14:textId="77777777" w:rsidR="000777BE" w:rsidRPr="008E5B32" w:rsidRDefault="000777BE" w:rsidP="000777BE">
            <w:pPr>
              <w:jc w:val="both"/>
              <w:rPr>
                <w:lang w:val="en-GB"/>
              </w:rPr>
            </w:pPr>
            <w:r w:rsidRPr="008E5B32">
              <w:rPr>
                <w:lang w:val="en-GB"/>
              </w:rPr>
              <w:t xml:space="preserve">Regression and </w:t>
            </w:r>
            <w:r w:rsidR="00590BC3" w:rsidRPr="008E5B32">
              <w:rPr>
                <w:lang w:val="en-GB"/>
              </w:rPr>
              <w:t>c</w:t>
            </w:r>
            <w:r w:rsidRPr="008E5B32">
              <w:rPr>
                <w:lang w:val="en-GB"/>
              </w:rPr>
              <w:t>lassification models for a set of ZnO and Ti</w:t>
            </w:r>
            <w:r w:rsidR="007D2C06" w:rsidRPr="008E5B32">
              <w:rPr>
                <w:lang w:val="en-GB"/>
              </w:rPr>
              <w:t>O</w:t>
            </w:r>
            <w:r w:rsidR="007D2C06" w:rsidRPr="008E5B32">
              <w:rPr>
                <w:lang w:val="en-GB"/>
              </w:rPr>
              <w:softHyphen/>
            </w:r>
            <w:r w:rsidR="007D2C06" w:rsidRPr="008E5B32">
              <w:rPr>
                <w:vertAlign w:val="subscript"/>
                <w:lang w:val="en-GB"/>
              </w:rPr>
              <w:t xml:space="preserve">2 </w:t>
            </w:r>
            <w:r w:rsidRPr="008E5B32">
              <w:rPr>
                <w:lang w:val="en-GB"/>
              </w:rPr>
              <w:t xml:space="preserve">NMs tested at different concentrations for their ability to disrupt the lipid membrane in cells by using two empirical descriptors (size and concentration). </w:t>
            </w:r>
          </w:p>
        </w:tc>
        <w:tc>
          <w:tcPr>
            <w:tcW w:w="2268" w:type="dxa"/>
          </w:tcPr>
          <w:p w14:paraId="3D1F3BA3"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p w14:paraId="723FA3EB"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t>(Cellular membrane damage via LDH release)</w:t>
            </w:r>
          </w:p>
        </w:tc>
        <w:tc>
          <w:tcPr>
            <w:tcW w:w="960" w:type="dxa"/>
          </w:tcPr>
          <w:p w14:paraId="0E80680F" w14:textId="77777777" w:rsidR="000777BE" w:rsidRPr="008E5B32" w:rsidRDefault="000777BE" w:rsidP="000777BE">
            <w:pPr>
              <w:jc w:val="center"/>
            </w:pPr>
            <w:r w:rsidRPr="008E5B32">
              <w:t>42</w:t>
            </w:r>
          </w:p>
        </w:tc>
        <w:tc>
          <w:tcPr>
            <w:tcW w:w="1620" w:type="dxa"/>
          </w:tcPr>
          <w:p w14:paraId="6F24BA53"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(MLR, SVM, Neural Network</w:t>
            </w:r>
            <w:r w:rsidRPr="008E5B32">
              <w:rPr>
                <w:i/>
                <w:lang w:val="en-GB"/>
              </w:rPr>
              <w:t>s, and</w:t>
            </w:r>
            <w:r w:rsidRPr="008E5B32">
              <w:rPr>
                <w:lang w:val="en-GB"/>
              </w:rPr>
              <w:t xml:space="preserve"> </w:t>
            </w:r>
            <w:r w:rsidRPr="008E5B32">
              <w:rPr>
                <w:i/>
                <w:lang w:val="en-GB"/>
              </w:rPr>
              <w:t>J48 Classification Tree)</w:t>
            </w:r>
          </w:p>
        </w:tc>
        <w:tc>
          <w:tcPr>
            <w:tcW w:w="540" w:type="dxa"/>
          </w:tcPr>
          <w:p w14:paraId="6F0CE8CD"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540" w:type="dxa"/>
          </w:tcPr>
          <w:p w14:paraId="5D4BFAFB"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46E8486C" w14:textId="6CEA7AA9"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(Leverage approac</w:t>
            </w:r>
            <w:r w:rsidR="00DF2866" w:rsidRPr="008E5B32">
              <w:rPr>
                <w:lang w:val="en-GB"/>
              </w:rPr>
              <w:t>h</w:t>
            </w:r>
            <w:r w:rsidRPr="008E5B32">
              <w:rPr>
                <w:lang w:val="en-GB"/>
              </w:rPr>
              <w:t xml:space="preserve">, convex hull after </w:t>
            </w:r>
            <w:r w:rsidR="00DF2866" w:rsidRPr="008E5B32">
              <w:rPr>
                <w:lang w:val="en-GB"/>
              </w:rPr>
              <w:t>PCA</w:t>
            </w:r>
            <w:r w:rsidRPr="008E5B32">
              <w:rPr>
                <w:lang w:val="en-GB"/>
              </w:rPr>
              <w:t>)</w:t>
            </w:r>
          </w:p>
        </w:tc>
        <w:tc>
          <w:tcPr>
            <w:tcW w:w="1350" w:type="dxa"/>
          </w:tcPr>
          <w:p w14:paraId="582F3DE3" w14:textId="77777777" w:rsidR="000777BE" w:rsidRPr="008E5B32" w:rsidRDefault="000777BE" w:rsidP="000777BE">
            <w:pPr>
              <w:jc w:val="center"/>
            </w:pPr>
            <w:r w:rsidRPr="008E5B32">
              <w:rPr>
                <w:szCs w:val="18"/>
              </w:rPr>
              <w:t>≈</w:t>
            </w:r>
            <w:r w:rsidRPr="008E5B32">
              <w:t xml:space="preserve"> </w:t>
            </w:r>
          </w:p>
          <w:p w14:paraId="27660176" w14:textId="77777777" w:rsidR="000777BE" w:rsidRPr="008E5B32" w:rsidRDefault="000777BE" w:rsidP="000777BE">
            <w:pPr>
              <w:jc w:val="center"/>
              <w:rPr>
                <w:szCs w:val="18"/>
              </w:rPr>
            </w:pPr>
            <w:r w:rsidRPr="008E5B32">
              <w:t>(Y-scrambling)</w:t>
            </w:r>
          </w:p>
        </w:tc>
        <w:tc>
          <w:tcPr>
            <w:tcW w:w="581" w:type="dxa"/>
          </w:tcPr>
          <w:p w14:paraId="0F52D719" w14:textId="77777777" w:rsidR="000777BE" w:rsidRPr="008E5B32" w:rsidRDefault="000777BE" w:rsidP="000777BE">
            <w:pPr>
              <w:jc w:val="center"/>
              <w:rPr>
                <w:rFonts w:eastAsia="Segoe UI Symbol"/>
              </w:rPr>
            </w:pPr>
            <w:r w:rsidRPr="008E5B32">
              <w:rPr>
                <w:rFonts w:ascii="Segoe UI Symbol" w:eastAsia="Segoe UI Symbol" w:hAnsi="Segoe UI Symbol" w:cs="Segoe UI Symbol"/>
                <w:color w:val="222222"/>
                <w:shd w:val="clear" w:color="auto" w:fill="FFFFFF"/>
              </w:rPr>
              <w:t>✓</w:t>
            </w:r>
          </w:p>
        </w:tc>
      </w:tr>
      <w:tr w:rsidR="000777BE" w:rsidRPr="008E5B32" w14:paraId="4073E67E" w14:textId="77777777" w:rsidTr="00D6682C">
        <w:tc>
          <w:tcPr>
            <w:tcW w:w="426" w:type="dxa"/>
          </w:tcPr>
          <w:p w14:paraId="7CE9E04E" w14:textId="1E40049B" w:rsidR="000777BE" w:rsidRPr="008E5B32" w:rsidRDefault="000777BE" w:rsidP="000777BE">
            <w:pPr>
              <w:rPr>
                <w:lang w:val="en-GB"/>
              </w:rPr>
            </w:pPr>
            <w:r w:rsidRPr="008E5B32">
              <w:fldChar w:fldCharType="begin" w:fldLock="1"/>
            </w:r>
            <w:r w:rsidR="00434385" w:rsidRPr="008E5B32">
              <w:instrText>ADDIN CSL_CITATION {"citationItems":[{"id":"ITEM-1","itemData":{"DOI":"10.1016/j.proeng.2015.01.284","ISSN":"18777058","abstract":"The widespread use of engineered nanomaterials (ENMs) for commercial purposes made human exposure to these materials almost inevitable. Moreover, the number of in vivo and in vitro studies reporting the potential adverse effects of exposure to ENMs is growing rapidly. Consequently, there is an urgent need to understand the interactions between ENMs and biological/environmental systems. Although the need to improve our understanding of the adverse health effects of ENMs has been recognised for some time, it has not been fully met to date. There are many reasons that have caused the hazard assessment of ENMs to fall behind the innovations in nanotechnology such as knowledge gaps exist in the field of nanotoxicology, difficulties in categorization of ENMs for toxicological considerations and uncertainties regarding the evaluation and regulation of potential risks of nanoparticles. The presence of a large number of ENMs with unknown risks has led to increased interest in the use of fast, cost-effective and efficient computational methods for predicting the toxic potential of ENMs. To that end, the potential use of in silico techniques, such as quantitative structure-activity relationship (QSAR), to model the relationship between biological activities and physicochemical characteristics of ENMs is investigated in this paper. The focus of this paper is on defining the current level of knowledge in (Q)SAR modeling of potential hazards of ENMs and demonstrating the use of (Q)SAR to predict the potential risks specific to ENMs with a case study. Moreover, it presents an overview of the (1) existing barriers currently limiting the development of robust nano-(Q)SAR models, (2) the current obstacles to regulatory acceptance of these models and (3) the integration of (Q)SARs into the risk assessment process. The result of this study demonstrated that the use of (Q)SAR modeling ap</w:instrText>
            </w:r>
            <w:r w:rsidR="00434385" w:rsidRPr="008E5B32">
              <w:rPr>
                <w:lang w:val="en-US"/>
              </w:rPr>
              <w:instrText>proach to model the toxicity of ENMs based on specific structural and compositional features greatly facilitates (1) filling knowledge gaps regarding the effect of specific parameters on the biological activities of ENMs, (2) predicting the potential risks associated with the exposure to ENMs, (3) classifying the ENMs according to their physicochemical properties and potential hazard degree and (4) reducing the risk by modifying ENMs based on the observed correlations between structural features and biological responses.","author":[{"dropping-particle":"","family":"Oksel","given":"Ceyda","non-dropping-particle":"","parse-names":false,"suffix":""},{"dropping-particle":"","family":"Ma","given":"Cai Y.","non-dropping-particle":"","parse-names":false,"suffix":""},{"dropping-particle":"","family":"Wang","given":"Xue Z.","non-dropping-particle":"","parse-names":false,"suffix":""}],"container-title":"Procedia Engineering","id":"ITEM-1","issued":{"date-parts":[["2015"]]},"page":"1500-1510","title":"Structure-activity relationship models for hazard assessment and risk management of engineered nanomaterials","type":"paper-conference","volume":"102"},"uris":["http://www.mendeley.com/documents/?uuid=3c3eb809-22d4-4b16-97ed-6a18fb6fba56"]}],"mendeley":{"formattedCitation":"&lt;sup&gt;135&lt;/sup&gt;","plainTextFormattedCitation":"135","previouslyFormattedCitation":"&lt;sup&gt;135&lt;/sup&gt;"},"properties":{"noteIndex":0},"schema":"https://github.com/citation-style-language/schema/raw/master/csl-citation.json"}</w:instrText>
            </w:r>
            <w:r w:rsidRPr="008E5B32">
              <w:fldChar w:fldCharType="separate"/>
            </w:r>
            <w:r w:rsidR="004C12A8" w:rsidRPr="008E5B32">
              <w:rPr>
                <w:noProof/>
                <w:vertAlign w:val="superscript"/>
                <w:lang w:val="en-GB"/>
              </w:rPr>
              <w:t>135</w:t>
            </w:r>
            <w:r w:rsidRPr="008E5B32">
              <w:fldChar w:fldCharType="end"/>
            </w:r>
          </w:p>
        </w:tc>
        <w:tc>
          <w:tcPr>
            <w:tcW w:w="4536" w:type="dxa"/>
          </w:tcPr>
          <w:p w14:paraId="334F08BF" w14:textId="05385B26" w:rsidR="000777BE" w:rsidRPr="008E5B32" w:rsidRDefault="000777BE" w:rsidP="000777BE">
            <w:pPr>
              <w:jc w:val="both"/>
              <w:rPr>
                <w:lang w:val="en-GB"/>
              </w:rPr>
            </w:pPr>
            <w:r w:rsidRPr="008E5B32">
              <w:rPr>
                <w:lang w:val="en-GB"/>
              </w:rPr>
              <w:t>After an unsuccessful attempt to simultaneously find a relationship between a set of descriptors</w:t>
            </w:r>
            <w:r w:rsidR="00BD4886" w:rsidRPr="008E5B32">
              <w:rPr>
                <w:lang w:val="en-GB"/>
              </w:rPr>
              <w:t xml:space="preserve"> (10 related to NM size and size distribution, </w:t>
            </w:r>
            <w:r w:rsidR="00D96A81" w:rsidRPr="008E5B32">
              <w:rPr>
                <w:lang w:val="en-GB"/>
              </w:rPr>
              <w:t>2 derived from TE/SEM images, 2 derived from EPR measurements, 13 relate to surface area, 2 related to reactivity and 5 related to metal content measurements</w:t>
            </w:r>
            <w:r w:rsidR="00BD4886" w:rsidRPr="008E5B32">
              <w:rPr>
                <w:lang w:val="en-GB"/>
              </w:rPr>
              <w:t>)</w:t>
            </w:r>
            <w:r w:rsidR="00D96A81" w:rsidRPr="008E5B32">
              <w:rPr>
                <w:lang w:val="en-GB"/>
              </w:rPr>
              <w:t xml:space="preserve"> </w:t>
            </w:r>
            <w:r w:rsidRPr="008E5B32">
              <w:rPr>
                <w:lang w:val="en-GB"/>
              </w:rPr>
              <w:t>and 18 different toxicological responses, authors selected a single endpoint and provided a QSAR model using all the available descriptors</w:t>
            </w:r>
            <w:r w:rsidR="00BD4886" w:rsidRPr="008E5B32">
              <w:rPr>
                <w:lang w:val="en-GB"/>
              </w:rPr>
              <w:t>.</w:t>
            </w:r>
          </w:p>
        </w:tc>
        <w:tc>
          <w:tcPr>
            <w:tcW w:w="2268" w:type="dxa"/>
          </w:tcPr>
          <w:p w14:paraId="7A0F5D54"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3A7C4678" w14:textId="77777777" w:rsidR="000777BE" w:rsidRPr="008E5B32" w:rsidRDefault="000777BE" w:rsidP="000777BE">
            <w:pPr>
              <w:jc w:val="center"/>
              <w:rPr>
                <w:rFonts w:ascii="Segoe UI Symbol" w:hAnsi="Segoe UI Symbol" w:cs="Segoe UI Symbol"/>
                <w:color w:val="222222"/>
                <w:szCs w:val="18"/>
                <w:shd w:val="clear" w:color="auto" w:fill="FFFFFF"/>
                <w:lang w:val="en-GB"/>
              </w:rPr>
            </w:pPr>
            <w:r w:rsidRPr="008E5B32">
              <w:rPr>
                <w:lang w:val="en-GB"/>
              </w:rPr>
              <w:t>(Cell viability)</w:t>
            </w:r>
          </w:p>
        </w:tc>
        <w:tc>
          <w:tcPr>
            <w:tcW w:w="960" w:type="dxa"/>
          </w:tcPr>
          <w:p w14:paraId="4CA8333F" w14:textId="2E35A0E0" w:rsidR="000777BE" w:rsidRPr="008E5B32" w:rsidRDefault="000777BE" w:rsidP="000777BE">
            <w:pPr>
              <w:jc w:val="center"/>
            </w:pPr>
            <w:r w:rsidRPr="008E5B32">
              <w:rPr>
                <w:lang w:val="en-GB"/>
              </w:rPr>
              <w:t xml:space="preserve">10 </w:t>
            </w:r>
            <w:r w:rsidRPr="008E5B32">
              <w:fldChar w:fldCharType="begin" w:fldLock="1"/>
            </w:r>
            <w:r w:rsidR="00434385" w:rsidRPr="008E5B32">
              <w:rPr>
                <w:lang w:val="en-GB"/>
              </w:rPr>
              <w:instrText>ADDIN CSL_CITATION {"citationItems":[{"id":"ITEM-1","itemData":{"DOI":"10.3109/17435390.2013.796534","ISSN":"1743-5390","author":[{"dropping-particle":"","family":"Wang","given":"Xue Z","non-dropping-particle":"","parse-names":false,"suffix":""},{"dropping-particle":"","family":"Yang","given":"Yang","non-dropping-particle":"","parse-names":false,"suffix":""},{"dropping-particle":"","family":"Li","given":"Ruifa","non-dropping-particle":"","parse-names":false,"suffix":""},{"dropping-particle":"","family":"Mcguinnes","given":"Catherine","non-dropping-particle":"","parse-names":false,"suffix":""},{"dropping-particle":"","family":"Adamson","given":"Janet","non-dropping-particle":"","parse-names":false,"suffix":""},{"dropping-particle":"","family":"Megson","given":"Ian L","non-dropping-particle":"","parse-names":false,"suffix":""},{"dropping-particle":"","family":"Donaldson","given":"Kenneth","non-dropping-particle":"","parse-names":false,"suffix":""}],"container-title":"Nanotoxicology","id":"ITEM-1","issue":"5","issued":{"date-parts":[["2014","8"]]},"page":"465-476","publisher":"Taylor &amp; Francis","title":"Principal component and causal analysis of structural and acute in vitro toxicity data for nanoparticles","type":"article-journal","volume":"8"},"uris":["http://www.mendeley.com/documents/?uuid=cab73ddd-ac6a-47a4-8bbf-43dc04357e1d","http://www.mendeley.com/documents/?uuid=c5242c87-3fcc-4fa2-a7d4-ad96858b9edf"]}],"mendeley":{"formattedCitation":"&lt;sup&gt;136&lt;/sup&gt;","plainTextFormattedCitation":"136","previouslyFormattedCitation":"&lt;sup&gt;136&lt;/sup&gt;"},"properties":{"noteIndex":0},"schema":"https://github.com/citation-style-language/schema/raw/master/csl-citation.json"}</w:instrText>
            </w:r>
            <w:r w:rsidRPr="008E5B32">
              <w:fldChar w:fldCharType="separate"/>
            </w:r>
            <w:r w:rsidR="004C12A8" w:rsidRPr="008E5B32">
              <w:rPr>
                <w:noProof/>
                <w:vertAlign w:val="superscript"/>
              </w:rPr>
              <w:t>136</w:t>
            </w:r>
            <w:r w:rsidRPr="008E5B32">
              <w:fldChar w:fldCharType="end"/>
            </w:r>
          </w:p>
        </w:tc>
        <w:tc>
          <w:tcPr>
            <w:tcW w:w="1620" w:type="dxa"/>
          </w:tcPr>
          <w:p w14:paraId="6BC2E6EE"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(PLS regression)</w:t>
            </w:r>
          </w:p>
        </w:tc>
        <w:tc>
          <w:tcPr>
            <w:tcW w:w="540" w:type="dxa"/>
          </w:tcPr>
          <w:p w14:paraId="2F2219A5"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w:t>
            </w:r>
          </w:p>
        </w:tc>
        <w:tc>
          <w:tcPr>
            <w:tcW w:w="540" w:type="dxa"/>
          </w:tcPr>
          <w:p w14:paraId="4A3E990C" w14:textId="77777777" w:rsidR="000777BE" w:rsidRPr="008E5B32" w:rsidRDefault="000777BE" w:rsidP="000777BE">
            <w:pPr>
              <w:jc w:val="center"/>
              <w:rPr>
                <w:rFonts w:ascii="Segoe UI Symbol" w:hAnsi="Segoe UI Symbol" w:cs="Segoe UI Symbol"/>
                <w:color w:val="222222"/>
                <w:szCs w:val="18"/>
                <w:shd w:val="clear" w:color="auto" w:fill="FFFFFF"/>
              </w:rPr>
            </w:pPr>
            <w:r w:rsidRPr="008E5B32">
              <w:t>≈</w:t>
            </w:r>
          </w:p>
        </w:tc>
        <w:tc>
          <w:tcPr>
            <w:tcW w:w="1350" w:type="dxa"/>
          </w:tcPr>
          <w:p w14:paraId="5E822D7C"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1350" w:type="dxa"/>
          </w:tcPr>
          <w:p w14:paraId="4317DCDE"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c>
          <w:tcPr>
            <w:tcW w:w="581" w:type="dxa"/>
          </w:tcPr>
          <w:p w14:paraId="0580FCEE" w14:textId="77777777" w:rsidR="000777BE" w:rsidRPr="008E5B32" w:rsidRDefault="000777BE" w:rsidP="000777BE">
            <w:pPr>
              <w:jc w:val="center"/>
              <w:rPr>
                <w:rFonts w:ascii="Segoe UI Symbol" w:hAnsi="Segoe UI Symbol" w:cs="Segoe UI Symbol"/>
                <w:szCs w:val="18"/>
              </w:rPr>
            </w:pPr>
            <w:r w:rsidRPr="008E5B32">
              <w:rPr>
                <w:rFonts w:ascii="Segoe UI Symbol" w:hAnsi="Segoe UI Symbol" w:cs="Segoe UI Symbol"/>
                <w:szCs w:val="18"/>
              </w:rPr>
              <w:t>✗</w:t>
            </w:r>
          </w:p>
        </w:tc>
      </w:tr>
      <w:tr w:rsidR="000777BE" w:rsidRPr="008E5B32" w14:paraId="6ECCDA53" w14:textId="77777777" w:rsidTr="00D6682C">
        <w:tc>
          <w:tcPr>
            <w:tcW w:w="426" w:type="dxa"/>
          </w:tcPr>
          <w:p w14:paraId="395E33CF" w14:textId="7B3CCF8C" w:rsidR="000777BE" w:rsidRPr="008E5B32" w:rsidRDefault="000777BE" w:rsidP="000777BE">
            <w:r w:rsidRPr="008E5B32">
              <w:fldChar w:fldCharType="begin" w:fldLock="1"/>
            </w:r>
            <w:r w:rsidR="00434385" w:rsidRPr="008E5B32">
              <w:instrText>ADDIN CSL_CITATION {"citationItems":[{"id":"ITEM-1","itemData":{"DOI":"10.1039/c5nr01537e","ISBN":"10.1039/C5NR01537E","ISSN":"20403372","PMID":"25959034","abstract":"Cellular association of nanoparticles (NPs) in biological fluids is affected by proteins adsorbed onto the NP surface, forming a \"protein corona\", thereby impacting cellular bioactivity. Here we investigate, based on an extensive gold NPs protein corona dataset, the relationships between NP-cell association and protein corona fingerprints (PCFs) as well as NP physicochemical properties. Accordingly, quantitative structure-activity relationships (QSARs) were developed based on both linear and non-linear support vector regression (SVR) models making use of a sequential forward floating selection of descriptors. The SVR model with only 6 serum proteins and zeta potential had higher accuracy (R2 = 0.895) relative to the linear model (R2 = 0.850) with 11 PCFs. Considering the initial pool of 148 descriptors, the APOB, A1AT, ANT3, and PLMN serum proteins along with NP zeta potential were identified as most significant to correlating NP-cell association. The present study suggests that QSARs exploration of NP-cell association data, considering the role of both NP protein corona and physicochemical properties, can support the planning and interpretation of toxicity studies and guide the design of NPs for biomedical applications. © The Royal Society of Chemistry.","author":[{"dropping-particle":"","family":"Liu","given":"Rong","non-dropping-particle":"","parse-names":false,"suffix":""},{"dropping-particle":"","family":"Jiang","given":"Wen","non-dropping-particle":"","parse-names":false,"suffix":""},{"dropping-particle":"","family":"Walkey","given":"Carl D.","non-dropping-particle":"","parse-names":false,"suffix":""},{"dropping-particle":"","family":"Chan","given":"Warren C.W.","non-dropping-particle":"","parse-names":false,"suffix":""},{"dropping-particle":"","family":"Cohen","given":"Yoram","non-dropping-particle":"","parse-names":false,"suffix":""}],"container-title":"Nanoscale","id":"ITEM-1","issued":{"date-parts":[["2015"]]},"title":"Prediction of nanoparticles-cell association based on corona proteins and physicochemical properties","type":"article-journal"},"uris":["http://www.mendeley.com/documents/?uuid=6b687b75-689c-46bc-8795-760f66959d90","http://www.mendeley.com/documents/?uuid=82b34509-ee8b-4fec-b928-0ab0f6b3328c","http://www.mendeley.com/documents/?uuid=3a36fd1f-7ec4-4d80-80e1-5f810d42dccd"]}],"mendeley":{"formattedCitation":"&lt;sup&gt;137&lt;/sup&gt;","plainTextFormattedCitation":"137","previouslyFormattedCitation":"&lt;sup&gt;137&lt;/sup&gt;"},"properties":{"noteIndex":0},"schema":"https://github.com/citation-style-language/schema/raw/master/csl-citation.json"}</w:instrText>
            </w:r>
            <w:r w:rsidRPr="008E5B32">
              <w:fldChar w:fldCharType="separate"/>
            </w:r>
            <w:r w:rsidR="004C12A8" w:rsidRPr="008E5B32">
              <w:rPr>
                <w:noProof/>
                <w:vertAlign w:val="superscript"/>
              </w:rPr>
              <w:t>137</w:t>
            </w:r>
            <w:r w:rsidRPr="008E5B32">
              <w:fldChar w:fldCharType="end"/>
            </w:r>
          </w:p>
        </w:tc>
        <w:tc>
          <w:tcPr>
            <w:tcW w:w="4536" w:type="dxa"/>
          </w:tcPr>
          <w:p w14:paraId="6DF66357" w14:textId="421E2559" w:rsidR="000777BE" w:rsidRPr="008E5B32" w:rsidRDefault="000777BE" w:rsidP="000777BE">
            <w:pPr>
              <w:jc w:val="both"/>
              <w:rPr>
                <w:lang w:val="en-GB"/>
              </w:rPr>
            </w:pPr>
            <w:r w:rsidRPr="008E5B32">
              <w:rPr>
                <w:lang w:val="en-GB"/>
              </w:rPr>
              <w:t>Investigation on the relationships between NM-cell association</w:t>
            </w:r>
            <w:r w:rsidR="00D96A81" w:rsidRPr="008E5B32">
              <w:rPr>
                <w:lang w:val="en-GB"/>
              </w:rPr>
              <w:t>,</w:t>
            </w:r>
            <w:r w:rsidRPr="008E5B32">
              <w:rPr>
                <w:lang w:val="en-GB"/>
              </w:rPr>
              <w:t xml:space="preserve"> and protein corona fingerprints and NM physicochemical properties, through linear and non-linear models</w:t>
            </w:r>
            <w:r w:rsidR="00DF2866" w:rsidRPr="008E5B32">
              <w:rPr>
                <w:lang w:val="en-GB"/>
              </w:rPr>
              <w:t xml:space="preserve">. </w:t>
            </w:r>
            <w:r w:rsidRPr="008E5B32">
              <w:rPr>
                <w:lang w:val="en-GB"/>
              </w:rPr>
              <w:t xml:space="preserve">The final (non-linear) model used as descriptors </w:t>
            </w:r>
            <w:r w:rsidR="00CD23B8" w:rsidRPr="008E5B32">
              <w:rPr>
                <w:lang w:val="en-GB"/>
              </w:rPr>
              <w:t>six</w:t>
            </w:r>
            <w:r w:rsidRPr="008E5B32">
              <w:rPr>
                <w:lang w:val="en-GB"/>
              </w:rPr>
              <w:t xml:space="preserve"> serum proteins and the zeta potential.</w:t>
            </w:r>
            <w:r w:rsidR="00812EB8" w:rsidRPr="008E5B32">
              <w:rPr>
                <w:lang w:val="en-GB"/>
              </w:rPr>
              <w:t xml:space="preserve"> </w:t>
            </w:r>
          </w:p>
        </w:tc>
        <w:tc>
          <w:tcPr>
            <w:tcW w:w="2268" w:type="dxa"/>
          </w:tcPr>
          <w:p w14:paraId="204DE3F6" w14:textId="77777777" w:rsidR="000777BE" w:rsidRPr="008E5B32" w:rsidRDefault="000777BE" w:rsidP="000777BE">
            <w:pPr>
              <w:jc w:val="center"/>
              <w:rPr>
                <w:lang w:val="en-GB"/>
              </w:rPr>
            </w:pPr>
            <w:r w:rsidRPr="008E5B32">
              <w:rPr>
                <w:rFonts w:ascii="Segoe UI Symbol" w:eastAsia="Segoe UI Symbol" w:hAnsi="Segoe UI Symbol" w:cs="Segoe UI Symbol"/>
                <w:color w:val="222222"/>
                <w:shd w:val="clear" w:color="auto" w:fill="FFFFFF"/>
                <w:lang w:val="en-GB"/>
              </w:rPr>
              <w:t>✓</w:t>
            </w:r>
          </w:p>
          <w:p w14:paraId="672F28CF" w14:textId="77777777" w:rsidR="000777BE" w:rsidRPr="008E5B32" w:rsidRDefault="000777BE" w:rsidP="000777BE">
            <w:pPr>
              <w:jc w:val="center"/>
              <w:rPr>
                <w:rFonts w:ascii="Segoe UI Symbol" w:eastAsia="Segoe UI Symbol" w:hAnsi="Segoe UI Symbol" w:cs="Segoe UI Symbol"/>
                <w:color w:val="222222"/>
                <w:shd w:val="clear" w:color="auto" w:fill="FFFFFF"/>
                <w:lang w:val="en-GB"/>
              </w:rPr>
            </w:pPr>
            <w:r w:rsidRPr="008E5B32">
              <w:rPr>
                <w:lang w:val="en-GB"/>
              </w:rPr>
              <w:t>(Cell association in A549 cells)</w:t>
            </w:r>
          </w:p>
        </w:tc>
        <w:tc>
          <w:tcPr>
            <w:tcW w:w="960" w:type="dxa"/>
          </w:tcPr>
          <w:p w14:paraId="173D823D" w14:textId="03FEC688" w:rsidR="000777BE" w:rsidRPr="008E5B32" w:rsidRDefault="000777BE" w:rsidP="000777BE">
            <w:pPr>
              <w:jc w:val="center"/>
            </w:pPr>
            <w:r w:rsidRPr="008E5B32">
              <w:t xml:space="preserve">105 </w:t>
            </w:r>
            <w:r w:rsidRPr="008E5B32">
              <w:fldChar w:fldCharType="begin" w:fldLock="1"/>
            </w:r>
            <w:r w:rsidR="00434385" w:rsidRPr="008E5B32">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Pr="008E5B32">
              <w:fldChar w:fldCharType="separate"/>
            </w:r>
            <w:r w:rsidR="004C12A8" w:rsidRPr="008E5B32">
              <w:rPr>
                <w:noProof/>
                <w:vertAlign w:val="superscript"/>
              </w:rPr>
              <w:t>85</w:t>
            </w:r>
            <w:r w:rsidRPr="008E5B32">
              <w:fldChar w:fldCharType="end"/>
            </w:r>
          </w:p>
        </w:tc>
        <w:tc>
          <w:tcPr>
            <w:tcW w:w="1620" w:type="dxa"/>
          </w:tcPr>
          <w:p w14:paraId="2DBA2D5C" w14:textId="77777777" w:rsidR="000777BE" w:rsidRPr="008E5B32" w:rsidRDefault="000777BE" w:rsidP="000777BE">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w:t>
            </w:r>
            <w:r w:rsidR="006249E0" w:rsidRPr="008E5B32">
              <w:t>SVM</w:t>
            </w:r>
            <w:r w:rsidRPr="008E5B32">
              <w:t xml:space="preserve"> regression)</w:t>
            </w:r>
          </w:p>
        </w:tc>
        <w:tc>
          <w:tcPr>
            <w:tcW w:w="540" w:type="dxa"/>
          </w:tcPr>
          <w:p w14:paraId="5A6AFC09" w14:textId="77777777" w:rsidR="000777BE" w:rsidRPr="008E5B32" w:rsidRDefault="000777BE" w:rsidP="000777BE">
            <w:pPr>
              <w:jc w:val="center"/>
            </w:pPr>
            <w:r w:rsidRPr="008E5B32">
              <w:rPr>
                <w:szCs w:val="18"/>
              </w:rPr>
              <w:t>≈</w:t>
            </w:r>
          </w:p>
        </w:tc>
        <w:tc>
          <w:tcPr>
            <w:tcW w:w="540" w:type="dxa"/>
          </w:tcPr>
          <w:p w14:paraId="5553C866" w14:textId="77777777" w:rsidR="000777BE" w:rsidRPr="008E5B32" w:rsidRDefault="000777BE" w:rsidP="000777BE">
            <w:pPr>
              <w:jc w:val="center"/>
            </w:pPr>
            <w:r w:rsidRPr="008E5B32">
              <w:rPr>
                <w:szCs w:val="18"/>
              </w:rPr>
              <w:t>≈</w:t>
            </w:r>
          </w:p>
        </w:tc>
        <w:tc>
          <w:tcPr>
            <w:tcW w:w="1350" w:type="dxa"/>
          </w:tcPr>
          <w:p w14:paraId="0A3BD6D0" w14:textId="77777777" w:rsidR="000777BE" w:rsidRPr="008E5B32" w:rsidRDefault="000777BE" w:rsidP="000777BE">
            <w:pPr>
              <w:jc w:val="center"/>
              <w:rPr>
                <w:rFonts w:ascii="Segoe UI Symbol" w:hAnsi="Segoe UI Symbol" w:cs="Segoe UI Symbol"/>
                <w:szCs w:val="18"/>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34AC904D" w14:textId="77777777" w:rsidR="000777BE" w:rsidRPr="008E5B32" w:rsidRDefault="000777BE" w:rsidP="000777BE">
            <w:pPr>
              <w:jc w:val="center"/>
            </w:pPr>
            <w:r w:rsidRPr="008E5B32">
              <w:rPr>
                <w:szCs w:val="18"/>
              </w:rPr>
              <w:t>≈</w:t>
            </w:r>
            <w:r w:rsidRPr="008E5B32">
              <w:t xml:space="preserve"> </w:t>
            </w:r>
          </w:p>
          <w:p w14:paraId="5B28B04A" w14:textId="77777777" w:rsidR="000777BE" w:rsidRPr="008E5B32" w:rsidRDefault="000777BE" w:rsidP="000777BE">
            <w:pPr>
              <w:jc w:val="center"/>
              <w:rPr>
                <w:rFonts w:ascii="Segoe UI Symbol" w:hAnsi="Segoe UI Symbol" w:cs="Segoe UI Symbol"/>
                <w:szCs w:val="18"/>
              </w:rPr>
            </w:pPr>
            <w:r w:rsidRPr="008E5B32">
              <w:t>(Y-scrambling)</w:t>
            </w:r>
          </w:p>
        </w:tc>
        <w:tc>
          <w:tcPr>
            <w:tcW w:w="581" w:type="dxa"/>
          </w:tcPr>
          <w:p w14:paraId="42FFEA50" w14:textId="77777777" w:rsidR="000777BE" w:rsidRPr="008E5B32" w:rsidRDefault="000777BE" w:rsidP="000777BE">
            <w:pPr>
              <w:jc w:val="center"/>
            </w:pPr>
            <w:r w:rsidRPr="008E5B32">
              <w:rPr>
                <w:rFonts w:ascii="Segoe UI Symbol" w:eastAsia="Segoe UI Symbol" w:hAnsi="Segoe UI Symbol" w:cs="Segoe UI Symbol"/>
                <w:color w:val="222222"/>
                <w:shd w:val="clear" w:color="auto" w:fill="FFFFFF"/>
              </w:rPr>
              <w:t>✓</w:t>
            </w:r>
          </w:p>
        </w:tc>
      </w:tr>
      <w:tr w:rsidR="00A1047C" w:rsidRPr="008E5B32" w14:paraId="3239DE82" w14:textId="77777777" w:rsidTr="00D6682C">
        <w:tc>
          <w:tcPr>
            <w:tcW w:w="426" w:type="dxa"/>
          </w:tcPr>
          <w:p w14:paraId="43E08522" w14:textId="4873BFBB" w:rsidR="00A1047C" w:rsidRPr="008E5B32" w:rsidRDefault="00A1047C" w:rsidP="00A1047C">
            <w:pPr>
              <w:rPr>
                <w:lang w:val="en-GB"/>
              </w:rPr>
            </w:pPr>
            <w:r w:rsidRPr="008E5B32">
              <w:fldChar w:fldCharType="begin" w:fldLock="1"/>
            </w:r>
            <w:r w:rsidR="00434385" w:rsidRPr="008E5B32">
              <w:instrText>ADDIN CSL_CITATION {"citationItems":[{"id":"ITEM-1","itemData":{"DOI":"10.1186/s13321-015-0094-2","ISSN":"17582946","PMID":"26379782","abstract":"BACKGROUND: Predictive regression models can be created with many different modelling approaches. Choices need to be made for data set splitting, cross-validation methods, specific regression parameters and best model criteria, as they all affect the accuracy and efficiency of the produced predictive models, and therefore, raising model reproducibility and comparison issues. Cheminformatics and bioinformatics are extensively using predictive modelling and exhibit a need for standardization of these methodologies in order to assist model selection and speed up the process of predictive model development. A tool accessible to all users, irrespectively of their statistical knowledge, would be valuable if it tests several simple and complex regression models and validation schemes, produce unified reports, and offer the option to be integrated into more extensive studies. Additionally, such methodology should be implemented as a free programming package, in order to be continuously adapted and redistributed by others.\\n\\nRESULTS: We propose an integrated framework for creating multiple regression models, called RRegrs. The tool offers the option of ten simple and complex regression methods combined with repeated 10-fold and leave-one-out cross-validation. Methods include Multiple Linear regression, Generalized Linear Model with Stepwise Feature Selection, Partial Least Squares regression, Lasso regression, and Support Vector Machines Recursive Feature Elimination. The new framework is an automated fully validated procedure which produces standardized reports to quickly oversee the impact of choices in modelling algorithms and assess the model and cross-validation results. The methodology was implemented as an open source R package, available at https://www.github.com/enanomapper/RRegrs, by reusing and extending on the caret package.\\n\\nCONCLUSION: The universality of the new methodology is demonstrated using five standard data sets from different scientific fields. Its efficiency in cheminformatics and QSAR modelling is shown with three use cases: proteomics data for surface-modified gold nanoparticles, nano-metal oxides descriptor data, and molecular descriptors for acute aquatic toxicity data. The results show that for all data sets RRegrs reports models with equal or better performance for both training and test sets than those reported in the original publications. Its good performance as well as its adaptability in terms of parameter</w:instrText>
            </w:r>
            <w:r w:rsidR="00434385" w:rsidRPr="008E5B32">
              <w:rPr>
                <w:lang w:val="en-US"/>
              </w:rPr>
              <w:instrText xml:space="preserve"> optimization could…","author":[{"dropping-particle":"","family":"Tsiliki","given":"Georgia","non-dropping-particle":"","parse-names":false,"suffix":""},{"dropping-particle":"","family":"Munteanu","given":"Cristian R.","non-dropping-particle":"","parse-names":false,"suffix":""},{"dropping-particle":"","family":"Seoane","given":"Jose A.","non-dropping-particle":"","parse-names":false,"suffix":""},{"dropping-particle":"","family":"Fernandez-Lozano","given":"Carlos","non-dropping-particle":"","parse-names":false,"suffix":""},{"dropping-particle":"","family":"Sarimveis","given":"Haralambos","non-dropping-particle":"","parse-names":false,"suffix":""},{"dropping-particle":"","family":"Willighagen","given":"Egon L.","non-dropping-particle":"","parse-names":false,"suffix":""}],"container-title":"Journal of Cheminformatics","id":"ITEM-1","issued":{"date-parts":[["2015"]]},"title":"RRegrs: An R package for computer-aided model selection with multiple regression models","type":"article-journal"},"uris":["http://www.mendeley.com/documents/?uuid=2926eff5-31c8-4f8e-8288-6bd3de5b72b5","http://www.mendeley.com/documents/?uuid=cb7ccf3b-57b2-4ab4-8b29-76cb79300e07","http://www.mendeley.com/documents/?uuid=de291e63-bebd-4bcc-abb3-7083c8a6fd4d"]}],"mendeley":{"formattedCitation":"&lt;sup&gt;138&lt;/sup&gt;","plainTextFormattedCitation":"138","previouslyFormattedCitation":"&lt;sup&gt;138&lt;/sup&gt;"},"properties":{"noteIndex":0},"schema":"https://github.com/citation-style-language/schema/raw/master/csl-citation.json"}</w:instrText>
            </w:r>
            <w:r w:rsidRPr="008E5B32">
              <w:fldChar w:fldCharType="separate"/>
            </w:r>
            <w:r w:rsidR="004C12A8" w:rsidRPr="008E5B32">
              <w:rPr>
                <w:noProof/>
                <w:vertAlign w:val="superscript"/>
                <w:lang w:val="en-GB"/>
              </w:rPr>
              <w:t>138</w:t>
            </w:r>
            <w:r w:rsidRPr="008E5B32">
              <w:fldChar w:fldCharType="end"/>
            </w:r>
          </w:p>
        </w:tc>
        <w:tc>
          <w:tcPr>
            <w:tcW w:w="4536" w:type="dxa"/>
          </w:tcPr>
          <w:p w14:paraId="1760413F" w14:textId="72275CB7" w:rsidR="00A1047C" w:rsidRPr="008E5B32" w:rsidRDefault="00A1047C" w:rsidP="00A1047C">
            <w:pPr>
              <w:jc w:val="both"/>
              <w:rPr>
                <w:lang w:val="en-GB"/>
              </w:rPr>
            </w:pPr>
            <w:r w:rsidRPr="008E5B32">
              <w:rPr>
                <w:lang w:val="en-GB"/>
              </w:rPr>
              <w:t xml:space="preserve">R package (RRegres) </w:t>
            </w:r>
            <w:r w:rsidR="00DF2866" w:rsidRPr="008E5B32">
              <w:rPr>
                <w:lang w:val="en-GB"/>
              </w:rPr>
              <w:t>for</w:t>
            </w:r>
            <w:r w:rsidRPr="008E5B32">
              <w:rPr>
                <w:lang w:val="en-GB"/>
              </w:rPr>
              <w:t xml:space="preserve"> creating and validating multiple regression models, producing unified reports and selecting</w:t>
            </w:r>
            <w:r w:rsidR="00C13E8B" w:rsidRPr="008E5B32">
              <w:rPr>
                <w:lang w:val="en-GB"/>
              </w:rPr>
              <w:t xml:space="preserve"> the best performing one</w:t>
            </w:r>
            <w:r w:rsidRPr="008E5B32">
              <w:rPr>
                <w:lang w:val="en-GB"/>
              </w:rPr>
              <w:t>.</w:t>
            </w:r>
            <w:r w:rsidR="0047653C" w:rsidRPr="008E5B32">
              <w:rPr>
                <w:lang w:val="en-GB"/>
              </w:rPr>
              <w:t xml:space="preserve"> Authors tested their package against different datasets, including </w:t>
            </w:r>
            <w:r w:rsidR="00CD23B8" w:rsidRPr="008E5B32">
              <w:rPr>
                <w:lang w:val="en-GB"/>
              </w:rPr>
              <w:t>three</w:t>
            </w:r>
            <w:r w:rsidR="0047653C" w:rsidRPr="008E5B32">
              <w:rPr>
                <w:lang w:val="en-GB"/>
              </w:rPr>
              <w:t xml:space="preserve"> case studies on nano-particles: two of these case studies were related to toxicity, and one to ecotoxicity (short-term </w:t>
            </w:r>
            <w:r w:rsidR="00372817" w:rsidRPr="008E5B32">
              <w:rPr>
                <w:lang w:val="en-GB"/>
              </w:rPr>
              <w:t>aquatic</w:t>
            </w:r>
            <w:r w:rsidR="0047653C" w:rsidRPr="008E5B32">
              <w:rPr>
                <w:lang w:val="en-GB"/>
              </w:rPr>
              <w:t xml:space="preserve"> toxicity).</w:t>
            </w:r>
            <w:r w:rsidR="00D96A81" w:rsidRPr="008E5B32">
              <w:rPr>
                <w:lang w:val="en-GB"/>
              </w:rPr>
              <w:t xml:space="preserve"> In CS1 protein-corona descriptors were included in the models, while in CS2 quantum-mechanical and image derived descriptors were used.</w:t>
            </w:r>
          </w:p>
        </w:tc>
        <w:tc>
          <w:tcPr>
            <w:tcW w:w="2268" w:type="dxa"/>
          </w:tcPr>
          <w:p w14:paraId="62B3C3D5" w14:textId="77777777" w:rsidR="0047653C" w:rsidRPr="008E5B32" w:rsidRDefault="0047653C" w:rsidP="0047653C">
            <w:pPr>
              <w:jc w:val="center"/>
              <w:rPr>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szCs w:val="18"/>
                <w:lang w:val="en-GB"/>
              </w:rPr>
              <w:t>✗</w:t>
            </w:r>
          </w:p>
          <w:p w14:paraId="256CBA31" w14:textId="77680112" w:rsidR="00A1047C" w:rsidRPr="008E5B32" w:rsidRDefault="0047653C" w:rsidP="0047653C">
            <w:pPr>
              <w:jc w:val="center"/>
              <w:rPr>
                <w:rFonts w:ascii="Segoe UI Symbol" w:eastAsia="Segoe UI Symbol" w:hAnsi="Segoe UI Symbol" w:cs="Segoe UI Symbol"/>
                <w:color w:val="222222"/>
                <w:shd w:val="clear" w:color="auto" w:fill="FFFFFF"/>
                <w:lang w:val="en-GB"/>
              </w:rPr>
            </w:pPr>
            <w:r w:rsidRPr="008E5B32">
              <w:rPr>
                <w:lang w:val="en-GB"/>
              </w:rPr>
              <w:t>(CS1: Cell association in A549 cells, CS2:</w:t>
            </w:r>
            <w:r w:rsidR="006A26BD" w:rsidRPr="008E5B32">
              <w:rPr>
                <w:lang w:val="en-GB"/>
              </w:rPr>
              <w:t xml:space="preserve"> </w:t>
            </w:r>
            <w:r w:rsidRPr="008E5B32">
              <w:rPr>
                <w:lang w:val="en-GB"/>
              </w:rPr>
              <w:t xml:space="preserve">Cytotoxicity via reduction of </w:t>
            </w:r>
            <w:r w:rsidRPr="008E5B32">
              <w:rPr>
                <w:i/>
                <w:iCs/>
                <w:lang w:val="en-GB"/>
              </w:rPr>
              <w:t>E. Coli</w:t>
            </w:r>
            <w:r w:rsidRPr="008E5B32">
              <w:rPr>
                <w:lang w:val="en-GB"/>
              </w:rPr>
              <w:t xml:space="preserve"> viability and cytotoxicity via cellular uptake of HaCaT cells)</w:t>
            </w:r>
          </w:p>
        </w:tc>
        <w:tc>
          <w:tcPr>
            <w:tcW w:w="960" w:type="dxa"/>
          </w:tcPr>
          <w:p w14:paraId="572FAE49" w14:textId="2194EFED" w:rsidR="0047653C" w:rsidRPr="008E5B32" w:rsidRDefault="0047653C" w:rsidP="0047653C">
            <w:pPr>
              <w:jc w:val="center"/>
            </w:pPr>
            <w:r w:rsidRPr="008E5B32">
              <w:rPr>
                <w:lang w:val="en-GB"/>
              </w:rPr>
              <w:t xml:space="preserve">84 </w:t>
            </w:r>
            <w:r w:rsidRPr="008E5B32">
              <w:fldChar w:fldCharType="begin" w:fldLock="1"/>
            </w:r>
            <w:r w:rsidR="00434385" w:rsidRPr="008E5B32">
              <w:rPr>
                <w:lang w:val="en-GB"/>
              </w:rPr>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Pr="008E5B32">
              <w:fldChar w:fldCharType="separate"/>
            </w:r>
            <w:r w:rsidR="004C12A8" w:rsidRPr="008E5B32">
              <w:rPr>
                <w:noProof/>
                <w:vertAlign w:val="superscript"/>
              </w:rPr>
              <w:t>85</w:t>
            </w:r>
            <w:r w:rsidRPr="008E5B32">
              <w:fldChar w:fldCharType="end"/>
            </w:r>
            <w:r w:rsidRPr="008E5B32">
              <w:rPr>
                <w:sz w:val="24"/>
              </w:rPr>
              <w:t>,</w:t>
            </w:r>
          </w:p>
          <w:p w14:paraId="5B3E011B" w14:textId="76F43A2E" w:rsidR="0047653C" w:rsidRPr="008E5B32" w:rsidRDefault="0047653C" w:rsidP="0047653C">
            <w:pPr>
              <w:jc w:val="center"/>
            </w:pPr>
            <w:r w:rsidRPr="008E5B32">
              <w:t xml:space="preserve">17 </w:t>
            </w: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r w:rsidRPr="008E5B32">
              <w:rPr>
                <w:sz w:val="24"/>
              </w:rPr>
              <w:t>,</w:t>
            </w:r>
          </w:p>
          <w:p w14:paraId="74BD59CC" w14:textId="77777777" w:rsidR="0047653C" w:rsidRPr="008E5B32" w:rsidRDefault="0047653C" w:rsidP="0047653C">
            <w:pPr>
              <w:jc w:val="center"/>
            </w:pPr>
            <w:r w:rsidRPr="008E5B32">
              <w:t>18</w:t>
            </w:r>
          </w:p>
        </w:tc>
        <w:tc>
          <w:tcPr>
            <w:tcW w:w="1620" w:type="dxa"/>
          </w:tcPr>
          <w:p w14:paraId="1F2AE404" w14:textId="77777777" w:rsidR="00A1047C" w:rsidRPr="008E5B32" w:rsidRDefault="0047653C" w:rsidP="00A1047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(SVM regression, Elastic Net Regression)</w:t>
            </w:r>
          </w:p>
        </w:tc>
        <w:tc>
          <w:tcPr>
            <w:tcW w:w="540" w:type="dxa"/>
          </w:tcPr>
          <w:p w14:paraId="4B7A3F80" w14:textId="77777777" w:rsidR="00A1047C" w:rsidRPr="008E5B32" w:rsidRDefault="00A1047C" w:rsidP="00A1047C">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2BE2E75F" w14:textId="77777777" w:rsidR="00A1047C" w:rsidRPr="008E5B32" w:rsidRDefault="00A1047C" w:rsidP="00A1047C">
            <w:pPr>
              <w:jc w:val="center"/>
              <w:rPr>
                <w:szCs w:val="18"/>
              </w:rPr>
            </w:pPr>
            <w:r w:rsidRPr="008E5B32">
              <w:rPr>
                <w:rFonts w:ascii="Segoe UI Symbol" w:eastAsia="Segoe UI Symbol" w:hAnsi="Segoe UI Symbol" w:cs="Segoe UI Symbol"/>
                <w:color w:val="222222"/>
                <w:shd w:val="clear" w:color="auto" w:fill="FFFFFF"/>
              </w:rPr>
              <w:t>✓</w:t>
            </w:r>
          </w:p>
        </w:tc>
        <w:tc>
          <w:tcPr>
            <w:tcW w:w="1350" w:type="dxa"/>
          </w:tcPr>
          <w:p w14:paraId="3AD2E122" w14:textId="77777777" w:rsidR="00A1047C" w:rsidRPr="008E5B32" w:rsidRDefault="0047653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4713A2FA" w14:textId="77777777" w:rsidR="00A1047C" w:rsidRPr="008E5B32" w:rsidRDefault="00A1047C" w:rsidP="00A1047C">
            <w:pPr>
              <w:jc w:val="center"/>
            </w:pPr>
            <w:r w:rsidRPr="008E5B32">
              <w:rPr>
                <w:szCs w:val="18"/>
              </w:rPr>
              <w:t>≈</w:t>
            </w:r>
            <w:r w:rsidRPr="008E5B32">
              <w:t xml:space="preserve"> </w:t>
            </w:r>
          </w:p>
          <w:p w14:paraId="5760318D" w14:textId="77777777" w:rsidR="00A1047C" w:rsidRPr="008E5B32" w:rsidRDefault="00A1047C" w:rsidP="00A1047C">
            <w:pPr>
              <w:jc w:val="center"/>
              <w:rPr>
                <w:szCs w:val="18"/>
              </w:rPr>
            </w:pPr>
            <w:r w:rsidRPr="008E5B32">
              <w:t>(Y-scrambling)</w:t>
            </w:r>
          </w:p>
        </w:tc>
        <w:tc>
          <w:tcPr>
            <w:tcW w:w="581" w:type="dxa"/>
          </w:tcPr>
          <w:p w14:paraId="2059DB2C" w14:textId="77777777" w:rsidR="00A1047C" w:rsidRPr="008E5B32" w:rsidRDefault="0047653C" w:rsidP="00A1047C">
            <w:pPr>
              <w:jc w:val="center"/>
              <w:rPr>
                <w:rFonts w:ascii="Segoe UI Symbol" w:eastAsia="Segoe UI Symbol" w:hAnsi="Segoe UI Symbol" w:cs="Segoe UI Symbol"/>
                <w:color w:val="222222"/>
                <w:shd w:val="clear" w:color="auto" w:fill="FFFFFF"/>
              </w:rPr>
            </w:pPr>
            <w:r w:rsidRPr="008E5B32">
              <w:rPr>
                <w:rFonts w:ascii="Segoe UI Symbol" w:hAnsi="Segoe UI Symbol" w:cs="Segoe UI Symbol"/>
                <w:szCs w:val="18"/>
              </w:rPr>
              <w:t>✗</w:t>
            </w:r>
          </w:p>
        </w:tc>
      </w:tr>
      <w:tr w:rsidR="00A1047C" w:rsidRPr="008E5B32" w14:paraId="10A019E5" w14:textId="77777777" w:rsidTr="00D6682C">
        <w:tc>
          <w:tcPr>
            <w:tcW w:w="426" w:type="dxa"/>
          </w:tcPr>
          <w:p w14:paraId="7119EB8E" w14:textId="5308360C" w:rsidR="00A1047C" w:rsidRPr="008E5B32" w:rsidRDefault="00A1047C" w:rsidP="00A1047C">
            <w:pPr>
              <w:rPr>
                <w:lang w:val="en-GB"/>
              </w:rPr>
            </w:pPr>
            <w:r w:rsidRPr="008E5B32">
              <w:fldChar w:fldCharType="begin" w:fldLock="1"/>
            </w:r>
            <w:r w:rsidR="00434385" w:rsidRPr="008E5B32">
              <w:instrText>ADDIN CSL_CITATION {"citationItems":[{"id":"ITEM-1","itemData":{"DOI":"10.3109/17435390.2016.1161857","ISSN":"1743-5390","abstract":"Abstract: The number of engineered nanomaterials (ENMs) being exploited commercially is growing rapidly, due to the novel properties they exhibit. Clearly, it is important to understand and minimize any risks to health or the environment posed by the presence of ENMs. Data-driven models that decode the relationships between the biological activities of ENMs and their physicochemical characteristics provide an attractive means of maximizing the value of scarce and expensive experimental data. Although such structure–activity relationship (SAR) methods have become very useful tools for modelling nanotoxicity endpoints (nanoSAR), they have limited robustness and predictivity and, most importantly, interpretation of the models they generate is often very difficult. New computational modelling tools or new ways of using existing tools are required to model the relatively sparse and sometimes lower quality data on the biological effects of ENMs. The most commonly used SAR modelling methods work best with large datasets, are not particularly good at feature selection, can be relatively opaque to interpretation, and may not account for nonlinearity in the structure–property relationships. To overcome these limitations, we describe the application of a novel algorithm, a genetic programming-based decision tree construction tool (GPTree) to nanoSAR modelling. We demonstrate the use of GPTree in the construction of accurate and interpretable nanoSAR models by applying it to four diverse literature datasets. We describe the algorithm and compare model results across the four studies. We show that GPTree generates models with accuracies equivalent to or superior to those of prior modelling studies on the same datasets. GPTree is a robust, a</w:instrText>
            </w:r>
            <w:r w:rsidR="00434385" w:rsidRPr="008E5B32">
              <w:rPr>
                <w:lang w:val="en-US"/>
              </w:rPr>
              <w:instrText>utomatic method for generation of accurate nanoSAR models with important advantages that it works with small datasets, automatically selects descriptors, and provides significantly improved interpretability of models. © 2016 Informa UK Limited, trading as Taylor &amp; Francis Group.","author":[{"dropping-particle":"","family":"Oksel","given":"Ceyda","non-dropping-particle":"","parse-names":false,"suffix":""},{"dropping-particle":"","family":"Winkler","given":"David A.","non-dropping-particle":"","parse-names":false,"suffix":""},{"dropping-particle":"","family":"Ma","given":"Cai Y.","non-dropping-particle":"","parse-names":false,"suffix":""},{"dropping-particle":"","family":"Wilkins","given":"Terry","non-dropping-particle":"","parse-names":false,"suffix":""},{"dropping-particle":"","family":"Wang","given":"Xue Z.","non-dropping-particle":"","parse-names":false,"suffix":""}],"container-title":"Nanotoxicology","id":"ITEM-1","issue":"7","issued":{"date-parts":[["2016"]]},"page":"1001-1012","title":"Accurate and interpretable nanoSAR models from genetic programming-based decision tree construction approaches","type":"article-journal","volume":"10"},"uris":["http://www.mendeley.com/documents/?uuid=b7ff6b86-ef84-4986-9fec-7fa970067fcc"]}],"mendeley":{"formattedCitation":"&lt;sup&gt;139&lt;/sup&gt;","plainTextFormattedCitation":"139","previouslyFormattedCitation":"&lt;sup&gt;139&lt;/sup&gt;"},"properties":{"noteIndex":0},"schema":"https://github.com/citation-style-language/schema/raw/master/csl-citation.json"}</w:instrText>
            </w:r>
            <w:r w:rsidRPr="008E5B32">
              <w:fldChar w:fldCharType="separate"/>
            </w:r>
            <w:r w:rsidR="004C12A8" w:rsidRPr="008E5B32">
              <w:rPr>
                <w:noProof/>
                <w:vertAlign w:val="superscript"/>
                <w:lang w:val="en-GB"/>
              </w:rPr>
              <w:t>139</w:t>
            </w:r>
            <w:r w:rsidRPr="008E5B32">
              <w:fldChar w:fldCharType="end"/>
            </w:r>
          </w:p>
        </w:tc>
        <w:tc>
          <w:tcPr>
            <w:tcW w:w="4536" w:type="dxa"/>
          </w:tcPr>
          <w:p w14:paraId="0A6E879F" w14:textId="5D441E21" w:rsidR="00A1047C" w:rsidRPr="008E5B32" w:rsidRDefault="00A1047C" w:rsidP="00A1047C">
            <w:pPr>
              <w:jc w:val="both"/>
              <w:rPr>
                <w:lang w:val="en-GB"/>
              </w:rPr>
            </w:pPr>
            <w:r w:rsidRPr="008E5B32">
              <w:rPr>
                <w:lang w:val="en-GB"/>
              </w:rPr>
              <w:t xml:space="preserve">Assessment of toxicity of NMs in </w:t>
            </w:r>
            <w:r w:rsidR="00CD23B8" w:rsidRPr="008E5B32">
              <w:rPr>
                <w:lang w:val="en-GB"/>
              </w:rPr>
              <w:t>four</w:t>
            </w:r>
            <w:r w:rsidRPr="008E5B32">
              <w:rPr>
                <w:lang w:val="en-GB"/>
              </w:rPr>
              <w:t xml:space="preserve"> different </w:t>
            </w:r>
            <w:r w:rsidR="00CD23B8" w:rsidRPr="008E5B32">
              <w:rPr>
                <w:lang w:val="en-GB"/>
              </w:rPr>
              <w:t>case studies</w:t>
            </w:r>
            <w:r w:rsidRPr="008E5B32">
              <w:rPr>
                <w:lang w:val="en-GB"/>
              </w:rPr>
              <w:t xml:space="preserve"> through SAR decision trees</w:t>
            </w:r>
            <w:r w:rsidR="00F64D85" w:rsidRPr="008E5B32">
              <w:rPr>
                <w:lang w:val="en-GB"/>
              </w:rPr>
              <w:t>, using nanospecific,</w:t>
            </w:r>
            <w:r w:rsidR="001809F0" w:rsidRPr="008E5B32">
              <w:rPr>
                <w:lang w:val="en-GB"/>
              </w:rPr>
              <w:t xml:space="preserve"> </w:t>
            </w:r>
            <w:r w:rsidR="00F64D85" w:rsidRPr="008E5B32">
              <w:rPr>
                <w:lang w:val="en-GB"/>
              </w:rPr>
              <w:t>physicochemical and molecular descriptors.</w:t>
            </w:r>
            <w:r w:rsidRPr="008E5B32">
              <w:rPr>
                <w:lang w:val="en-GB"/>
              </w:rPr>
              <w:t xml:space="preserve"> Authors generated for each case study 600 decision trees using a genetic approach, selecting the best 100 trees with respect to the prediction on the training set. Then, for each case study they selected the best decision tree as the one providing the best results in the test set. The selection of the final models (and, consequently, the reported predictive abilities) is thus clearly biased: a better approach would have been for instance to average the results of the 100 trees (resulting in a decision forest).</w:t>
            </w:r>
          </w:p>
        </w:tc>
        <w:tc>
          <w:tcPr>
            <w:tcW w:w="2268" w:type="dxa"/>
          </w:tcPr>
          <w:p w14:paraId="4D559AEE" w14:textId="77777777" w:rsidR="00A1047C" w:rsidRPr="008E5B32" w:rsidRDefault="00A1047C" w:rsidP="00A1047C">
            <w:pPr>
              <w:jc w:val="center"/>
              <w:rPr>
                <w:lang w:val="en-GB"/>
              </w:rPr>
            </w:pPr>
            <w:r w:rsidRPr="008E5B32">
              <w:rPr>
                <w:rFonts w:ascii="Segoe UI Symbol" w:hAnsi="Segoe UI Symbol" w:cs="Segoe UI Symbol"/>
                <w:szCs w:val="18"/>
                <w:lang w:val="en-GB"/>
              </w:rPr>
              <w:t>✗/</w:t>
            </w:r>
            <w:r w:rsidRPr="008E5B32">
              <w:rPr>
                <w:rFonts w:ascii="Segoe UI Symbol" w:eastAsia="Segoe UI Symbol" w:hAnsi="Segoe UI Symbol" w:cs="Segoe UI Symbol"/>
                <w:color w:val="222222"/>
                <w:shd w:val="clear" w:color="auto" w:fill="FFFFFF"/>
                <w:lang w:val="en-GB"/>
              </w:rPr>
              <w:t>✓</w:t>
            </w:r>
          </w:p>
          <w:p w14:paraId="682570D4" w14:textId="77777777" w:rsidR="00A1047C" w:rsidRPr="008E5B32" w:rsidRDefault="00A1047C" w:rsidP="00A1047C">
            <w:pPr>
              <w:jc w:val="center"/>
              <w:rPr>
                <w:rFonts w:ascii="Segoe UI Symbol" w:hAnsi="Segoe UI Symbol" w:cs="Segoe UI Symbol"/>
                <w:color w:val="222222"/>
                <w:szCs w:val="18"/>
                <w:shd w:val="clear" w:color="auto" w:fill="FFFFFF"/>
                <w:lang w:val="en-GB"/>
              </w:rPr>
            </w:pPr>
            <w:r w:rsidRPr="008E5B32">
              <w:rPr>
                <w:lang w:val="en-GB"/>
              </w:rPr>
              <w:t xml:space="preserve"> (CS1: Cell viability in BEAS-2B and RAW264.7 cell lines, CS2: cellular uptake in PaCa2 cancer cell line, CS3: cytotoxicity to via cellular uptake of HaCaT cells, CS4: exocytosis in macrophages)</w:t>
            </w:r>
          </w:p>
        </w:tc>
        <w:tc>
          <w:tcPr>
            <w:tcW w:w="960" w:type="dxa"/>
          </w:tcPr>
          <w:p w14:paraId="7F666315" w14:textId="6BB554C3" w:rsidR="00A1047C" w:rsidRPr="008E5B32" w:rsidRDefault="00A1047C" w:rsidP="00A1047C">
            <w:pPr>
              <w:jc w:val="center"/>
            </w:pPr>
            <w:r w:rsidRPr="008E5B32">
              <w:rPr>
                <w:lang w:val="en-GB"/>
              </w:rPr>
              <w:t xml:space="preserve">24 </w:t>
            </w:r>
            <w:r w:rsidRPr="008E5B32">
              <w:fldChar w:fldCharType="begin" w:fldLock="1"/>
            </w:r>
            <w:r w:rsidR="00434385" w:rsidRPr="008E5B32">
              <w:rPr>
                <w:lang w:val="en-GB"/>
              </w:rPr>
              <w:instrText>ADDIN CSL_CITATION {"citationItems":[{"id":"ITEM-1","itemData":{"DOI":"10.1021/nn3010087","ISBN":"1936-0851","ISSN":"19360851","PMID":"22502734","abstract":"We demonstrate for 24 metal oxide (MOx) nanoparticles that it is possible to use conduction band energy levels to delineate their toxicological potential at cellular and whole animal levels. Among the materials, the over of conduction band energy (E-c) levels with the cellular redox potential (-4.12 to 4.84 eV) was strongly correlated to the ability of Co3O4, Cr2O3, Ni2O3, Mn2O3, and CoO nanoparticles to induce oxygen radicals, oxidative stress, and inflammation. This outcome is premised on permissible electron transfers from the biological redox couples that maintain the cellular redox equilibrium to the conduction band of the semiconductor particles. Both single-parameter cytotoxic as well as multi-parameter oxidative stress assays in cells showed excellent correlation to the generation of acute neutrophilic inflammation and cytokine responses in the lungs of C57 BL/6 mice. CO3O4, Ni2O3, Mn2O3, and CoO nanoparticles could also oxidize cytochrome c as a representative redox couple Involved in redox homeostasis. While CuO and ZnO generated oxidative stress and acute pulmonary Inflammation that is not predicted by E-c levels, the adverse biological effects of these materials could be explained by their solubility, as demonstrated by ICP-MS analysis. These results demonstrate that it is possible to predict the toxicity of a large series of MOx nanoparticles in the lung premised on semiconductor properties and an integrated in vitro/in vivo hazard ranking model premised on oxidative stress. This establishes a robust platform for modeling of MOx structure-activity relationships based on band gap energy levels and particle dissolution. This predictive toxicological paradigm is also of considerable importance for regulatory decision-making about this important class of engineered nanomaterials.","author":[{"dropping-particle":"","family":"Zhang","given":"Haiyuan","non-dropping-particle":"","parse-names":false,"suffix":""},{"dropping-particle":"","family":"Ji","given":"Zhaoxia","non-dropping-particle":"","parse-names":false,"suffix":""},{"dropping-particle":"","family":"Xia","given":"Tian","non-dropping-particle":"","parse-names":false,"suffix":""},{"dropping-particle":"","family":"Meng","given":"Huan","non-dropping-particle":"","parse-names":false,"suffix":""},{"dropping-particle":"","family":"Low-Kam","given":"Cecile","non-dropping-particle":"","parse-names":false,"suffix":""},{"dropping-particle":"","family":"Liu","given":"Rong","non-dropping-particle":"","parse-names":false,"suffix":""},{"dropping-particle":"","family":"Pokhrel","given":"Suman","non-dropping-particle":"","parse-names":false,"suffix":""},{"dropping-particle":"","family":"Lin","given":"Sijie","non-dropping-particle":"","parse-names":false,"suffix":""},{"dropping-particle":"","family":"Wang","given":"Xiang","non-dropping-particle":"","parse-names":false,"suffix":""},{"dropping-particle":"","family":"Liao","given":"Yu Pei","non-dropping-particle":"","parse-names":false,"suffix":""},{"dropping-particle":"","family":"Wang","given":"Meiying","non-dropping-particle":"","parse-names":false,"suffix":""},{"dropping-particle":"","family":"Li","given":"Linjiang","non-dropping-particle":"","parse-names":false,"suffix":""},{"dropping-particle":"","family":"Rallo","given":"Robert","non-dropping-particle":"","parse-names":false,"suffix":""},{"dropping-particle":"","family":"Damoiseaux","given":"Robert","non-dropping-particle":"","parse-names":false,"suffix":""},{"dropping-particle":"","family":"Telesca","given":"Donatello","non-dropping-particle":"","parse-names":false,"suffix":""},{"dropping-particle":"","family":"Mädler","given":"Lutz","non-dropping-particle":"","parse-names":false,"suffix":""},{"dropping-particle":"","family":"Cohen","given":"Yoram","non-dropping-particle":"","parse-names":false,"suffix":""},{"dropping-particle":"","family":"Zink","given":"Jeffrey I.","non-dropping-particle":"","parse-names":false,"suffix":""},{"dropping-particle":"","family":"Nel","given":"Andre E.","non-dropping-particle":"","parse-names":false,"suffix":""}],"container-title":"ACS Nano","id":"ITEM-1","issued":{"date-parts":[["2012"]]},"title":"Use of metal oxide nanoparticle band gap to develop a predictive paradigm for oxidative stress and acute pulmonary inflammation","type":"article-journal"},"uris":["http://www.mendeley.com/documents/?uuid=4469f5d1-bbbc-49d7-880d-4aec2e194604"]}],"mendeley":{"formattedCitation":"&lt;sup&gt;140&lt;/sup&gt;","plainTextFormattedCitation":"140","previouslyFormattedCitation":"&lt;sup&gt;140&lt;/sup&gt;"},"properties":{"noteIndex":0},"schema":"https://github.com/citation-style-language/schema/raw/master/csl-citation.json"}</w:instrText>
            </w:r>
            <w:r w:rsidRPr="008E5B32">
              <w:fldChar w:fldCharType="separate"/>
            </w:r>
            <w:r w:rsidR="004C12A8" w:rsidRPr="008E5B32">
              <w:rPr>
                <w:noProof/>
                <w:vertAlign w:val="superscript"/>
              </w:rPr>
              <w:t>140</w:t>
            </w:r>
            <w:r w:rsidRPr="008E5B32">
              <w:fldChar w:fldCharType="end"/>
            </w:r>
            <w:r w:rsidRPr="008E5B32">
              <w:rPr>
                <w:sz w:val="24"/>
              </w:rPr>
              <w:t>,</w:t>
            </w:r>
          </w:p>
          <w:p w14:paraId="15F41651" w14:textId="033D965B" w:rsidR="00A1047C" w:rsidRPr="008E5B32" w:rsidRDefault="00A1047C" w:rsidP="00A1047C">
            <w:pPr>
              <w:jc w:val="center"/>
              <w:rPr>
                <w:szCs w:val="18"/>
              </w:rPr>
            </w:pPr>
            <w:r w:rsidRPr="008E5B32">
              <w:rPr>
                <w:szCs w:val="18"/>
              </w:rPr>
              <w:t xml:space="preserve">105 </w:t>
            </w:r>
            <w:r w:rsidRPr="008E5B32">
              <w:rPr>
                <w:szCs w:val="18"/>
              </w:rPr>
              <w:fldChar w:fldCharType="begin" w:fldLock="1"/>
            </w:r>
            <w:r w:rsidR="00434385" w:rsidRPr="008E5B32">
              <w:rPr>
                <w:szCs w:val="18"/>
              </w:rPr>
              <w:instrText>ADDIN CSL_CITATION {"citationItems":[{"id":"ITEM-1","itemData":{"DOI":"10.1038/nbt1159","ISBN":"1087-0156 (Print)\\n1087-0156 (Linking)","ISSN":"10870156","PMID":"16244656","abstract":"Nanomaterials with precise biological functions have considerable potential for use in biomedical applications. Here we investigate whether multivalent attachment of small molecules can increase specific binding affinity and reveal new biological properties of such nanomaterials. We describe the parallel synthesis of a library comprising 146 nanoparticles decorated with different synthetic small molecules. Using fluorescent magnetic nanoparticles, we rapidly screened the library against different cell lines and discovered a series of nanoparticles with high specificity for endothelial cells, activated human macrophages or pancreatic cancer cells. Hits from the last-mentioned screen were shown to target pancreatic cancer in vivo. The method and described materials could facilitate development of functional nanomaterials for applications such as differentiating cell lines, detecting distinct cellular states and targeting specific cell types.","author":[{"dropping-particle":"","family":"Weissleder","given":"Ralph","non-dropping-particle":"","parse-names":false,"suffix":""},{"dropping-particle":"","family":"Kelly","given":"Kimberly","non-dropping-particle":"","parse-names":false,"suffix":""},{"dropping-particle":"","family":"Sun","given":"Eric Yi","non-dropping-particle":"","parse-names":false,"suffix":""},{"dropping-particle":"","family":"Shtatland","given":"Timur","non-dropping-particle":"","parse-names":false,"suffix":""},{"dropping-particle":"","family":"Josephson","given":"Lee","non-dropping-particle":"","parse-names":false,"suffix":""}],"container-title":"Nature Biotechnology","id":"ITEM-1","issue":"11","issued":{"date-parts":[["2005"]]},"page":"1418-1423","title":"Cell-specific targeting of nanoparticles by multivalent attachment of small molecules","type":"article-journal","volume":"23"},"uris":["http://www.mendeley.com/documents/?uuid=db123821-a02c-412a-8b77-aa57f76e66db"]}],"mendeley":{"formattedCitation":"&lt;sup&gt;102&lt;/sup&gt;","plainTextFormattedCitation":"102","previouslyFormattedCitation":"&lt;sup&gt;102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102</w:t>
            </w:r>
            <w:r w:rsidRPr="008E5B32">
              <w:rPr>
                <w:szCs w:val="18"/>
              </w:rPr>
              <w:fldChar w:fldCharType="end"/>
            </w:r>
            <w:r w:rsidRPr="008E5B32">
              <w:rPr>
                <w:szCs w:val="18"/>
              </w:rPr>
              <w:t xml:space="preserve">, 18 </w:t>
            </w:r>
            <w:r w:rsidRPr="008E5B32">
              <w:rPr>
                <w:szCs w:val="18"/>
              </w:rPr>
              <w:fldChar w:fldCharType="begin" w:fldLock="1"/>
            </w:r>
            <w:r w:rsidR="00434385" w:rsidRPr="008E5B32">
              <w:rPr>
                <w:szCs w:val="18"/>
              </w:rPr>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83</w:t>
            </w:r>
            <w:r w:rsidRPr="008E5B32">
              <w:rPr>
                <w:szCs w:val="18"/>
              </w:rPr>
              <w:fldChar w:fldCharType="end"/>
            </w:r>
            <w:r w:rsidRPr="008E5B32">
              <w:rPr>
                <w:szCs w:val="18"/>
              </w:rPr>
              <w:t xml:space="preserve">, </w:t>
            </w:r>
          </w:p>
          <w:p w14:paraId="5008D44D" w14:textId="5EAB9F86" w:rsidR="00A1047C" w:rsidRPr="008E5B32" w:rsidRDefault="00A1047C" w:rsidP="00A1047C">
            <w:pPr>
              <w:jc w:val="center"/>
            </w:pPr>
            <w:r w:rsidRPr="008E5B32">
              <w:rPr>
                <w:szCs w:val="18"/>
              </w:rPr>
              <w:t xml:space="preserve">12 </w:t>
            </w:r>
            <w:r w:rsidRPr="008E5B32">
              <w:rPr>
                <w:szCs w:val="18"/>
              </w:rPr>
              <w:fldChar w:fldCharType="begin" w:fldLock="1"/>
            </w:r>
            <w:r w:rsidR="00434385" w:rsidRPr="008E5B32">
              <w:rPr>
                <w:szCs w:val="18"/>
              </w:rPr>
              <w:instrText>ADDIN CSL_CITATION {"citationItems":[{"id":"ITEM-1","itemData":{"DOI":"10.1021/nn501668a","ISBN":"1936-0851","ISSN":"1936086X","PMID":"24836308","abstract":"Significant quantities of synthetic nanoparticles circulating in the body are cleared and retained long in the resident macrophages of the mononuclear phagocytic system (MPS), increasing the likelihood of nanoparticle-mediated chronic toxicity. To date, there has been limited effort to understand how these nanoparticles leave the macrophages. Here, we demonstrate that the native surface chemistries of gold nanoparticles (GNPs) and their subsequent opsonization by serum proteins play critical roles in the exocytosis patterns in macrophages. The cationic GNPs were retained in the cells for a relatively long time, likely due to their intracellular agglomeration. Contrarily, the PEGylated GNPs migrated in the cytoplasm in the form of individual particles and exited the cells rapidly because the PEG coating mitigated interactions between GNPs and intracellular proteins. Additionally, their exocytosis pattern was not significantly governed by the size, particularly in the range from 10 to 40 nm. These results suggest that systemic excretion and toxicity of nanoparticles cleared in the MPS could be modulated by engineering their surface chemistry.","author":[{"dropping-particle":"","family":"Oh","given":"Nuri","non-dropping-particle":"","parse-names":false,"suffix":""},{"dropping-particle":"","family":"Park","given":"Ji Ho","non-dropping-particle":"","parse-names":false,"suffix":""}],"container-title":"ACS Nano","id":"ITEM-1","issue":"6","issued":{"date-parts":[["2014"]]},"page":"6232-6241","title":"Surface chemistry of gold nanoparticles mediates their exocytosis in macrophages","type":"article-journal","volume":"8"},"uris":["http://www.mendeley.com/documents/?uuid=6c086184-c753-4802-89a2-576f6535e62b","http://www.mendeley.com/documents/?uuid=9bc4d92e-4572-42af-82ec-108737fafd65"]}],"mendeley":{"formattedCitation":"&lt;sup&gt;132&lt;/sup&gt;","plainTextFormattedCitation":"132","previouslyFormattedCitation":"&lt;sup&gt;132&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132</w:t>
            </w:r>
            <w:r w:rsidRPr="008E5B32">
              <w:rPr>
                <w:szCs w:val="18"/>
              </w:rPr>
              <w:fldChar w:fldCharType="end"/>
            </w:r>
            <w:r w:rsidRPr="008E5B32">
              <w:rPr>
                <w:sz w:val="24"/>
              </w:rPr>
              <w:t xml:space="preserve"> </w:t>
            </w:r>
          </w:p>
        </w:tc>
        <w:tc>
          <w:tcPr>
            <w:tcW w:w="1620" w:type="dxa"/>
          </w:tcPr>
          <w:p w14:paraId="7DC5749F" w14:textId="77777777" w:rsidR="00A1047C" w:rsidRPr="008E5B32" w:rsidRDefault="00A1047C" w:rsidP="00A1047C">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w:t>
            </w:r>
            <w:r w:rsidRPr="008E5B32">
              <w:rPr>
                <w:i/>
              </w:rPr>
              <w:t>Decision Trees</w:t>
            </w:r>
            <w:r w:rsidRPr="008E5B32">
              <w:t>)</w:t>
            </w:r>
          </w:p>
        </w:tc>
        <w:tc>
          <w:tcPr>
            <w:tcW w:w="540" w:type="dxa"/>
          </w:tcPr>
          <w:p w14:paraId="1B17F21F" w14:textId="77777777" w:rsidR="00A1047C" w:rsidRPr="008E5B32" w:rsidRDefault="00A1047C" w:rsidP="00A1047C">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rPr>
              <w:t>✗</w:t>
            </w:r>
          </w:p>
        </w:tc>
        <w:tc>
          <w:tcPr>
            <w:tcW w:w="540" w:type="dxa"/>
          </w:tcPr>
          <w:p w14:paraId="00B05A92" w14:textId="77777777" w:rsidR="00A1047C" w:rsidRPr="008E5B32" w:rsidRDefault="00A1047C" w:rsidP="00A1047C">
            <w:pPr>
              <w:jc w:val="center"/>
              <w:rPr>
                <w:rFonts w:ascii="Segoe UI Symbol" w:hAnsi="Segoe UI Symbol" w:cs="Segoe UI Symbol"/>
                <w:color w:val="222222"/>
                <w:szCs w:val="18"/>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t xml:space="preserve"> </w:t>
            </w:r>
          </w:p>
        </w:tc>
        <w:tc>
          <w:tcPr>
            <w:tcW w:w="1350" w:type="dxa"/>
          </w:tcPr>
          <w:p w14:paraId="088F3536" w14:textId="77777777" w:rsidR="00A1047C" w:rsidRPr="008E5B32" w:rsidRDefault="00A1047C" w:rsidP="00A1047C">
            <w:pPr>
              <w:jc w:val="center"/>
              <w:rPr>
                <w:rFonts w:ascii="Segoe UI Symbol" w:hAnsi="Segoe UI Symbol" w:cs="Segoe UI Symbol"/>
                <w:szCs w:val="18"/>
              </w:rPr>
            </w:pPr>
            <w:r w:rsidRPr="008E5B32">
              <w:rPr>
                <w:rFonts w:ascii="Segoe UI Symbol" w:hAnsi="Segoe UI Symbol" w:cs="Segoe UI Symbol"/>
                <w:szCs w:val="18"/>
              </w:rPr>
              <w:t>✗</w:t>
            </w:r>
          </w:p>
        </w:tc>
        <w:tc>
          <w:tcPr>
            <w:tcW w:w="1350" w:type="dxa"/>
          </w:tcPr>
          <w:p w14:paraId="78F9057F" w14:textId="77777777" w:rsidR="00A1047C" w:rsidRPr="008E5B32" w:rsidRDefault="00A1047C" w:rsidP="00A1047C">
            <w:pPr>
              <w:jc w:val="center"/>
            </w:pPr>
            <w:r w:rsidRPr="008E5B32">
              <w:rPr>
                <w:szCs w:val="18"/>
              </w:rPr>
              <w:t>≈</w:t>
            </w:r>
            <w:r w:rsidRPr="008E5B32">
              <w:t xml:space="preserve"> </w:t>
            </w:r>
          </w:p>
          <w:p w14:paraId="0454DD47" w14:textId="77777777" w:rsidR="00A1047C" w:rsidRPr="008E5B32" w:rsidRDefault="00A1047C" w:rsidP="00A1047C">
            <w:pPr>
              <w:jc w:val="center"/>
              <w:rPr>
                <w:rFonts w:ascii="Segoe UI Symbol" w:hAnsi="Segoe UI Symbol" w:cs="Segoe UI Symbol"/>
                <w:szCs w:val="18"/>
              </w:rPr>
            </w:pPr>
            <w:r w:rsidRPr="008E5B32">
              <w:t>(Y-scrambling)</w:t>
            </w:r>
          </w:p>
        </w:tc>
        <w:tc>
          <w:tcPr>
            <w:tcW w:w="581" w:type="dxa"/>
          </w:tcPr>
          <w:p w14:paraId="46B99986" w14:textId="77777777" w:rsidR="00A1047C" w:rsidRPr="008E5B32" w:rsidRDefault="00A1047C" w:rsidP="00A1047C">
            <w:pPr>
              <w:jc w:val="center"/>
            </w:pPr>
            <w:r w:rsidRPr="008E5B32">
              <w:rPr>
                <w:rFonts w:ascii="Segoe UI Symbol" w:eastAsia="Segoe UI Symbol" w:hAnsi="Segoe UI Symbol" w:cs="Segoe UI Symbol"/>
                <w:color w:val="222222"/>
                <w:shd w:val="clear" w:color="auto" w:fill="FFFFFF"/>
              </w:rPr>
              <w:t>✓</w:t>
            </w:r>
          </w:p>
          <w:p w14:paraId="59439460" w14:textId="77777777" w:rsidR="00A1047C" w:rsidRPr="008E5B32" w:rsidRDefault="00A1047C" w:rsidP="00A1047C">
            <w:pPr>
              <w:jc w:val="center"/>
              <w:rPr>
                <w:rFonts w:ascii="Segoe UI Symbol" w:hAnsi="Segoe UI Symbol" w:cs="Segoe UI Symbol"/>
                <w:szCs w:val="18"/>
              </w:rPr>
            </w:pPr>
          </w:p>
        </w:tc>
      </w:tr>
      <w:tr w:rsidR="00A1047C" w:rsidRPr="008E5B32" w14:paraId="1D76B44E" w14:textId="77777777" w:rsidTr="00D6682C">
        <w:tc>
          <w:tcPr>
            <w:tcW w:w="426" w:type="dxa"/>
          </w:tcPr>
          <w:p w14:paraId="690E12B2" w14:textId="1495517B" w:rsidR="00A1047C" w:rsidRPr="008E5B32" w:rsidRDefault="00A1047C" w:rsidP="00A1047C">
            <w:pPr>
              <w:rPr>
                <w:lang w:val="en-GB"/>
              </w:rPr>
            </w:pPr>
            <w:r w:rsidRPr="008E5B32">
              <w:fldChar w:fldCharType="begin" w:fldLock="1"/>
            </w:r>
            <w:r w:rsidR="00434385" w:rsidRPr="008E5B32">
              <w:instrText>ADDIN CSL_CITATION {"citationItems":[{"id":"ITEM-1","itemData":{"DOI":"10.1080/17435390.2016.1202352","ISBN":"1743-5404; 1743-5390","ISSN":"17435404","abstract":"Background: The enormous physicochemical and structural diversity of metal oxide nanoparticles (MeONPs) poses significant challenges to the testing of their biological uptake, biodistribution, and effects that can be used to develop understanding of key nano-bio modes of action. This has generated considerable uncertainties in the assessment of their human health and environmental risks and has raised concerns about the adequacy of their regulation. In order to surpass the extremely resource intensive case-by-case testing, intelligent strategies combining testing methods and non-testing predictive modeling should be developed. Methods: The quantitative structure-activity relationship (QSARs) in silico tools can be instrumental in understanding properties that affect the potencies of MeONPs and in predicting toxic responses and thresholds of effects. Results: The present study proposes a predictive nano-QSAR model for predicting the cytotoxicity of MeONPs. The model was applied to test the relationships between 26 physicochemical properties of 51 MeONPs and their cytotoxic effects in Escherichia coli. The two parameters, enthalpy of formation of a gaseous cation (</w:instrText>
            </w:r>
            <w:r w:rsidR="00434385" w:rsidRPr="008E5B32">
              <w:rPr>
                <w:rFonts w:ascii="Cambria Math" w:hAnsi="Cambria Math" w:cs="Cambria Math"/>
              </w:rPr>
              <w:instrText>▵</w:instrText>
            </w:r>
            <w:r w:rsidR="00434385" w:rsidRPr="008E5B32">
              <w:instrText>Hme+) and polarization force (Z/r), were elucidated to make a significant contribution for the toxic effect of these MeONPs. The study also proposed the mechanisms of toxic potency in E. coli through the model, which indicated that the MeONPs as well as their released metal ions could collectively induce DNA damage and cell apoptosis. Significance: These findings may provide an alternative method for prioritizing current and future MeONPs for potential in vivo testing, virtual prescreening and for designing environmentally benign nanomaterials. © 2016 Informa UK Limited, trading as Taylor &amp; Francis Group.","author":[{"dropping-particle":"","family":"Mu","given":"Yunsong","non-dropping-particle":"","parse-names":false,"suffix":""},{"dropping-particle":"","family":"Wu","given":"Fengchang","non-dropping-particle":"","parse-names":false,"suffix":""},{"dropping-particle":"","family":"Zhao","given":"Qing","non-dropping-particle":"","parse-names":false,"suffix":""},{"dropping-partic</w:instrText>
            </w:r>
            <w:r w:rsidR="00434385" w:rsidRPr="008E5B32">
              <w:rPr>
                <w:lang w:val="en-US"/>
              </w:rPr>
              <w:instrText>le":"","family":"Ji","given":"Rong","non-dropping-particle":"","parse-names":false,"suffix":""},{"dropping-particle":"","family":"Qie","given":"Yu","non-dropping-particle":"","parse-names":false,"suffix":""},{"dropping-particle":"","family":"Zhou","given":"Yue","non-dropping-particle":"","parse-names":false,"suffix":""},{"dropping-particle":"","family":"Hu","given":"Yan","non-dropping-particle":"","parse-names":false,"suffix":""},{"dropping-particle":"","family":"Pang","given":"Chengfang","non-dropping-particle":"","parse-names":false,"suffix":""},{"dropping-particle":"","family":"Hristozov","given":"Danail","non-dropping-particle":"","parse-names":false,"suffix":""},{"dropping-particle":"","family":"Giesy","given":"John P.","non-dropping-particle":"","parse-names":false,"suffix":""},{"dropping-particle":"","family":"Xing","given":"Baoshan","non-dropping-particle":"","parse-names":false,"suffix":""}],"container-title":"Nanotoxicology","id":"ITEM-1","issue":"9","issued":{"date-parts":[["2016"]]},"page":"1207-1214","title":"Predicting toxic potencies of metal oxide nanoparticles by means of nano-QSARs","type":"article-journal","volume":"10"},"uris":["http://www.mendeley.com/documents/?uuid=58ece1ff-c831-4537-b48d-f2df1841fbf0"]}],"mendeley":{"formattedCitation":"&lt;sup&gt;141&lt;/sup&gt;","plainTextFormattedCitation":"141","previouslyFormattedCitation":"&lt;sup&gt;141&lt;/sup&gt;"},"properties":{"noteIndex":0},"schema":"https://github.com/citation-style-language/schema/raw/master/csl-citation.json"}</w:instrText>
            </w:r>
            <w:r w:rsidRPr="008E5B32">
              <w:fldChar w:fldCharType="separate"/>
            </w:r>
            <w:r w:rsidR="004C12A8" w:rsidRPr="008E5B32">
              <w:rPr>
                <w:noProof/>
                <w:vertAlign w:val="superscript"/>
                <w:lang w:val="en-GB"/>
              </w:rPr>
              <w:t>141</w:t>
            </w:r>
            <w:r w:rsidRPr="008E5B32">
              <w:fldChar w:fldCharType="end"/>
            </w:r>
          </w:p>
        </w:tc>
        <w:tc>
          <w:tcPr>
            <w:tcW w:w="4536" w:type="dxa"/>
          </w:tcPr>
          <w:p w14:paraId="5BF032D2" w14:textId="7FF9F384" w:rsidR="00A1047C" w:rsidRPr="008E5B32" w:rsidRDefault="00A1047C" w:rsidP="00A1047C">
            <w:pPr>
              <w:jc w:val="both"/>
              <w:rPr>
                <w:lang w:val="en-GB"/>
              </w:rPr>
            </w:pPr>
            <w:r w:rsidRPr="008E5B32">
              <w:rPr>
                <w:lang w:val="en-GB"/>
              </w:rPr>
              <w:t>Model composed by two theoretical descriptors</w:t>
            </w:r>
            <w:r w:rsidR="00EB1ED7" w:rsidRPr="008E5B32">
              <w:rPr>
                <w:lang w:val="en-GB"/>
              </w:rPr>
              <w:t xml:space="preserve"> (polarization force and </w:t>
            </w:r>
            <w:r w:rsidR="00EB1ED7" w:rsidRPr="008E5B32">
              <w:rPr>
                <w:lang w:val="en-US"/>
              </w:rPr>
              <w:t>enthalpy of formation of a gaseous cation)</w:t>
            </w:r>
            <w:r w:rsidRPr="008E5B32">
              <w:rPr>
                <w:lang w:val="en-GB"/>
              </w:rPr>
              <w:t xml:space="preserve"> to predict cytotoxicity to </w:t>
            </w:r>
            <w:r w:rsidRPr="008E5B32">
              <w:rPr>
                <w:i/>
                <w:lang w:val="en-GB"/>
              </w:rPr>
              <w:t>E.Coli</w:t>
            </w:r>
            <w:r w:rsidRPr="008E5B32">
              <w:rPr>
                <w:lang w:val="en-GB"/>
              </w:rPr>
              <w:t>. Authors tested it to two new NMs and ranked other untested NPs according to predicted toxicity.</w:t>
            </w:r>
          </w:p>
        </w:tc>
        <w:tc>
          <w:tcPr>
            <w:tcW w:w="2268" w:type="dxa"/>
          </w:tcPr>
          <w:p w14:paraId="28DA7B4E" w14:textId="77777777" w:rsidR="00A1047C" w:rsidRPr="008E5B32" w:rsidRDefault="00A1047C" w:rsidP="00A1047C">
            <w:pPr>
              <w:jc w:val="center"/>
              <w:rPr>
                <w:lang w:val="en-GB"/>
              </w:rPr>
            </w:pPr>
            <w:r w:rsidRPr="008E5B32">
              <w:rPr>
                <w:rFonts w:ascii="Segoe UI Symbol" w:eastAsia="Segoe UI Symbol" w:hAnsi="Segoe UI Symbol" w:cs="Segoe UI Symbol"/>
                <w:color w:val="222222"/>
                <w:shd w:val="clear" w:color="auto" w:fill="FFFFFF"/>
                <w:lang w:val="en-GB"/>
              </w:rPr>
              <w:t>✓</w:t>
            </w:r>
          </w:p>
          <w:p w14:paraId="60B93115" w14:textId="77777777" w:rsidR="00A1047C" w:rsidRPr="008E5B32" w:rsidRDefault="00A1047C" w:rsidP="00A1047C">
            <w:pPr>
              <w:jc w:val="center"/>
              <w:rPr>
                <w:lang w:val="en-GB"/>
              </w:rPr>
            </w:pPr>
            <w:r w:rsidRPr="008E5B32">
              <w:rPr>
                <w:lang w:val="en-GB"/>
              </w:rPr>
              <w:t xml:space="preserve"> (Cytotoxicity via reduction of </w:t>
            </w:r>
            <w:r w:rsidRPr="008E5B32">
              <w:rPr>
                <w:i/>
                <w:iCs/>
                <w:lang w:val="en-GB"/>
              </w:rPr>
              <w:t>E. Coli</w:t>
            </w:r>
            <w:r w:rsidRPr="008E5B32">
              <w:rPr>
                <w:lang w:val="en-GB"/>
              </w:rPr>
              <w:t xml:space="preserve"> viability)</w:t>
            </w:r>
          </w:p>
        </w:tc>
        <w:tc>
          <w:tcPr>
            <w:tcW w:w="960" w:type="dxa"/>
          </w:tcPr>
          <w:p w14:paraId="3B9CD2FD" w14:textId="149120D2" w:rsidR="00A1047C" w:rsidRPr="008E5B32" w:rsidRDefault="00A1047C" w:rsidP="00A1047C">
            <w:pPr>
              <w:jc w:val="center"/>
              <w:rPr>
                <w:szCs w:val="18"/>
                <w:lang w:val="en-GB"/>
              </w:rPr>
            </w:pPr>
            <w:r w:rsidRPr="008E5B32">
              <w:rPr>
                <w:szCs w:val="18"/>
                <w:lang w:val="en-GB"/>
              </w:rPr>
              <w:t xml:space="preserve">16 </w:t>
            </w:r>
            <w:r w:rsidRPr="008E5B32">
              <w:rPr>
                <w:szCs w:val="18"/>
              </w:rPr>
              <w:fldChar w:fldCharType="begin" w:fldLock="1"/>
            </w:r>
            <w:r w:rsidR="004C12A8" w:rsidRPr="008E5B32">
              <w:rPr>
                <w:szCs w:val="18"/>
                <w:lang w:val="en-GB"/>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rPr>
                <w:szCs w:val="18"/>
              </w:rPr>
              <w:fldChar w:fldCharType="separate"/>
            </w:r>
            <w:r w:rsidR="005D1733" w:rsidRPr="008E5B32">
              <w:rPr>
                <w:noProof/>
                <w:szCs w:val="18"/>
                <w:vertAlign w:val="superscript"/>
                <w:lang w:val="en-GB"/>
              </w:rPr>
              <w:t>23</w:t>
            </w:r>
            <w:r w:rsidRPr="008E5B32">
              <w:rPr>
                <w:szCs w:val="18"/>
              </w:rPr>
              <w:fldChar w:fldCharType="end"/>
            </w:r>
            <w:r w:rsidRPr="008E5B32">
              <w:rPr>
                <w:szCs w:val="18"/>
                <w:lang w:val="en-GB"/>
              </w:rPr>
              <w:t xml:space="preserve"> + 51</w:t>
            </w:r>
          </w:p>
        </w:tc>
        <w:tc>
          <w:tcPr>
            <w:tcW w:w="1620" w:type="dxa"/>
          </w:tcPr>
          <w:p w14:paraId="0A56FE05" w14:textId="77777777" w:rsidR="00A1047C" w:rsidRPr="008E5B32" w:rsidRDefault="00A1047C" w:rsidP="00A1047C">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(MLR)</w:t>
            </w:r>
          </w:p>
        </w:tc>
        <w:tc>
          <w:tcPr>
            <w:tcW w:w="540" w:type="dxa"/>
          </w:tcPr>
          <w:p w14:paraId="465BAB95" w14:textId="77777777" w:rsidR="00A1047C" w:rsidRPr="008E5B32" w:rsidRDefault="00A1047C" w:rsidP="00A1047C">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45D23B96" w14:textId="77777777" w:rsidR="00A1047C" w:rsidRPr="008E5B32" w:rsidRDefault="00A1047C" w:rsidP="00A1047C">
            <w:pPr>
              <w:jc w:val="center"/>
              <w:rPr>
                <w:rFonts w:ascii="Segoe UI Symbol" w:hAnsi="Segoe UI Symbol" w:cs="Segoe UI Symbol"/>
                <w:color w:val="222222"/>
                <w:szCs w:val="18"/>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2D44B5C5" w14:textId="77777777" w:rsidR="00A1047C" w:rsidRPr="008E5B32" w:rsidRDefault="00A1047C" w:rsidP="00A1047C">
            <w:pPr>
              <w:jc w:val="center"/>
              <w:rPr>
                <w:rFonts w:ascii="Segoe UI Symbol" w:hAnsi="Segoe UI Symbol" w:cs="Segoe UI Symbol"/>
                <w:szCs w:val="18"/>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(Leverage approach)</w:t>
            </w:r>
          </w:p>
        </w:tc>
        <w:tc>
          <w:tcPr>
            <w:tcW w:w="1350" w:type="dxa"/>
          </w:tcPr>
          <w:p w14:paraId="3FFE1CF6" w14:textId="77777777" w:rsidR="00A1047C" w:rsidRPr="008E5B32" w:rsidRDefault="00A1047C" w:rsidP="00A1047C">
            <w:pPr>
              <w:jc w:val="center"/>
              <w:rPr>
                <w:lang w:val="en-GB"/>
              </w:rPr>
            </w:pPr>
            <w:r w:rsidRPr="008E5B32">
              <w:rPr>
                <w:rFonts w:ascii="Segoe UI Symbol" w:eastAsia="Segoe UI Symbol" w:hAnsi="Segoe UI Symbol" w:cs="Segoe UI Symbol"/>
                <w:color w:val="222222"/>
                <w:shd w:val="clear" w:color="auto" w:fill="FFFFFF"/>
                <w:lang w:val="en-GB"/>
              </w:rPr>
              <w:t>✓</w:t>
            </w:r>
            <w:r w:rsidRPr="008E5B32">
              <w:rPr>
                <w:lang w:val="en-GB"/>
              </w:rPr>
              <w:t xml:space="preserve"> </w:t>
            </w:r>
          </w:p>
          <w:p w14:paraId="12A9CD68" w14:textId="69F03ACA" w:rsidR="00A1047C" w:rsidRPr="008E5B32" w:rsidRDefault="00A1047C" w:rsidP="00A1047C">
            <w:pPr>
              <w:jc w:val="center"/>
              <w:rPr>
                <w:rFonts w:ascii="Segoe UI Symbol" w:hAnsi="Segoe UI Symbol" w:cs="Segoe UI Symbol"/>
                <w:szCs w:val="18"/>
                <w:lang w:val="en-GB"/>
              </w:rPr>
            </w:pPr>
            <w:r w:rsidRPr="008E5B32">
              <w:rPr>
                <w:lang w:val="en-GB"/>
              </w:rPr>
              <w:t>(Y-scrambling + assessment of uncertainty in prediction)</w:t>
            </w:r>
          </w:p>
        </w:tc>
        <w:tc>
          <w:tcPr>
            <w:tcW w:w="581" w:type="dxa"/>
          </w:tcPr>
          <w:p w14:paraId="1739BF90" w14:textId="77777777" w:rsidR="00A1047C" w:rsidRPr="008E5B32" w:rsidRDefault="00A1047C" w:rsidP="00A1047C">
            <w:pPr>
              <w:jc w:val="center"/>
              <w:rPr>
                <w:rFonts w:ascii="Segoe UI Symbol" w:hAnsi="Segoe UI Symbol" w:cs="Segoe UI Symbol"/>
                <w:szCs w:val="18"/>
                <w:lang w:val="en-GB"/>
              </w:rPr>
            </w:pPr>
            <w:r w:rsidRPr="008E5B32">
              <w:rPr>
                <w:rFonts w:ascii="Segoe UI Symbol" w:eastAsia="Segoe UI Symbol" w:hAnsi="Segoe UI Symbol" w:cs="Segoe UI Symbol"/>
                <w:color w:val="222222"/>
                <w:shd w:val="clear" w:color="auto" w:fill="FFFFFF"/>
                <w:lang w:val="en-GB"/>
              </w:rPr>
              <w:t>✓</w:t>
            </w:r>
          </w:p>
        </w:tc>
      </w:tr>
      <w:tr w:rsidR="00A1047C" w:rsidRPr="008E5B32" w14:paraId="6ECAAA3E" w14:textId="77777777" w:rsidTr="00D6682C">
        <w:tc>
          <w:tcPr>
            <w:tcW w:w="426" w:type="dxa"/>
          </w:tcPr>
          <w:p w14:paraId="6DEFE8A1" w14:textId="16BC2BBB" w:rsidR="00A1047C" w:rsidRPr="008E5B32" w:rsidRDefault="00A1047C" w:rsidP="00A1047C">
            <w:r w:rsidRPr="008E5B32">
              <w:fldChar w:fldCharType="begin" w:fldLock="1"/>
            </w:r>
            <w:r w:rsidR="00434385" w:rsidRPr="008E5B32">
              <w:rPr>
                <w:lang w:val="en-GB"/>
              </w:rPr>
              <w:instrText>ADDIN CSL_CITATION {"citationItems":[{"id":"ITEM-1","itemData":{"DOI":"10.1016/j.ecoenv.2015.12.033","ISSN":"10902414","PMID":"26773833","abstract":"Synthesis of novel nanoparticles should always be accompanied by a comprehensive assessment of risk to human health and to ecosystem. Application of in silico models is encouraged by regulatory authorities to fill the data gaps related to the properties of nanoparticles affecting the environment and human health. Interspecies toxicity correlations provide a tool for estimation of contaminant's sensitivity with known levels of uncertainty for a diverse pool of species. We propose here first interspecies cytotoxicity correlation models between Escherichia coli (prokaryotic system) and human keratinocyte cell line (HaCaT) (eukaryotic system) to assess the discriminatory features for cytotoxicity of metal oxide nanoparticles. The nano-QTTR models can be employed for extrapolating cytotoxicity to E. coli and human keratinocyte cell line (HaCaT) for metal nanoparticles when the data for the other species are available. Informative illustrations of the contributing mechanisms of toxic action of the metal oxide nanoparticles to the HaCaT cell line as well as to the E. coli are identified from the developed nano quantitative toxicity-toxicity relationship (nano-QTTR) models.","author":[{"dropping-particle":"","family":"Kar","given":"Supratik","non-dropping-particle":"","parse-names":false,"suffix":""},{"dropping-particle":"","family":"Gajewicz","given":"Agnieszka","non-dropping-particle":"","parse-names":false,"suffix":""},{"dropping-particle":"","family":"Roy","given":"Kunal","non-dropping-particle":"","parse-names":false,"suffix":""},{"dropping-particle":"","family":"Leszczynski","given":"Jerzy","non-dropping-particle":"","parse-names":false,"suffix":""},{"dropping-particle":"","family":"Puzyn","given":"Tomasz","non-dropping-particle":"","parse-names":false,"suffix":""}],"container-title":"Ecotoxicology and Environmental Safety","id":"ITEM-1","issued":{"date-parts":[["2016"]]},"title":"Extrapolating between toxicity endpoints of metal oxide nanoparticles: Predicting toxicity to Escherichia coli and human keratinocyte cell line (HaCaT) with Nano-QTTR","type":"article-journal"},"uris":["http://www.mendeley.com/documents/?uuid=7386c88a-32ec-4448-bfe4-d06ccb3ccdd2","http://www.mendeley.com/documents/?uuid=6411e13d-15a6-43b5-b901-0ab6cf1101f9","http://www.mendeley.com/documents/?uuid=77158b74-ca8e-44fb-87d1-eb7629829b56"]}],"mendeley":{"formattedCitation":"&lt;sup&gt;142&lt;/sup&gt;","plainTextFormattedCitation":"142","previouslyFormattedCitation":"&lt;sup&gt;142&lt;/sup&gt;"},"properties":{"noteIndex":0},"schema":"https://github.com/citation-style-language/schema/raw/master/csl-citation.json"}</w:instrText>
            </w:r>
            <w:r w:rsidRPr="008E5B32">
              <w:fldChar w:fldCharType="separate"/>
            </w:r>
            <w:r w:rsidR="004C12A8" w:rsidRPr="008E5B32">
              <w:rPr>
                <w:noProof/>
                <w:vertAlign w:val="superscript"/>
              </w:rPr>
              <w:t>142</w:t>
            </w:r>
            <w:r w:rsidRPr="008E5B32">
              <w:fldChar w:fldCharType="end"/>
            </w:r>
          </w:p>
        </w:tc>
        <w:tc>
          <w:tcPr>
            <w:tcW w:w="4536" w:type="dxa"/>
          </w:tcPr>
          <w:p w14:paraId="27BC4F97" w14:textId="114900CA" w:rsidR="00A1047C" w:rsidRPr="008E5B32" w:rsidRDefault="00A1047C" w:rsidP="00A1047C">
            <w:pPr>
              <w:jc w:val="both"/>
              <w:rPr>
                <w:lang w:val="en-GB"/>
              </w:rPr>
            </w:pPr>
            <w:r w:rsidRPr="008E5B32">
              <w:rPr>
                <w:lang w:val="en-GB"/>
              </w:rPr>
              <w:t xml:space="preserve">Cytotoxicity correlation models between </w:t>
            </w:r>
            <w:r w:rsidRPr="008E5B32">
              <w:rPr>
                <w:i/>
                <w:lang w:val="en-GB"/>
              </w:rPr>
              <w:t xml:space="preserve">E.Coli </w:t>
            </w:r>
            <w:r w:rsidRPr="008E5B32">
              <w:rPr>
                <w:lang w:val="en-GB"/>
              </w:rPr>
              <w:t>and HaCaT cell line for cytotoxicity of metal oxide NMs</w:t>
            </w:r>
            <w:r w:rsidR="00EB1ED7" w:rsidRPr="008E5B32">
              <w:rPr>
                <w:lang w:val="en-GB"/>
              </w:rPr>
              <w:t>, using as descriptors chemical descriptors, quantum-mechanical descriptors and image descriptors</w:t>
            </w:r>
            <w:r w:rsidRPr="008E5B32">
              <w:rPr>
                <w:lang w:val="en-GB"/>
              </w:rPr>
              <w:t xml:space="preserve">. The resulting model (defined by authors nano-QTTR model) can be </w:t>
            </w:r>
            <w:r w:rsidRPr="008E5B32">
              <w:rPr>
                <w:szCs w:val="18"/>
                <w:lang w:val="en-GB"/>
              </w:rPr>
              <w:t>thus used extrapolate toxicity related to one species to the other, when data for one species is available.</w:t>
            </w:r>
          </w:p>
        </w:tc>
        <w:tc>
          <w:tcPr>
            <w:tcW w:w="2268" w:type="dxa"/>
          </w:tcPr>
          <w:p w14:paraId="7E462B4B" w14:textId="77777777" w:rsidR="00A1047C" w:rsidRPr="008E5B32" w:rsidRDefault="00A1047C" w:rsidP="00A1047C">
            <w:pPr>
              <w:jc w:val="center"/>
              <w:rPr>
                <w:rFonts w:ascii="Segoe UI Symbol" w:eastAsia="Segoe UI Symbol" w:hAnsi="Segoe UI Symbol" w:cs="Segoe UI Symbol"/>
                <w:color w:val="222222"/>
                <w:shd w:val="clear" w:color="auto" w:fill="FFFFFF"/>
                <w:lang w:val="en-GB"/>
              </w:rPr>
            </w:pPr>
            <w:r w:rsidRPr="008E5B32">
              <w:rPr>
                <w:rFonts w:ascii="Segoe UI Symbol" w:hAnsi="Segoe UI Symbol" w:cs="Segoe UI Symbol"/>
                <w:szCs w:val="18"/>
                <w:lang w:val="en-GB"/>
              </w:rPr>
              <w:t>✗</w:t>
            </w:r>
          </w:p>
          <w:p w14:paraId="64F7DB79" w14:textId="77777777" w:rsidR="00A1047C" w:rsidRPr="008E5B32" w:rsidRDefault="00A1047C" w:rsidP="00A1047C">
            <w:pPr>
              <w:jc w:val="center"/>
              <w:rPr>
                <w:rFonts w:ascii="Segoe UI Symbol" w:eastAsia="Segoe UI Symbol" w:hAnsi="Segoe UI Symbol" w:cs="Segoe UI Symbol"/>
                <w:color w:val="222222"/>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 / Cytotoxicity via HaCaT cellular uptake)</w:t>
            </w:r>
          </w:p>
        </w:tc>
        <w:tc>
          <w:tcPr>
            <w:tcW w:w="960" w:type="dxa"/>
          </w:tcPr>
          <w:p w14:paraId="13AB9B49" w14:textId="7437A115" w:rsidR="00A1047C" w:rsidRPr="008E5B32" w:rsidRDefault="00A1047C" w:rsidP="00A1047C">
            <w:pPr>
              <w:jc w:val="center"/>
            </w:pPr>
            <w:r w:rsidRPr="008E5B32">
              <w:t xml:space="preserve">17 </w:t>
            </w:r>
            <w:r w:rsidRPr="008E5B32">
              <w:fldChar w:fldCharType="begin" w:fldLock="1"/>
            </w:r>
            <w:r w:rsidR="004C12A8" w:rsidRPr="008E5B32">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r w:rsidRPr="008E5B32">
              <w:rPr>
                <w:sz w:val="24"/>
              </w:rPr>
              <w:t xml:space="preserve">, </w:t>
            </w:r>
          </w:p>
          <w:p w14:paraId="3970E955" w14:textId="68997E36" w:rsidR="00A1047C" w:rsidRPr="008E5B32" w:rsidRDefault="00A1047C" w:rsidP="00A1047C">
            <w:pPr>
              <w:jc w:val="center"/>
            </w:pPr>
            <w:r w:rsidRPr="008E5B32">
              <w:t xml:space="preserve">18 </w:t>
            </w:r>
            <w:r w:rsidRPr="008E5B32">
              <w:fldChar w:fldCharType="begin" w:fldLock="1"/>
            </w:r>
            <w:r w:rsidR="00434385" w:rsidRPr="008E5B32">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fldChar w:fldCharType="separate"/>
            </w:r>
            <w:r w:rsidR="004C12A8" w:rsidRPr="008E5B32">
              <w:rPr>
                <w:noProof/>
                <w:vertAlign w:val="superscript"/>
              </w:rPr>
              <w:t>83</w:t>
            </w:r>
            <w:r w:rsidRPr="008E5B32">
              <w:fldChar w:fldCharType="end"/>
            </w:r>
          </w:p>
        </w:tc>
        <w:tc>
          <w:tcPr>
            <w:tcW w:w="1620" w:type="dxa"/>
          </w:tcPr>
          <w:p w14:paraId="3BB422FE"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(stepwise-MLR + PLS)</w:t>
            </w:r>
          </w:p>
        </w:tc>
        <w:tc>
          <w:tcPr>
            <w:tcW w:w="540" w:type="dxa"/>
          </w:tcPr>
          <w:p w14:paraId="08AF3E32"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szCs w:val="18"/>
              </w:rPr>
              <w:t>≈</w:t>
            </w:r>
          </w:p>
        </w:tc>
        <w:tc>
          <w:tcPr>
            <w:tcW w:w="540" w:type="dxa"/>
          </w:tcPr>
          <w:p w14:paraId="45F1C86C"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67A2C347" w14:textId="4A5BAA66"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br/>
              <w:t>(</w:t>
            </w:r>
            <w:r w:rsidR="00DF2866" w:rsidRPr="008E5B32">
              <w:t>Distance based</w:t>
            </w:r>
            <w:r w:rsidRPr="008E5B32">
              <w:t>)</w:t>
            </w:r>
          </w:p>
        </w:tc>
        <w:tc>
          <w:tcPr>
            <w:tcW w:w="1350" w:type="dxa"/>
          </w:tcPr>
          <w:p w14:paraId="6A2A7825"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rPr>
              <w:t>✗</w:t>
            </w:r>
          </w:p>
        </w:tc>
        <w:tc>
          <w:tcPr>
            <w:tcW w:w="581" w:type="dxa"/>
          </w:tcPr>
          <w:p w14:paraId="7A501F38"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A1047C" w:rsidRPr="008E5B32" w14:paraId="7A44B892" w14:textId="77777777" w:rsidTr="00D6682C">
        <w:tc>
          <w:tcPr>
            <w:tcW w:w="426" w:type="dxa"/>
          </w:tcPr>
          <w:p w14:paraId="6FF1F2F3" w14:textId="29CAF55B" w:rsidR="00A1047C" w:rsidRPr="008E5B32" w:rsidRDefault="00A1047C" w:rsidP="00A1047C">
            <w:r w:rsidRPr="008E5B32">
              <w:fldChar w:fldCharType="begin" w:fldLock="1"/>
            </w:r>
            <w:r w:rsidR="00434385" w:rsidRPr="008E5B32">
              <w:instrText>ADDIN CSL_CITATION {"citationItems":[{"id":"ITEM-1","itemData":{"DOI":"10.1080/1062936X.2016.1197310","ISBN":"1062-936X","ISSN":"1029046X","abstract":"The understanding of the mechanisms and interactions that occur when nanomaterials enter biological systems is important to improve their future use. The adsorption of proteins from biological fluids in a physiological environment to form a corona on the surface of nanoparticles represents a key step that influences nanoparticle behaviour. In this study, the quantitative description of the composition of the protein corona was used to study the effect on cell association induced by 84 surface-modified gold nanoparticles of different sizes. Quantitative relationships between the protein corona and the activity of the gold nanoparticles were modelled by using several machine learning-based linear and non-linear approaches. Models based on a selection of only six serum proteins had robust and predictive results. The Projection Pursuit Regression method had the best performances (r2 = 0.91; Q2loo = 0.81; r2ext = 0.79). The present study confirmed the utility of protein corona composition to predict the bioactivity of gold nanoparticles and identified the main proteins that act as promoters or inhibitors of cell association. In addition, the comparison of several techniques showed which strategies offer the best results in prediction and could be used to support new toxicological studies on gold-based nanomaterials. © 2016 Informa UK Limited, trading as Taylor &amp; Francis Group","author":[{"dropping-particle":"","family":"Papa","given":"E.","non-dropping-particle":"","parse-names":false,"suffix":""},{"dropping-particle":"","family":"Doucet","given":"J. P.","non-dropping-particle":"","parse-names":false,"suffix":""},{"dropping-particle":"","family":"Sangion","given":"A.","non-dropping-particle":"","parse-names":false,"suffix":""},{"dropping-particle":"","family":"Doucet-Panaye","given":"A.","non-dropping-particle":"","parse-names":false,"suffix":""}],"container-title":"SAR and QSAR in Environmental Research","id":"ITEM-1","issued":{"date-parts":[["2016"]]},"title":"Investigation of the influence of protein corona composition on gold nanoparticle bioactivity using machine learning approaches","type":"article-journal"},"uris":["http://www.mendeley.com/documents/?uuid=a8d36dff-a50f-42dd-816c-2c93a1aaeabd","http://www.mendeley.com/documents/?uuid=7a3bbf05-1926-43cc-a0ec-c96d3f502fe7","http://www.mendeley.com/documents/?uuid=64fb1a58-0675-40bc-9983-62d4d42bf8bc"]}],"mendeley":{"formattedCitation":"&lt;sup&gt;143&lt;/sup&gt;","plainTextFormattedCitation":"143","previouslyFormattedCitation":"&lt;sup&gt;143&lt;/sup&gt;"},"properties":{"noteIndex":0},"schema":"https://github.com/citation-style-language/schema/raw/master/csl-citation.json"}</w:instrText>
            </w:r>
            <w:r w:rsidRPr="008E5B32">
              <w:fldChar w:fldCharType="separate"/>
            </w:r>
            <w:r w:rsidR="004C12A8" w:rsidRPr="008E5B32">
              <w:rPr>
                <w:noProof/>
                <w:vertAlign w:val="superscript"/>
              </w:rPr>
              <w:t>143</w:t>
            </w:r>
            <w:r w:rsidRPr="008E5B32">
              <w:fldChar w:fldCharType="end"/>
            </w:r>
          </w:p>
        </w:tc>
        <w:tc>
          <w:tcPr>
            <w:tcW w:w="4536" w:type="dxa"/>
          </w:tcPr>
          <w:p w14:paraId="300239CE" w14:textId="74CFA060" w:rsidR="00A1047C" w:rsidRPr="008E5B32" w:rsidRDefault="00A1047C" w:rsidP="00A1047C">
            <w:pPr>
              <w:jc w:val="both"/>
              <w:rPr>
                <w:lang w:val="en-US"/>
              </w:rPr>
            </w:pPr>
            <w:r w:rsidRPr="008E5B32">
              <w:rPr>
                <w:lang w:val="en-GB"/>
              </w:rPr>
              <w:t xml:space="preserve">Investigation of the quantitative relationships between protein corona and activity by using several linear and non-linear ML approaches. </w:t>
            </w:r>
            <w:r w:rsidRPr="008E5B32">
              <w:rPr>
                <w:lang w:val="en-US"/>
              </w:rPr>
              <w:t xml:space="preserve">Best performances were achieved by using </w:t>
            </w:r>
            <w:r w:rsidR="00CD23B8" w:rsidRPr="008E5B32">
              <w:rPr>
                <w:lang w:val="en-US"/>
              </w:rPr>
              <w:t>six</w:t>
            </w:r>
            <w:r w:rsidRPr="008E5B32">
              <w:rPr>
                <w:lang w:val="en-US"/>
              </w:rPr>
              <w:t xml:space="preserve"> serum proteins</w:t>
            </w:r>
            <w:r w:rsidR="00EB1ED7" w:rsidRPr="008E5B32">
              <w:rPr>
                <w:lang w:val="en-US"/>
              </w:rPr>
              <w:t xml:space="preserve"> as descriptors</w:t>
            </w:r>
            <w:r w:rsidRPr="008E5B32">
              <w:rPr>
                <w:lang w:val="en-US"/>
              </w:rPr>
              <w:t>.</w:t>
            </w:r>
          </w:p>
        </w:tc>
        <w:tc>
          <w:tcPr>
            <w:tcW w:w="2268" w:type="dxa"/>
          </w:tcPr>
          <w:p w14:paraId="60707278" w14:textId="77777777" w:rsidR="00A1047C" w:rsidRPr="008E5B32" w:rsidRDefault="00A1047C" w:rsidP="00A1047C">
            <w:pPr>
              <w:jc w:val="center"/>
              <w:rPr>
                <w:lang w:val="en-GB"/>
              </w:rPr>
            </w:pPr>
            <w:r w:rsidRPr="008E5B32">
              <w:rPr>
                <w:rFonts w:ascii="Segoe UI Symbol" w:eastAsia="Segoe UI Symbol" w:hAnsi="Segoe UI Symbol" w:cs="Segoe UI Symbol"/>
                <w:color w:val="222222"/>
                <w:shd w:val="clear" w:color="auto" w:fill="FFFFFF"/>
                <w:lang w:val="en-GB"/>
              </w:rPr>
              <w:t>✓</w:t>
            </w:r>
          </w:p>
          <w:p w14:paraId="54E44F3E" w14:textId="77777777" w:rsidR="00A1047C" w:rsidRPr="008E5B32" w:rsidRDefault="00A1047C" w:rsidP="00A1047C">
            <w:pPr>
              <w:jc w:val="center"/>
              <w:rPr>
                <w:rFonts w:ascii="Segoe UI Symbol" w:hAnsi="Segoe UI Symbol" w:cs="Segoe UI Symbol"/>
                <w:szCs w:val="18"/>
                <w:lang w:val="en-GB"/>
              </w:rPr>
            </w:pPr>
            <w:r w:rsidRPr="008E5B32">
              <w:rPr>
                <w:lang w:val="en-GB"/>
              </w:rPr>
              <w:t>(Cell association in A549 cells)</w:t>
            </w:r>
          </w:p>
        </w:tc>
        <w:tc>
          <w:tcPr>
            <w:tcW w:w="960" w:type="dxa"/>
          </w:tcPr>
          <w:p w14:paraId="55C0DBB5" w14:textId="1E682480" w:rsidR="00A1047C" w:rsidRPr="008E5B32" w:rsidRDefault="00A1047C" w:rsidP="00A1047C">
            <w:pPr>
              <w:jc w:val="center"/>
            </w:pPr>
            <w:r w:rsidRPr="008E5B32">
              <w:t xml:space="preserve">84 </w:t>
            </w:r>
            <w:r w:rsidRPr="008E5B32">
              <w:fldChar w:fldCharType="begin" w:fldLock="1"/>
            </w:r>
            <w:r w:rsidR="00434385" w:rsidRPr="008E5B32">
              <w:instrText>ADDIN CSL_CITATION {"citationItems":[{"id":"ITEM-1","itemData":{"DOI":"10.1021/nn406018q","ISBN":"1936-0851","ISSN":"1936086X","PMID":"24517450","abstract":"Using quantitative models to predict the biological interactions of nanoparticles will accelerate the translation of nanotechnology. Here, we characterized the serum protein corona 'fingerprint' formed around a library of 105 surface-modified gold nanoparticles. Applying a bioinformatics-inspired approach, we developed a multivariate model that uses the protein corona fingerprint to predict cell association 50% more accurately than a model that uses parameters describing nanoparticle size, aggregation state, and surface charge. Our model implicates a set of hyaluronan-binding proteins as mediators of nanoparticle-cell interactions. This study establishes a framework for developing a comprehensive database of protein corona fingerprints and biological responses for multiple nanoparticle types. Such a database can be used to develop quantitative relationships that predict the biological responses to nanoparticles and will aid in uncovering the fundamental mechanisms of nano-bio interactions.","author":[{"dropping-particle":"","family":"Walkey","given":"Carl D.","non-dropping-particle":"","parse-names":false,"suffix":""},{"dropping-particle":"","family":"Olsen","given":"Jonathan B.","non-dropping-particle":"","parse-names":false,"suffix":""},{"dropping-particle":"","family":"Song","given":"Fayi","non-dropping-particle":"","parse-names":false,"suffix":""},{"dropping-particle":"","family":"Liu","given":"Rong","non-dropping-particle":"","parse-names":false,"suffix":""},{"dropping-particle":"","family":"Guo","given":"Hongbo","non-dropping-particle":"","parse-names":false,"suffix":""},{"dropping-particle":"","family":"Olsen","given":"D. Wesley H.","non-dropping-particle":"","parse-names":false,"suffix":""},{"dropping-particle":"","family":"Cohen","given":"Yoram","non-dropping-particle":"","parse-names":false,"suffix":""},{"dropping-particle":"","family":"Emili","given":"Andrew","non-dropping-particle":"","parse-names":false,"suffix":""},{"dropping-particle":"","family":"Chan","given":"Warren C.W.","non-dropping-particle":"","parse-names":false,"suffix":""}],"container-title":"ACS Nano","id":"ITEM-1","issue":"3","issued":{"date-parts":[["2014"]]},"page":"2439-2455","title":"Protein corona fingerprinting predicts the cellular interaction of gold and silver nanoparticles","type":"article-journal","volume":"8"},"uris":["http://www.mendeley.com/documents/?uuid=8472ec15-5c0e-4a6e-acd6-6d204dd189d7"]}],"mendeley":{"formattedCitation":"&lt;sup&gt;85&lt;/sup&gt;","plainTextFormattedCitation":"85","previouslyFormattedCitation":"&lt;sup&gt;85&lt;/sup&gt;"},"properties":{"noteIndex":0},"schema":"https://github.com/citation-style-language/schema/raw/master/csl-citation.json"}</w:instrText>
            </w:r>
            <w:r w:rsidRPr="008E5B32">
              <w:fldChar w:fldCharType="separate"/>
            </w:r>
            <w:r w:rsidR="004C12A8" w:rsidRPr="008E5B32">
              <w:rPr>
                <w:noProof/>
                <w:vertAlign w:val="superscript"/>
              </w:rPr>
              <w:t>85</w:t>
            </w:r>
            <w:r w:rsidRPr="008E5B32">
              <w:fldChar w:fldCharType="end"/>
            </w:r>
          </w:p>
        </w:tc>
        <w:tc>
          <w:tcPr>
            <w:tcW w:w="1620" w:type="dxa"/>
          </w:tcPr>
          <w:p w14:paraId="62B994F4" w14:textId="5944A18B" w:rsidR="00A1047C" w:rsidRPr="008E5B32" w:rsidRDefault="00A1047C" w:rsidP="00A1047C">
            <w:pPr>
              <w:jc w:val="center"/>
              <w:rPr>
                <w:rFonts w:eastAsia="Segoe UI Symbol"/>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(MLR, SVM, Projection pursuit regression, kNN, Multivariate regression splines, Neural Networks, Random Forest)</w:t>
            </w:r>
          </w:p>
        </w:tc>
        <w:tc>
          <w:tcPr>
            <w:tcW w:w="540" w:type="dxa"/>
          </w:tcPr>
          <w:p w14:paraId="04944B8E" w14:textId="77777777" w:rsidR="00A1047C" w:rsidRPr="008E5B32" w:rsidRDefault="00A1047C" w:rsidP="00A1047C">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4823442D"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0BFB5807" w14:textId="129F95F4" w:rsidR="00A1047C" w:rsidRPr="008E5B32" w:rsidRDefault="00A1047C" w:rsidP="00A1047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(Distance based after PCA + Leverage approach</w:t>
            </w:r>
            <w:r w:rsidR="00E21882" w:rsidRPr="008E5B32">
              <w:rPr>
                <w:lang w:val="en-GB"/>
              </w:rPr>
              <w:t xml:space="preserve"> for MLR</w:t>
            </w:r>
            <w:r w:rsidRPr="008E5B32">
              <w:rPr>
                <w:lang w:val="en-GB"/>
              </w:rPr>
              <w:t>)</w:t>
            </w:r>
          </w:p>
        </w:tc>
        <w:tc>
          <w:tcPr>
            <w:tcW w:w="1350" w:type="dxa"/>
          </w:tcPr>
          <w:p w14:paraId="446CCAAD" w14:textId="77777777" w:rsidR="00A1047C" w:rsidRPr="008E5B32" w:rsidRDefault="00A1047C" w:rsidP="00A1047C">
            <w:pPr>
              <w:jc w:val="center"/>
              <w:rPr>
                <w:rFonts w:ascii="Segoe UI Symbol" w:eastAsia="Segoe UI Symbol" w:hAnsi="Segoe UI Symbol" w:cs="Segoe UI Symbol"/>
              </w:rPr>
            </w:pPr>
            <w:r w:rsidRPr="008E5B32">
              <w:rPr>
                <w:rFonts w:ascii="Segoe UI Symbol" w:eastAsia="Segoe UI Symbol" w:hAnsi="Segoe UI Symbol" w:cs="Segoe UI Symbol"/>
              </w:rPr>
              <w:t>✗</w:t>
            </w:r>
          </w:p>
        </w:tc>
        <w:tc>
          <w:tcPr>
            <w:tcW w:w="581" w:type="dxa"/>
          </w:tcPr>
          <w:p w14:paraId="1CA8294A"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A1047C" w:rsidRPr="008E5B32" w14:paraId="3DA4BBD8" w14:textId="77777777" w:rsidTr="00D6682C">
        <w:tc>
          <w:tcPr>
            <w:tcW w:w="426" w:type="dxa"/>
          </w:tcPr>
          <w:p w14:paraId="3969BE30" w14:textId="74F64501" w:rsidR="00A1047C" w:rsidRPr="008E5B32" w:rsidRDefault="00A1047C" w:rsidP="00A1047C">
            <w:pPr>
              <w:rPr>
                <w:lang w:val="en-GB"/>
              </w:rPr>
            </w:pPr>
            <w:r w:rsidRPr="008E5B32">
              <w:fldChar w:fldCharType="begin" w:fldLock="1"/>
            </w:r>
            <w:r w:rsidR="00434385" w:rsidRPr="008E5B32">
              <w:instrText xml:space="preserve">ADDIN CSL_CITATION {"citationItems":[{"id":"ITEM-1","itemData":{"DOI":"10.1039/C6RA01298A","ISSN":"2046-2069","abstract":"Computational approaches have evolved as efficient alternatives to understand the adverse effects of nanoparticles on human health and the environment. The potential of using Quantitative Structure-Activity Relationship (QSAR) modeling to establish statistically significant models for predicting the cytotoxicity of various metal oxide (MeOx) nanoparticles (NPs) has been investigated. A novel kind of nanospecific theoretical descriptor was proposed by integrating codes of certain physicochemical features into SMILES-based optimal descriptors to characterize the nanostructure information of NPs. The new descriptors were then applied to model MeOx NP cytotoxicity to both Escherichia coli bacteria and HaCaT cells for comparison purposes. The effects of size variation on the cytotoxicity to both types of cells were also investigated. The four resulting QSAR models were then rigorously validated{,} and extensively compared to other previously published models. The results demonstrated the robustness{,} validity and predictivity of these models. Predominant nanostructure factors responsible for MeOx NP cytotoxicity were identified through model interpretation. The results verified different mechanisms of nanotoxicity for these two types of cells. The proposed models can be expected to reliably predict the cytotoxicity of novel NPs solely from the newly developed descriptors{,} and provide guidance for prioritizing the design </w:instrText>
            </w:r>
            <w:r w:rsidR="00434385" w:rsidRPr="008E5B32">
              <w:rPr>
                <w:lang w:val="en-US"/>
              </w:rPr>
              <w:instrText>and manufacture of safer nanomaterials with desired properties.","author":[{"dropping-particle":"","family":"Pan","given":"Yong","non-dropping-particle":"","parse-names":false,"suffix":""},{"dropping-particle":"","family":"Li","given":"Ting","non-dropping-particle":"","parse-names":false,"suffix":""},{"dropping-particle":"","family":"Cheng","given":"Jie","non-dropping-particle":"","parse-names":false,"suffix":""},{"dropping-particle":"","family":"Telesca","given":"Donatello","non-dropping-particle":"","parse-names":false,"suffix":""},{"dropping-particle":"","family":"Zink","given":"Jeffrey I.","non-dropping-particle":"","parse-names":false,"suffix":""},{"dropping-particle":"","family":"Jiang","given":"Juncheng","non-dropping-particle":"","parse-names":false,"suffix":""}],"container-title":"RSC Adv.","id":"ITEM-1","issued":{"date-parts":[["2016"]]},"title":"Nano-QSAR modeling for predicting the cytotoxicity of metal oxide nanoparticles using novel descriptors","type":"article-journal"},"uris":["http://www.mendeley.com/documents/?uuid=569c559a-4e2d-48bd-821f-4ef165340046","http://www.mendeley.com/documents/?uuid=a99508e5-87e0-42f0-be3d-1a71b356b733","http://www.mendeley.com/documents/?uuid=60699ed1-45f7-4ca1-81ca-369438f1e980"]}],"mendeley":{"formattedCitation":"&lt;sup&gt;144&lt;/sup&gt;","plainTextFormattedCitation":"144","previouslyFormattedCitation":"&lt;sup&gt;144&lt;/sup&gt;"},"properties":{"noteIndex":0},"schema":"https://github.com/citation-style-language/schema/raw/master/csl-citation.json"}</w:instrText>
            </w:r>
            <w:r w:rsidRPr="008E5B32">
              <w:fldChar w:fldCharType="separate"/>
            </w:r>
            <w:r w:rsidR="004C12A8" w:rsidRPr="008E5B32">
              <w:rPr>
                <w:noProof/>
                <w:vertAlign w:val="superscript"/>
                <w:lang w:val="en-GB"/>
              </w:rPr>
              <w:t>144</w:t>
            </w:r>
            <w:r w:rsidRPr="008E5B32">
              <w:fldChar w:fldCharType="end"/>
            </w:r>
          </w:p>
        </w:tc>
        <w:tc>
          <w:tcPr>
            <w:tcW w:w="4536" w:type="dxa"/>
          </w:tcPr>
          <w:p w14:paraId="28B208BD" w14:textId="5C4875E3" w:rsidR="00A1047C" w:rsidRPr="008E5B32" w:rsidRDefault="00A1047C" w:rsidP="00A1047C">
            <w:pPr>
              <w:jc w:val="both"/>
              <w:rPr>
                <w:lang w:val="en-GB"/>
              </w:rPr>
            </w:pPr>
            <w:r w:rsidRPr="008E5B32">
              <w:rPr>
                <w:lang w:val="en-GB"/>
              </w:rPr>
              <w:t>QSAR modelling for predicting the cytotoxicity of various metal oxide NMs, making use of a descriptor that includes physicochemical features into SMILES descriptors, by means of the CORAL software.</w:t>
            </w:r>
          </w:p>
        </w:tc>
        <w:tc>
          <w:tcPr>
            <w:tcW w:w="2268" w:type="dxa"/>
          </w:tcPr>
          <w:p w14:paraId="5105F135" w14:textId="77777777" w:rsidR="00A1047C" w:rsidRPr="008E5B32" w:rsidRDefault="00A1047C" w:rsidP="00A1047C">
            <w:pPr>
              <w:jc w:val="center"/>
              <w:rPr>
                <w:lang w:val="en-GB"/>
              </w:rPr>
            </w:pPr>
            <w:r w:rsidRPr="008E5B32">
              <w:rPr>
                <w:rFonts w:ascii="Segoe UI Symbol" w:hAnsi="Segoe UI Symbol" w:cs="Segoe UI Symbol"/>
                <w:szCs w:val="18"/>
                <w:lang w:val="en-GB"/>
              </w:rPr>
              <w:t>✗</w:t>
            </w:r>
            <w:r w:rsidRPr="008E5B32">
              <w:rPr>
                <w:lang w:val="en-GB"/>
              </w:rPr>
              <w:t xml:space="preserve"> </w:t>
            </w:r>
          </w:p>
          <w:p w14:paraId="6C036115" w14:textId="77777777" w:rsidR="00A1047C" w:rsidRPr="008E5B32" w:rsidRDefault="00A1047C" w:rsidP="00A1047C">
            <w:pPr>
              <w:jc w:val="center"/>
              <w:rPr>
                <w:rFonts w:ascii="Segoe UI Symbol" w:eastAsia="Segoe UI Symbol" w:hAnsi="Segoe UI Symbol" w:cs="Segoe UI Symbol"/>
                <w:color w:val="222222"/>
                <w:shd w:val="clear" w:color="auto" w:fill="FFFFFF"/>
                <w:lang w:val="en-GB"/>
              </w:rPr>
            </w:pPr>
            <w:r w:rsidRPr="008E5B32">
              <w:rPr>
                <w:lang w:val="en-GB"/>
              </w:rPr>
              <w:t xml:space="preserve">(Cytotoxicity via reduction of </w:t>
            </w:r>
            <w:r w:rsidRPr="008E5B32">
              <w:rPr>
                <w:i/>
                <w:iCs/>
                <w:lang w:val="en-GB"/>
              </w:rPr>
              <w:t>E. Coli</w:t>
            </w:r>
            <w:r w:rsidRPr="008E5B32">
              <w:rPr>
                <w:lang w:val="en-GB"/>
              </w:rPr>
              <w:t xml:space="preserve"> viability / Cytotoxicity via HaCaT cellular uptake)</w:t>
            </w:r>
          </w:p>
        </w:tc>
        <w:tc>
          <w:tcPr>
            <w:tcW w:w="960" w:type="dxa"/>
          </w:tcPr>
          <w:p w14:paraId="58B052DF" w14:textId="17A2B822" w:rsidR="00A1047C" w:rsidRPr="008E5B32" w:rsidRDefault="00A1047C" w:rsidP="00A1047C">
            <w:pPr>
              <w:jc w:val="center"/>
            </w:pPr>
            <w:r w:rsidRPr="008E5B32">
              <w:rPr>
                <w:lang w:val="en-GB"/>
              </w:rPr>
              <w:t xml:space="preserve">17 </w:t>
            </w:r>
            <w:r w:rsidRPr="008E5B32">
              <w:fldChar w:fldCharType="begin" w:fldLock="1"/>
            </w:r>
            <w:r w:rsidR="004C12A8" w:rsidRPr="008E5B32">
              <w:rPr>
                <w:lang w:val="en-GB"/>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fldChar w:fldCharType="separate"/>
            </w:r>
            <w:r w:rsidR="005D1733" w:rsidRPr="008E5B32">
              <w:rPr>
                <w:noProof/>
                <w:vertAlign w:val="superscript"/>
              </w:rPr>
              <w:t>23</w:t>
            </w:r>
            <w:r w:rsidRPr="008E5B32">
              <w:fldChar w:fldCharType="end"/>
            </w:r>
            <w:r w:rsidRPr="008E5B32">
              <w:rPr>
                <w:sz w:val="24"/>
              </w:rPr>
              <w:t xml:space="preserve">, </w:t>
            </w:r>
          </w:p>
          <w:p w14:paraId="7F6812BE" w14:textId="6DE218FB" w:rsidR="00A1047C" w:rsidRPr="008E5B32" w:rsidRDefault="00A1047C" w:rsidP="00A1047C">
            <w:pPr>
              <w:jc w:val="center"/>
            </w:pPr>
            <w:r w:rsidRPr="008E5B32">
              <w:t xml:space="preserve">18 </w:t>
            </w:r>
            <w:r w:rsidRPr="008E5B32">
              <w:fldChar w:fldCharType="begin" w:fldLock="1"/>
            </w:r>
            <w:r w:rsidR="00434385" w:rsidRPr="008E5B32">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fldChar w:fldCharType="separate"/>
            </w:r>
            <w:r w:rsidR="004C12A8" w:rsidRPr="008E5B32">
              <w:rPr>
                <w:noProof/>
                <w:vertAlign w:val="superscript"/>
              </w:rPr>
              <w:t>83</w:t>
            </w:r>
            <w:r w:rsidRPr="008E5B32">
              <w:fldChar w:fldCharType="end"/>
            </w:r>
          </w:p>
        </w:tc>
        <w:tc>
          <w:tcPr>
            <w:tcW w:w="1620" w:type="dxa"/>
          </w:tcPr>
          <w:p w14:paraId="56A40C24"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(Monte Carlo optimization)</w:t>
            </w:r>
          </w:p>
        </w:tc>
        <w:tc>
          <w:tcPr>
            <w:tcW w:w="540" w:type="dxa"/>
          </w:tcPr>
          <w:p w14:paraId="6E72AA80" w14:textId="77777777" w:rsidR="00A1047C" w:rsidRPr="008E5B32" w:rsidRDefault="00A1047C" w:rsidP="00A1047C">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4003E025"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6FBAB7CA"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hAnsi="Segoe UI Symbol" w:cs="Segoe UI Symbol"/>
                <w:szCs w:val="18"/>
              </w:rPr>
              <w:t>✗</w:t>
            </w:r>
          </w:p>
        </w:tc>
        <w:tc>
          <w:tcPr>
            <w:tcW w:w="1350" w:type="dxa"/>
          </w:tcPr>
          <w:p w14:paraId="6929C41B" w14:textId="77777777" w:rsidR="00A1047C" w:rsidRPr="008E5B32" w:rsidRDefault="00A1047C" w:rsidP="00A1047C">
            <w:pPr>
              <w:jc w:val="center"/>
            </w:pPr>
            <w:r w:rsidRPr="008E5B32">
              <w:rPr>
                <w:rFonts w:ascii="Segoe UI Symbol" w:eastAsia="Segoe UI Symbol" w:hAnsi="Segoe UI Symbol" w:cs="Segoe UI Symbol"/>
                <w:color w:val="222222"/>
                <w:shd w:val="clear" w:color="auto" w:fill="FFFFFF"/>
              </w:rPr>
              <w:t>✓</w:t>
            </w:r>
            <w:r w:rsidRPr="008E5B32">
              <w:t xml:space="preserve"> </w:t>
            </w:r>
          </w:p>
          <w:p w14:paraId="0255263D" w14:textId="77777777" w:rsidR="00A1047C" w:rsidRPr="008E5B32" w:rsidRDefault="00A1047C" w:rsidP="00A1047C">
            <w:pPr>
              <w:jc w:val="center"/>
              <w:rPr>
                <w:rFonts w:ascii="Segoe UI Symbol" w:eastAsia="Segoe UI Symbol" w:hAnsi="Segoe UI Symbol" w:cs="Segoe UI Symbol"/>
              </w:rPr>
            </w:pPr>
            <w:r w:rsidRPr="008E5B32">
              <w:t>(Y-scrambling + sensitivity analysis)</w:t>
            </w:r>
          </w:p>
        </w:tc>
        <w:tc>
          <w:tcPr>
            <w:tcW w:w="581" w:type="dxa"/>
          </w:tcPr>
          <w:p w14:paraId="17A8B141" w14:textId="77777777" w:rsidR="00A1047C" w:rsidRPr="008E5B32" w:rsidRDefault="00A1047C" w:rsidP="00A1047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D6682C" w:rsidRPr="008E5B32" w14:paraId="4642DA59" w14:textId="77777777" w:rsidTr="00D6682C">
        <w:tc>
          <w:tcPr>
            <w:tcW w:w="426" w:type="dxa"/>
          </w:tcPr>
          <w:p w14:paraId="73C724E8" w14:textId="5AE0E0FF" w:rsidR="00D6682C" w:rsidRPr="008E5B32" w:rsidRDefault="00D6682C" w:rsidP="00D6682C">
            <w:r w:rsidRPr="008E5B32">
              <w:fldChar w:fldCharType="begin" w:fldLock="1"/>
            </w:r>
            <w:r w:rsidR="00434385" w:rsidRPr="008E5B32">
              <w:instrText>ADDIN CSL_CITATION {"citationItems":[{"id":"ITEM-1","itemData":{"DOI":"10.1080/17435390.2017.1302612","ISSN":"17435404","abstract":"The metal oxide nanoparticles (MeONPs) due to their unique physico-chemical properties have widely been used in different products. Current studies have established toxicity of some NPs to human and environment, hence, imply for their comprehensive safety assessment. Here, the potential of using a multi-target QSTR modeling for simultaneous prediction of multiple toxicity endpoints of various MeONPs has been investigated. A multi-target QSTR model has been established using four different experimental toxicity data sets of MeONPs. Diversity of the considered experimental toxicity data sets was tested using the Kruskal–Wallis (K–W) statistics. The optimal validated model yielded high correlations (R2 between 0.828 and 0.956) between the experimental and simultaneously predicted endpoint toxicity values in test arrays for all the four systems. The structural features (oxygen percent, LogS, and Mulliken’s electronegativity) identified by the QSTR model were mechanistically interpretable in view of the accepted toxicity mechanisms for NPs. Single target QSTR models were also established (R2 Test &amp;gt;0.882) for individual toxicity endpoint prediction of MeONPs. The performance of the multi-target QSTR model was closely comparable with individual models and with those reported earlier in the literature for toxicity prediction of NPs. The model reliably predicts the toxicity of all considered MeONPs, and the methodology is expected to provide guidance for the future design of safe NP-based products. The proposed multi-target QSTR can be successfully used for screening new, untested metal oxide NPs for their safety assessment within the defined applicability domain of the model. © 2017 Informa UK Limited, trading as Taylor &amp; Francis Group.","author":[{"dropping-particle":"","family":"Basant","given":"Nikita","non-dropping-particle":"","parse-names":false,"suffix":""},{"dropping-particle":"","family":"Gupta","given":"Shikha","non-dropping-particle":"","parse-names":false,"suffix":""}],"container-title":"Nanotoxicology","id":"ITEM-1","issued":{"date-parts":[["2017"]]},"title":"Multi-target QSTR modeling for simultaneous prediction of multiple toxicity endpoints of nano-metal oxides","type":"article-journal"},"uris":["http://www.mendeley.com/documents/?uuid=c0057070-752f-4e72-9d5f-b0e7a9448e91","http://www.mendeley.com/documents/?uuid=213c7edd-e860-40bc-ba35-f325b32dc14e","http://www.mendeley.com/documents/?uuid=ebcafff4-41bf-44d8-ba06-b08214d629ea"]}],"mendeley":{"formattedCitation":"&lt;sup&gt;145&lt;/sup&gt;","plainTextFormattedCitation":"145","previouslyFormattedCitation":"&lt;sup&gt;145&lt;/sup&gt;"},"properties":{"noteIndex":0},"schema":"https://github.com/citation-style-language/schema/raw/master/csl-citation.json"}</w:instrText>
            </w:r>
            <w:r w:rsidRPr="008E5B32">
              <w:fldChar w:fldCharType="separate"/>
            </w:r>
            <w:r w:rsidR="004C12A8" w:rsidRPr="008E5B32">
              <w:rPr>
                <w:noProof/>
                <w:vertAlign w:val="superscript"/>
              </w:rPr>
              <w:t>145</w:t>
            </w:r>
            <w:r w:rsidRPr="008E5B32">
              <w:fldChar w:fldCharType="end"/>
            </w:r>
          </w:p>
        </w:tc>
        <w:tc>
          <w:tcPr>
            <w:tcW w:w="4536" w:type="dxa"/>
          </w:tcPr>
          <w:p w14:paraId="39DFD783" w14:textId="2DFBAA4F" w:rsidR="00D6682C" w:rsidRPr="008E5B32" w:rsidRDefault="00D6682C" w:rsidP="00280734">
            <w:pPr>
              <w:jc w:val="both"/>
              <w:rPr>
                <w:lang w:val="en-GB"/>
              </w:rPr>
            </w:pPr>
            <w:r w:rsidRPr="008E5B32">
              <w:rPr>
                <w:lang w:val="en-GB"/>
              </w:rPr>
              <w:t>Multi-Quantitative Structure Toxicity Relationship for simultaneous prediction of multiple toxicity of metal oxide NMs to four different endpoints, having results comparable with ones provided for single QSAR models</w:t>
            </w:r>
            <w:r w:rsidR="00A15D84" w:rsidRPr="008E5B32">
              <w:rPr>
                <w:lang w:val="en-GB"/>
              </w:rPr>
              <w:t>, using physicochemical calculated descriptors and</w:t>
            </w:r>
            <w:r w:rsidR="00280734" w:rsidRPr="008E5B32">
              <w:rPr>
                <w:lang w:val="en-GB"/>
              </w:rPr>
              <w:t xml:space="preserve"> constitutional and</w:t>
            </w:r>
            <w:r w:rsidR="00A15D84" w:rsidRPr="008E5B32">
              <w:rPr>
                <w:lang w:val="en-GB"/>
              </w:rPr>
              <w:t xml:space="preserve"> quantum mechanical descriptors</w:t>
            </w:r>
            <w:r w:rsidR="00280734" w:rsidRPr="008E5B32">
              <w:rPr>
                <w:lang w:val="en-GB"/>
              </w:rPr>
              <w:t xml:space="preserve"> retrieved from previous works.</w:t>
            </w:r>
          </w:p>
        </w:tc>
        <w:tc>
          <w:tcPr>
            <w:tcW w:w="2268" w:type="dxa"/>
          </w:tcPr>
          <w:p w14:paraId="5B5B808C" w14:textId="77777777" w:rsidR="00D6682C" w:rsidRPr="008E5B32" w:rsidRDefault="00D6682C" w:rsidP="00D6682C">
            <w:pPr>
              <w:jc w:val="center"/>
              <w:rPr>
                <w:rFonts w:ascii="Segoe UI Symbol" w:hAnsi="Segoe UI Symbol" w:cs="Segoe UI Symbol"/>
                <w:szCs w:val="18"/>
                <w:lang w:val="en-GB"/>
              </w:rPr>
            </w:pPr>
            <w:r w:rsidRPr="008E5B32">
              <w:rPr>
                <w:rFonts w:ascii="Segoe UI Symbol" w:hAnsi="Segoe UI Symbol" w:cs="Segoe UI Symbol"/>
                <w:szCs w:val="18"/>
                <w:lang w:val="en-GB"/>
              </w:rPr>
              <w:t>✗</w:t>
            </w:r>
          </w:p>
          <w:p w14:paraId="605F7165" w14:textId="77777777" w:rsidR="00D6682C" w:rsidRPr="008E5B32" w:rsidRDefault="00D6682C" w:rsidP="00D6682C">
            <w:pPr>
              <w:jc w:val="center"/>
              <w:rPr>
                <w:rFonts w:ascii="Segoe UI Symbol" w:eastAsia="Segoe UI Symbol" w:hAnsi="Segoe UI Symbol" w:cs="Segoe UI Symbol"/>
                <w:color w:val="222222"/>
                <w:szCs w:val="18"/>
                <w:shd w:val="clear" w:color="auto" w:fill="FFFFFF"/>
                <w:lang w:val="en-GB"/>
              </w:rPr>
            </w:pPr>
            <w:r w:rsidRPr="008E5B32">
              <w:rPr>
                <w:szCs w:val="18"/>
                <w:lang w:val="en-GB"/>
              </w:rPr>
              <w:t xml:space="preserve">(Cytotoxicity via reduction of </w:t>
            </w:r>
            <w:r w:rsidRPr="008E5B32">
              <w:rPr>
                <w:i/>
                <w:iCs/>
                <w:szCs w:val="18"/>
                <w:lang w:val="en-GB"/>
              </w:rPr>
              <w:t>E. Coli</w:t>
            </w:r>
            <w:r w:rsidRPr="008E5B32">
              <w:rPr>
                <w:szCs w:val="18"/>
                <w:lang w:val="en-GB"/>
              </w:rPr>
              <w:t xml:space="preserve"> viability / Cytotoxicity via HaCaT cellular uptake)</w:t>
            </w:r>
          </w:p>
        </w:tc>
        <w:tc>
          <w:tcPr>
            <w:tcW w:w="960" w:type="dxa"/>
          </w:tcPr>
          <w:p w14:paraId="488E172B" w14:textId="5A0C1145" w:rsidR="00D6682C" w:rsidRPr="008E5B32" w:rsidRDefault="00D6682C" w:rsidP="00D6682C">
            <w:pPr>
              <w:jc w:val="center"/>
              <w:rPr>
                <w:szCs w:val="18"/>
              </w:rPr>
            </w:pPr>
            <w:r w:rsidRPr="008E5B32">
              <w:rPr>
                <w:szCs w:val="18"/>
              </w:rPr>
              <w:t xml:space="preserve">17 </w:t>
            </w:r>
            <w:r w:rsidRPr="008E5B32">
              <w:rPr>
                <w:szCs w:val="18"/>
              </w:rPr>
              <w:fldChar w:fldCharType="begin" w:fldLock="1"/>
            </w:r>
            <w:r w:rsidR="004C12A8" w:rsidRPr="008E5B32">
              <w:rPr>
                <w:szCs w:val="18"/>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mendeley":{"formattedCitation":"&lt;sup&gt;23&lt;/sup&gt;","plainTextFormattedCitation":"23","previouslyFormattedCitation":"&lt;sup&gt;23&lt;/sup&gt;"},"properties":{"noteIndex":0},"schema":"https://github.com/citation-style-language/schema/raw/master/csl-citation.json"}</w:instrText>
            </w:r>
            <w:r w:rsidRPr="008E5B32">
              <w:rPr>
                <w:szCs w:val="18"/>
              </w:rPr>
              <w:fldChar w:fldCharType="separate"/>
            </w:r>
            <w:r w:rsidR="005D1733" w:rsidRPr="008E5B32">
              <w:rPr>
                <w:noProof/>
                <w:szCs w:val="18"/>
                <w:vertAlign w:val="superscript"/>
              </w:rPr>
              <w:t>23</w:t>
            </w:r>
            <w:r w:rsidRPr="008E5B32">
              <w:rPr>
                <w:szCs w:val="18"/>
              </w:rPr>
              <w:fldChar w:fldCharType="end"/>
            </w:r>
            <w:r w:rsidRPr="008E5B32">
              <w:rPr>
                <w:szCs w:val="18"/>
              </w:rPr>
              <w:t xml:space="preserve"> + </w:t>
            </w:r>
            <w:r w:rsidRPr="008E5B32">
              <w:rPr>
                <w:szCs w:val="18"/>
              </w:rPr>
              <w:br/>
              <w:t xml:space="preserve">17 </w:t>
            </w:r>
            <w:r w:rsidRPr="008E5B32">
              <w:rPr>
                <w:szCs w:val="18"/>
              </w:rPr>
              <w:fldChar w:fldCharType="begin" w:fldLock="1"/>
            </w:r>
            <w:r w:rsidR="00434385" w:rsidRPr="008E5B32">
              <w:rPr>
                <w:szCs w:val="18"/>
              </w:rPr>
              <w:instrText>ADDIN CSL_CITATION {"citationItems":[{"id":"ITEM-1","itemData":{"DOI":"10.1016/j.jphotobiol.2013.11.023","ISSN":"10111344","PMID":"24362319","abstract":"A quantitative structure-activity relationship (QSAR) study of seventeen metal oxide nanoparticles (MNPs), in regard to their photo-induced toxicity to bacteria Escherichia coli, was developed by using quantum chemical methods. A simple and statistically significant QSAR model (F = 33.83, R2 = 0.87) was successfully developed for the dark group based on two descriptors, absolute electronegativity of the metal and the metal oxide. Similarly, a best correlation (F = 20.51, R2 = 0.804) was obtained to predict the photo-induced toxicity of MNPs by using two descriptors, molar heat capacity and average of the alpha and beta LUMO (lowest unoccupied molecular orbital) energies of the metal oxide. Revelation of these influential molecular descriptors may be useful in elucidating the mechanisms of nanotoxicity and for predicting the environmental risk associated with release of the MNPs. In addition, the developed model may have a role in the future design and manufacture of safe nanomaterials. ?? 2013 Elsevier B.V. All rights reserved.","author":[{"dropping-particle":"","family":"Pathakoti","given":"Kavitha","non-dropping-particle":"","parse-names":false,"suffix":""},{"dropping-particle":"","family":"Huang","given":"Ming Ju","non-dropping-particle":"","parse-names":false,"suffix":""},{"dropping-particle":"","family":"Watts","given":"John D.","non-dropping-particle":"","parse-names":false,"suffix":""},{"dropping-particle":"","family":"He","given":"Xiaojia","non-dropping-particle":"","parse-names":false,"suffix":""},{"dropping-particle":"","family":"Hwang","given":"Huey Min","non-dropping-particle":"","parse-names":false,"suffix":""}],"container-title":"Journal of Photochemistry and Photobiology B: Biology","id":"ITEM-1","issued":{"date-parts":[["2014"]]},"page":"234-240","title":"Using experimental data of Escherichia coli to develop a QSAR model for predicting the photo-induced cytotoxicity of metal oxide nanoparticles","type":"article-journal","volume":"130"},"uris":["http://www.mendeley.com/documents/?uuid=21f55f04-6231-4202-920b-c665f14ff5bd"]}],"mendeley":{"formattedCitation":"&lt;sup&gt;88&lt;/sup&gt;","plainTextFormattedCitation":"88","previouslyFormattedCitation":"&lt;sup&gt;88&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88</w:t>
            </w:r>
            <w:r w:rsidRPr="008E5B32">
              <w:rPr>
                <w:szCs w:val="18"/>
              </w:rPr>
              <w:fldChar w:fldCharType="end"/>
            </w:r>
            <w:r w:rsidRPr="008E5B32">
              <w:rPr>
                <w:szCs w:val="18"/>
              </w:rPr>
              <w:t xml:space="preserve"> +</w:t>
            </w:r>
          </w:p>
          <w:p w14:paraId="0E1BA08B" w14:textId="2AC2546F" w:rsidR="00D6682C" w:rsidRPr="008E5B32" w:rsidRDefault="00D6682C" w:rsidP="00D6682C">
            <w:pPr>
              <w:jc w:val="center"/>
              <w:rPr>
                <w:szCs w:val="18"/>
              </w:rPr>
            </w:pPr>
            <w:r w:rsidRPr="008E5B32">
              <w:rPr>
                <w:szCs w:val="18"/>
              </w:rPr>
              <w:t xml:space="preserve">2 </w:t>
            </w:r>
            <w:r w:rsidRPr="008E5B32">
              <w:rPr>
                <w:szCs w:val="18"/>
              </w:rPr>
              <w:fldChar w:fldCharType="begin" w:fldLock="1"/>
            </w:r>
            <w:r w:rsidR="00434385" w:rsidRPr="008E5B32">
              <w:rPr>
                <w:szCs w:val="18"/>
              </w:rPr>
              <w:instrText>ADDIN CSL_CITATION {"citationItems":[{"id":"ITEM-1","itemData":{"DOI":"10.1080/17435390.2016.1202352","ISBN":"1743-5404; 1743-5390","ISSN":"17435404","abstract":"Background: The enormous physicochemical and structural diversity of metal oxide nanoparticles (MeONPs) poses significant challenges to the testing of their biological uptake, biodistribution, and effects that can be used to develop understanding of key nano-bio modes of action. This has generated considerable uncertainties in the assessment of their human health and environmental risks and has raised concerns about the adequacy of their regulation. In order to surpass the extremely resource intensive case-by-case testing, intelligent strategies combining testing methods and non-testing predictive modeling should be developed. Methods: The quantitative structure-activity relationship (QSARs) in silico tools can be instrumental in understanding properties that affect the potencies of MeONPs and in predicting toxic responses and thresholds of effects. Results: The present study proposes a predictive nano-QSAR model for predicting the cytotoxicity of MeONPs. The model was applied to test the relationships between 26 physicochemical properties of 51 MeONPs and their cytotoxic effects in Escherichia coli. The two parameters, enthalpy of formation of a gaseous cation (</w:instrText>
            </w:r>
            <w:r w:rsidR="00434385" w:rsidRPr="008E5B32">
              <w:rPr>
                <w:rFonts w:ascii="Cambria Math" w:hAnsi="Cambria Math" w:cs="Cambria Math"/>
                <w:szCs w:val="18"/>
              </w:rPr>
              <w:instrText>▵</w:instrText>
            </w:r>
            <w:r w:rsidR="00434385" w:rsidRPr="008E5B32">
              <w:rPr>
                <w:szCs w:val="18"/>
              </w:rPr>
              <w:instrText>Hme+) and polarization force (Z/r), were elucidated to make a significant contribution for the toxic effect of these MeONPs. The study also proposed the mechanisms of toxic potency in E. coli through the model, which indicated that the MeONPs as well as their released metal ions could collectively induce DNA damage and cell apoptosis. Significance: These findings may provide an alternative method for prioritizing current and future MeONPs for potential in vivo testing, virtual prescreening and for designing environmentally benign nanomaterials. © 2016 Informa UK Limited, trading as Taylor &amp; Francis Group.","author":[{"dropping-particle":"","family":"Mu","given":"Yunsong","non-dropping-particle":"","parse-names":false,"suffix":""},{"dropping-particle":"","family":"Wu","given":"Fengchang","non-dropping-particle":"","parse-names":false,"suffix":""},{"dropping-particle":"","family":"Zhao","given":"Qing","non-dropping-particle":"","parse-names":false,"suffix":""},{"dropping-particle":"","family":"Ji","given":"Rong","non-dropping-particle":"","parse-names":false,"suffix":""},{"dropping-particle":"","family":"Qie","given":"Yu","non-dropping-particle":"","parse-names":false,"suffix":""},{"dropping-particle":"","family":"Zhou","given":"Yue","non-dropping-particle":"","parse-names":false,"suffix":""},{"dropping-particle":"","family":"Hu","given":"Yan","non-dropping-particle":"","parse-names":false,"suffix":""},{"dropping-particle":"","family":"Pang","given":"Chengfang","non-dropping-particle":"","parse-names":false,"suffix":""},{"dropping-particle":"","family":"Hristozov","given":"Danail","non-dropping-particle":"","parse-names":false,"suffix":""},{"dropping-particle":"","family":"Giesy","given":"John P.","non-dropping-particle":"","parse-names":false,"suffix":""},{"dropping-particle":"","family":"Xing","given":"Baoshan","non-dropping-particle":"","parse-names":false,"suffix":""}],"container-title":"Nanotoxicology","id":"ITEM-1","issue":"9","issued":{"date-parts":[["2016"]]},"page":"1207-1214","title":"Predicting toxic potencies of metal oxide nanoparticles by means of nano-QSARs","type":"article-journal","volume":"10"},"uris":["http://www.mendeley.com/documents/?uuid=58ece1ff-c831-4537-b48d-f2df1841fbf0"]}],"mendeley":{"formattedCitation":"&lt;sup&gt;141&lt;/sup&gt;","plainTextFormattedCitation":"141","previouslyFormattedCitation":"&lt;sup&gt;141&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141</w:t>
            </w:r>
            <w:r w:rsidRPr="008E5B32">
              <w:rPr>
                <w:szCs w:val="18"/>
              </w:rPr>
              <w:fldChar w:fldCharType="end"/>
            </w:r>
            <w:r w:rsidRPr="008E5B32">
              <w:rPr>
                <w:szCs w:val="18"/>
              </w:rPr>
              <w:t xml:space="preserve"> +</w:t>
            </w:r>
            <w:r w:rsidRPr="008E5B32">
              <w:rPr>
                <w:szCs w:val="18"/>
              </w:rPr>
              <w:br/>
              <w:t xml:space="preserve">18 </w:t>
            </w:r>
            <w:r w:rsidRPr="008E5B32">
              <w:rPr>
                <w:szCs w:val="18"/>
              </w:rPr>
              <w:fldChar w:fldCharType="begin" w:fldLock="1"/>
            </w:r>
            <w:r w:rsidR="00434385" w:rsidRPr="008E5B32">
              <w:rPr>
                <w:szCs w:val="18"/>
              </w:rPr>
              <w:instrText>ADDIN CSL_CITATION {"citationItems":[{"id":"ITEM-1","itemData":{"DOI":"10.3109/17435390.2014.930195","ISBN":"1743-5390","ISSN":"1743-5390","PMID":"24983896","abstract":"Abstract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-1","issue":"3","issued":{"date-parts":[["2015"]]},"page":"313-325","title":"Towards understanding mechanisms governing cytotoxicity of metal oxides nanoparticles: Hints from nano-QSAR studies","type":"article-journal","volume":"9"},"uris":["http://www.mendeley.com/documents/?uuid=c2cc70a2-4cb0-4d51-afc1-2bc29b803386"]}],"mendeley":{"formattedCitation":"&lt;sup&gt;83&lt;/sup&gt;","plainTextFormattedCitation":"83","previouslyFormattedCitation":"&lt;sup&gt;83&lt;/sup&gt;"},"properties":{"noteIndex":0},"schema":"https://github.com/citation-style-language/schema/raw/master/csl-citation.json"}</w:instrText>
            </w:r>
            <w:r w:rsidRPr="008E5B32">
              <w:rPr>
                <w:szCs w:val="18"/>
              </w:rPr>
              <w:fldChar w:fldCharType="separate"/>
            </w:r>
            <w:r w:rsidR="004C12A8" w:rsidRPr="008E5B32">
              <w:rPr>
                <w:noProof/>
                <w:szCs w:val="18"/>
                <w:vertAlign w:val="superscript"/>
              </w:rPr>
              <w:t>83</w:t>
            </w:r>
            <w:r w:rsidRPr="008E5B32">
              <w:rPr>
                <w:szCs w:val="18"/>
              </w:rPr>
              <w:fldChar w:fldCharType="end"/>
            </w:r>
          </w:p>
        </w:tc>
        <w:tc>
          <w:tcPr>
            <w:tcW w:w="1620" w:type="dxa"/>
          </w:tcPr>
          <w:p w14:paraId="54EAB8C1" w14:textId="77777777" w:rsidR="00D6682C" w:rsidRPr="008E5B32" w:rsidRDefault="00D6682C" w:rsidP="00D6682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rPr>
                <w:rFonts w:ascii="Segoe UI Symbol" w:hAnsi="Segoe UI Symbol" w:cs="Segoe UI Symbol"/>
                <w:color w:val="222222"/>
                <w:szCs w:val="18"/>
                <w:shd w:val="clear" w:color="auto" w:fill="FFFFFF"/>
              </w:rPr>
              <w:br/>
            </w:r>
            <w:r w:rsidRPr="008E5B32">
              <w:t>(Random Forests)</w:t>
            </w:r>
          </w:p>
        </w:tc>
        <w:tc>
          <w:tcPr>
            <w:tcW w:w="540" w:type="dxa"/>
          </w:tcPr>
          <w:p w14:paraId="4BBEB029" w14:textId="77777777" w:rsidR="00D6682C" w:rsidRPr="008E5B32" w:rsidRDefault="00D6682C" w:rsidP="00D6682C">
            <w:pPr>
              <w:jc w:val="center"/>
              <w:rPr>
                <w:szCs w:val="18"/>
              </w:rPr>
            </w:pPr>
            <w:r w:rsidRPr="008E5B32">
              <w:rPr>
                <w:rFonts w:ascii="Segoe UI Symbol" w:eastAsia="Segoe UI Symbol" w:hAnsi="Segoe UI Symbol" w:cs="Segoe UI Symbol"/>
                <w:color w:val="222222"/>
                <w:shd w:val="clear" w:color="auto" w:fill="FFFFFF"/>
              </w:rPr>
              <w:t>✓</w:t>
            </w:r>
          </w:p>
        </w:tc>
        <w:tc>
          <w:tcPr>
            <w:tcW w:w="540" w:type="dxa"/>
          </w:tcPr>
          <w:p w14:paraId="6D78EBE2" w14:textId="77777777" w:rsidR="00D6682C" w:rsidRPr="008E5B32" w:rsidRDefault="00D6682C" w:rsidP="00D6682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c>
          <w:tcPr>
            <w:tcW w:w="1350" w:type="dxa"/>
          </w:tcPr>
          <w:p w14:paraId="52FE38E2" w14:textId="77777777" w:rsidR="00D6682C" w:rsidRPr="008E5B32" w:rsidRDefault="00D6682C" w:rsidP="00D6682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r w:rsidRPr="008E5B32">
              <w:br/>
              <w:t>(Leverage approach)</w:t>
            </w:r>
          </w:p>
        </w:tc>
        <w:tc>
          <w:tcPr>
            <w:tcW w:w="1350" w:type="dxa"/>
          </w:tcPr>
          <w:p w14:paraId="7DD912A2" w14:textId="77777777" w:rsidR="00D6682C" w:rsidRPr="008E5B32" w:rsidRDefault="00D6682C" w:rsidP="00D6682C">
            <w:pPr>
              <w:jc w:val="center"/>
            </w:pPr>
            <w:r w:rsidRPr="008E5B32">
              <w:rPr>
                <w:szCs w:val="18"/>
              </w:rPr>
              <w:t>≈</w:t>
            </w:r>
            <w:r w:rsidRPr="008E5B32">
              <w:t xml:space="preserve"> </w:t>
            </w:r>
          </w:p>
          <w:p w14:paraId="0BACDD92" w14:textId="77777777" w:rsidR="00D6682C" w:rsidRPr="008E5B32" w:rsidRDefault="00D6682C" w:rsidP="00D6682C">
            <w:pPr>
              <w:jc w:val="center"/>
              <w:rPr>
                <w:rFonts w:ascii="Segoe UI Symbol" w:eastAsia="Segoe UI Symbol" w:hAnsi="Segoe UI Symbol" w:cs="Segoe UI Symbol"/>
                <w:b/>
              </w:rPr>
            </w:pPr>
            <w:r w:rsidRPr="008E5B32">
              <w:t>(Y-scrambling)</w:t>
            </w:r>
          </w:p>
        </w:tc>
        <w:tc>
          <w:tcPr>
            <w:tcW w:w="581" w:type="dxa"/>
          </w:tcPr>
          <w:p w14:paraId="01BCE250" w14:textId="77777777" w:rsidR="00D6682C" w:rsidRPr="008E5B32" w:rsidRDefault="00D6682C" w:rsidP="00D6682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r w:rsidR="00D6682C" w:rsidRPr="008E5B32" w14:paraId="1DFB1D32" w14:textId="77777777" w:rsidTr="00D6682C">
        <w:tc>
          <w:tcPr>
            <w:tcW w:w="426" w:type="dxa"/>
          </w:tcPr>
          <w:p w14:paraId="33ECB559" w14:textId="76E24A62" w:rsidR="00D6682C" w:rsidRPr="008E5B32" w:rsidRDefault="00D6682C" w:rsidP="00D6682C">
            <w:pPr>
              <w:rPr>
                <w:lang w:val="en-GB"/>
              </w:rPr>
            </w:pPr>
            <w:r w:rsidRPr="008E5B32">
              <w:fldChar w:fldCharType="begin" w:fldLock="1"/>
            </w:r>
            <w:r w:rsidR="00434385" w:rsidRPr="008E5B32">
              <w:instrText>ADDIN CSL_CITATION {"citationItems":[{"id":"ITEM-1","itemData":{"DOI":"10.1080/17435390.2017.1415388","ISSN":"17435404","abstract":"© 2017 The Author(s). Published by Taylor  &amp;  Francis. To keep pace with its rapid development an efficient approach for the risk assessment of nanomaterials is needed. Grouping concepts as developed for chemicals are now being explored for its applicability to nanomaterials. One of the recently proposed grouping systems is DF4nanoGrouping scheme. In this study, we have developed three structure-activity relationship classification tree models to be used for supporting this system by identifying structural features of nanomaterials mainly responsible for the surface activity. We used data from 19 nanomaterials that were synthesized and characterized extensively in previous studies. Subsets of these materials have been used in other studies (short-term inhalation, protein carbonylation, and intrinsic oxidative potential), resulting in a unique data set for modeling. Out of a large set of 285 possible descriptors, we have demonstrated that only three descriptors (size, specific surface area, and the quantum-mechanical calculated property ‘lowest unoccupied molecular orbital’) need to be used to predict the endpoints investigated. The maximum number of descriptors that were finally selected by the classification trees (CT) was very low– one for intrinsic oxidative potential, two for protein carbonylation, and three for NOAEC. This suggests that the models were well-constructed and not over-fitted. The outcome of various statistical measures and the applicability domains of our models further indicate their robustness. Therefore, we conclude that CT can be a useful tool within the DF4nanoGrouping scheme that has been proposed before.","author":[{"dropping-particle":"","family":"Gajewicz","given":"Agnieszka","non-dropping-particle":"","parse-names":false,"suffix":""},{"dropping-particle":"","family":"Puzyn","given":"Tomasz","non-dropping-particle":"","parse-names":false,"suffix":""},{"dropping-particle":"","family":"Odziomek","given":"Katarzyna","non-dropping-particle":"","parse-names":false,"suffix":""},{"dropping-particle":"","family":"Urbaszek","given":"Piotr","non-dropping-particle":"","parse-names":f</w:instrText>
            </w:r>
            <w:r w:rsidR="00434385" w:rsidRPr="008E5B32">
              <w:rPr>
                <w:lang w:val="en-US"/>
              </w:rPr>
              <w:instrText>alse,"suffix":""},{"dropping-particle":"","family":"Haase","given":"Andrea","non-dropping-particle":"","parse-names":false,"suffix":""},{"dropping-particle":"","family":"Riebeling","given":"Christian","non-dropping-particle":"","parse-names":false,"suffix":""},{"dropping-particle":"","family":"Luch","given":"Andreas","non-dropping-particle":"","parse-names":false,"suffix":""},{"dropping-particle":"","family":"Irfan","given":"Muhammad A.","non-dropping-particle":"","parse-names":false,"suffix":""},{"dropping-particle":"","family":"Landsiedel","given":"Robert","non-dropping-particle":"","parse-names":false,"suffix":""},{"dropping-particle":"","family":"Zande","given":"Meike","non-dropping-particle":"van der","parse-names":false,"suffix":""},{"dropping-particle":"","family":"Bouwmeester","given":"Hans","non-dropping-particle":"","parse-names":false,"suffix":""}],"container-title":"Nanotoxicology","id":"ITEM-1","issued":{"date-parts":[["2018"]]},"title":"Decision tree models to classify nanomaterials according to the DF4nanoGrouping scheme","type":"article-journal"},"uris":["http://www.mendeley.com/documents/?uuid=6c6edf73-1639-4c1d-857e-2a8967510393","http://www.mendeley.com/documents/?uuid=6b888774-677b-492d-9af2-39433910ee70"]}],"mendeley":{"formattedCitation":"&lt;sup&gt;146&lt;/sup&gt;","plainTextFormattedCitation":"146","previouslyFormattedCitation":"&lt;sup&gt;146&lt;/sup&gt;"},"properties":{"noteIndex":0},"schema":"https://github.com/citation-style-language/schema/raw/master/csl-citation.json"}</w:instrText>
            </w:r>
            <w:r w:rsidRPr="008E5B32">
              <w:fldChar w:fldCharType="separate"/>
            </w:r>
            <w:r w:rsidR="004C12A8" w:rsidRPr="008E5B32">
              <w:rPr>
                <w:noProof/>
                <w:vertAlign w:val="superscript"/>
                <w:lang w:val="en-GB"/>
              </w:rPr>
              <w:t>146</w:t>
            </w:r>
            <w:r w:rsidRPr="008E5B32">
              <w:fldChar w:fldCharType="end"/>
            </w:r>
          </w:p>
        </w:tc>
        <w:tc>
          <w:tcPr>
            <w:tcW w:w="4536" w:type="dxa"/>
          </w:tcPr>
          <w:p w14:paraId="1AF5F72B" w14:textId="1A23462F" w:rsidR="00D6682C" w:rsidRPr="008E5B32" w:rsidRDefault="00D6682C" w:rsidP="00D6682C">
            <w:pPr>
              <w:jc w:val="both"/>
              <w:rPr>
                <w:lang w:val="en-GB"/>
              </w:rPr>
            </w:pPr>
            <w:r w:rsidRPr="008E5B32">
              <w:rPr>
                <w:lang w:val="en-GB"/>
              </w:rPr>
              <w:t xml:space="preserve">Three SAR models built starting from a pool of 285 descriptors and resulting in models that use respectively one, two and three descriptors (size, surface area and a quantum-mechanical calculated descriptor). The approach was contextualized to support the DF4nanoGrouping scheme, classifying NMs according to one </w:t>
            </w:r>
            <w:r w:rsidRPr="008E5B32">
              <w:rPr>
                <w:i/>
                <w:lang w:val="en-GB"/>
              </w:rPr>
              <w:t>in vivo</w:t>
            </w:r>
            <w:r w:rsidRPr="008E5B32">
              <w:rPr>
                <w:lang w:val="en-GB"/>
              </w:rPr>
              <w:t xml:space="preserve"> and two </w:t>
            </w:r>
            <w:r w:rsidRPr="008E5B32">
              <w:rPr>
                <w:i/>
                <w:lang w:val="en-GB"/>
              </w:rPr>
              <w:t>in vitro</w:t>
            </w:r>
            <w:r w:rsidRPr="008E5B32">
              <w:rPr>
                <w:lang w:val="en-GB"/>
              </w:rPr>
              <w:t xml:space="preserve"> studies.</w:t>
            </w:r>
          </w:p>
        </w:tc>
        <w:tc>
          <w:tcPr>
            <w:tcW w:w="2268" w:type="dxa"/>
          </w:tcPr>
          <w:p w14:paraId="6CECE664" w14:textId="77777777" w:rsidR="00D6682C" w:rsidRPr="008E5B32" w:rsidRDefault="00D6682C" w:rsidP="00D6682C">
            <w:pPr>
              <w:jc w:val="center"/>
              <w:rPr>
                <w:lang w:val="en-GB"/>
              </w:rPr>
            </w:pPr>
            <w:r w:rsidRPr="008E5B32">
              <w:rPr>
                <w:rFonts w:ascii="Segoe UI Symbol" w:eastAsia="Segoe UI Symbol" w:hAnsi="Segoe UI Symbol" w:cs="Segoe UI Symbol"/>
                <w:color w:val="222222"/>
                <w:shd w:val="clear" w:color="auto" w:fill="FFFFFF"/>
                <w:lang w:val="en-GB"/>
              </w:rPr>
              <w:t>✓</w:t>
            </w:r>
          </w:p>
          <w:p w14:paraId="6917EC4F" w14:textId="58CA8481" w:rsidR="00D6682C" w:rsidRPr="008E5B32" w:rsidRDefault="00D6682C" w:rsidP="00D6682C">
            <w:pPr>
              <w:jc w:val="center"/>
              <w:rPr>
                <w:rFonts w:ascii="Segoe UI Symbol" w:hAnsi="Segoe UI Symbol" w:cs="Segoe UI Symbol"/>
                <w:szCs w:val="18"/>
                <w:lang w:val="en-GB"/>
              </w:rPr>
            </w:pPr>
            <w:r w:rsidRPr="008E5B32">
              <w:rPr>
                <w:lang w:val="en-GB"/>
              </w:rPr>
              <w:t>(Protein carbonylation, ROS, NOAEC of a short-term inhalation study)</w:t>
            </w:r>
          </w:p>
        </w:tc>
        <w:tc>
          <w:tcPr>
            <w:tcW w:w="960" w:type="dxa"/>
          </w:tcPr>
          <w:p w14:paraId="55D17BAC" w14:textId="3399CFDD" w:rsidR="00D6682C" w:rsidRPr="008E5B32" w:rsidRDefault="00D6682C" w:rsidP="00D6682C">
            <w:pPr>
              <w:jc w:val="center"/>
              <w:rPr>
                <w:szCs w:val="18"/>
                <w:lang w:val="en-GB"/>
              </w:rPr>
            </w:pPr>
            <w:r w:rsidRPr="008E5B32">
              <w:rPr>
                <w:szCs w:val="18"/>
                <w:lang w:val="en-GB"/>
              </w:rPr>
              <w:t xml:space="preserve">19 </w:t>
            </w:r>
            <w:r w:rsidRPr="008E5B32">
              <w:rPr>
                <w:szCs w:val="18"/>
              </w:rPr>
              <w:fldChar w:fldCharType="begin" w:fldLock="1"/>
            </w:r>
            <w:r w:rsidR="00434385" w:rsidRPr="008E5B32">
              <w:rPr>
                <w:szCs w:val="18"/>
                <w:lang w:val="en-GB"/>
              </w:rPr>
              <w:instrText>ADDIN CSL_CITATION {"citationItems":[{"id":"ITEM-1","itemData":{"DOI":"10.1186/s12989-015-0108-2","ISBN":"1743-8977 (Electronic)\\r1743-8977 (Linking)","ISSN":"17438977","PMID":"26525058","abstract":"BACKGROUND: Oxidative stress, a commonly used paradigm to explain nanoparticle (NP)-induced toxicity, results from an imbalance between reactive oxygen species (ROS) generation and detoxification. As one consequence, protein carbonyl levels may become enhanced. Thus, the qualitative and quantitative description of protein carbonylation may be used to characterize how biological systems respond to oxidative stress induced by NPs.\\n\\nMETHODS: We investigated a representative panel of 24 NPs including functionalized amorphous silica (6), zirconium dioxide (4), silver (4), titanium dioxide (3), zinc oxide (2), multiwalled carbon nanotubes (3), barium sulfate and boehmite. Surface reactivities of all NPs were studied in a cell-free system by electron spin resonance (ESR). NRK-52E cells were treated with all NPs, analyzed for viability (WST-1 assay) and intracellular ROS production (DCFDA assay). Carbonylated proteins were assessed by 1D and/or 2D immunoblotting and identified by matrix assisted laser desorption time-of-flight mass spectrometry (MALDI-TOF/TOF). In parallel, tissue homogenates from rat lungs intratracheally instilled with silver NPs were studied.\\n\\nRESULTS: Eleven NPs induced elevated levels of carbonylated proteins. This was in good agreement with the surface reactivity of the NPs as obtained by ESR and the reduction in cell viability as assessed by WST-1 assay. By contrast, results obtained by DCFDA assay were deviating. Each NP induced an individual pattern of protein carbonyls on 2D immunoblots. Affected proteins comprised cytoskeletal components, proteins being involved in stress response, or cytoplasmic enzymes of central metabolic pathways such as glycolysis and gluconeogenesis. Furthermore, induction of carbonyls upon silver NP treatment was also verified in rat lung tissue homogenates.\\n\\nCONCLUSIONS: Analysis of protein carbonylation is a versatile and sensitive method to describe NP-induced oxidative stress and, therefore, can be used to identify NPs of concern. Furthermore, detailed information about compromised proteins may aid in classifying NPs according to their mode of action.","author":[{"dropping-particle":"","family":"Driessen","given":"Marc D.","non-dropping-particle":"","parse-names":false,"suffix":""},{"dropping-particle":"","family":"Mues","given":"Sarah","non-dropping-particle":"","parse-names":false,"suffix":""},{"dropping-particle":"","family":"Vennemann","given":"Antje","non-dropping-particle":"","parse-names":false,"suffix":""},{"dropping-particle":"","family":"Hellack","given":"Bryan","non-dropping-particle":"","parse-names":false,"suffix":""},{"dropping-particle":"","family":"Bannuscher","given":"Anne","non-dropping-particle":"","parse-names":false,"suffix":""},{"dropping-particle":"","family":"Vimalakanthan","given":"Vishalini","non-dropping-particle":"","parse-names":false,"suffix":""},{"dropping-particle":"","family":"Riebeling","given":"Christian","non-dropping-particle":"","parse-names":false,"suffix":""},{"dropping-particle":"","family":"Ossig","given":"Rainer","non-dropping-particle":"","parse-names":false,"suffix":""},{"dropping-particle":"","family":"Wiemann","given":"Martin","non-dropping-particle":"","parse-names":false,"suffix":""},{"dropping-particle":"","family":"Schnekenburger","given":"Jürgen","non-dropping-particle":"","parse-names":false,"suffix":""},{"dropping-particle":"","family":"Kuhlbusch","given":"Thomas A.J.","non-dropping-particle":"","parse-names":false,"suffix":""},{"dropping-particle":"","family":"Renard","given":"Bernhard","non-dropping-particle":"","parse-names":false,"suffix":""},{"dropping-particle":"","family":"Luch","given":"Andreas","non-dropping-particle":"","parse-names":false,"suffix":""},{"dropping-particle":"","family":"Haase","given":"Andrea","non-dropping-particle":"","parse-names":false,"suffix":""}],"container-title":"Particle and Fibre Toxicology","id":"ITEM-1","issued":{"date-parts":[["2015"]]},"title":"Proteomic analysis of protein carbonylation: A useful tool to unravel nanoparticle toxicity mechanisms","type":"article-journal"},"uris":["http://www.mendeley.com/documents/?uuid=071bfaf9-4670-423e-8e7b-2cb9a1b326db","http://www.mendeley.com/documents/?uuid=1833d4b6-a676-4658-8e42-19be3ec81d89"]}],"mendeley":{"formattedCitation":"&lt;sup&gt;147&lt;/sup&gt;","plainTextFormattedCitation":"147","previouslyFormattedCitation":"&lt;sup&gt;147&lt;/sup&gt;"},"properties":{"noteIndex":0},"schema":"https://github.com/citation-style-language/schema/raw/master/csl-citation.json"}</w:instrText>
            </w:r>
            <w:r w:rsidRPr="008E5B32">
              <w:rPr>
                <w:szCs w:val="18"/>
              </w:rPr>
              <w:fldChar w:fldCharType="separate"/>
            </w:r>
            <w:r w:rsidR="004C12A8" w:rsidRPr="008E5B32">
              <w:rPr>
                <w:noProof/>
                <w:szCs w:val="18"/>
                <w:vertAlign w:val="superscript"/>
                <w:lang w:val="en-GB"/>
              </w:rPr>
              <w:t>147</w:t>
            </w:r>
            <w:r w:rsidRPr="008E5B32">
              <w:rPr>
                <w:szCs w:val="18"/>
              </w:rPr>
              <w:fldChar w:fldCharType="end"/>
            </w:r>
          </w:p>
        </w:tc>
        <w:tc>
          <w:tcPr>
            <w:tcW w:w="1620" w:type="dxa"/>
          </w:tcPr>
          <w:p w14:paraId="608261AE" w14:textId="63051118" w:rsidR="00D6682C" w:rsidRPr="008E5B32" w:rsidRDefault="00D6682C" w:rsidP="00D6682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rFonts w:ascii="Segoe UI Symbol" w:hAnsi="Segoe UI Symbol" w:cs="Segoe UI Symbol"/>
                <w:color w:val="222222"/>
                <w:szCs w:val="18"/>
                <w:shd w:val="clear" w:color="auto" w:fill="FFFFFF"/>
                <w:lang w:val="en-GB"/>
              </w:rPr>
              <w:br/>
            </w:r>
            <w:r w:rsidRPr="008E5B32">
              <w:rPr>
                <w:lang w:val="en-GB"/>
              </w:rPr>
              <w:t>(</w:t>
            </w:r>
            <w:r w:rsidRPr="008E5B32">
              <w:rPr>
                <w:i/>
                <w:lang w:val="en-GB"/>
              </w:rPr>
              <w:t>Decision Trees</w:t>
            </w:r>
            <w:r w:rsidRPr="008E5B32">
              <w:rPr>
                <w:lang w:val="en-GB"/>
              </w:rPr>
              <w:t>)</w:t>
            </w:r>
          </w:p>
        </w:tc>
        <w:tc>
          <w:tcPr>
            <w:tcW w:w="540" w:type="dxa"/>
          </w:tcPr>
          <w:p w14:paraId="04EA3525" w14:textId="4470B1D2" w:rsidR="00D6682C" w:rsidRPr="008E5B32" w:rsidRDefault="00D6682C" w:rsidP="00D6682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540" w:type="dxa"/>
          </w:tcPr>
          <w:p w14:paraId="28057342" w14:textId="3262AFB0" w:rsidR="00D6682C" w:rsidRPr="008E5B32" w:rsidRDefault="00D6682C" w:rsidP="00D6682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p>
        </w:tc>
        <w:tc>
          <w:tcPr>
            <w:tcW w:w="1350" w:type="dxa"/>
          </w:tcPr>
          <w:p w14:paraId="742361E5" w14:textId="2AC8012E" w:rsidR="00D6682C" w:rsidRPr="008E5B32" w:rsidRDefault="00D6682C" w:rsidP="00D6682C">
            <w:pPr>
              <w:jc w:val="center"/>
              <w:rPr>
                <w:rFonts w:ascii="Segoe UI Symbol" w:eastAsia="Segoe UI Symbol" w:hAnsi="Segoe UI Symbol" w:cs="Segoe UI Symbol"/>
                <w:color w:val="222222"/>
                <w:shd w:val="clear" w:color="auto" w:fill="FFFFFF"/>
                <w:lang w:val="en-GB"/>
              </w:rPr>
            </w:pPr>
            <w:r w:rsidRPr="008E5B32">
              <w:rPr>
                <w:rFonts w:ascii="Segoe UI Symbol" w:eastAsia="Segoe UI Symbol" w:hAnsi="Segoe UI Symbol" w:cs="Segoe UI Symbol"/>
                <w:color w:val="222222"/>
                <w:shd w:val="clear" w:color="auto" w:fill="FFFFFF"/>
                <w:lang w:val="en-GB"/>
              </w:rPr>
              <w:t>✓</w:t>
            </w:r>
            <w:r w:rsidRPr="008E5B32">
              <w:rPr>
                <w:lang w:val="en-GB"/>
              </w:rPr>
              <w:br/>
              <w:t xml:space="preserve">(Assessment in both test and training sets by standardization approach </w:t>
            </w:r>
            <w:r w:rsidRPr="008E5B32">
              <w:fldChar w:fldCharType="begin" w:fldLock="1"/>
            </w:r>
            <w:r w:rsidR="00434385" w:rsidRPr="008E5B32">
              <w:rPr>
                <w:lang w:val="en-GB"/>
              </w:rPr>
              <w:instrText>ADDIN CSL_CITATION {"citationItems":[{"id":"ITEM-1","itemData":{"DOI":"10.1016/j.chemolab.2015.04.013","ISSN":"18733239","abstract":"Quantitative structure-activity/property/toxicity relationship (QSAR/QSPR/QSTR) modeling has been used in medicinal chemistry, material sciences, environmental fate modeling, risk assessment and computational toxicology for a long time. The Organization for Economic Co-operation and Development (OECD) has recommended that for application of validated QSAR models for prediction of new data points, there is a strict requirement of defining the applicability domain (AD) according to the Principle 3. The AD is a theoretical region in chemical space encompassing both the model descriptors and modeled response which allows one to estimate the uncertainty in the prediction of a particular compound based on how similar it is to the training compounds employed in the model development. The AD is an important tool for reliable application of QSAR models, while characterization of interpolation space is significant in defining the AD. An attempt is made here to suggest a simple method for defining the X-outliers (in the case of the training set) and identifying the compounds that reside outside the AD (in the case of the test set) employing the basic theory of the standardization approach. Further, a standalone application named \"Applicability domain using standardization approach\" (available at http://dtclab.webs.com/software-tools and http://teqip.jdvu.ac.in/QSAR_Tools/) has been developed. The present study reports that the web application can be easily used for identification of the X-outliers for training set compounds and detection of the test compounds residing outside the AD using the descriptor pool of the training and test sets.","author":[{"dropping-particle":"","family":"Roy","given":"Kunal","non-dropping-particle":"","parse-names":false,"suffix":""},{"dropping-particle":"","family":"Kar","given":"Supratik","non-dropping-particle":"","parse-names":false,"suffix":""},{"dropping-particle":"","family":"Ambure","given":"Pravin","non-dropping-particle":"","parse-names":false,"suffix":""}],"container-title":"Chemometrics and Intelligent Laboratory Systems","id":"ITEM-1","issued":{"date-parts":[["2015"]]},"title":"On a simple approach for determining applicability domain of QSAR models","type":"article-journal"},"uris":["http://www.mendeley.com/documents/?uuid=586f2521-05af-4a36-a0c5-23646e832bbb","http://www.mendeley.com/documents/?uuid=f7ec2533-eae9-40c3-a35f-537701114375"]}],"mendeley":{"formattedCitation":"&lt;sup&gt;148&lt;/sup&gt;","plainTextFormattedCitation":"148","previouslyFormattedCitation":"&lt;sup&gt;148&lt;/sup&gt;"},"properties":{"noteIndex":0},"schema":"https://github.com/citation-style-language/schema/raw/master/csl-citation.json"}</w:instrText>
            </w:r>
            <w:r w:rsidRPr="008E5B32">
              <w:fldChar w:fldCharType="separate"/>
            </w:r>
            <w:r w:rsidR="004C12A8" w:rsidRPr="008E5B32">
              <w:rPr>
                <w:noProof/>
                <w:vertAlign w:val="superscript"/>
                <w:lang w:val="en-GB"/>
              </w:rPr>
              <w:t>148</w:t>
            </w:r>
            <w:r w:rsidRPr="008E5B32">
              <w:fldChar w:fldCharType="end"/>
            </w:r>
            <w:r w:rsidRPr="008E5B32">
              <w:rPr>
                <w:lang w:val="en-GB"/>
              </w:rPr>
              <w:t>)</w:t>
            </w:r>
          </w:p>
        </w:tc>
        <w:tc>
          <w:tcPr>
            <w:tcW w:w="1350" w:type="dxa"/>
          </w:tcPr>
          <w:p w14:paraId="0C6F93DE" w14:textId="776692D1" w:rsidR="00D6682C" w:rsidRPr="008E5B32" w:rsidRDefault="00D6682C" w:rsidP="00D6682C">
            <w:pPr>
              <w:jc w:val="center"/>
              <w:rPr>
                <w:szCs w:val="18"/>
              </w:rPr>
            </w:pPr>
            <w:r w:rsidRPr="008E5B32">
              <w:rPr>
                <w:rFonts w:ascii="Segoe UI Symbol" w:hAnsi="Segoe UI Symbol" w:cs="Segoe UI Symbol"/>
                <w:szCs w:val="18"/>
              </w:rPr>
              <w:t>✗</w:t>
            </w:r>
          </w:p>
        </w:tc>
        <w:tc>
          <w:tcPr>
            <w:tcW w:w="581" w:type="dxa"/>
          </w:tcPr>
          <w:p w14:paraId="2F8860EC" w14:textId="3E9EA50C" w:rsidR="00D6682C" w:rsidRPr="008E5B32" w:rsidRDefault="00D6682C" w:rsidP="00D6682C">
            <w:pPr>
              <w:jc w:val="center"/>
              <w:rPr>
                <w:rFonts w:ascii="Segoe UI Symbol" w:eastAsia="Segoe UI Symbol" w:hAnsi="Segoe UI Symbol" w:cs="Segoe UI Symbol"/>
                <w:color w:val="222222"/>
                <w:shd w:val="clear" w:color="auto" w:fill="FFFFFF"/>
              </w:rPr>
            </w:pPr>
            <w:r w:rsidRPr="008E5B32">
              <w:rPr>
                <w:rFonts w:ascii="Segoe UI Symbol" w:eastAsia="Segoe UI Symbol" w:hAnsi="Segoe UI Symbol" w:cs="Segoe UI Symbol"/>
                <w:color w:val="222222"/>
                <w:shd w:val="clear" w:color="auto" w:fill="FFFFFF"/>
              </w:rPr>
              <w:t>✓</w:t>
            </w:r>
          </w:p>
        </w:tc>
      </w:tr>
    </w:tbl>
    <w:p w14:paraId="0DBF6686" w14:textId="77777777" w:rsidR="00522880" w:rsidRPr="008E5B32" w:rsidRDefault="00522880" w:rsidP="00522880">
      <w:pPr>
        <w:spacing w:line="276" w:lineRule="auto"/>
        <w:rPr>
          <w:sz w:val="18"/>
          <w:szCs w:val="18"/>
          <w:lang w:val="en-GB"/>
        </w:rPr>
        <w:sectPr w:rsidR="00522880" w:rsidRPr="008E5B32" w:rsidSect="008C610A">
          <w:footnotePr>
            <w:numFmt w:val="lowerLetter"/>
          </w:footnotePr>
          <w:pgSz w:w="16834" w:h="11909" w:orient="landscape"/>
          <w:pgMar w:top="1440" w:right="1440" w:bottom="1440" w:left="1440" w:header="0" w:footer="720" w:gutter="0"/>
          <w:lnNumType w:countBy="1" w:restart="continuous"/>
          <w:cols w:space="720"/>
          <w:docGrid w:linePitch="326"/>
        </w:sectPr>
      </w:pPr>
      <w:r w:rsidRPr="008E5B32">
        <w:rPr>
          <w:sz w:val="18"/>
          <w:szCs w:val="18"/>
          <w:lang w:val="en-GB"/>
        </w:rPr>
        <w:t xml:space="preserve">CS: Case Study; EM: Expectation Maximization; LDA: Linear Discriminant Analysis; MLR: Multiple Linear Regression; </w:t>
      </w:r>
      <w:r w:rsidR="00C60A8A" w:rsidRPr="008E5B32">
        <w:rPr>
          <w:sz w:val="18"/>
          <w:szCs w:val="18"/>
          <w:lang w:val="en-GB"/>
        </w:rPr>
        <w:t xml:space="preserve">NA: Not Applicable; </w:t>
      </w:r>
      <w:r w:rsidRPr="008E5B32">
        <w:rPr>
          <w:sz w:val="18"/>
          <w:szCs w:val="18"/>
          <w:lang w:val="en-GB"/>
        </w:rPr>
        <w:t xml:space="preserve">NBC: Naïve Bayes Classifier; kNN: k-Nearest Neighbours; </w:t>
      </w:r>
      <w:r w:rsidR="001B486E" w:rsidRPr="008E5B32">
        <w:rPr>
          <w:sz w:val="18"/>
          <w:szCs w:val="18"/>
          <w:lang w:val="en-GB"/>
        </w:rPr>
        <w:t xml:space="preserve">PCA: Principal Component Analysis; </w:t>
      </w:r>
      <w:r w:rsidRPr="008E5B32">
        <w:rPr>
          <w:sz w:val="18"/>
          <w:szCs w:val="18"/>
          <w:lang w:val="en-GB"/>
        </w:rPr>
        <w:t>PLS: Partial Least Square; ROS: Reactive Oxygen Species; SOM: Self organizing maps; SVM: Support Vector Machines.</w:t>
      </w:r>
    </w:p>
    <w:p w14:paraId="2F935B61" w14:textId="666B7B8C" w:rsidR="003E513F" w:rsidRPr="008E5B32" w:rsidRDefault="00C80FD6" w:rsidP="00522880">
      <w:pPr>
        <w:rPr>
          <w:lang w:val="en-GB"/>
        </w:rPr>
      </w:pPr>
      <w:r w:rsidRPr="008E5B32">
        <w:rPr>
          <w:lang w:val="en-GB"/>
        </w:rPr>
        <w:t xml:space="preserve">(Q)SAR models have often been criticized not being sufficiently accurate when applied in practice </w:t>
      </w:r>
      <w:r w:rsidRPr="008E5B32">
        <w:fldChar w:fldCharType="begin" w:fldLock="1"/>
      </w:r>
      <w:r w:rsidR="00434385" w:rsidRPr="008E5B32">
        <w:rPr>
          <w:lang w:val="en-GB"/>
        </w:rPr>
        <w:instrText>ADDIN CSL_CITATION {"citationItems":[{"id":"ITEM-1","itemData":{"DOI":"10.1021/jm4004285","ISBN":"0022-2623","ISSN":"15204804","PMID":"24351051","abstract":"Quantitative structure-activity relationship modeling is one of the major computational tools employed in medicinal chemistry. However, throughout its entire history it has drawn both praise and criticism concerning its reliability, limitations, successes, and failures. In this paper, we discuss (i) the development and evolution of QSAR; (ii) the current trends, unsolved problems, and pressing challenges; and (iii) several novel and emerging applications of QSAR modeling. Throughout this discussion, we provide guidelines for QSAR development, validation, and application, which are summarized in best practices for building rigorously validated and externally predictive QSAR models. We hope that this Perspective will help communications between computational and experimental chemists toward collaborative development and use of QSAR models. We also believe that the guidelines presented here will help journal editors and reviewers apply more stringent scientific standards to manuscripts reporting new QSAR studies, as well as encourage the use of high quality, validated QSARs for regulatory decision making.","author":[{"dropping-particle":"","family":"Cherkasov","given":"Artem","non-dropping-particle":"","parse-names":false,"suffix":""},{"dropping-particle":"","family":"Muratov","given":"Eugene N.","non-dropping-particle":"","parse-names":false,"suffix":""},{"dropping-particle":"","family":"Fourches","given":"Denis","non-dropping-particle":"","parse-names":false,"suffix":""},{"dropping-particle":"","family":"Varnek","given":"Alexandre","non-dropping-particle":"","parse-names":false,"suffix":""},{"dropping-particle":"","family":"Baskin","given":"Igor I.","non-dropping-particle":"","parse-names":false,"suffix":""},{"dropping-particle":"","family":"Cronin","given":"Mark","non-dropping-particle":"","parse-names":false,"suffix":""},{"dropping-particle":"","family":"Dearden","given":"John","non-dropping-particle":"","parse-names":false,"suffix":""},{"dropping-particle":"","family":"Gramatica","given":"Paola","non-dropping-particle":"","parse-names":false,"suffix":""},{"dropping-particle":"","family":"Martin","given":"Yvonne C.","non-dropping-particle":"","parse-names":false,"suffix":""},{"dropping-particle":"","family":"Todeschini","given":"Roberto","non-dropping-particle":"","parse-names":false,"suffix":""},{"dropping-particle":"","family":"Consonni","given":"Viviana","non-dropping-particle":"","parse-names":false,"suffix":""},{"dropping-particle":"","family":"Kuz'Min","given":"Victor E.","non-dropping-particle":"","parse-names":false,"suffix":""},{"dropping-particle":"","family":"Cramer","given":"Richard","non-dropping-particle":"","parse-names":false,"suffix":""},{"dropping-particle":"","family":"Benigni","given":"Romualdo","non-dropping-particle":"","parse-names":false,"suffix":""},{"dropping-particle":"","family":"Yang","given":"Chihae","non-dropping-particle":"","parse-names":false,"suffix":""},{"dropping-particle":"","family":"Rathman","given":"James","non-dropping-particle":"","parse-names":false,"suffix":""},{"dropping-particle":"","family":"Terfloth","given":"Lothar","non-dropping-particle":"","parse-names":false,"suffix":""},{"dropping-particle":"","family":"Gasteiger","given":"Johann","non-dropping-particle":"","parse-names":false,"suffix":""},{"dropping-particle":"","family":"Richard","given":"Ann","non-dropping-particle":"","parse-names":false,"suffix":""},{"dropping-particle":"","family":"Tropsha","given":"Alexander","non-dropping-particle":"","parse-names":false,"suffix":""}],"container-title":"Journal of Medicinal Chemistry","id":"ITEM-1","issued":{"date-parts":[["2014"]]},"title":"QSAR modeling: Where have you been? Where are you going to?","type":"article"},"uris":["http://www.mendeley.com/documents/?uuid=b9bc761c-7a49-4458-ad87-5fbdbee3f455"]}],"mendeley":{"formattedCitation":"&lt;sup&gt;149&lt;/sup&gt;","plainTextFormattedCitation":"149","previouslyFormattedCitation":"&lt;sup&gt;149&lt;/sup&gt;"},"properties":{"noteIndex":0},"schema":"https://github.com/citation-style-language/schema/raw/master/csl-citation.json"}</w:instrText>
      </w:r>
      <w:r w:rsidRPr="008E5B32">
        <w:fldChar w:fldCharType="separate"/>
      </w:r>
      <w:r w:rsidR="004C12A8" w:rsidRPr="008E5B32">
        <w:rPr>
          <w:noProof/>
          <w:vertAlign w:val="superscript"/>
          <w:lang w:val="en-GB"/>
        </w:rPr>
        <w:t>149</w:t>
      </w:r>
      <w:r w:rsidRPr="008E5B32">
        <w:fldChar w:fldCharType="end"/>
      </w:r>
      <w:r w:rsidRPr="008E5B32">
        <w:rPr>
          <w:lang w:val="en-GB"/>
        </w:rPr>
        <w:t xml:space="preserve">. This may be due to a different number of motivations. </w:t>
      </w:r>
    </w:p>
    <w:p w14:paraId="02CCD32A" w14:textId="69718FCA" w:rsidR="00777043" w:rsidRPr="008E5B32" w:rsidRDefault="00C80FD6" w:rsidP="00522880">
      <w:pPr>
        <w:rPr>
          <w:lang w:val="en-GB"/>
        </w:rPr>
      </w:pPr>
      <w:r w:rsidRPr="008E5B32">
        <w:rPr>
          <w:lang w:val="en-GB"/>
        </w:rPr>
        <w:t>A</w:t>
      </w:r>
      <w:r w:rsidR="001801DA" w:rsidRPr="008E5B32">
        <w:rPr>
          <w:lang w:val="en-GB"/>
        </w:rPr>
        <w:t xml:space="preserve">s highlighted in </w:t>
      </w:r>
      <w:r w:rsidR="001801DA" w:rsidRPr="008E5B32">
        <w:fldChar w:fldCharType="begin"/>
      </w:r>
      <w:r w:rsidR="001801DA" w:rsidRPr="008E5B32">
        <w:rPr>
          <w:lang w:val="en-GB"/>
        </w:rPr>
        <w:instrText xml:space="preserve"> REF _Ref506571074 \h </w:instrText>
      </w:r>
      <w:r w:rsidR="00B868EB" w:rsidRPr="008E5B32">
        <w:rPr>
          <w:lang w:val="en-GB"/>
        </w:rPr>
        <w:instrText xml:space="preserve"> \* MERGEFORMAT </w:instrText>
      </w:r>
      <w:r w:rsidR="001801DA" w:rsidRPr="008E5B32">
        <w:fldChar w:fldCharType="separate"/>
      </w:r>
      <w:r w:rsidR="00785247" w:rsidRPr="008E5B32">
        <w:rPr>
          <w:lang w:val="en-GB"/>
        </w:rPr>
        <w:t>Table 4</w:t>
      </w:r>
      <w:r w:rsidR="001801DA" w:rsidRPr="008E5B32">
        <w:fldChar w:fldCharType="end"/>
      </w:r>
      <w:r w:rsidR="001801DA" w:rsidRPr="008E5B32">
        <w:rPr>
          <w:lang w:val="en-GB"/>
        </w:rPr>
        <w:t>,</w:t>
      </w:r>
      <w:r w:rsidR="00777043" w:rsidRPr="008E5B32">
        <w:rPr>
          <w:lang w:val="en-GB"/>
        </w:rPr>
        <w:t xml:space="preserve"> many studies analysed small datasets</w:t>
      </w:r>
      <w:r w:rsidR="003E513F" w:rsidRPr="008E5B32">
        <w:rPr>
          <w:lang w:val="en-GB"/>
        </w:rPr>
        <w:t xml:space="preserve">, </w:t>
      </w:r>
      <w:r w:rsidR="00777043" w:rsidRPr="008E5B32">
        <w:rPr>
          <w:lang w:val="en-GB"/>
        </w:rPr>
        <w:t>and none of the reviewed approaches reported using any of the databases</w:t>
      </w:r>
      <w:r w:rsidR="00F83763" w:rsidRPr="008E5B32">
        <w:rPr>
          <w:lang w:val="en-GB"/>
        </w:rPr>
        <w:t xml:space="preserve"> listed</w:t>
      </w:r>
      <w:r w:rsidR="00777043" w:rsidRPr="008E5B32">
        <w:rPr>
          <w:lang w:val="en-GB"/>
        </w:rPr>
        <w:t xml:space="preserve"> in</w:t>
      </w:r>
      <w:r w:rsidR="0051695E" w:rsidRPr="008E5B32">
        <w:rPr>
          <w:lang w:val="en-GB"/>
        </w:rPr>
        <w:t xml:space="preserve"> </w:t>
      </w:r>
      <w:r w:rsidR="0051695E" w:rsidRPr="008E5B32">
        <w:fldChar w:fldCharType="begin"/>
      </w:r>
      <w:r w:rsidR="0051695E" w:rsidRPr="008E5B32">
        <w:rPr>
          <w:lang w:val="en-GB"/>
        </w:rPr>
        <w:instrText xml:space="preserve"> REF _Ref524537959 \h  \* MERGEFORMAT </w:instrText>
      </w:r>
      <w:r w:rsidR="0051695E" w:rsidRPr="008E5B32">
        <w:fldChar w:fldCharType="separate"/>
      </w:r>
      <w:r w:rsidR="00785247" w:rsidRPr="008E5B32">
        <w:rPr>
          <w:lang w:val="en-GB"/>
        </w:rPr>
        <w:t xml:space="preserve">Table </w:t>
      </w:r>
      <w:r w:rsidR="00785247" w:rsidRPr="008E5B32">
        <w:rPr>
          <w:noProof/>
          <w:lang w:val="en-GB"/>
        </w:rPr>
        <w:t>2</w:t>
      </w:r>
      <w:r w:rsidR="0051695E" w:rsidRPr="008E5B32">
        <w:fldChar w:fldCharType="end"/>
      </w:r>
      <w:r w:rsidR="00974F2F" w:rsidRPr="008E5B32">
        <w:rPr>
          <w:lang w:val="en-GB"/>
        </w:rPr>
        <w:t xml:space="preserve">. </w:t>
      </w:r>
      <w:r w:rsidR="0000006F" w:rsidRPr="008E5B32">
        <w:rPr>
          <w:lang w:val="en-GB"/>
        </w:rPr>
        <w:t>Although t</w:t>
      </w:r>
      <w:r w:rsidR="00F0133B" w:rsidRPr="008E5B32">
        <w:rPr>
          <w:lang w:val="en-GB"/>
        </w:rPr>
        <w:t>he modelling approach and the descriptors used in the final model w</w:t>
      </w:r>
      <w:r w:rsidR="00653652" w:rsidRPr="008E5B32">
        <w:rPr>
          <w:lang w:val="en-GB"/>
        </w:rPr>
        <w:t>ere</w:t>
      </w:r>
      <w:r w:rsidR="00F0133B" w:rsidRPr="008E5B32">
        <w:rPr>
          <w:lang w:val="en-GB"/>
        </w:rPr>
        <w:t xml:space="preserve"> always clearly indicated</w:t>
      </w:r>
      <w:r w:rsidR="0000006F" w:rsidRPr="008E5B32">
        <w:rPr>
          <w:lang w:val="en-GB"/>
        </w:rPr>
        <w:t>,</w:t>
      </w:r>
      <w:r w:rsidR="003B0076" w:rsidRPr="008E5B32">
        <w:rPr>
          <w:lang w:val="en-GB"/>
        </w:rPr>
        <w:t xml:space="preserve"> excludin</w:t>
      </w:r>
      <w:r w:rsidR="00BB7CD8" w:rsidRPr="008E5B32">
        <w:rPr>
          <w:lang w:val="en-GB"/>
        </w:rPr>
        <w:t>g the model provided by Burello and Worth (2011)</w:t>
      </w:r>
      <w:r w:rsidR="003B0076" w:rsidRPr="008E5B32">
        <w:rPr>
          <w:lang w:val="en-GB"/>
        </w:rPr>
        <w:t xml:space="preserve"> where instead a theoretical model was applied</w:t>
      </w:r>
      <w:r w:rsidR="00CE198C" w:rsidRPr="008E5B32">
        <w:rPr>
          <w:lang w:val="en-GB"/>
        </w:rPr>
        <w:t xml:space="preserve"> </w:t>
      </w:r>
      <w:r w:rsidR="00CE198C" w:rsidRPr="008E5B32">
        <w:fldChar w:fldCharType="begin" w:fldLock="1"/>
      </w:r>
      <w:r w:rsidR="00434385" w:rsidRPr="008E5B32">
        <w:rPr>
          <w:lang w:val="en-GB"/>
        </w:rPr>
        <w:instrText>ADDIN CSL_CITATION {"citationItems":[{"id":"ITEM-1","itemData":{"DOI":"10.3109/17435390.2010.502980","ISBN":"1743-5390","ISSN":"17435390","PMID":"21609138","abstract":"AbstractIn this paper we propose a theoretical model that predicts the oxidative stress potential of oxide nanoparticles by looking at the ability of these materials to perturb the intracellular redox state. The model uses reactivity descriptors to build the energy band structure of oxide nanoparticles, assuming a particle diameter larger than 20?30 nm and no surface states in the band gap, and predicts their ability to induce an oxidative stress by comparing the redox potentials of relevant intracellular reactions with the oxides' energy structure. Nanoparticles displaying band energy values comparable with redox potentials of antioxidants or radical formation reactions have the ability to cause an oxidative stress and a cytotoxic response in vitro. We discuss the model's predictions for six relevant oxide nanoparticles (TiO2, CuO, ZnO, FeO, Fe2O3, Fe3O4) with literature in vitro studies and calculate the energy structure for 64 additional oxide nanomaterials. Such a framework would guide the development of more rational and efficient screening strategies avoiding random or exhaustive testing of new nanomaterials.","author":[{"dropping-particle":"","family":"Burello","given":"Enrico","non-dropping-particle":"","parse-names":false,"suffix":""},{"dropping-particle":"","family":"Worth","given":"Andrew P.","non-dropping-particle":"","parse-names":false,"suffix":""}],"container-title":"Nanotoxicology","id":"ITEM-1","issued":{"date-parts":[["2011"]]},"title":"A theoretical framework for predicting the oxidative stress potential of oxide nanoparticles","type":"article-journal"},"uris":["http://www.mendeley.com/documents/?uuid=e46fe900-7236-4467-8fdc-4cb0c1d914bf","http://www.mendeley.com/documents/?uuid=d6900de2-7c34-48ac-adb5-ad9915204f26","http://www.mendeley.com/documents/?uuid=250b535c-148c-432f-b9df-87cdea5267fa"]}],"mendeley":{"formattedCitation":"&lt;sup&gt;103&lt;/sup&gt;","plainTextFormattedCitation":"103","previouslyFormattedCitation":"&lt;sup&gt;103&lt;/sup&gt;"},"properties":{"noteIndex":0},"schema":"https://github.com/citation-style-language/schema/raw/master/csl-citation.json"}</w:instrText>
      </w:r>
      <w:r w:rsidR="00CE198C" w:rsidRPr="008E5B32">
        <w:fldChar w:fldCharType="separate"/>
      </w:r>
      <w:r w:rsidR="004C12A8" w:rsidRPr="008E5B32">
        <w:rPr>
          <w:noProof/>
          <w:vertAlign w:val="superscript"/>
          <w:lang w:val="en-GB"/>
        </w:rPr>
        <w:t>103</w:t>
      </w:r>
      <w:r w:rsidR="00CE198C" w:rsidRPr="008E5B32">
        <w:fldChar w:fldCharType="end"/>
      </w:r>
      <w:r w:rsidR="003B0076" w:rsidRPr="008E5B32">
        <w:rPr>
          <w:lang w:val="en-GB"/>
        </w:rPr>
        <w:t>,</w:t>
      </w:r>
      <w:r w:rsidR="00977FFA" w:rsidRPr="008E5B32">
        <w:rPr>
          <w:lang w:val="en-GB"/>
        </w:rPr>
        <w:t xml:space="preserve"> </w:t>
      </w:r>
      <w:r w:rsidR="00205283" w:rsidRPr="008E5B32">
        <w:rPr>
          <w:lang w:val="en-GB"/>
        </w:rPr>
        <w:t>in</w:t>
      </w:r>
      <w:r w:rsidR="00A858EC" w:rsidRPr="008E5B32">
        <w:rPr>
          <w:lang w:val="en-GB"/>
        </w:rPr>
        <w:t xml:space="preserve"> roughly 50% of</w:t>
      </w:r>
      <w:r w:rsidR="00205283" w:rsidRPr="008E5B32">
        <w:rPr>
          <w:lang w:val="en-GB"/>
        </w:rPr>
        <w:t xml:space="preserve"> </w:t>
      </w:r>
      <w:r w:rsidR="00412E7E" w:rsidRPr="008E5B32">
        <w:rPr>
          <w:lang w:val="en-GB"/>
        </w:rPr>
        <w:t xml:space="preserve">the reviewed approaches </w:t>
      </w:r>
      <w:r w:rsidR="009F6235" w:rsidRPr="008E5B32">
        <w:rPr>
          <w:lang w:val="en-GB"/>
        </w:rPr>
        <w:t xml:space="preserve">the descriptors used by the final model </w:t>
      </w:r>
      <w:r w:rsidR="00C3142D" w:rsidRPr="008E5B32">
        <w:rPr>
          <w:lang w:val="en-GB"/>
        </w:rPr>
        <w:t xml:space="preserve">are related </w:t>
      </w:r>
      <w:r w:rsidR="009F6235" w:rsidRPr="008E5B32">
        <w:rPr>
          <w:lang w:val="en-GB"/>
        </w:rPr>
        <w:t xml:space="preserve">to the chemical composition of the </w:t>
      </w:r>
      <w:r w:rsidR="00462966" w:rsidRPr="008E5B32">
        <w:rPr>
          <w:lang w:val="en-GB"/>
        </w:rPr>
        <w:t>NM</w:t>
      </w:r>
      <w:r w:rsidR="005D4878" w:rsidRPr="008E5B32">
        <w:rPr>
          <w:lang w:val="en-GB"/>
        </w:rPr>
        <w:t xml:space="preserve"> </w:t>
      </w:r>
      <w:r w:rsidR="009F6235" w:rsidRPr="008E5B32">
        <w:rPr>
          <w:lang w:val="en-GB"/>
        </w:rPr>
        <w:t>and</w:t>
      </w:r>
      <w:r w:rsidR="005D4878" w:rsidRPr="008E5B32">
        <w:rPr>
          <w:lang w:val="en-GB"/>
        </w:rPr>
        <w:t xml:space="preserve"> are not </w:t>
      </w:r>
      <w:r w:rsidR="0000006F" w:rsidRPr="008E5B32">
        <w:rPr>
          <w:lang w:val="en-GB"/>
        </w:rPr>
        <w:t xml:space="preserve">related to </w:t>
      </w:r>
      <w:r w:rsidR="005D4878" w:rsidRPr="008E5B32">
        <w:rPr>
          <w:lang w:val="en-GB"/>
        </w:rPr>
        <w:t>nanospecific</w:t>
      </w:r>
      <w:r w:rsidR="0000006F" w:rsidRPr="008E5B32">
        <w:rPr>
          <w:lang w:val="en-GB"/>
        </w:rPr>
        <w:t xml:space="preserve"> properties</w:t>
      </w:r>
      <w:r w:rsidR="00412E7E" w:rsidRPr="008E5B32">
        <w:rPr>
          <w:lang w:val="en-GB"/>
        </w:rPr>
        <w:t xml:space="preserve">, while the most common nanospecific descriptors included in the reviewed models are size (measured in different media), zeta potential, reactivity and surface area, </w:t>
      </w:r>
      <w:r w:rsidR="00DE6113" w:rsidRPr="008E5B32">
        <w:rPr>
          <w:lang w:val="en-GB"/>
        </w:rPr>
        <w:t>while</w:t>
      </w:r>
      <w:r w:rsidR="00EF57FB" w:rsidRPr="008E5B32">
        <w:rPr>
          <w:lang w:val="en-GB"/>
        </w:rPr>
        <w:t xml:space="preserve"> in three cases</w:t>
      </w:r>
      <w:r w:rsidR="00412E7E" w:rsidRPr="008E5B32">
        <w:rPr>
          <w:lang w:val="en-GB"/>
        </w:rPr>
        <w:t xml:space="preserve"> protein-corona descriptors</w:t>
      </w:r>
      <w:r w:rsidR="00DE6113" w:rsidRPr="008E5B32">
        <w:rPr>
          <w:lang w:val="en-GB"/>
        </w:rPr>
        <w:t xml:space="preserve"> where included in the final model </w:t>
      </w:r>
      <w:r w:rsidR="00DE6113" w:rsidRPr="008E5B32">
        <w:fldChar w:fldCharType="begin" w:fldLock="1"/>
      </w:r>
      <w:r w:rsidR="00DE6113" w:rsidRPr="008E5B32">
        <w:rPr>
          <w:lang w:val="en-US"/>
        </w:rPr>
        <w:instrText>ADDIN CSL_CITATION {"citationItems":[{"id":"ITEM-1","itemData":{"DOI":"10.1080/1062936X.2016.1197310","ISBN":"1062-936X","ISSN":"1029046X","abstract":"The understanding of the mechanisms and interactions that occur when nanomaterials enter biological systems is important to improve their future use. The adsorption of proteins from biological fluids in a physiological environment to form a corona on the surface of nanoparticles represents a key step that influences nanoparticle behaviour. In this study, the quantitative description of the composition of the protein corona was used to study the effect on cell association induced by 84 surface-modified gold nanoparticles of different sizes. Quantitative relationships between the protein corona and the activity of the gold nanoparticles were modelled by using several machine learning-based linear and non-linear approaches. Models based on a selection of only six serum proteins had robust and predictive results. The Projection Pursuit Regression method had the best performances (r2 = 0.91; Q2loo = 0.81; r2ext = 0.79). The present study confirmed the utility of protein corona composition to predict the bioactivity of gold nanoparticles and identified the main proteins that act as promoters or inhibitors of cell association. In addition, the comparison of several techniques showed which strategies offer the best results in prediction and could be used to support new toxicological studies on gold-based nanomaterials. © 2016 Informa UK Limited, trading as Taylor &amp; Francis Group","author":[{"dropping-particle":"","family":"Papa","given":"E.","non-dropping-particle":"","parse-names":false,"suffix":""},{"dropping-particle":"","family":"Doucet","given":"J. P.","non-dropping-particle":"","parse-names":false,"suffix":""},{"dropping-particle":"","family":"Sangion","given":"A.","non-dropping-particle":"","parse-names":false,"suffix":""},{"dropping-particle":"","family":"Doucet-Panaye","given":"A.","non-dropping-particle":"","parse-names":false,"suffix":""}],"container-title":"SAR and QSAR in Environmental Research","id":"ITEM-1","issued":{"date-parts":[["2016"]]},"title":"Investigation of the influence of protein corona composition on gold nanoparticle bioactivity using machine learning approaches","type":"article-journal"},"uris":["http://www.mendeley.com/documents/?uuid=a8d36dff-a50f-42dd-816c-2c93a1aaeabd","http://www.mendeley.com/documents/?uuid=7a3bbf05-1926-43cc-a0ec-c96d3f502fe7","http://www.mendeley.com/documents/?uuid=64fb1a58-0675-40bc-9983-62d4d42bf8bc"]},{"id":"ITEM-2","itemData":{"DOI":"10.1039/c5nr01537e","ISBN":"10.1039/C5NR01537E","ISSN":"20403372","PMID":"25959034","abstract":"Cellular association of nanoparticles (NPs) in biological fluids is affected by proteins adsorbed onto the NP surface, forming a \"protein corona\", thereby impacting cellular bioactivity. Here we investigate, based on an extensive gold NPs protein corona dataset, the relationships between NP-cell association and protein corona fingerprints (PCFs) as well as NP physicochemical properties. Accordingly, quantitative structure-activity relationships (QSARs) were developed based on both linear and non-linear support vector regression (SVR) models making use of a sequential forward floating selection of descriptors. The SVR model with only 6 serum proteins and zeta potential had higher accuracy (R2 = 0.895) relative to the linear model (R2 = 0.850) with 11 PCFs. Considering the initial pool of 148 descriptors, the APOB, A1AT, ANT3, and PLMN serum proteins along with NP zeta potential were identified as most significant to correlating NP-cell association. The present study suggests that QSARs exploration of NP-cell association data, considering the role of both NP protein corona and physicochemical properties, can support the planning and interpretation of toxicity studies and guide the design of NPs for biomedical applications. © The Royal Society of Chemistry.","author":[{"dropping-particle":"","family":"Liu","given":"Rong","non-dropping-particle":"","parse-names":false,"suffix":""},{"dropping-particle":"","family":"Jiang","given":"Wen","non-dropping-particle":"","parse-names":false,"suffix":""},{"dropping-particle":"","family":"Walkey","given":"Carl D.","non-dropping-particle":"","parse-names":false,"suffix":""},{"dropping-particle":"","family":"Chan","given":"Warren C.W.","non-dropping-particle":"","parse-names":false,"suffix":""},{"dropping-particle":"","family":"Cohen","given":"Yoram","non-dropping-particle":"","parse-names":false,"suffix":""}],"container-title":"Nanoscale","id":"ITEM-2","issued":{"date-parts":[["2015"]]},"title":"Prediction of nanoparticles-cell association based on corona proteins and physicochemical properties","type":"article-journal"},"uris":["http://www.mendeley.com/documents/?uuid=6b687b75-689c-46bc-8795-760f66959d90"]},{"id":"ITEM-3","itemData":{"DOI":"10.1186/s13321-015-0094-2","ISSN":"17582946","PMID":"26379782","abstract":"BACKGROUND: Predictive regression models can be created with many different modelling approaches. Choices need to be made for data set splitting, cross-validation methods, specific regression parameters and best model criteria, as they all affect the accuracy and efficiency of the produced predictive models, and therefore, raising model reproducibility and comparison issues. Cheminformatics and bioinformatics are extensively using predictive modelling and exhibit a need for standardization of these methodologies in order to assist model selection and speed up the process of predictive model development. A tool accessible to all users, irrespectively of their statistical knowledge, would be valuable if it tests several simple and complex regression models and validation schemes, produce unified reports, and offer the option to be integrated into more extensive studies. Additionally, such methodology should be implemented as a free programming package, in order to be continuously adapted and redistributed by others.\\n\\nRESULTS: We propose an integrated framework for creating multiple regression models, called RRegrs. The tool offers the option of ten simple and complex regression methods combined with repeated 10-fold and leave-one-out cross-validation. Methods include Multiple Linear regression, Generalized Linear Model with Stepwise Feature Selection, Partial Least Squares regression, Lasso regression, and Support Vector Machines Recursive Feature Elimination. The new framework is an automated fully validated procedure which produces standardized reports to quickly oversee the impact of choices in modelling algorithms and assess the model and cross-validation results. The methodology was implemented as an open source R package, available at https://www.github.com/enanomapper/RRegrs, by reusing and extending on the caret package.\\n\\nCONCLUSION: The universality of the new methodology is demonstrated using five standard data sets from different scientific fields. Its efficiency in cheminformatics and QSAR modelling is shown with three use cases: proteomics data for surface-modified gold nanoparticles, nano-metal oxides descriptor data, and molecular descriptors for acute aquatic toxicity data. The results show that for all data sets RRegrs reports models with equal or better performance for both training and test sets than those reported in the original publications. Its good performance as well as its adaptability in terms of parameter optimization could…","author":[{"dropping-particle":"","family":"Tsiliki","given":"Georgia","non-dropping-particle":"","parse-names":false,"suffix":""},{"dropping-particle":"","family":"Munteanu","given":"Cristian R.","non-dropping-particle":"","parse-names":false,"suffix":""},{"dropping-particle":"","family":"Seoane","given":"Jose A.","non-dropping-particle":"","parse-names":false,"suffix":""},{"dropping-particle":"","family":"Fernandez-Lozano","given":"Carlos","non-dropping-particle":"","parse-names":false,"suffix":""},{"dropping-particle":"","family":"Sarimveis","given":"Haralambos","non-dropping-particle":"","parse-names":false,"suffix":""},{"dropping-particle":"","family":"Willighagen","given":"Egon L.","non-dropping-particle":"","parse-names":false,"suffix":""}],"container-title":"Journal of Cheminformatics","id":"ITEM-3","issued":{"date-parts":[["2015"]]},"title":"RRegrs: An R package for computer-aided model selection with multiple regression models","type":"article-journal"},"uris":["http://www.mendeley.com/documents/?uuid=cb7ccf3b-57b2-4ab4-8b29-76cb79300e07"]}],"mendeley":{"formattedCitation":"&lt;sup&gt;137,138,143&lt;/sup&gt;","plainTextFormattedCitation":"137,138,143","previouslyFormattedCitation":"&lt;sup&gt;137,138,143&lt;/sup&gt;"},"properties":{"noteIndex":0},"schema":"https://github.com/citation-style-language/schema/raw/master/csl-citation.json"}</w:instrText>
      </w:r>
      <w:r w:rsidR="00DE6113" w:rsidRPr="008E5B32">
        <w:fldChar w:fldCharType="separate"/>
      </w:r>
      <w:r w:rsidR="00DE6113" w:rsidRPr="008E5B32">
        <w:rPr>
          <w:noProof/>
          <w:vertAlign w:val="superscript"/>
          <w:lang w:val="en-US"/>
        </w:rPr>
        <w:t>137,138,143</w:t>
      </w:r>
      <w:r w:rsidR="00DE6113" w:rsidRPr="008E5B32">
        <w:fldChar w:fldCharType="end"/>
      </w:r>
      <w:r w:rsidR="00412E7E" w:rsidRPr="008E5B32">
        <w:rPr>
          <w:lang w:val="en-GB"/>
        </w:rPr>
        <w:t>.</w:t>
      </w:r>
      <w:r w:rsidR="00D21CDC" w:rsidRPr="008E5B32">
        <w:rPr>
          <w:lang w:val="en-GB"/>
        </w:rPr>
        <w:t xml:space="preserve"> The </w:t>
      </w:r>
      <w:r w:rsidR="0068513E" w:rsidRPr="008E5B32">
        <w:rPr>
          <w:lang w:val="en-GB"/>
        </w:rPr>
        <w:t xml:space="preserve">predicted </w:t>
      </w:r>
      <w:r w:rsidR="00D21CDC" w:rsidRPr="008E5B32">
        <w:rPr>
          <w:lang w:val="en-GB"/>
        </w:rPr>
        <w:t xml:space="preserve">endpoint was in general </w:t>
      </w:r>
      <w:r w:rsidR="00CB6DDA" w:rsidRPr="008E5B32">
        <w:rPr>
          <w:lang w:val="en-GB"/>
        </w:rPr>
        <w:t xml:space="preserve">clearly </w:t>
      </w:r>
      <w:r w:rsidR="0000006F" w:rsidRPr="008E5B32">
        <w:rPr>
          <w:lang w:val="en-GB"/>
        </w:rPr>
        <w:t>identified</w:t>
      </w:r>
      <w:r w:rsidR="0030713F" w:rsidRPr="008E5B32">
        <w:rPr>
          <w:lang w:val="en-GB"/>
        </w:rPr>
        <w:t>:</w:t>
      </w:r>
      <w:r w:rsidR="00F80B3B" w:rsidRPr="008E5B32">
        <w:rPr>
          <w:lang w:val="en-GB"/>
        </w:rPr>
        <w:t xml:space="preserve"> in </w:t>
      </w:r>
      <w:r w:rsidR="00C7779A" w:rsidRPr="008E5B32">
        <w:rPr>
          <w:lang w:val="en-GB"/>
        </w:rPr>
        <w:t xml:space="preserve">roughly </w:t>
      </w:r>
      <w:r w:rsidR="00C132B2" w:rsidRPr="008E5B32">
        <w:rPr>
          <w:lang w:val="en-GB"/>
        </w:rPr>
        <w:t>25</w:t>
      </w:r>
      <w:r w:rsidR="00C7779A" w:rsidRPr="008E5B32">
        <w:rPr>
          <w:lang w:val="en-GB"/>
        </w:rPr>
        <w:t>% of the reviewed approaches (11</w:t>
      </w:r>
      <w:r w:rsidR="003B0076" w:rsidRPr="008E5B32">
        <w:rPr>
          <w:lang w:val="en-GB"/>
        </w:rPr>
        <w:t xml:space="preserve"> </w:t>
      </w:r>
      <w:r w:rsidR="00445DD5" w:rsidRPr="008E5B32">
        <w:rPr>
          <w:lang w:val="en-GB"/>
        </w:rPr>
        <w:t>out of</w:t>
      </w:r>
      <w:r w:rsidR="003B0076" w:rsidRPr="008E5B32">
        <w:rPr>
          <w:lang w:val="en-GB"/>
        </w:rPr>
        <w:t xml:space="preserve"> </w:t>
      </w:r>
      <w:r w:rsidR="006725C8" w:rsidRPr="008E5B32">
        <w:rPr>
          <w:lang w:val="en-GB"/>
        </w:rPr>
        <w:t>4</w:t>
      </w:r>
      <w:r w:rsidR="00713F03" w:rsidRPr="008E5B32">
        <w:rPr>
          <w:lang w:val="en-GB"/>
        </w:rPr>
        <w:t>1</w:t>
      </w:r>
      <w:r w:rsidR="00C7779A" w:rsidRPr="008E5B32">
        <w:rPr>
          <w:lang w:val="en-GB"/>
        </w:rPr>
        <w:t>)</w:t>
      </w:r>
      <w:r w:rsidR="00F80B3B" w:rsidRPr="008E5B32">
        <w:rPr>
          <w:lang w:val="en-GB"/>
        </w:rPr>
        <w:t xml:space="preserve"> more cell lines or endpoints</w:t>
      </w:r>
      <w:r w:rsidR="00730078" w:rsidRPr="008E5B32">
        <w:rPr>
          <w:lang w:val="en-GB"/>
        </w:rPr>
        <w:t xml:space="preserve"> were combined to predict a generic biological activity</w:t>
      </w:r>
      <w:r w:rsidR="00F80B3B" w:rsidRPr="008E5B32">
        <w:rPr>
          <w:lang w:val="en-GB"/>
        </w:rPr>
        <w:t xml:space="preserve"> (e.g. viability and cellular uptake)</w:t>
      </w:r>
      <w:r w:rsidR="00730078" w:rsidRPr="008E5B32">
        <w:rPr>
          <w:lang w:val="en-GB"/>
        </w:rPr>
        <w:t xml:space="preserve">. Furthermore, </w:t>
      </w:r>
      <w:r w:rsidR="00713F03" w:rsidRPr="008E5B32">
        <w:rPr>
          <w:lang w:val="en-GB"/>
        </w:rPr>
        <w:t>only</w:t>
      </w:r>
      <w:r w:rsidR="00BB7CD8" w:rsidRPr="008E5B32">
        <w:rPr>
          <w:lang w:val="en-GB"/>
        </w:rPr>
        <w:t xml:space="preserve"> in one of the case studies of </w:t>
      </w:r>
      <w:r w:rsidR="00BB7CD8" w:rsidRPr="008E5B32">
        <w:rPr>
          <w:noProof/>
          <w:lang w:val="en-GB"/>
        </w:rPr>
        <w:t xml:space="preserve">Gajewicz et al. </w:t>
      </w:r>
      <w:r w:rsidR="00BB7CD8" w:rsidRPr="008E5B32">
        <w:rPr>
          <w:noProof/>
        </w:rPr>
        <w:t xml:space="preserve">(2018) </w:t>
      </w:r>
      <w:r w:rsidR="00713F03" w:rsidRPr="008E5B32">
        <w:t xml:space="preserve">an </w:t>
      </w:r>
      <w:r w:rsidR="00713F03" w:rsidRPr="008E5B32">
        <w:rPr>
          <w:i/>
        </w:rPr>
        <w:t>in vivo</w:t>
      </w:r>
      <w:r w:rsidR="00713F03" w:rsidRPr="008E5B32">
        <w:t xml:space="preserve"> endpoint</w:t>
      </w:r>
      <w:r w:rsidR="00BB7CD8" w:rsidRPr="008E5B32">
        <w:t xml:space="preserve"> was predicted</w:t>
      </w:r>
      <w:r w:rsidR="0030713F" w:rsidRPr="008E5B32">
        <w:t xml:space="preserve"> </w:t>
      </w:r>
      <w:r w:rsidR="0030713F" w:rsidRPr="008E5B32">
        <w:fldChar w:fldCharType="begin" w:fldLock="1"/>
      </w:r>
      <w:r w:rsidR="00434385" w:rsidRPr="008E5B32">
        <w:instrText>ADDIN CSL_CITATION {"citationItems":[{"id":"ITEM-1","itemData":{"DOI":"10.1080/17435390.2017.1415388","ISSN":"17435404","abstract":"© 2017 The Author(s). Published by Taylor  &amp;  Francis. To keep pace with its rapid development an efficient approach for the risk assessment of nanomaterials is needed. Grouping concepts as developed for chemicals are now being explored for its applicability to nanomaterials. One of the recently proposed grouping systems is DF4nanoGrouping scheme. In this study, we have developed three structure-activity relationship classification tree models to be used for supporting this system by identifying structural features of nanomaterials mainly responsible for the surface activity. We used data from 19 nanomaterials that were synthesized and characterized extensively in previous studies. Subsets of these materials have been used in other studies (short-term inhalation, protein carbonylation, and intrinsic oxidative potential), resulting in a unique data set for modeling. Out of a large set of 285 possible descriptors, we have demonstrated that only three descriptors (size, specific surface area, and the quantum-mechanical calculated property ‘lowest unoccupied molecular orbital’) need to be used to predict the endpoints investigated. The maximum number of descriptors that were finally selected by the classification trees (CT) was very low– one for intrinsic oxidative potential, two for protein carbonylation, and three for NOAEC. This suggests that the models were well-constructed and not over-fitted. The outcome of various statistical measures and the applicability domains of our models further indicate their robustness. Therefore, we conclude that CT can be a useful tool within the DF4nanoGrouping scheme that has been proposed before.","author":[{"dropping-particle":"","family":"Gajewicz","given":"Agnieszka","non-dropping-particle":"","parse-names":false,"suffix":""},{"dropping-particle":"","family":"Puzyn","given":"Tomasz","non-dropping-particle":"","parse-names":false,"suffix":""},{"dropping-particle":"","family":"Odziomek","given":"Katarzyna","non-dropping-particle":"","parse-names":false,"suffix":""},{"dropping-particle":"","family":"Urbaszek","given":"Piotr","non-dropping-particle":"","parse-names":f</w:instrText>
      </w:r>
      <w:r w:rsidR="00434385" w:rsidRPr="008E5B32">
        <w:rPr>
          <w:lang w:val="en-US"/>
        </w:rPr>
        <w:instrText>alse,"suffix":""},{"dropping-particle":"","family":"Haase","given":"Andrea","non-dropping-particle":"","parse-names":false,"suffix":""},{"dropping-particle":"","family":"Riebeling","given":"Christian","non-dropping-particle":"","parse-names":false,"suffix":""},{"dropping-particle":"","family":"Luch","given":"Andreas","non-dropping-particle":"","parse-names":false,"suffix":""},{"dropping-particle":"","family":"Irfan","given":"Muhammad A.","non-dropping-particle":"","parse-names":false,"suffix":""},{"dropping-particle":"","family":"Landsiedel","given":"Robert","non-dropping-particle":"","parse-names":false,"suffix":""},{"dropping-particle":"","family":"Zande","given":"Meike","non-dropping-particle":"van der","parse-names":false,"suffix":""},{"dropping-particle":"","family":"Bouwmeester","given":"Hans","non-dropping-particle":"","parse-names":false,"suffix":""}],"container-title":"Nanotoxicology","id":"ITEM-1","issued":{"date-parts":[["2018"]]},"title":"Decision tree models to classify nanomaterials according to the DF4nanoGrouping scheme","type":"article-journal"},"uris":["http://www.mendeley.com/documents/?uuid=6c6edf73-1639-4c1d-857e-2a8967510393","http://www.mendeley.com/documents/?uuid=6b888774-677b-492d-9af2-39433910ee70"]}],"mendeley":{"formattedCitation":"&lt;sup&gt;146&lt;/sup&gt;","plainTextFormattedCitation":"146","previouslyFormattedCitation":"&lt;sup&gt;146&lt;/sup&gt;"},"properties":{"noteIndex":0},"schema":"https://github.com/citation-style-language/schema/raw/master/csl-citation.json"}</w:instrText>
      </w:r>
      <w:r w:rsidR="0030713F" w:rsidRPr="008E5B32">
        <w:fldChar w:fldCharType="separate"/>
      </w:r>
      <w:r w:rsidR="004C12A8" w:rsidRPr="008E5B32">
        <w:rPr>
          <w:noProof/>
          <w:vertAlign w:val="superscript"/>
          <w:lang w:val="en-GB"/>
        </w:rPr>
        <w:t>146</w:t>
      </w:r>
      <w:r w:rsidR="0030713F" w:rsidRPr="008E5B32">
        <w:fldChar w:fldCharType="end"/>
      </w:r>
      <w:r w:rsidR="006A59FB" w:rsidRPr="008E5B32">
        <w:rPr>
          <w:lang w:val="en-GB"/>
        </w:rPr>
        <w:t xml:space="preserve">, thus confirming the model landscape presented elsewhere </w:t>
      </w:r>
      <w:r w:rsidR="006A59FB" w:rsidRPr="008E5B32">
        <w:fldChar w:fldCharType="begin" w:fldLock="1"/>
      </w:r>
      <w:r w:rsidR="00434385" w:rsidRPr="008E5B32">
        <w:rPr>
          <w:lang w:val="en-GB"/>
        </w:rPr>
        <w:instrText>ADDIN CSL_CITATION {"citationItems":[{"id":"ITEM-1","itemData":{"author":[{"dropping-particle":"","family":"Lamon","given":"L","non-dropping-particle":"","parse-names":false,"suffix":""},{"dropping-particle":"","family":"Asturiol","given":"D","non-dropping-particle":"","parse-names":false,"suffix":""},{"dropping-particle":"","family":"Vilchez","given":"A","non-dropping-particle":"","parse-names":false,"suffix":""},{"dropping-particle":"","family":"Rupérez","given":"R","non-dropping-particle":"","parse-names":false,"suffix":""},{"dropping-particle":"","family":"Cabellos","given":"J","non-dropping-particle":"","parse-names":false,"suffix":""},{"dropping-particle":"","family":"Richarz","given":"A","non-dropping-particle":"","parse-names":false,"suffix":""},{"dropping-particle":"","family":"Worth","given":"A","non-dropping-particle":"","parse-names":false,"suffix":""}],"container-title":"Submitted to Computational Toxicology","id":"ITEM-1","issued":{"date-parts":[["0"]]},"title":"Computational models in manufactured nanomaterials risk assessment: development of model reporting standards and mapping of the model landscape","type":"article-journal"},"uris":["http://www.mendeley.com/documents/?uuid=e95b2351-3ed1-4170-9e89-5b4e4e6434b2","http://www.mendeley.com/documents/?uuid=d9b489af-7fa9-4ebb-bc4f-994092c8c0f2","http://www.mendeley.com/documents/?uuid=75ce44e4-8428-4a75-bfb2-b487ebbe392a"]}],"mendeley":{"formattedCitation":"&lt;sup&gt;150&lt;/sup&gt;","plainTextFormattedCitation":"150","previouslyFormattedCitation":"&lt;sup&gt;150&lt;/sup&gt;"},"properties":{"noteIndex":0},"schema":"https://github.com/citation-style-language/schema/raw/master/csl-citation.json"}</w:instrText>
      </w:r>
      <w:r w:rsidR="006A59FB" w:rsidRPr="008E5B32">
        <w:fldChar w:fldCharType="separate"/>
      </w:r>
      <w:r w:rsidR="004C12A8" w:rsidRPr="008E5B32">
        <w:rPr>
          <w:noProof/>
          <w:vertAlign w:val="superscript"/>
          <w:lang w:val="en-GB"/>
        </w:rPr>
        <w:t>150</w:t>
      </w:r>
      <w:r w:rsidR="006A59FB" w:rsidRPr="008E5B32">
        <w:fldChar w:fldCharType="end"/>
      </w:r>
      <w:r w:rsidR="00873674" w:rsidRPr="008E5B32">
        <w:rPr>
          <w:lang w:val="en-GB"/>
        </w:rPr>
        <w:t>. I</w:t>
      </w:r>
      <w:r w:rsidR="00432B92" w:rsidRPr="008E5B32">
        <w:rPr>
          <w:lang w:val="en-GB"/>
        </w:rPr>
        <w:t xml:space="preserve">t is worth noting that in some cases activity was </w:t>
      </w:r>
      <w:r w:rsidR="006A4472" w:rsidRPr="008E5B32">
        <w:rPr>
          <w:lang w:val="en-GB"/>
        </w:rPr>
        <w:t xml:space="preserve">assessed by arbitrarily </w:t>
      </w:r>
      <w:r w:rsidR="00A96E4E" w:rsidRPr="008E5B32">
        <w:rPr>
          <w:lang w:val="en-GB"/>
        </w:rPr>
        <w:t>defining a threshold on endpoint values</w:t>
      </w:r>
      <w:r w:rsidR="00BA3580" w:rsidRPr="008E5B32">
        <w:rPr>
          <w:lang w:val="en-GB"/>
        </w:rPr>
        <w:t>, in such a way to have half of the dataset classified as “active”, and half as “non</w:t>
      </w:r>
      <w:r w:rsidR="00437985" w:rsidRPr="008E5B32">
        <w:rPr>
          <w:lang w:val="en-GB"/>
        </w:rPr>
        <w:t>-</w:t>
      </w:r>
      <w:r w:rsidR="00BA3580" w:rsidRPr="008E5B32">
        <w:rPr>
          <w:lang w:val="en-GB"/>
        </w:rPr>
        <w:t>active”</w:t>
      </w:r>
      <w:r w:rsidR="00873674" w:rsidRPr="008E5B32">
        <w:rPr>
          <w:lang w:val="en-GB"/>
        </w:rPr>
        <w:t>.</w:t>
      </w:r>
    </w:p>
    <w:p w14:paraId="06CD9361" w14:textId="5492907F" w:rsidR="00777043" w:rsidRPr="008E5B32" w:rsidRDefault="00A14654" w:rsidP="00462966">
      <w:pPr>
        <w:rPr>
          <w:lang w:val="en-GB"/>
        </w:rPr>
      </w:pPr>
      <w:r w:rsidRPr="008E5B32">
        <w:rPr>
          <w:lang w:val="en-GB"/>
        </w:rPr>
        <w:t>The</w:t>
      </w:r>
      <w:r w:rsidR="00777043" w:rsidRPr="008E5B32">
        <w:rPr>
          <w:lang w:val="en-GB"/>
        </w:rPr>
        <w:t xml:space="preserve"> </w:t>
      </w:r>
      <w:r w:rsidR="00D13047" w:rsidRPr="008E5B32">
        <w:rPr>
          <w:lang w:val="en-GB"/>
        </w:rPr>
        <w:t>6</w:t>
      </w:r>
      <w:r w:rsidRPr="008E5B32">
        <w:rPr>
          <w:lang w:val="en-GB"/>
        </w:rPr>
        <w:t>5</w:t>
      </w:r>
      <w:r w:rsidR="00D13047" w:rsidRPr="008E5B32">
        <w:rPr>
          <w:lang w:val="en-GB"/>
        </w:rPr>
        <w:t xml:space="preserve">% of the </w:t>
      </w:r>
      <w:r w:rsidR="00777043" w:rsidRPr="008E5B32">
        <w:rPr>
          <w:lang w:val="en-GB"/>
        </w:rPr>
        <w:t>reviewed approaches</w:t>
      </w:r>
      <w:r w:rsidR="00D13047" w:rsidRPr="008E5B32">
        <w:rPr>
          <w:lang w:val="en-GB"/>
        </w:rPr>
        <w:t xml:space="preserve"> (2</w:t>
      </w:r>
      <w:r w:rsidR="00713F03" w:rsidRPr="008E5B32">
        <w:rPr>
          <w:lang w:val="en-GB"/>
        </w:rPr>
        <w:t>7</w:t>
      </w:r>
      <w:r w:rsidR="00BC04D2" w:rsidRPr="008E5B32">
        <w:rPr>
          <w:lang w:val="en-GB"/>
        </w:rPr>
        <w:t xml:space="preserve"> </w:t>
      </w:r>
      <w:r w:rsidR="00445DD5" w:rsidRPr="008E5B32">
        <w:rPr>
          <w:lang w:val="en-GB"/>
        </w:rPr>
        <w:t>out of</w:t>
      </w:r>
      <w:r w:rsidR="00BC04D2" w:rsidRPr="008E5B32">
        <w:rPr>
          <w:lang w:val="en-GB"/>
        </w:rPr>
        <w:t xml:space="preserve"> </w:t>
      </w:r>
      <w:r w:rsidR="006725C8" w:rsidRPr="008E5B32">
        <w:rPr>
          <w:lang w:val="en-GB"/>
        </w:rPr>
        <w:t>4</w:t>
      </w:r>
      <w:r w:rsidR="00713F03" w:rsidRPr="008E5B32">
        <w:rPr>
          <w:lang w:val="en-GB"/>
        </w:rPr>
        <w:t>1</w:t>
      </w:r>
      <w:r w:rsidR="00D13047" w:rsidRPr="008E5B32">
        <w:rPr>
          <w:lang w:val="en-GB"/>
        </w:rPr>
        <w:t>)</w:t>
      </w:r>
      <w:r w:rsidR="00777043" w:rsidRPr="008E5B32">
        <w:rPr>
          <w:lang w:val="en-GB"/>
        </w:rPr>
        <w:t xml:space="preserve"> performed both internal and external validation, </w:t>
      </w:r>
      <w:r w:rsidR="006E6CE5" w:rsidRPr="008E5B32">
        <w:rPr>
          <w:lang w:val="en-GB"/>
        </w:rPr>
        <w:t xml:space="preserve">while </w:t>
      </w:r>
      <w:r w:rsidR="009344C9" w:rsidRPr="008E5B32">
        <w:rPr>
          <w:lang w:val="en-GB"/>
        </w:rPr>
        <w:t xml:space="preserve">roughly </w:t>
      </w:r>
      <w:r w:rsidRPr="008E5B32">
        <w:rPr>
          <w:lang w:val="en-GB"/>
        </w:rPr>
        <w:t>25</w:t>
      </w:r>
      <w:r w:rsidR="00BC04D2" w:rsidRPr="008E5B32">
        <w:rPr>
          <w:lang w:val="en-GB"/>
        </w:rPr>
        <w:t xml:space="preserve">% of the approaches reported performing only internal validation through </w:t>
      </w:r>
      <w:r w:rsidR="00777043" w:rsidRPr="008E5B32">
        <w:rPr>
          <w:lang w:val="en-GB"/>
        </w:rPr>
        <w:t>cross</w:t>
      </w:r>
      <w:r w:rsidR="002D4A2F" w:rsidRPr="008E5B32">
        <w:rPr>
          <w:lang w:val="en-GB"/>
        </w:rPr>
        <w:t>-</w:t>
      </w:r>
      <w:r w:rsidR="00777043" w:rsidRPr="008E5B32">
        <w:rPr>
          <w:lang w:val="en-GB"/>
        </w:rPr>
        <w:t>validation,</w:t>
      </w:r>
      <w:r w:rsidR="00051B7D" w:rsidRPr="008E5B32">
        <w:rPr>
          <w:lang w:val="en-GB"/>
        </w:rPr>
        <w:t xml:space="preserve"> </w:t>
      </w:r>
      <w:r w:rsidR="007766F5" w:rsidRPr="008E5B32">
        <w:rPr>
          <w:lang w:val="en-GB"/>
        </w:rPr>
        <w:t>and</w:t>
      </w:r>
      <w:r w:rsidR="00777043" w:rsidRPr="008E5B32">
        <w:rPr>
          <w:lang w:val="en-GB"/>
        </w:rPr>
        <w:t xml:space="preserve"> </w:t>
      </w:r>
      <w:r w:rsidR="006F2271" w:rsidRPr="008E5B32">
        <w:rPr>
          <w:lang w:val="en-GB"/>
        </w:rPr>
        <w:t xml:space="preserve">one of the reviewed </w:t>
      </w:r>
      <w:r w:rsidR="00BF05DA" w:rsidRPr="008E5B32">
        <w:rPr>
          <w:lang w:val="en-GB"/>
        </w:rPr>
        <w:t>models was not validated</w:t>
      </w:r>
      <w:r w:rsidR="00051B7D" w:rsidRPr="008E5B32">
        <w:rPr>
          <w:lang w:val="en-GB"/>
        </w:rPr>
        <w:t xml:space="preserve"> at all</w:t>
      </w:r>
      <w:r w:rsidR="0030713F" w:rsidRPr="008E5B32">
        <w:rPr>
          <w:lang w:val="en-GB"/>
        </w:rPr>
        <w:t xml:space="preserve"> </w:t>
      </w:r>
      <w:r w:rsidR="0030713F" w:rsidRPr="008E5B32">
        <w:fldChar w:fldCharType="begin" w:fldLock="1"/>
      </w:r>
      <w:r w:rsidR="00434385" w:rsidRPr="008E5B32">
        <w:rPr>
          <w:lang w:val="en-GB"/>
        </w:rPr>
        <w:instrText>ADDIN CSL_CITATION {"citationItems":[{"id":"ITEM-1","itemData":{"DOI":"10.1021/es504259s","ISBN":"0013-936X","ISSN":"15205851","PMID":"25563693","abstract":"Metal oxide nanoparticles (MOx NPs) are used for a host of applications, such as electronics, cosmetics, construction, and medicine, and as a result, the safety of these materials to humans and the environment is of considerable interest. A prior study of 24 MOx NPs in mammalian cells revealed that some of these materials show hazard potential. Here, we report the growth inhibitory effects of the same series of MOx NPs in the bacterium Escherichia coli and show that toxicity trends observed in E. coli parallel those seen previously in mammalian cells. Of the 24 materials studied, only ZnO, CuO, CoO, Mn2O3, Co3O4, Ni2O3, and Cr2O3 were found to exert significant growth inhibitory effects; these effects were found to relate to membrane damage and oxidative stress responses in minimal trophic media. A correlation of the toxicological data with physicochemical parameters of MOx NPs revealed that the probability of a MOx NP being toxic increases as the hydration enthalpy becomes less negative and as the conduction band energy approaches those of biological molecules. These observations are consistent with prior results observed in mammalian cells, revealing that mechanisms of toxicity of MOx NPs are consistent across two very different taxa. These results suggest that studying nanotoxicity in E. coli may help to predict toxicity patterns in higher organisms.","author":[{"dropping-particle":"","family":"Kaweeteerawat","given":"Chitrada","non-dropping-particle":"","parse-names":false,"suffix":""},{"dropping-particle":"","family":"Ivask","given":"Angela","non-dropping-particle":"","parse-names":false,"suffix":""},{"dropping-particle":"","family":"Liu","given":"Rong","non-dropping-particle":"","parse-names":false,"suffix":""},{"dropping-particle":"","family":"Zhang","given":"Haiyuan","non-dropping-particle":"","parse-names":false,"suffix":""},{"dropping-particle":"","family":"Chang","given":"Chong Hyun","non-dropping-particle":"","parse-names":false,"suffix":""},{"dropping-particle":"","family":"Low-Kam","given":"Cecile","non-dropping-particle":"","parse-names":false,"suffix":""},{"dropping-particle":"","family":"Fischer","given":"Heidi","non-dropping-particle":"","parse-names":false,"suffix":""},{"dropping-particle":"","family":"Ji","given":"Zhaoxia","non-dropping-particle":"","parse-names":false,"suffix":""},{"dropping-particle":"","family":"Pokhrel","given":"Suman","non-dropping-particle":"","parse-names":false,"suffix":""},{"dropping-particle":"","family":"Cohen","given":"Yoram","non-dropping-particle":"","parse-names":false,"suffix":""},{"dropping-particle":"","family":"Telesca","given":"Donatello","non-dropping-particle":"","parse-names":false,"suffix":""},{"dropping-particle":"","family":"Zink","given":"Jeffrey","non-dropping-particle":"","parse-names":false,"suffix":""},{"dropping-particle":"","family":"Mädler","given":"Lutz","non-dropping-particle":"","parse-names":false,"suffix":""},{"dropping-particle":"","family":"Holden","given":"Patricia A.","non-dropping-particle":"","parse-names":false,"suffix":""},{"dropping-particle":"","family":"Nel","given":"Andre","non-dropping-particle":"","parse-names":false,"suffix":""},{"dropping-particle":"","family":"Godwin","given":"Hilary","non-dropping-particle":"","parse-names":false,"suffix":""}],"container-title":"Environmental Science and Technology","id":"ITEM-1","issued":{"date-parts":[["2015"]]},"title":"Toxicity of metal oxide nanoparticles in Escherichia coli correlates with conduction band and hydration energies","type":"article-journal"},"uris":["http://www.mendeley.com/documents/?uuid=20a02e71-790a-47e8-b338-edc6facfba47","http://www.mendeley.com/documents/?uuid=2bb6009d-647d-4692-88f8-9179e7c8ed35","http://www.mendeley.com/documents/?uuid=f630ad02-ddff-4a3d-90d6-9c6b355ce970"]}],"mendeley":{"formattedCitation":"&lt;sup&gt;90&lt;/sup&gt;","plainTextFormattedCitation":"90","previouslyFormattedCitation":"&lt;sup&gt;90&lt;/sup&gt;"},"properties":{"noteIndex":0},"schema":"https://github.com/citation-style-language/schema/raw/master/csl-citation.json"}</w:instrText>
      </w:r>
      <w:r w:rsidR="0030713F" w:rsidRPr="008E5B32">
        <w:fldChar w:fldCharType="separate"/>
      </w:r>
      <w:r w:rsidR="004C12A8" w:rsidRPr="008E5B32">
        <w:rPr>
          <w:noProof/>
          <w:vertAlign w:val="superscript"/>
          <w:lang w:val="en-GB"/>
        </w:rPr>
        <w:t>90</w:t>
      </w:r>
      <w:r w:rsidR="0030713F" w:rsidRPr="008E5B32">
        <w:fldChar w:fldCharType="end"/>
      </w:r>
      <w:r w:rsidR="00051B7D" w:rsidRPr="008E5B32">
        <w:rPr>
          <w:lang w:val="en-GB"/>
        </w:rPr>
        <w:t>.</w:t>
      </w:r>
      <w:r w:rsidR="00795BF9" w:rsidRPr="008E5B32">
        <w:rPr>
          <w:lang w:val="en-GB"/>
        </w:rPr>
        <w:t xml:space="preserve"> </w:t>
      </w:r>
      <w:r w:rsidR="00051B7D" w:rsidRPr="008E5B32">
        <w:rPr>
          <w:lang w:val="en-GB"/>
        </w:rPr>
        <w:t xml:space="preserve">The validation of one of the </w:t>
      </w:r>
      <w:r w:rsidR="00795BF9" w:rsidRPr="008E5B32">
        <w:rPr>
          <w:lang w:val="en-GB"/>
        </w:rPr>
        <w:t xml:space="preserve">reviewed approaches resulted to be biased, because authors </w:t>
      </w:r>
      <w:r w:rsidR="00114A7F" w:rsidRPr="008E5B32">
        <w:rPr>
          <w:lang w:val="en-GB"/>
        </w:rPr>
        <w:t>reported selecting</w:t>
      </w:r>
      <w:r w:rsidR="00795BF9" w:rsidRPr="008E5B32">
        <w:rPr>
          <w:lang w:val="en-GB"/>
        </w:rPr>
        <w:t xml:space="preserve"> </w:t>
      </w:r>
      <w:r w:rsidR="000A65F0" w:rsidRPr="008E5B32">
        <w:rPr>
          <w:lang w:val="en-GB"/>
        </w:rPr>
        <w:t>the</w:t>
      </w:r>
      <w:r w:rsidR="007766F5" w:rsidRPr="008E5B32">
        <w:rPr>
          <w:lang w:val="en-GB"/>
        </w:rPr>
        <w:t xml:space="preserve"> final</w:t>
      </w:r>
      <w:r w:rsidR="00795BF9" w:rsidRPr="008E5B32">
        <w:rPr>
          <w:lang w:val="en-GB"/>
        </w:rPr>
        <w:t xml:space="preserve"> model </w:t>
      </w:r>
      <w:r w:rsidR="000A65F0" w:rsidRPr="008E5B32">
        <w:rPr>
          <w:lang w:val="en-GB"/>
        </w:rPr>
        <w:t>by looking at</w:t>
      </w:r>
      <w:r w:rsidR="00F71A09" w:rsidRPr="008E5B32">
        <w:rPr>
          <w:lang w:val="en-GB"/>
        </w:rPr>
        <w:t xml:space="preserve"> the one maximizing</w:t>
      </w:r>
      <w:r w:rsidR="000A65F0" w:rsidRPr="008E5B32">
        <w:rPr>
          <w:lang w:val="en-GB"/>
        </w:rPr>
        <w:t xml:space="preserve"> performances in the test set</w:t>
      </w:r>
      <w:r w:rsidR="0030713F" w:rsidRPr="008E5B32">
        <w:rPr>
          <w:lang w:val="en-GB"/>
        </w:rPr>
        <w:t xml:space="preserve"> </w:t>
      </w:r>
      <w:r w:rsidR="0030713F" w:rsidRPr="008E5B32">
        <w:fldChar w:fldCharType="begin" w:fldLock="1"/>
      </w:r>
      <w:r w:rsidR="00434385" w:rsidRPr="008E5B32">
        <w:rPr>
          <w:lang w:val="en-GB"/>
        </w:rPr>
        <w:instrText>ADDIN CSL_CITATION {"citationItems":[{"id":"ITEM-1","itemData":{"DOI":"10.3109/17435390.2016.1161857","ISSN":"1743-5390","abstract":"Abstract: The number of engineered nanomaterials (ENMs) being exploited commercially is growing rapidly, due to the novel properties they exhibit. Clearly, it is important to understand and minimize any risks to health or the environment posed by the presence of ENMs. Data-driven models that decode the relationships between the biological activities of ENMs and their physicochemical characteristics provide an attractive means of maximizing the value of scarce and expensive experimental data. Although such structure–activity relationship (SAR) methods have become very useful tools for modelling nanotoxicity endpoints (nanoSAR), they have limited robustness and predictivity and, most importantly, interpretation of the models they generate is often very difficult. New computational modelling tools or new ways of using existing tools are required to model the relatively sparse and sometimes lower quality data on the biological effects of ENMs. The most commonly used SAR modelling methods work best with large datasets, are not particularly good at feature selection, can be relatively opaque to interpretation, and may not account for nonlinearity in the structure–property relationships. To overcome these limitations, we describe the application of a novel algorithm, a genetic programming-based decision tree construction tool (GPTree) to nanoSAR modelling. We demonstrate the use of GPTree in the construction of accurate and interpretable nanoSAR models by applying it to four diverse literature datasets. We describe the algorithm and compare model results across the four studies. We show that GPTree generates models with accuracies equivalent to or superior to those of prior modelling studies on the same datasets. GPTree is a robust, automatic method for generation of accurate nanoSAR models with important advantages that it works with small datasets, automatically selects descriptors, and provides significantly improved interpretability of models. © 2016 Informa UK Limited, trading as Taylor &amp; Francis Group.","author":[{"dropping-particle":"","family":"Oksel","given":"Ceyda","non-dropping-particle":"","parse-names":false,"suffix":""},{"dropping-particle":"","family":"Winkler","given":"David A.","non-dropping-particle":"","parse-names":false,"suffix":""},{"dropping-particle":"","family":"Ma","given":"Cai Y.","non-dropping-particle":"","parse-names":false,"suffix":""},{"dropping-particle":"","family":"Wilkins","given":"Terry","non-dropping-particle":"","parse-names":false,"suffix":""},{"dropping-particle":"","family":"Wang","given":"Xue Z.","non-dropping-particle":"","parse-names":false,"suffix":""}],"container-title":"Nanotoxicology","id":"ITEM-1","issue":"7","issued":{"date-parts":[["2016"]]},"page":"1001-1012","title":"Accurate and interpretable nanoSAR models from genetic programming-based decision tree construction approaches","type":"article-journal","volume":"10"},"uris":["http://www.mendeley.com/documents/?uuid=b7ff6b86-ef84-4986-9fec-7fa970067fcc"]}],"mendeley":{"formattedCitation":"&lt;sup&gt;139&lt;/sup&gt;","plainTextFormattedCitation":"139","previouslyFormattedCitation":"&lt;sup&gt;139&lt;/sup&gt;"},"properties":{"noteIndex":0},"schema":"https://github.com/citation-style-language/schema/raw/master/csl-citation.json"}</w:instrText>
      </w:r>
      <w:r w:rsidR="0030713F" w:rsidRPr="008E5B32">
        <w:fldChar w:fldCharType="separate"/>
      </w:r>
      <w:r w:rsidR="004C12A8" w:rsidRPr="008E5B32">
        <w:rPr>
          <w:noProof/>
          <w:vertAlign w:val="superscript"/>
          <w:lang w:val="en-GB"/>
        </w:rPr>
        <w:t>139</w:t>
      </w:r>
      <w:r w:rsidR="0030713F" w:rsidRPr="008E5B32">
        <w:fldChar w:fldCharType="end"/>
      </w:r>
      <w:r w:rsidR="00777043" w:rsidRPr="008E5B32">
        <w:rPr>
          <w:lang w:val="en-GB"/>
        </w:rPr>
        <w:t xml:space="preserve">. The </w:t>
      </w:r>
      <w:r w:rsidR="009B1A24" w:rsidRPr="008E5B32">
        <w:rPr>
          <w:lang w:val="en-GB"/>
        </w:rPr>
        <w:t xml:space="preserve">statistics used to evaluate the goodness-of-fit or the classification accuracy were </w:t>
      </w:r>
      <w:r w:rsidR="00982792" w:rsidRPr="008E5B32">
        <w:rPr>
          <w:lang w:val="en-GB"/>
        </w:rPr>
        <w:t>clearly reported</w:t>
      </w:r>
      <w:r w:rsidR="0088353E" w:rsidRPr="008E5B32">
        <w:rPr>
          <w:lang w:val="en-GB"/>
        </w:rPr>
        <w:t xml:space="preserve"> </w:t>
      </w:r>
      <w:r w:rsidR="00977571" w:rsidRPr="008E5B32">
        <w:rPr>
          <w:lang w:val="en-GB"/>
        </w:rPr>
        <w:t>in the 80% of the reviewed approaches (3</w:t>
      </w:r>
      <w:r w:rsidR="00713F03" w:rsidRPr="008E5B32">
        <w:rPr>
          <w:lang w:val="en-GB"/>
        </w:rPr>
        <w:t>3</w:t>
      </w:r>
      <w:r w:rsidR="00977571" w:rsidRPr="008E5B32">
        <w:rPr>
          <w:lang w:val="en-GB"/>
        </w:rPr>
        <w:t xml:space="preserve"> </w:t>
      </w:r>
      <w:r w:rsidR="00445DD5" w:rsidRPr="008E5B32">
        <w:rPr>
          <w:lang w:val="en-GB"/>
        </w:rPr>
        <w:t>out of</w:t>
      </w:r>
      <w:r w:rsidR="00977571" w:rsidRPr="008E5B32">
        <w:rPr>
          <w:lang w:val="en-GB"/>
        </w:rPr>
        <w:t xml:space="preserve"> </w:t>
      </w:r>
      <w:r w:rsidR="006725C8" w:rsidRPr="008E5B32">
        <w:rPr>
          <w:lang w:val="en-GB"/>
        </w:rPr>
        <w:t>4</w:t>
      </w:r>
      <w:r w:rsidR="00713F03" w:rsidRPr="008E5B32">
        <w:rPr>
          <w:lang w:val="en-GB"/>
        </w:rPr>
        <w:t>1</w:t>
      </w:r>
      <w:r w:rsidR="009E6E49" w:rsidRPr="008E5B32">
        <w:rPr>
          <w:lang w:val="en-GB"/>
        </w:rPr>
        <w:t xml:space="preserve">), while in 8 </w:t>
      </w:r>
      <w:r w:rsidR="00445DD5" w:rsidRPr="008E5B32">
        <w:rPr>
          <w:lang w:val="en-GB"/>
        </w:rPr>
        <w:t>out of</w:t>
      </w:r>
      <w:r w:rsidR="009E6E49" w:rsidRPr="008E5B32">
        <w:rPr>
          <w:lang w:val="en-GB"/>
        </w:rPr>
        <w:t xml:space="preserve"> </w:t>
      </w:r>
      <w:r w:rsidR="006725C8" w:rsidRPr="008E5B32">
        <w:rPr>
          <w:lang w:val="en-GB"/>
        </w:rPr>
        <w:t>4</w:t>
      </w:r>
      <w:r w:rsidR="00713F03" w:rsidRPr="008E5B32">
        <w:rPr>
          <w:lang w:val="en-GB"/>
        </w:rPr>
        <w:t>1</w:t>
      </w:r>
      <w:r w:rsidR="009E6E49" w:rsidRPr="008E5B32">
        <w:rPr>
          <w:lang w:val="en-GB"/>
        </w:rPr>
        <w:t xml:space="preserve"> of the approaches</w:t>
      </w:r>
      <w:r w:rsidR="004F2A2E" w:rsidRPr="008E5B32">
        <w:rPr>
          <w:lang w:val="en-GB"/>
        </w:rPr>
        <w:t xml:space="preserve"> the reported statistics were not sufficient to </w:t>
      </w:r>
      <w:r w:rsidR="00957A1E" w:rsidRPr="008E5B32">
        <w:rPr>
          <w:lang w:val="en-GB"/>
        </w:rPr>
        <w:t>fully</w:t>
      </w:r>
      <w:r w:rsidR="004F2A2E" w:rsidRPr="008E5B32">
        <w:rPr>
          <w:lang w:val="en-GB"/>
        </w:rPr>
        <w:t xml:space="preserve"> evaluate model performances.</w:t>
      </w:r>
    </w:p>
    <w:p w14:paraId="179BAEA9" w14:textId="28F6C725" w:rsidR="003A2F28" w:rsidRPr="008E5B32" w:rsidRDefault="004F2A2E" w:rsidP="00462966">
      <w:pPr>
        <w:rPr>
          <w:lang w:val="en-GB"/>
        </w:rPr>
      </w:pPr>
      <w:r w:rsidRPr="008E5B32">
        <w:rPr>
          <w:lang w:val="en-GB"/>
        </w:rPr>
        <w:t xml:space="preserve">The Applicability Domain of the model was assessed in </w:t>
      </w:r>
      <w:r w:rsidR="00986B29" w:rsidRPr="008E5B32">
        <w:rPr>
          <w:lang w:val="en-GB"/>
        </w:rPr>
        <w:t>more than half</w:t>
      </w:r>
      <w:r w:rsidRPr="008E5B32">
        <w:rPr>
          <w:lang w:val="en-GB"/>
        </w:rPr>
        <w:t xml:space="preserve"> of the reviewed approaches</w:t>
      </w:r>
      <w:r w:rsidR="00986B29" w:rsidRPr="008E5B32">
        <w:rPr>
          <w:lang w:val="en-GB"/>
        </w:rPr>
        <w:t xml:space="preserve"> (2</w:t>
      </w:r>
      <w:r w:rsidR="00713F03" w:rsidRPr="008E5B32">
        <w:rPr>
          <w:lang w:val="en-GB"/>
        </w:rPr>
        <w:t>4</w:t>
      </w:r>
      <w:r w:rsidR="00986B29" w:rsidRPr="008E5B32">
        <w:rPr>
          <w:lang w:val="en-GB"/>
        </w:rPr>
        <w:t xml:space="preserve"> </w:t>
      </w:r>
      <w:r w:rsidR="00445DD5" w:rsidRPr="008E5B32">
        <w:rPr>
          <w:lang w:val="en-GB"/>
        </w:rPr>
        <w:t>out of</w:t>
      </w:r>
      <w:r w:rsidR="00986B29" w:rsidRPr="008E5B32">
        <w:rPr>
          <w:lang w:val="en-GB"/>
        </w:rPr>
        <w:t xml:space="preserve"> </w:t>
      </w:r>
      <w:r w:rsidR="006725C8" w:rsidRPr="008E5B32">
        <w:rPr>
          <w:lang w:val="en-GB"/>
        </w:rPr>
        <w:t>4</w:t>
      </w:r>
      <w:r w:rsidR="00713F03" w:rsidRPr="008E5B32">
        <w:rPr>
          <w:lang w:val="en-GB"/>
        </w:rPr>
        <w:t>1</w:t>
      </w:r>
      <w:r w:rsidR="00986B29" w:rsidRPr="008E5B32">
        <w:rPr>
          <w:lang w:val="en-GB"/>
        </w:rPr>
        <w:t>)</w:t>
      </w:r>
      <w:r w:rsidRPr="008E5B32">
        <w:rPr>
          <w:lang w:val="en-GB"/>
        </w:rPr>
        <w:t>, and usually in such cases the data samples that fel</w:t>
      </w:r>
      <w:r w:rsidR="007766F5" w:rsidRPr="008E5B32">
        <w:rPr>
          <w:lang w:val="en-GB"/>
        </w:rPr>
        <w:t>t</w:t>
      </w:r>
      <w:r w:rsidRPr="008E5B32">
        <w:rPr>
          <w:lang w:val="en-GB"/>
        </w:rPr>
        <w:t xml:space="preserve"> outside the AD were highlighted. </w:t>
      </w:r>
      <w:r w:rsidR="00986B29" w:rsidRPr="008E5B32">
        <w:rPr>
          <w:lang w:val="en-GB"/>
        </w:rPr>
        <w:t>The mo</w:t>
      </w:r>
      <w:r w:rsidR="00FA617E" w:rsidRPr="008E5B32">
        <w:rPr>
          <w:lang w:val="en-GB"/>
        </w:rPr>
        <w:t>st</w:t>
      </w:r>
      <w:r w:rsidR="00986B29" w:rsidRPr="008E5B32">
        <w:rPr>
          <w:lang w:val="en-GB"/>
        </w:rPr>
        <w:t xml:space="preserve"> used </w:t>
      </w:r>
      <w:r w:rsidR="006E564B" w:rsidRPr="008E5B32">
        <w:rPr>
          <w:lang w:val="en-GB"/>
        </w:rPr>
        <w:t>approach to evaluate the AD of the models resulted to be the Leverage Approach, often through a William’s Plot</w:t>
      </w:r>
      <w:r w:rsidR="0030713F" w:rsidRPr="008E5B32">
        <w:rPr>
          <w:lang w:val="en-GB"/>
        </w:rPr>
        <w:t xml:space="preserve"> (i.e.: leverage values vs standardized residuals)</w:t>
      </w:r>
      <w:r w:rsidR="006E564B" w:rsidRPr="008E5B32">
        <w:rPr>
          <w:lang w:val="en-GB"/>
        </w:rPr>
        <w:t xml:space="preserve">, but </w:t>
      </w:r>
      <w:r w:rsidR="00705DF4" w:rsidRPr="008E5B32">
        <w:rPr>
          <w:lang w:val="en-GB"/>
        </w:rPr>
        <w:t>also</w:t>
      </w:r>
      <w:r w:rsidR="00AF40EA" w:rsidRPr="008E5B32">
        <w:rPr>
          <w:lang w:val="en-GB"/>
        </w:rPr>
        <w:t xml:space="preserve"> geometric and</w:t>
      </w:r>
      <w:r w:rsidR="00705DF4" w:rsidRPr="008E5B32">
        <w:rPr>
          <w:lang w:val="en-GB"/>
        </w:rPr>
        <w:t xml:space="preserve"> </w:t>
      </w:r>
      <w:r w:rsidR="00B7511E" w:rsidRPr="008E5B32">
        <w:rPr>
          <w:lang w:val="en-GB"/>
        </w:rPr>
        <w:t>distance-based</w:t>
      </w:r>
      <w:r w:rsidR="00705DF4" w:rsidRPr="008E5B32">
        <w:rPr>
          <w:lang w:val="en-GB"/>
        </w:rPr>
        <w:t xml:space="preserve"> approaches</w:t>
      </w:r>
      <w:r w:rsidR="004D0C50" w:rsidRPr="008E5B32">
        <w:rPr>
          <w:lang w:val="en-GB"/>
        </w:rPr>
        <w:t xml:space="preserve"> were adopted</w:t>
      </w:r>
      <w:r w:rsidR="00AF40EA" w:rsidRPr="008E5B32">
        <w:rPr>
          <w:lang w:val="en-GB"/>
        </w:rPr>
        <w:t xml:space="preserve">, as well as approaches </w:t>
      </w:r>
      <w:r w:rsidR="004D0C50" w:rsidRPr="008E5B32">
        <w:rPr>
          <w:lang w:val="en-GB"/>
        </w:rPr>
        <w:t xml:space="preserve">that </w:t>
      </w:r>
      <w:r w:rsidR="00C63C12" w:rsidRPr="008E5B32">
        <w:rPr>
          <w:lang w:val="en-GB"/>
        </w:rPr>
        <w:t>assess the AD basing</w:t>
      </w:r>
      <w:r w:rsidR="00AF40EA" w:rsidRPr="008E5B32">
        <w:rPr>
          <w:lang w:val="en-GB"/>
        </w:rPr>
        <w:t xml:space="preserve"> on statistical properties of the model</w:t>
      </w:r>
      <w:r w:rsidR="003A2F28" w:rsidRPr="008E5B32">
        <w:rPr>
          <w:lang w:val="en-GB"/>
        </w:rPr>
        <w:t>.</w:t>
      </w:r>
      <w:r w:rsidR="00FA617E" w:rsidRPr="008E5B32">
        <w:rPr>
          <w:lang w:val="en-GB"/>
        </w:rPr>
        <w:t xml:space="preserve"> It should be noted that the leverage approach is only scientifically valid when applied to linear regression models.</w:t>
      </w:r>
    </w:p>
    <w:p w14:paraId="4A883944" w14:textId="66DC0587" w:rsidR="004F2A2E" w:rsidRPr="008E5B32" w:rsidRDefault="003A2F28" w:rsidP="00462966">
      <w:pPr>
        <w:rPr>
          <w:lang w:val="en-GB"/>
        </w:rPr>
      </w:pPr>
      <w:r w:rsidRPr="008E5B32">
        <w:rPr>
          <w:lang w:val="en-GB"/>
        </w:rPr>
        <w:t>The r</w:t>
      </w:r>
      <w:r w:rsidR="004F2A2E" w:rsidRPr="008E5B32">
        <w:rPr>
          <w:lang w:val="en-GB"/>
        </w:rPr>
        <w:t xml:space="preserve">obustness of the model was </w:t>
      </w:r>
      <w:r w:rsidRPr="008E5B32">
        <w:rPr>
          <w:lang w:val="en-GB"/>
        </w:rPr>
        <w:t xml:space="preserve">assessed in </w:t>
      </w:r>
      <w:r w:rsidR="00A257D7" w:rsidRPr="008E5B32">
        <w:rPr>
          <w:lang w:val="en-GB"/>
        </w:rPr>
        <w:t xml:space="preserve">more of </w:t>
      </w:r>
      <w:r w:rsidR="008D78DE" w:rsidRPr="008E5B32">
        <w:rPr>
          <w:lang w:val="en-GB"/>
        </w:rPr>
        <w:t>the 40% of the reviewed methods</w:t>
      </w:r>
      <w:r w:rsidR="00A257D7" w:rsidRPr="008E5B32">
        <w:rPr>
          <w:lang w:val="en-GB"/>
        </w:rPr>
        <w:t xml:space="preserve">: in </w:t>
      </w:r>
      <w:r w:rsidR="008D78DE" w:rsidRPr="008E5B32">
        <w:rPr>
          <w:lang w:val="en-GB"/>
        </w:rPr>
        <w:t>1</w:t>
      </w:r>
      <w:r w:rsidR="00A14654" w:rsidRPr="008E5B32">
        <w:rPr>
          <w:lang w:val="en-GB"/>
        </w:rPr>
        <w:t xml:space="preserve">6 </w:t>
      </w:r>
      <w:r w:rsidR="00445DD5" w:rsidRPr="008E5B32">
        <w:rPr>
          <w:lang w:val="en-GB"/>
        </w:rPr>
        <w:t>out of</w:t>
      </w:r>
      <w:r w:rsidR="00A14654" w:rsidRPr="008E5B32">
        <w:rPr>
          <w:lang w:val="en-GB"/>
        </w:rPr>
        <w:t xml:space="preserve"> </w:t>
      </w:r>
      <w:r w:rsidR="006725C8" w:rsidRPr="008E5B32">
        <w:rPr>
          <w:lang w:val="en-GB"/>
        </w:rPr>
        <w:t>4</w:t>
      </w:r>
      <w:r w:rsidR="00713F03" w:rsidRPr="008E5B32">
        <w:rPr>
          <w:lang w:val="en-GB"/>
        </w:rPr>
        <w:t>1</w:t>
      </w:r>
      <w:r w:rsidR="004F2A2E" w:rsidRPr="008E5B32">
        <w:rPr>
          <w:lang w:val="en-GB"/>
        </w:rPr>
        <w:t xml:space="preserve"> </w:t>
      </w:r>
      <w:r w:rsidR="00A257D7" w:rsidRPr="008E5B32">
        <w:rPr>
          <w:lang w:val="en-GB"/>
        </w:rPr>
        <w:t xml:space="preserve">cases it was assessed </w:t>
      </w:r>
      <w:r w:rsidR="004F2A2E" w:rsidRPr="008E5B32">
        <w:rPr>
          <w:lang w:val="en-GB"/>
        </w:rPr>
        <w:t xml:space="preserve">by means of the Y-scrambling </w:t>
      </w:r>
      <w:r w:rsidR="004F2A2E" w:rsidRPr="008E5B32">
        <w:fldChar w:fldCharType="begin" w:fldLock="1"/>
      </w:r>
      <w:r w:rsidR="00434385" w:rsidRPr="008E5B32">
        <w:rPr>
          <w:lang w:val="en-GB"/>
        </w:rPr>
        <w:instrText>ADDIN CSL_CITATION {"citationItems":[{"id":"ITEM-1","itemData":{"DOI":"10.1021/ci700157b","ISBN":"1549-9596 (Print)\\n1549-9596 (Linking)","ISSN":"15499596","PMID":"17880194","abstract":"y-Randomization is a tool used in validation of QSPR/QSAR models, whereby the performance of the original model in data description (r2) is compared to that of models built for permuted (randomly shuffled) response, based on the original descriptor pool and the original model building procedure. We compared y-randomization and several variants thereof, using original response, permuted response, or random number pseudoresponse and original descriptors or random number pseudodescriptors, in the typical setting of multilinear regression (MLR) with descriptor selection. For each combination of number of observations (compounds), number of descriptors in the final model, and number of descriptors in the pool to select from, computer experiments using the same descriptor selection method result in two different mean highest random r2 values. A lower one is produced by y-randomization or a variant likewise based on the original descriptors, while a higher one is obtained from variants that use random number pseudodescriptors. The difference is due to the intercorrelation of real descriptors in the pool. We propose to compare an original model's r2 to both of these whenever possible. The meaning of the three possible outcomes of such a double test is discussed. Often y-randomization is not available to a potential user of a model, due to the values of all descriptors in the pool for all compounds not being published. In such cases random number experiments as proposed here are still possible. The test was applied to several recently published MLR QSAR equations, and cases of failure were identified. Some progress also is reported toward the aim of obtaining the mean highest r2 of random pseudomodels by calculation rather than by tedious multiple simulations on random number variables.","author":[{"dropping-particle":"","family":"Rücker","given":"Christoph","non-dropping-particle":"","parse-names":false,"suffix":""},{"dropping-particle":"","family":"Rücker","given":"Gerta","non-dropping-particle":"","parse-names":false,"suffix":""},{"dropping-particle":"","family":"Meringer","given":"Markus","non-dropping-particle":"","parse-names":false,"suffix":""}],"container-title":"Journal of Chemical Information and Modeling","id":"ITEM-1","issued":{"date-parts":[["2007"]]},"title":"Y-randomization and its variants in QSPR/QSAR","type":"article-journal"},"uris":["http://www.mendeley.com/documents/?uuid=9461f42f-3d84-4c57-bcea-5be2ba23f1ea","http://www.mendeley.com/documents/?uuid=db64f228-2b68-4f64-9062-0be89d3e6d15","http://www.mendeley.com/documents/?uuid=3fdd7a5c-9024-41d0-b705-ed65ab871656"]},{"id":"ITEM-2","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Perspectives","id":"ITEM-2","issue":"10","issued":{"date-parts":[["2003"]]},"page":"1361-1375","title":"Methods for reliability and uncertainty assessment and for applicability evaluations of classification- and regression-based QSARs","type":"article","volume":"111"},"uris":["http://www.mendeley.com/documents/?uuid=4b76a516-1a5a-489b-b921-8417a85fadfa"]}],"mendeley":{"formattedCitation":"&lt;sup&gt;52,151&lt;/sup&gt;","plainTextFormattedCitation":"52,151","previouslyFormattedCitation":"&lt;sup&gt;52,151&lt;/sup&gt;"},"properties":{"noteIndex":0},"schema":"https://github.com/citation-style-language/schema/raw/master/csl-citation.json"}</w:instrText>
      </w:r>
      <w:r w:rsidR="004F2A2E" w:rsidRPr="008E5B32">
        <w:fldChar w:fldCharType="separate"/>
      </w:r>
      <w:r w:rsidR="004C12A8" w:rsidRPr="008E5B32">
        <w:rPr>
          <w:noProof/>
          <w:vertAlign w:val="superscript"/>
        </w:rPr>
        <w:t>52,151</w:t>
      </w:r>
      <w:r w:rsidR="004F2A2E" w:rsidRPr="008E5B32">
        <w:fldChar w:fldCharType="end"/>
      </w:r>
      <w:r w:rsidR="00A257D7" w:rsidRPr="008E5B32">
        <w:t xml:space="preserve">, while in one </w:t>
      </w:r>
      <w:r w:rsidR="00BB7CD8" w:rsidRPr="008E5B32">
        <w:t xml:space="preserve">of the approaches </w:t>
      </w:r>
      <w:r w:rsidR="00BB7CD8" w:rsidRPr="008E5B32">
        <w:fldChar w:fldCharType="begin" w:fldLock="1"/>
      </w:r>
      <w:r w:rsidR="00434385" w:rsidRPr="008E5B32">
        <w:instrText>ADDIN CSL_CITATION {"citationItems":[{"id":"ITEM-1","itemData":{"DOI":"10.1021/es503861x","ISSN":"15205851","PMID":"25384130","abstract":"Nanomaterials have revolutionized modern science and technology due to their multiple applications in engineering, physics, chemistry, and biomedicine. Nevertheless, the use and manipulation of nanoparticles (NPs) can bring serious damages to living organisms and their ecosystems. For this reason, ecotoxicity and cytotoxicity assays are of special interest in order to determine the potential harmful effects of NPs. Processes based on ecotoxicity and cytotoxicity tests can significantly consume time and financial resources. In this sense, alternative approaches such as quantitative structure-activity/toxicity relationships (QSAR/QSTR) modeling have provided important insights for the better understanding of the biological behavior of NPs that may be responsible for causing toxicity. Until now, QSAR/QSTR models have predicted ecotoxicity or cytotoxicity separately against only one organism (bioindicator species or cell line) and have not reported information regarding the quantitative influence of characteristics other than composition or size. In this work, we developed a unified QSTR-perturbation model to simultaneously probe ecotoxicity and cytotoxicity of NPs under different experimental conditions, including diverse measures of toxicities, multiple biological targets, compositions, sizes and conditions to measure those sizes, shapes, times during which the biological targets were exposed to NPs, and coating agents. The model was created from 36488 cases (NP-NP pairs) and exhibited accuracies higher than 98% in both training and prediction sets. The model was used to predict toxicities of several NPs that were not included in the original data set. The results of the predictions suggest that the present QSTR-perturbation model can be employed as a highly promising tool for the fast and efficient assessment of ecotoxicity and cytotoxicity of NPs.","author":[{"dropping-particle":"V.","family":"Kleandrova","given":"Valeria","non-dropping-particle":"","parse-names":false</w:instrText>
      </w:r>
      <w:r w:rsidR="00434385" w:rsidRPr="008E5B32">
        <w:rPr>
          <w:lang w:val="en-US"/>
        </w:rPr>
        <w:instrText>,"suffix":""},{"dropping-particle":"","family":"Luan","given":"Feng","non-dropping-particle":"","parse-names":false,"suffix":""},{"dropping-particle":"","family":"González-Díaz","given":"Humberto","non-dropping-particle":"","parse-names":false,"suffix":""},{"dropping-particle":"","family":"Ruso","given":"Juan M.","non-dropping-particle":"","parse-names":false,"suffix":""},{"dropping-particle":"","family":"Speck-Planche","given":"Alejandro","non-dropping-particle":"","parse-names":false,"suffix":""},{"dropping-particle":"","family":"Cordeiro","given":"M. Natália D.S.","non-dropping-particle":"","parse-names":false,"suffix":""}],"container-title":"Environmental Science and Technology","id":"ITEM-1","issued":{"date-parts":[["2014"]]},"title":"Computational tool for risk assessment of nanomaterials: Novel QSTR-perturbation model for simultaneous prediction of ecotoxicity and cytotoxicity of uncoated and coated nanoparticles under multiple experimental conditions","type":"article-journal"},"uris":["http://www.mendeley.com/documents/?uuid=f8a1c551-b4a9-423a-864c-2f81f34958d6","http://www.mendeley.com/documents/?uuid=0f07f4c6-e06d-44b8-bcb4-cd966f04bad4","http://www.mendeley.com/documents/?uuid=8194816f-375c-451f-ae15-c12354431cf2"]}],"mendeley":{"formattedCitation":"&lt;sup&gt;122&lt;/sup&gt;","plainTextFormattedCitation":"122","previouslyFormattedCitation":"&lt;sup&gt;122&lt;/sup&gt;"},"properties":{"noteIndex":0},"schema":"https://github.com/citation-style-language/schema/raw/master/csl-citation.json"}</w:instrText>
      </w:r>
      <w:r w:rsidR="00BB7CD8" w:rsidRPr="008E5B32">
        <w:fldChar w:fldCharType="separate"/>
      </w:r>
      <w:r w:rsidR="004C12A8" w:rsidRPr="008E5B32">
        <w:rPr>
          <w:noProof/>
          <w:vertAlign w:val="superscript"/>
          <w:lang w:val="en-GB"/>
        </w:rPr>
        <w:t>122</w:t>
      </w:r>
      <w:r w:rsidR="00BB7CD8" w:rsidRPr="008E5B32">
        <w:fldChar w:fldCharType="end"/>
      </w:r>
      <w:r w:rsidR="00A257D7" w:rsidRPr="008E5B32">
        <w:rPr>
          <w:lang w:val="en-GB"/>
        </w:rPr>
        <w:t xml:space="preserve"> </w:t>
      </w:r>
      <w:r w:rsidR="00E90DBC" w:rsidRPr="008E5B32">
        <w:rPr>
          <w:lang w:val="en-GB"/>
        </w:rPr>
        <w:t>the Area Under the Curve method was adopted</w:t>
      </w:r>
      <w:r w:rsidR="004F2A2E" w:rsidRPr="008E5B32">
        <w:rPr>
          <w:lang w:val="en-GB"/>
        </w:rPr>
        <w:t xml:space="preserve">. </w:t>
      </w:r>
      <w:r w:rsidR="00C5024B" w:rsidRPr="008E5B32">
        <w:rPr>
          <w:lang w:val="en-GB"/>
        </w:rPr>
        <w:t>The</w:t>
      </w:r>
      <w:r w:rsidR="004F2A2E" w:rsidRPr="008E5B32">
        <w:rPr>
          <w:lang w:val="en-GB"/>
        </w:rPr>
        <w:t xml:space="preserve"> uncertainty assessment of the model prediction is insufficient</w:t>
      </w:r>
      <w:r w:rsidR="00FA617E" w:rsidRPr="008E5B32">
        <w:rPr>
          <w:lang w:val="en-GB"/>
        </w:rPr>
        <w:t>, which is expected, given that the estimation of confidence intervals is an open research problem for ML beyond linear regression models.</w:t>
      </w:r>
      <w:r w:rsidR="004F2A2E" w:rsidRPr="008E5B32">
        <w:rPr>
          <w:lang w:val="en-GB"/>
        </w:rPr>
        <w:t xml:space="preserve"> </w:t>
      </w:r>
      <w:r w:rsidR="00FA617E" w:rsidRPr="008E5B32">
        <w:rPr>
          <w:lang w:val="en-GB"/>
        </w:rPr>
        <w:t>I</w:t>
      </w:r>
      <w:r w:rsidR="004F2A2E" w:rsidRPr="008E5B32">
        <w:rPr>
          <w:lang w:val="en-GB"/>
        </w:rPr>
        <w:t>n</w:t>
      </w:r>
      <w:r w:rsidR="005F2E2A" w:rsidRPr="008E5B32">
        <w:rPr>
          <w:lang w:val="en-GB"/>
        </w:rPr>
        <w:t xml:space="preserve"> only</w:t>
      </w:r>
      <w:r w:rsidR="004F2A2E" w:rsidRPr="008E5B32">
        <w:rPr>
          <w:lang w:val="en-GB"/>
        </w:rPr>
        <w:t xml:space="preserve"> </w:t>
      </w:r>
      <w:r w:rsidR="00436522" w:rsidRPr="008E5B32">
        <w:rPr>
          <w:lang w:val="en-GB"/>
        </w:rPr>
        <w:t>3</w:t>
      </w:r>
      <w:r w:rsidR="004F2A2E" w:rsidRPr="008E5B32">
        <w:rPr>
          <w:lang w:val="en-GB"/>
        </w:rPr>
        <w:t xml:space="preserve"> cases</w:t>
      </w:r>
      <w:r w:rsidR="008D78DE" w:rsidRPr="008E5B32">
        <w:rPr>
          <w:lang w:val="en-GB"/>
        </w:rPr>
        <w:t xml:space="preserve"> </w:t>
      </w:r>
      <w:r w:rsidR="004F2A2E" w:rsidRPr="008E5B32">
        <w:rPr>
          <w:lang w:val="en-GB"/>
        </w:rPr>
        <w:t>the decision boundaries of the classification model were highlighted</w:t>
      </w:r>
      <w:r w:rsidR="00BB7CD8" w:rsidRPr="008E5B32">
        <w:rPr>
          <w:lang w:val="en-GB"/>
        </w:rPr>
        <w:t xml:space="preserve"> </w:t>
      </w:r>
      <w:r w:rsidR="00BB7CD8" w:rsidRPr="008E5B32">
        <w:fldChar w:fldCharType="begin" w:fldLock="1"/>
      </w:r>
      <w:r w:rsidR="00434385" w:rsidRPr="008E5B32">
        <w:rPr>
          <w:lang w:val="en-GB"/>
        </w:rPr>
        <w:instrText xml:space="preserve">ADDIN CSL_CITATION {"citationItems":[{"id":"ITEM-1","itemData":{"DOI":"10.1039/c3nr01533e","ISBN":"2040-3372","ISSN":"20403364","PMID":"23689214","abstract":"Nanomaterial structure–activity relationships (nano-SARs) for metal oxide nanoparticles (NPs) toxicity were investigated using metrics based on dose–response analysis and consensus self-organizing map clustering. The NP cellular toxicity dataset included toxicity profiles consisting of seven different assays for human bronchial epithelial (BEAS-2B) and murine myeloid (RAW 264.7) cells, over a concentration range of 0.39–100 mg L−1 and exposure time up to 24 h, for twenty-four different metal oxide NPs. Various nano-SAR building models were evaluated, based on an initial pool of thirty NP descriptors. The conduction band energy and ionic index (often correlated with the hydration enthalpy) were identified as suitable NP descriptors that are consistent with suggested toxicity mechanisms for metal oxide NPs and metal ions. The best performing nano-SAR with the above two descriptors, built with support vector machine (SVM) model and of validated robustness, had a balanced classification accuracy of </w:instrText>
      </w:r>
      <w:r w:rsidR="00434385" w:rsidRPr="008E5B32">
        <w:rPr>
          <w:rFonts w:ascii="Cambria Math" w:hAnsi="Cambria Math" w:cs="Cambria Math"/>
          <w:lang w:val="en-GB"/>
        </w:rPr>
        <w:instrText>∼</w:instrText>
      </w:r>
      <w:r w:rsidR="00434385" w:rsidRPr="008E5B32">
        <w:rPr>
          <w:lang w:val="en-GB"/>
        </w:rPr>
        <w:instrText>94%. An applicability domain for the present data was established with a reasonable confidence level of 80%. Given the potential role of nano-SARs in decision making, regarding the environmental impact of NPs, the class probabilities provided by the SVM nano-SAR enabled the construction of decision boundaries with respect to toxicity classification under different acceptance levels of false negative relative to false positive predictions.","author":[{"dropping-particle":"","family":"Liu","given":"Rong","non-dropping-particle":"","parse-names":false,"suffix":""},{"dropping-particle":"","family":"Zhang","given":"Hai Yuan","non-dropping-particle":"","parse-names":false,"suffix":""},{"dropping-particle":"","family":"Ji","given":"Zhao Xia","non-dropping-particle":"","parse-names":false,"suffix":""},{"dropping-particle":"","family":"Rallo","given":"Robert","non-dropping-particle":"","parse-names":false,"suffix":""},{"dropping-particle":"","family":"Xia","given":"Tian","non-dropping-particle":"","parse-names":false,"suffix":""},{"dropping-particle":"","family":"Chang","given":"Chong Hyun","non-dropping-particle":"","parse-names":false,"suffix":""},{"dropping-particle":"","family":"Nel","given":"Andre","non-dropping-particle":"","parse-names":false,"suffix":""},{"dropping-particle":"","family":"Cohen","given":"Yoram","non-dropping-particle":"","parse-names":false,"suffix":""}],"container-title":"Nanoscale","id":"ITEM-1","issued":{"date-parts":[["2013"]]},"title":"Development of structure-activity relationship for metal oxide nanoparticles","type":"article-journal"},"uris":["http://www.mendeley.com/documents/?uuid=24d1f6ff-622e-45b3-b4be-b04f6fb51c0a"]},{"id":"ITEM-2","itemData":{"DOI":"10.1021/es504259s","ISBN":"0013-936X","ISSN":"15205851","PMID":"25563693","abstract":"Metal oxide nanoparticles (MOx NPs) are used for a host of applications, such as electronics, cosmetics, construction, and medicine, and as a result, the safety of these materials to humans and the environment is of considerable interest. A prior study of 24 MOx NPs in mammalian cells revealed that some of these materials show hazard potential. Here, we report the growth inhibitory effects of the same series of MOx NPs in the bacterium Escherichia coli and show that toxicity trends observed in E. coli parallel those seen previously in mammalian cells. Of the 24 materials studied, only ZnO, CuO, CoO, Mn2O3, Co3O4, Ni2O3, and Cr2O3 were found to exert significant growth inhibitory effects; these effects were found to relate to membrane damage and oxidative stress responses in minimal trophic media. A correlation of the toxicological data with physicochemical parameters of MOx NPs revealed that the probability of a MOx NP being toxic increases as the hydration enthalpy becomes less negative and as the conduction band energy approaches those of biological molecules. These observations are consistent with prior results observed in mammalian cells, revealing that mechanisms of toxicity of MOx NPs are consistent across two very different taxa. These results suggest that studying nanotoxicity in E. coli may help to predict toxicity patterns in higher organisms.","author":[{"dropping-particle":"","family":"Kaweeteerawat","given":"Chitrada","non-dropping-particle":"","parse-names":false,"suffix":""},{"dropping-particle":"","family":"Ivask","given":"Angela","non-dropping-particle":"","parse-names":false,"suffix":""},{"dropping-particle":"","family":"Liu","given":"Rong","non-dropping-particle":"","parse-names":false,"suffix":""},{"dropping-particle":"","family":"Zhang","given":"Haiyuan","non-dropping-particle":"","parse-names":false,"suffix":""},{"dropping-particle":"","family":"Chang","given":"Chong Hyun","non-dropping-particle":"","parse-names":false,"suffix":""},{"dropping-particle":"","family":"Low-Kam","given":"Cecile","non-dropping-particle":"","parse-names":false,"suffix":""},{"dropping-particle":"","family":"Fischer","given":"Heidi","non-dropping-particle":"","parse-names":false,"suffix":""},{"dropping-particle":"","family":"Ji","given":"Zhaoxia","non-dropping-particle":"","parse-names":false,"suffix":""},{"dropping-particle":"","family":"Pokhrel","given":"Suman","non-dropping-particle":"","parse-names":false,"suffix":""},{"dropping-particle":"","family":"Cohen","given":"Yoram","non-dropping-particle":"","parse-names":false,"suffix":""},{"dropping-particle":"","family":"Telesca","given":"Donatello","non-dropping-particle":"","parse-names":false,"suffix":""},{"dropping-particle":"","family":"Zink","given":"Jeffrey","non-dropping-particle":"","parse-names":false,"suffix":""},{"dropping-particle":"","family":"Mädler","given":"Lutz","non-dropping-particle":"","parse-names":false,"suffix":""},{"dropping-particle":"","family":"Holden","given":"Patricia A.","non-dropping-particle":"","parse-names":false,"suffix":""},{"dropping-particle":"","family":"Nel","given":"Andre","non-dropping-particle":"","parse-names":false,"suffix":""},{"dropping-particle":"","family":"Godwin","given":"Hilary","non-dropping-particle":"","parse-names":false,"suffix":""}],"container-title":"Environmental Science and Technology","id":"ITEM-2","issued":{"date-parts":[["2015"]]},"title":"Toxicity of metal oxide nanoparticles in Escherichia coli correlates with conduction band and hydration energies","type":"article-journal"},"uris":["http://www.mendeley.com/documents/?uuid=f630ad02-ddff-4a3d-90d6-9c6b355ce970"]},{"id":"ITEM-3","itemData":{"DOI":"10.1002/smll.201201903","ISBN":"1613-6829","ISSN":"16136810","PMID":"23423856","abstract":"The development of classification nano-structure-activity Relationships (nano-SARs) of nanoparticle (NP) bioactivity is presented with the aim of demonstrating the integration of multiparametric toxicity/bioactivity assays to arrive at statistically meaningful class definitions (i.e., bioactivity/ inactivity endpoints), as well as the implications of nano-SAR applicability domains and decision boundaries. Nano-SARs are constructed based on a dataset of 44 iron oxide core nanoparticles (NPs), used in molecular imaging and nano-sensing, containing bioactivity profiles for four cell types and four different assays. Class definitions are developed on the basis of 'hit' (i.e., significant bioactivity) identification analysis and self-organizing map based consensus clustering; these class definitions enable construction of nano-SARs of a high classification accuracy (&gt;78%) with different NP descriptor combinations that include primary size, spin-lattice and spin-spin relaxivities, and zeta potentials. Analysis of the nano-SAR performance for different class definitions suggests that H4 (i.e., class with at least four hits) is a reasonable endpoint (from a 'regulatory' viewpoint) for keeping the level of false negatives (i.e., incorrect labeling of bioactive NPs as inactive) low. The establishment of a quantitative nano-SAR applicability domain is demonstrated, making use of a probability density with the H4 class definition and naive Bayesian classifier (NBC) model (with spin-lattice relaxivity and zeta potential as descriptors). Decision boundaries are determined for the above H4/NBC nano-SAR for different acceptance levels of false negative to false positive predictions, illustrating a practical approach that may assist in regulatory decision making with a consideration of reducing the likelihood of identifying bioactive NPs as being inactive. A classification nano-structure-activity relationships (nano-SARs) development process is presented for nanoparticle (NP) bioactivity, in which multiparametric high-throughput screening (HTS) bioactivity profiles are integrated to arrive at statistically meaningful nano-SAR endpoints (bioactive/inactive class definitions). The approach presents quantification of nano-SAR applicability domains and determination of nano-SAR decision boundaries for different acceptance levels of false negative to false positive predictions. Copyright © 2013 WILEY-VCH Verlag GmbH &amp; Co. KGaA, Weinheim.","author":[{"dropping-particle":"","family":"Liu","given":"Rong","non-dropping-particle":"","parse-names":false,"suffix":""},{"dropping-particle":"","family":"Rallo","given":"Robert","non-dropping-particle":"","parse-names":false,"suffix":""},{"dropping-particle":"","family":"Weissleder","given":"Ralph","non-dropping-particle":"","parse-names":false,"suffix":""},{"dropping-particle":"","family":"Tassa","given":"Carlos","non-dropping-particle":"","parse-names":false,"suffix":""},{"dropping-particle":"","family":"Shaw","given":"Stanley","non-dropping-particle":"","parse-names":false,"suffix":""},{"dropping-particle":"","family":"Cohen","given":"Yoram","non-dropping-particle":"","parse-names":false,"suffix":""}],"container-title":"Small","id":"ITEM-3","issue":"9-10","issued":{"date-parts":[["2013"]]},"page":"1842-1852","title":"Nano-SAR development for bioactivity of nanoparticles with considerations of decision boundaries","type":"article-journal","volume":"9"},"uris":["http://www.mendeley.com/documents/?uuid=e2114d14-3cea-4598-b3d2-8824a4420975"]}],"mendeley":{"formattedCitation":"&lt;sup&gt;90,113,115&lt;/sup&gt;","plainTextFormattedCitation":"90,113,115","previouslyFormattedCitation":"&lt;sup&gt;90,113,115&lt;/sup&gt;"},"properties":{"noteIndex":0},"schema":"https://github.com/citation-style-language/schema/raw/master/csl-citation.json"}</w:instrText>
      </w:r>
      <w:r w:rsidR="00BB7CD8" w:rsidRPr="008E5B32">
        <w:fldChar w:fldCharType="separate"/>
      </w:r>
      <w:r w:rsidR="004C12A8" w:rsidRPr="008E5B32">
        <w:rPr>
          <w:noProof/>
          <w:vertAlign w:val="superscript"/>
          <w:lang w:val="en-GB"/>
        </w:rPr>
        <w:t>90,113,115</w:t>
      </w:r>
      <w:r w:rsidR="00BB7CD8" w:rsidRPr="008E5B32">
        <w:fldChar w:fldCharType="end"/>
      </w:r>
      <w:r w:rsidR="004F2A2E" w:rsidRPr="008E5B32">
        <w:rPr>
          <w:lang w:val="en-GB"/>
        </w:rPr>
        <w:t>, only Mu et</w:t>
      </w:r>
      <w:r w:rsidR="002909EC" w:rsidRPr="008E5B32">
        <w:rPr>
          <w:lang w:val="en-GB"/>
        </w:rPr>
        <w:t xml:space="preserve"> </w:t>
      </w:r>
      <w:r w:rsidR="004F2A2E" w:rsidRPr="008E5B32">
        <w:rPr>
          <w:lang w:val="en-GB"/>
        </w:rPr>
        <w:t>al.</w:t>
      </w:r>
      <w:r w:rsidR="002862B1" w:rsidRPr="008E5B32">
        <w:rPr>
          <w:lang w:val="en-GB"/>
        </w:rPr>
        <w:t xml:space="preserve"> (2016)</w:t>
      </w:r>
      <w:r w:rsidR="004F2A2E" w:rsidRPr="008E5B32">
        <w:rPr>
          <w:lang w:val="en-GB"/>
        </w:rPr>
        <w:t xml:space="preserve"> provided a raw uncertainty assessment of their </w:t>
      </w:r>
      <w:r w:rsidR="00FA617E" w:rsidRPr="008E5B32">
        <w:rPr>
          <w:lang w:val="en-GB"/>
        </w:rPr>
        <w:t xml:space="preserve">linear </w:t>
      </w:r>
      <w:r w:rsidR="004F2A2E" w:rsidRPr="008E5B32">
        <w:rPr>
          <w:lang w:val="en-GB"/>
        </w:rPr>
        <w:t>regression model</w:t>
      </w:r>
      <w:r w:rsidR="007766F5" w:rsidRPr="008E5B32">
        <w:rPr>
          <w:lang w:val="en-GB"/>
        </w:rPr>
        <w:t xml:space="preserve"> </w:t>
      </w:r>
      <w:r w:rsidR="007766F5" w:rsidRPr="008E5B32">
        <w:fldChar w:fldCharType="begin" w:fldLock="1"/>
      </w:r>
      <w:r w:rsidR="00434385" w:rsidRPr="008E5B32">
        <w:rPr>
          <w:lang w:val="en-GB"/>
        </w:rPr>
        <w:instrText>ADDIN CSL_CITATION {"citationItems":[{"id":"ITEM-1","itemData":{"DOI":"10.1080/17435390.2016.1202352","ISBN":"1743-5404; 1743-5390","ISSN":"17435404","abstract":"Background: The enormous physicochemical and structural diversity of metal oxide nanoparticles (MeONPs) poses significant challenges to the testing of their biological uptake, biodistribution, and effects that can be used to develop understanding of key nano-bio modes of action. This has generated considerable uncertainties in the assessment of their human health and environmental risks and has raised concerns about the adequacy of their regulation. In order to surpass the extremely resource intensive case-by-case testing, intelligent strategies combining testing methods and non-testing predictive modeling should be developed. Methods: The quantitative structure-activity relationship (QSARs) in silico tools can be instrumental in understanding properties that affect the potencies of MeONPs and in predicting toxic responses and thresholds of effects. Results: The present study proposes a predictive nano-QSAR model for predicting the cytotoxicity of MeONPs. The model was applied to test the relationships between 26 physicochemical properties of 51 MeONPs and their cytotoxic effects in Escherichia coli. The two parameters, enthalpy of formation of a gaseous cation (</w:instrText>
      </w:r>
      <w:r w:rsidR="00434385" w:rsidRPr="008E5B32">
        <w:rPr>
          <w:rFonts w:ascii="Cambria Math" w:hAnsi="Cambria Math" w:cs="Cambria Math"/>
          <w:lang w:val="en-GB"/>
        </w:rPr>
        <w:instrText>▵</w:instrText>
      </w:r>
      <w:r w:rsidR="00434385" w:rsidRPr="008E5B32">
        <w:rPr>
          <w:lang w:val="en-GB"/>
        </w:rPr>
        <w:instrText>Hme+) and polarization force (Z/r), were elucidated to make a significant contribution for the toxic effect of these MeONPs. The study also proposed the mechanisms of toxic potency in E. coli through the model, which indicated that the MeONPs as well as their released metal ions could collectively induce DNA damage and cell apoptosis. Significance: These findings may provide an alternative method for prioritizing current and future MeONPs for potential in vivo testing, virtual prescreening and for designing environmentally benign nanomaterials. © 2016 Informa UK Limited, trading as Taylor &amp; Francis Group.","author":[{"dropping-particle":"","family":"Mu","given":"Yunsong","non-dropping-particle":"","parse-names":false,"suffix":""},{"dropping-particle":"","family":"Wu","given":"Fengchang","non-dropping-particle":"","parse-names":false,"suffix":""},{"dropping-particle":"","family":"Zhao","given":"Qing","non-dropping-particle":"","parse-names":false,"suffix":""},{"dropping-particle":"","family":"Ji","given":"Rong","non-dropping-particle":"","parse-names":false,"suffix":""},{"dropping-particle":"","family":"Qie","given":"Yu","non-dropping-particle":"","parse-names":false,"suffix":""},{"dropping-particle":"","family":"Zhou","given":"Yue","non-dropping-particle":"","parse-names":false,"suffix":""},{"dropping-particle":"","family":"Hu","given":"Yan","non-dropping-particle":"","parse-names":false,"suffix":""},{"dropping-particle":"","family":"Pang","given":"Chengfang","non-dropping-particle":"","parse-names":false,"suffix":""},{"dropping-particle":"","family":"Hristozov","given":"Danail","non-dropping-particle":"","parse-names":false,"suffix":""},{"dropping-particle":"","family":"Giesy","given":"John P.","non-dropping-particle":"","parse-names":false,"suffix":""},{"dropping-particle":"","family":"Xing","given":"Baoshan","non-dropping-particle":"","parse-names":false,"suffix":""}],"container-title":"Nanotoxicology","id":"ITEM-1","issue":"9","issued":{"date-parts":[["2016"]]},"page":"1207-1214","title":"Predicting toxic potencies of metal oxide nanoparticles by means of nano-QSARs","type":"article-journal","volume":"10"},"uris":["http://www.mendeley.com/documents/?uuid=58ece1ff-c831-4537-b48d-f2df1841fbf0"]}],"mendeley":{"formattedCitation":"&lt;sup&gt;141&lt;/sup&gt;","plainTextFormattedCitation":"141","previouslyFormattedCitation":"&lt;sup&gt;141&lt;/sup&gt;"},"properties":{"noteIndex":0},"schema":"https://github.com/citation-style-language/schema/raw/master/csl-citation.json"}</w:instrText>
      </w:r>
      <w:r w:rsidR="007766F5" w:rsidRPr="008E5B32">
        <w:fldChar w:fldCharType="separate"/>
      </w:r>
      <w:r w:rsidR="004C12A8" w:rsidRPr="008E5B32">
        <w:rPr>
          <w:noProof/>
          <w:vertAlign w:val="superscript"/>
          <w:lang w:val="en-GB"/>
        </w:rPr>
        <w:t>141</w:t>
      </w:r>
      <w:r w:rsidR="007766F5" w:rsidRPr="008E5B32">
        <w:fldChar w:fldCharType="end"/>
      </w:r>
      <w:r w:rsidR="004F2A2E" w:rsidRPr="008E5B32">
        <w:rPr>
          <w:lang w:val="en-GB"/>
        </w:rPr>
        <w:t xml:space="preserve">, indicating the </w:t>
      </w:r>
      <w:r w:rsidR="00FA617E" w:rsidRPr="008E5B32">
        <w:rPr>
          <w:lang w:val="en-GB"/>
        </w:rPr>
        <w:t>c</w:t>
      </w:r>
      <w:r w:rsidR="004F2A2E" w:rsidRPr="008E5B32">
        <w:rPr>
          <w:lang w:val="en-GB"/>
        </w:rPr>
        <w:t xml:space="preserve">onfidence </w:t>
      </w:r>
      <w:r w:rsidR="00FA617E" w:rsidRPr="008E5B32">
        <w:rPr>
          <w:lang w:val="en-GB"/>
        </w:rPr>
        <w:t>i</w:t>
      </w:r>
      <w:r w:rsidR="004F2A2E" w:rsidRPr="008E5B32">
        <w:rPr>
          <w:lang w:val="en-GB"/>
        </w:rPr>
        <w:t xml:space="preserve">ntervals of the predictions, </w:t>
      </w:r>
      <w:r w:rsidR="00631E3B" w:rsidRPr="008E5B32">
        <w:rPr>
          <w:lang w:val="en-GB"/>
        </w:rPr>
        <w:t>while only</w:t>
      </w:r>
      <w:r w:rsidR="00312BBD" w:rsidRPr="008E5B32">
        <w:rPr>
          <w:lang w:val="en-GB"/>
        </w:rPr>
        <w:t xml:space="preserve"> </w:t>
      </w:r>
      <w:r w:rsidR="00A53E71" w:rsidRPr="008E5B32">
        <w:rPr>
          <w:lang w:val="en-GB"/>
        </w:rPr>
        <w:t>Singh and Gupta</w:t>
      </w:r>
      <w:r w:rsidR="002862B1" w:rsidRPr="008E5B32">
        <w:rPr>
          <w:lang w:val="en-GB"/>
        </w:rPr>
        <w:t xml:space="preserve"> (2014)</w:t>
      </w:r>
      <w:r w:rsidR="00A53E71" w:rsidRPr="008E5B32">
        <w:rPr>
          <w:lang w:val="en-GB"/>
        </w:rPr>
        <w:t xml:space="preserve"> </w:t>
      </w:r>
      <w:r w:rsidR="00607227" w:rsidRPr="008E5B32">
        <w:rPr>
          <w:lang w:val="en-GB"/>
        </w:rPr>
        <w:t>highlighted the contribution of the selected descriptors to the final prediction</w:t>
      </w:r>
      <w:r w:rsidR="00C5024B" w:rsidRPr="008E5B32">
        <w:rPr>
          <w:lang w:val="en-GB"/>
        </w:rPr>
        <w:t xml:space="preserve"> </w:t>
      </w:r>
      <w:r w:rsidR="00C5024B" w:rsidRPr="008E5B32">
        <w:fldChar w:fldCharType="begin" w:fldLock="1"/>
      </w:r>
      <w:r w:rsidR="00434385" w:rsidRPr="008E5B32">
        <w:rPr>
          <w:lang w:val="en-GB"/>
        </w:rPr>
        <w:instrText>ADDIN CSL_CITATION {"citationItems":[{"id":"ITEM-1","itemData":{"DOI":"10.1039/C4RA01274G","ISBN":"2046-2069","ISSN":"2046-2069","abstract":"&lt;p&gt;Case study-1 (diverse metal core NPs); case study-2 (similar metal core NPs); case study-3 (metal oxide NPs); case study-4 (surface modified multi-walled CNTs); case study-5 (fullerene derivatives).&lt;/p&gt;","author":[{"dropping-particle":"","family":"Singh","given":"Kunwar P.","non-dropping-particle":"","parse-names":false,"suffix":""},{"dropping-particle":"","family":"Gupta","given":"Shikha","non-dropping-particle":"","parse-names":false,"suffix":""}],"container-title":"RSC Adv.","id":"ITEM-1","issue":"26","issued":{"date-parts":[["2014"]]},"page":"13215-13230","title":"Nano-QSAR modeling for predicting biological activity of diverse nanomaterials","type":"article-journal","volume":"4"},"uris":["http://www.mendeley.com/documents/?uuid=217f3ef2-cca2-4d0b-84ab-ea8271f2d7b4"]}],"mendeley":{"formattedCitation":"&lt;sup&gt;120&lt;/sup&gt;","plainTextFormattedCitation":"120","previouslyFormattedCitation":"&lt;sup&gt;120&lt;/sup&gt;"},"properties":{"noteIndex":0},"schema":"https://github.com/citation-style-language/schema/raw/master/csl-citation.json"}</w:instrText>
      </w:r>
      <w:r w:rsidR="00C5024B" w:rsidRPr="008E5B32">
        <w:fldChar w:fldCharType="separate"/>
      </w:r>
      <w:r w:rsidR="004C12A8" w:rsidRPr="008E5B32">
        <w:rPr>
          <w:noProof/>
          <w:vertAlign w:val="superscript"/>
          <w:lang w:val="en-GB"/>
        </w:rPr>
        <w:t>120</w:t>
      </w:r>
      <w:r w:rsidR="00C5024B" w:rsidRPr="008E5B32">
        <w:fldChar w:fldCharType="end"/>
      </w:r>
      <w:r w:rsidR="003509B8" w:rsidRPr="008E5B32">
        <w:rPr>
          <w:lang w:val="en-GB"/>
        </w:rPr>
        <w:t xml:space="preserve">, </w:t>
      </w:r>
      <w:r w:rsidR="00631E3B" w:rsidRPr="008E5B32">
        <w:rPr>
          <w:lang w:val="en-GB"/>
        </w:rPr>
        <w:t>and</w:t>
      </w:r>
      <w:r w:rsidR="003509B8" w:rsidRPr="008E5B32">
        <w:rPr>
          <w:lang w:val="en-GB"/>
        </w:rPr>
        <w:t xml:space="preserve"> only Pan et</w:t>
      </w:r>
      <w:r w:rsidR="002909EC" w:rsidRPr="008E5B32">
        <w:rPr>
          <w:lang w:val="en-GB"/>
        </w:rPr>
        <w:t xml:space="preserve"> </w:t>
      </w:r>
      <w:r w:rsidR="003509B8" w:rsidRPr="008E5B32">
        <w:rPr>
          <w:lang w:val="en-GB"/>
        </w:rPr>
        <w:t>al.</w:t>
      </w:r>
      <w:r w:rsidR="002862B1" w:rsidRPr="008E5B32">
        <w:rPr>
          <w:lang w:val="en-GB"/>
        </w:rPr>
        <w:t xml:space="preserve"> </w:t>
      </w:r>
      <w:r w:rsidR="002862B1" w:rsidRPr="008E5B32">
        <w:t>(2016)</w:t>
      </w:r>
      <w:r w:rsidR="00C5024B" w:rsidRPr="008E5B32">
        <w:t xml:space="preserve"> </w:t>
      </w:r>
      <w:r w:rsidR="003509B8" w:rsidRPr="008E5B32">
        <w:t>provided a sensitivity analysis of their model</w:t>
      </w:r>
      <w:r w:rsidR="00353D95" w:rsidRPr="008E5B32">
        <w:t xml:space="preserve"> </w:t>
      </w:r>
      <w:r w:rsidR="00353D95" w:rsidRPr="008E5B32">
        <w:fldChar w:fldCharType="begin" w:fldLock="1"/>
      </w:r>
      <w:r w:rsidR="00434385" w:rsidRPr="008E5B32">
        <w:instrText xml:space="preserve">ADDIN CSL_CITATION {"citationItems":[{"id":"ITEM-1","itemData":{"DOI":"10.1039/C6RA01298A","ISSN":"2046-2069","abstract":"Computational approaches have evolved as efficient alternatives to understand the adverse effects of nanoparticles on human health and the environment. The potential of using Quantitative Structure-Activity Relationship (QSAR) modeling to establish statistically significant models for predicting the cytotoxicity of various metal oxide (MeOx) nanoparticles (NPs) has been investigated. A novel kind of nanospecific theoretical descriptor was proposed by integrating codes of certain physicochemical features into SMILES-based optimal descriptors to characterize the nanostructure information of NPs. The new descriptors were then applied to model MeOx NP cytotoxicity to both Escherichia coli bacteria and HaCaT cells for comparison purposes. The effects of size variation on the cytotoxicity to both types of cells were also investigated. The four resulting QSAR models were then rigorously validated{,} and extensively compared to other previously published models. The results demonstrated the robustness{,} validity and predictivity of these models. Predominant nanostructure factors responsible for MeOx NP cytotoxicity were identified through model interpretation. The results verified different mechanisms of nanotoxicity for these two types of cells. The proposed models can be expected to reliably predict the cytotoxicity of novel NPs solely from the newly developed descriptors{,} and provide guidance for prioritizing the design </w:instrText>
      </w:r>
      <w:r w:rsidR="00434385" w:rsidRPr="008E5B32">
        <w:rPr>
          <w:lang w:val="en-US"/>
        </w:rPr>
        <w:instrText>and manufacture of safer nanomaterials with desired properties.","author":[{"dropping-particle":"","family":"Pan","given":"Yong","non-dropping-particle":"","parse-names":false,"suffix":""},{"dropping-particle":"","family":"Li","given":"Ting","non-dropping-particle":"","parse-names":false,"suffix":""},{"dropping-particle":"","family":"Cheng","given":"Jie","non-dropping-particle":"","parse-names":false,"suffix":""},{"dropping-particle":"","family":"Telesca","given":"Donatello","non-dropping-particle":"","parse-names":false,"suffix":""},{"dropping-particle":"","family":"Zink","given":"Jeffrey I.","non-dropping-particle":"","parse-names":false,"suffix":""},{"dropping-particle":"","family":"Jiang","given":"Juncheng","non-dropping-particle":"","parse-names":false,"suffix":""}],"container-title":"RSC Adv.","id":"ITEM-1","issued":{"date-parts":[["2016"]]},"title":"Nano-QSAR modeling for predicting the cytotoxicity of metal oxide nanoparticles using novel descriptors","type":"article-journal"},"uris":["http://www.mendeley.com/documents/?uuid=569c559a-4e2d-48bd-821f-4ef165340046","http://www.mendeley.com/documents/?uuid=a99508e5-87e0-42f0-be3d-1a71b356b733","http://www.mendeley.com/documents/?uuid=60699ed1-45f7-4ca1-81ca-369438f1e980"]}],"mendeley":{"formattedCitation":"&lt;sup&gt;144&lt;/sup&gt;","plainTextFormattedCitation":"144","previouslyFormattedCitation":"&lt;sup&gt;144&lt;/sup&gt;"},"properties":{"noteIndex":0},"schema":"https://github.com/citation-style-language/schema/raw/master/csl-citation.json"}</w:instrText>
      </w:r>
      <w:r w:rsidR="00353D95" w:rsidRPr="008E5B32">
        <w:fldChar w:fldCharType="separate"/>
      </w:r>
      <w:r w:rsidR="004C12A8" w:rsidRPr="008E5B32">
        <w:rPr>
          <w:noProof/>
          <w:vertAlign w:val="superscript"/>
          <w:lang w:val="en-GB"/>
        </w:rPr>
        <w:t>144</w:t>
      </w:r>
      <w:r w:rsidR="00353D95" w:rsidRPr="008E5B32">
        <w:fldChar w:fldCharType="end"/>
      </w:r>
      <w:r w:rsidR="00353D95" w:rsidRPr="008E5B32">
        <w:rPr>
          <w:lang w:val="en-GB"/>
        </w:rPr>
        <w:t>.</w:t>
      </w:r>
    </w:p>
    <w:p w14:paraId="6709B2EA" w14:textId="3EA2BD43" w:rsidR="003B0814" w:rsidRPr="008E5B32" w:rsidRDefault="0022481D" w:rsidP="00462966">
      <w:pPr>
        <w:rPr>
          <w:lang w:val="en-GB"/>
        </w:rPr>
      </w:pPr>
      <w:r w:rsidRPr="008E5B32">
        <w:rPr>
          <w:lang w:val="en-GB"/>
        </w:rPr>
        <w:t>A mechanistic interpretation was provided</w:t>
      </w:r>
      <w:r w:rsidR="009976BF" w:rsidRPr="008E5B32">
        <w:rPr>
          <w:lang w:val="en-GB"/>
        </w:rPr>
        <w:t xml:space="preserve"> for 3</w:t>
      </w:r>
      <w:r w:rsidR="00713F03" w:rsidRPr="008E5B32">
        <w:rPr>
          <w:lang w:val="en-GB"/>
        </w:rPr>
        <w:t>4</w:t>
      </w:r>
      <w:r w:rsidR="009976BF" w:rsidRPr="008E5B32">
        <w:rPr>
          <w:lang w:val="en-GB"/>
        </w:rPr>
        <w:t xml:space="preserve"> over </w:t>
      </w:r>
      <w:r w:rsidR="006725C8" w:rsidRPr="008E5B32">
        <w:rPr>
          <w:lang w:val="en-GB"/>
        </w:rPr>
        <w:t>4</w:t>
      </w:r>
      <w:r w:rsidR="00713F03" w:rsidRPr="008E5B32">
        <w:rPr>
          <w:lang w:val="en-GB"/>
        </w:rPr>
        <w:t>1</w:t>
      </w:r>
      <w:r w:rsidR="00A14654" w:rsidRPr="008E5B32">
        <w:rPr>
          <w:lang w:val="en-GB"/>
        </w:rPr>
        <w:t xml:space="preserve"> of the reviewed approaches, while the remaining case studie</w:t>
      </w:r>
      <w:r w:rsidR="00F24B5C" w:rsidRPr="008E5B32">
        <w:rPr>
          <w:lang w:val="en-GB"/>
        </w:rPr>
        <w:t xml:space="preserve">s </w:t>
      </w:r>
      <w:r w:rsidRPr="008E5B32">
        <w:rPr>
          <w:lang w:val="en-GB"/>
        </w:rPr>
        <w:t xml:space="preserve">focused </w:t>
      </w:r>
      <w:r w:rsidR="00402EAE" w:rsidRPr="008E5B32">
        <w:rPr>
          <w:lang w:val="en-GB"/>
        </w:rPr>
        <w:t xml:space="preserve">only </w:t>
      </w:r>
      <w:r w:rsidRPr="008E5B32">
        <w:rPr>
          <w:lang w:val="en-GB"/>
        </w:rPr>
        <w:t>on</w:t>
      </w:r>
      <w:r w:rsidR="004536FF" w:rsidRPr="008E5B32">
        <w:rPr>
          <w:lang w:val="en-GB"/>
        </w:rPr>
        <w:t xml:space="preserve"> comparing</w:t>
      </w:r>
      <w:r w:rsidRPr="008E5B32">
        <w:rPr>
          <w:lang w:val="en-GB"/>
        </w:rPr>
        <w:t xml:space="preserve"> the </w:t>
      </w:r>
      <w:r w:rsidR="001B22F6" w:rsidRPr="008E5B32">
        <w:rPr>
          <w:lang w:val="en-GB"/>
        </w:rPr>
        <w:t xml:space="preserve">predictive ability of the models with respect to previous </w:t>
      </w:r>
      <w:r w:rsidR="001F6369" w:rsidRPr="008E5B32">
        <w:rPr>
          <w:lang w:val="en-GB"/>
        </w:rPr>
        <w:t>studies</w:t>
      </w:r>
      <w:r w:rsidR="00EC2FC4" w:rsidRPr="008E5B32">
        <w:rPr>
          <w:lang w:val="en-GB"/>
        </w:rPr>
        <w:t xml:space="preserve"> on the same dataset</w:t>
      </w:r>
      <w:r w:rsidR="00402EAE" w:rsidRPr="008E5B32">
        <w:rPr>
          <w:lang w:val="en-GB"/>
        </w:rPr>
        <w:t>.</w:t>
      </w:r>
    </w:p>
    <w:p w14:paraId="7A21AEFE" w14:textId="77777777" w:rsidR="004E000A" w:rsidRPr="008E5B32" w:rsidRDefault="00AA3DDB" w:rsidP="00026661">
      <w:pPr>
        <w:pStyle w:val="Heading1"/>
        <w:spacing w:line="312" w:lineRule="auto"/>
        <w:rPr>
          <w:lang w:val="en-GB"/>
        </w:rPr>
      </w:pPr>
      <w:bookmarkStart w:id="15" w:name="_Toc506370841"/>
      <w:bookmarkEnd w:id="2"/>
      <w:bookmarkEnd w:id="6"/>
      <w:bookmarkEnd w:id="8"/>
      <w:bookmarkEnd w:id="9"/>
      <w:r w:rsidRPr="008E5B32">
        <w:rPr>
          <w:lang w:val="en-GB"/>
        </w:rPr>
        <w:t xml:space="preserve">4 </w:t>
      </w:r>
      <w:r w:rsidR="004E000A" w:rsidRPr="008E5B32">
        <w:rPr>
          <w:lang w:val="en-GB"/>
        </w:rPr>
        <w:t>Discussion</w:t>
      </w:r>
      <w:r w:rsidR="007A4463" w:rsidRPr="008E5B32">
        <w:rPr>
          <w:lang w:val="en-GB"/>
        </w:rPr>
        <w:t xml:space="preserve"> </w:t>
      </w:r>
    </w:p>
    <w:p w14:paraId="556260DF" w14:textId="0BF6DE35" w:rsidR="00D94BE9" w:rsidRPr="008E5B32" w:rsidRDefault="00E84CE7" w:rsidP="00E84CE7">
      <w:pPr>
        <w:rPr>
          <w:lang w:val="en-GB"/>
        </w:rPr>
      </w:pPr>
      <w:r w:rsidRPr="008E5B32">
        <w:rPr>
          <w:lang w:val="en-GB"/>
        </w:rPr>
        <w:t xml:space="preserve">In this paper, we </w:t>
      </w:r>
      <w:r w:rsidR="00216A1A" w:rsidRPr="008E5B32">
        <w:rPr>
          <w:lang w:val="en-GB"/>
        </w:rPr>
        <w:t xml:space="preserve">provided an overview of the available </w:t>
      </w:r>
      <w:r w:rsidR="00397C75" w:rsidRPr="008E5B32">
        <w:rPr>
          <w:lang w:val="en-GB"/>
        </w:rPr>
        <w:t>databases</w:t>
      </w:r>
      <w:r w:rsidR="00216A1A" w:rsidRPr="008E5B32">
        <w:rPr>
          <w:lang w:val="en-GB"/>
        </w:rPr>
        <w:t xml:space="preserve"> encompassing physicochemical and (eco)toxicological endpoints that may support development and application of predictive </w:t>
      </w:r>
      <w:r w:rsidR="00216A1A" w:rsidRPr="008E5B32">
        <w:rPr>
          <w:i/>
          <w:lang w:val="en-GB"/>
        </w:rPr>
        <w:t>in silico</w:t>
      </w:r>
      <w:r w:rsidR="00216A1A" w:rsidRPr="008E5B32">
        <w:rPr>
          <w:lang w:val="en-GB"/>
        </w:rPr>
        <w:t xml:space="preserve"> models </w:t>
      </w:r>
      <w:r w:rsidR="001F52BB" w:rsidRPr="008E5B32">
        <w:rPr>
          <w:lang w:val="en-GB"/>
        </w:rPr>
        <w:t>for engineered NMs</w:t>
      </w:r>
      <w:r w:rsidR="00F85D66" w:rsidRPr="008E5B32">
        <w:rPr>
          <w:lang w:val="en-GB"/>
        </w:rPr>
        <w:t>, highlighting some of the known issues of such platforms and referencing relevant papers in which such issues are discussed and solutions for future developments are suggested</w:t>
      </w:r>
      <w:r w:rsidR="00216A1A" w:rsidRPr="008E5B32">
        <w:rPr>
          <w:lang w:val="en-GB"/>
        </w:rPr>
        <w:t xml:space="preserve">. </w:t>
      </w:r>
      <w:r w:rsidR="001F52BB" w:rsidRPr="008E5B32">
        <w:rPr>
          <w:lang w:val="en-GB"/>
        </w:rPr>
        <w:t xml:space="preserve">Moreover, we </w:t>
      </w:r>
      <w:r w:rsidR="00216A1A" w:rsidRPr="008E5B32">
        <w:rPr>
          <w:lang w:val="en-GB"/>
        </w:rPr>
        <w:t xml:space="preserve">critically reviewed the available </w:t>
      </w:r>
      <w:r w:rsidRPr="008E5B32">
        <w:rPr>
          <w:i/>
          <w:lang w:val="en-GB"/>
        </w:rPr>
        <w:t>in silico</w:t>
      </w:r>
      <w:r w:rsidRPr="008E5B32">
        <w:rPr>
          <w:lang w:val="en-GB"/>
        </w:rPr>
        <w:t xml:space="preserve"> methods </w:t>
      </w:r>
      <w:r w:rsidR="001F52BB" w:rsidRPr="008E5B32">
        <w:rPr>
          <w:lang w:val="en-GB"/>
        </w:rPr>
        <w:t>for</w:t>
      </w:r>
      <w:r w:rsidRPr="008E5B32">
        <w:rPr>
          <w:lang w:val="en-GB"/>
        </w:rPr>
        <w:t xml:space="preserve"> </w:t>
      </w:r>
      <w:r w:rsidR="004472AD" w:rsidRPr="008E5B32">
        <w:rPr>
          <w:lang w:val="en-GB"/>
        </w:rPr>
        <w:t xml:space="preserve">predicting human health hazard endpoints for </w:t>
      </w:r>
      <w:r w:rsidR="00D17BFB" w:rsidRPr="008E5B32">
        <w:rPr>
          <w:lang w:val="en-GB"/>
        </w:rPr>
        <w:t>NMs</w:t>
      </w:r>
      <w:r w:rsidRPr="008E5B32">
        <w:rPr>
          <w:lang w:val="en-GB"/>
        </w:rPr>
        <w:t xml:space="preserve"> </w:t>
      </w:r>
      <w:r w:rsidR="00216A1A" w:rsidRPr="008E5B32">
        <w:rPr>
          <w:lang w:val="en-GB"/>
        </w:rPr>
        <w:t>against</w:t>
      </w:r>
      <w:r w:rsidRPr="008E5B32">
        <w:rPr>
          <w:lang w:val="en-GB"/>
        </w:rPr>
        <w:t xml:space="preserve"> eight criteria inspired to the OECD principles on the validation of QSARs. These principles have also been adapted to evaluate </w:t>
      </w:r>
      <w:r w:rsidR="00216A1A" w:rsidRPr="008E5B32">
        <w:rPr>
          <w:lang w:val="en-GB"/>
        </w:rPr>
        <w:t xml:space="preserve">the existing </w:t>
      </w:r>
      <w:r w:rsidR="00ED6F70" w:rsidRPr="008E5B32">
        <w:rPr>
          <w:lang w:val="en-GB"/>
        </w:rPr>
        <w:t>Grouping</w:t>
      </w:r>
      <w:r w:rsidRPr="008E5B32">
        <w:rPr>
          <w:lang w:val="en-GB"/>
        </w:rPr>
        <w:t xml:space="preserve"> and </w:t>
      </w:r>
      <w:r w:rsidR="00650B32" w:rsidRPr="008E5B32">
        <w:rPr>
          <w:lang w:val="en-GB"/>
        </w:rPr>
        <w:t>Read-Across</w:t>
      </w:r>
      <w:r w:rsidRPr="008E5B32">
        <w:rPr>
          <w:lang w:val="en-GB"/>
        </w:rPr>
        <w:t xml:space="preserve"> approaches. </w:t>
      </w:r>
    </w:p>
    <w:p w14:paraId="07E83006" w14:textId="7A3F4315" w:rsidR="009C10F3" w:rsidRPr="008E5B32" w:rsidRDefault="00696E11" w:rsidP="00E84CE7">
      <w:pPr>
        <w:rPr>
          <w:lang w:val="en-GB"/>
        </w:rPr>
      </w:pPr>
      <w:r w:rsidRPr="008E5B32">
        <w:rPr>
          <w:lang w:val="en-GB"/>
        </w:rPr>
        <w:t>Datasets</w:t>
      </w:r>
      <w:r w:rsidR="009C10F3" w:rsidRPr="008E5B32">
        <w:rPr>
          <w:lang w:val="en-GB"/>
        </w:rPr>
        <w:t xml:space="preserve"> currently modelled in material sciences are significantly smaller than those available in domains where ML is more established</w:t>
      </w:r>
      <w:r w:rsidR="007B0277" w:rsidRPr="008E5B32">
        <w:rPr>
          <w:lang w:val="en-GB"/>
        </w:rPr>
        <w:t xml:space="preserve"> </w:t>
      </w:r>
      <w:r w:rsidR="009C10F3" w:rsidRPr="008E5B32">
        <w:fldChar w:fldCharType="begin" w:fldLock="1"/>
      </w:r>
      <w:r w:rsidR="00434385" w:rsidRPr="008E5B32">
        <w:rPr>
          <w:lang w:val="en-GB"/>
        </w:rPr>
        <w:instrText>ADDIN CSL_CITATION {"citationItems":[{"id":"ITEM-1","itemData":{"DOI":"10.1038/srep34256","ISBN":"2045-2322","ISSN":"20452322","PMID":"27694824","abstract":"A Statistical Learning Framework for Materials Science: Application to Elastic Moduli of &lt;i&gt;k&lt;/i&gt;-nary Inorganic Polycrystalline Compounds","author":[{"dropping-particle":"","family":"Jong","given":"Maarten","non-dropping-particle":"De","parse-names":false,"suffix":""},{"dropping-particle":"","family":"Chen","given":"Wei","non-dropping-particle":"","parse-names":false,"suffix":""},{"dropping-particle":"","family":"Notestine","given":"Randy","non-dropping-particle":"","parse-names":false,"suffix":""},{"dropping-particle":"","family":"Persson","given":"Kristin","non-dropping-particle":"","parse-names":false,"suffix":""},{"dropping-particle":"","family":"Ceder","given":"Gerbrand","non-dropping-particle":"","parse-names":false,"suffix":""},{"dropping-particle":"","family":"Jain","given":"Anubhav","non-dropping-particle":"","parse-names":false,"suffix":""},{"dropping-particle":"","family":"Asta","given":"Mark","non-dropping-particle":"","parse-names":false,"suffix":""},{"dropping-particle":"","family":"Gamst","given":"Anthony","non-dropping-particle":"","parse-names":false,"suffix":""}],"container-title":"Scientific Reports","id":"ITEM-1","issued":{"date-parts":[["2016"]]},"title":"A Statistical Learning Framework for Materials Science: Application to Elastic Moduli of k-nary Inorganic Polycrystalline Compounds","type":"article-journal"},"uris":["http://www.mendeley.com/documents/?uuid=5367fcad-9218-448a-84b2-e8be5b88fae8","http://www.mendeley.com/documents/?uuid=ba12dc96-114b-4aed-9b47-a41c2ed74071","http://www.mendeley.com/documents/?uuid=1f677ce1-c798-45cf-86bd-ea5a04f0d7b9"]}],"mendeley":{"formattedCitation":"&lt;sup&gt;152&lt;/sup&gt;","plainTextFormattedCitation":"152","previouslyFormattedCitation":"&lt;sup&gt;152&lt;/sup&gt;"},"properties":{"noteIndex":0},"schema":"https://github.com/citation-style-language/schema/raw/master/csl-citation.json"}</w:instrText>
      </w:r>
      <w:r w:rsidR="009C10F3" w:rsidRPr="008E5B32">
        <w:fldChar w:fldCharType="separate"/>
      </w:r>
      <w:r w:rsidR="004C12A8" w:rsidRPr="008E5B32">
        <w:rPr>
          <w:noProof/>
          <w:vertAlign w:val="superscript"/>
          <w:lang w:val="en-GB"/>
        </w:rPr>
        <w:t>152</w:t>
      </w:r>
      <w:r w:rsidR="009C10F3" w:rsidRPr="008E5B32">
        <w:fldChar w:fldCharType="end"/>
      </w:r>
      <w:r w:rsidR="009C10F3" w:rsidRPr="008E5B32">
        <w:rPr>
          <w:lang w:val="en-GB"/>
        </w:rPr>
        <w:t>, like for instance computer vision or bioinformatics.</w:t>
      </w:r>
      <w:r w:rsidR="001809F0" w:rsidRPr="008E5B32">
        <w:rPr>
          <w:lang w:val="en-GB"/>
        </w:rPr>
        <w:t xml:space="preserve"> </w:t>
      </w:r>
      <w:r w:rsidR="006C7B43" w:rsidRPr="008E5B32">
        <w:rPr>
          <w:lang w:val="en-GB"/>
        </w:rPr>
        <w:t xml:space="preserve">Zhang and Ling (2018) </w:t>
      </w:r>
      <w:r w:rsidR="006C7B43" w:rsidRPr="008E5B32">
        <w:fldChar w:fldCharType="begin" w:fldLock="1"/>
      </w:r>
      <w:r w:rsidR="00434385" w:rsidRPr="008E5B32">
        <w:rPr>
          <w:lang w:val="en-GB"/>
        </w:rPr>
        <w:instrText>ADDIN CSL_CITATION {"citationItems":[{"id":"ITEM-1","itemData":{"DOI":"10.1038/s41524-018-0081-z","ISSN":"20573960","abstract":"There is growing interest in applying machine learning techniques in the research of materials science. However, although it is recognized that materials datasets are typically smaller and sometimes more diverse compared to other fields, the influence of availability of materials data on training machine learning models has not yet been studied, which prevents the possibility to establish accurate predictive rules using small materials datasets. Here we analyzed the fundamental interplay between the availability of materials data and the predictive capability of machine learning models. Instead of affecting the model precision directly, the effect of data size is mediated by the degree of freedom (DoF) of model, resulting in the phenomenon of association between precision and DoF. The appearance of precision–DoF association signals the issue of underfitting and is characterized by large bias of prediction, which consequently restricts the accurate prediction in unknown domains. We proposed to incorporate the crude estimation of property in the feature space to establish ML models using small sized materials data, which increases the accuracy of prediction without the cost of higher DoF. In three case studies of predicting the band gap of binary semiconductors, lattice thermal conductivity, and elastic properties of zeolites, the integration of crude estimation effectively boosted the predictive capability of machine learning models to state-of-art levels, demonstrating the generality of the proposed strategy to construct accurate machine learning models using small materials dataset.","author":[{"dropping-particle":"","family":"Zhang","given":"Ying","non-dropping-particle":"","parse-names":false,"suffix":""},{"dropping-particle":"","family":"Ling","given":"Chen","non-dropping-particle":"","parse-names":false,"suffix":""}],"container-title":"npj Computational Materials","id":"ITEM-1","issued":{"date-parts":[["2018"]]},"title":"A strategy to apply machine learning to small datasets in materials science","type":"article-journal"},"uris":["http://www.mendeley.com/documents/?uuid=b024f7f5-ecf9-4054-91f3-a4decb81feb3","http://www.mendeley.com/documents/?uuid=6fa3aff7-ffaf-475c-b94b-b296ce466d5c"]}],"mendeley":{"formattedCitation":"&lt;sup&gt;153&lt;/sup&gt;","plainTextFormattedCitation":"153","previouslyFormattedCitation":"&lt;sup&gt;153&lt;/sup&gt;"},"properties":{"noteIndex":0},"schema":"https://github.com/citation-style-language/schema/raw/master/csl-citation.json"}</w:instrText>
      </w:r>
      <w:r w:rsidR="006C7B43" w:rsidRPr="008E5B32">
        <w:fldChar w:fldCharType="separate"/>
      </w:r>
      <w:r w:rsidR="004C12A8" w:rsidRPr="008E5B32">
        <w:rPr>
          <w:noProof/>
          <w:vertAlign w:val="superscript"/>
          <w:lang w:val="en-GB"/>
        </w:rPr>
        <w:t>153</w:t>
      </w:r>
      <w:r w:rsidR="006C7B43" w:rsidRPr="008E5B32">
        <w:fldChar w:fldCharType="end"/>
      </w:r>
      <w:r w:rsidR="001809F0" w:rsidRPr="008E5B32">
        <w:rPr>
          <w:lang w:val="en-GB"/>
        </w:rPr>
        <w:t xml:space="preserve"> </w:t>
      </w:r>
      <w:r w:rsidR="006C7B43" w:rsidRPr="008E5B32">
        <w:rPr>
          <w:lang w:val="en-GB"/>
        </w:rPr>
        <w:t xml:space="preserve">reviewed 15 recent case studies on the band gap of binary semiconductors, lattice thermal conductivity, and elastic properties of zeolites, to propose a strategy on how to increase the predictive ability of small datasets. Such case studies, selected as representative works modelling “small datasets”, </w:t>
      </w:r>
      <w:r w:rsidR="005A3774" w:rsidRPr="008E5B32">
        <w:rPr>
          <w:lang w:val="en-GB"/>
        </w:rPr>
        <w:t xml:space="preserve">modelled datasets </w:t>
      </w:r>
      <w:r w:rsidR="006C7B43" w:rsidRPr="008E5B32">
        <w:rPr>
          <w:lang w:val="en-GB"/>
        </w:rPr>
        <w:t>ran</w:t>
      </w:r>
      <w:r w:rsidR="005A3774" w:rsidRPr="008E5B32">
        <w:rPr>
          <w:lang w:val="en-GB"/>
        </w:rPr>
        <w:t>ging</w:t>
      </w:r>
      <w:r w:rsidR="006C7B43" w:rsidRPr="008E5B32">
        <w:rPr>
          <w:lang w:val="en-GB"/>
        </w:rPr>
        <w:t xml:space="preserve"> from 100 to about 20000 samples. </w:t>
      </w:r>
      <w:r w:rsidR="007B0277" w:rsidRPr="008E5B32">
        <w:rPr>
          <w:lang w:val="en-GB"/>
        </w:rPr>
        <w:t>Nanoinformatics</w:t>
      </w:r>
      <w:r w:rsidR="005A3774" w:rsidRPr="008E5B32">
        <w:rPr>
          <w:lang w:val="en-GB"/>
        </w:rPr>
        <w:t xml:space="preserve"> usually</w:t>
      </w:r>
      <w:r w:rsidR="007B0277" w:rsidRPr="008E5B32">
        <w:rPr>
          <w:lang w:val="en-GB"/>
        </w:rPr>
        <w:t xml:space="preserve"> deals with even smaller datasets</w:t>
      </w:r>
      <w:r w:rsidR="005A3774" w:rsidRPr="008E5B32">
        <w:rPr>
          <w:lang w:val="en-GB"/>
        </w:rPr>
        <w:t xml:space="preserve">: </w:t>
      </w:r>
      <w:r w:rsidR="007B0277" w:rsidRPr="008E5B32">
        <w:rPr>
          <w:lang w:val="en-GB"/>
        </w:rPr>
        <w:t>indeed, t</w:t>
      </w:r>
      <w:r w:rsidR="006C7B43" w:rsidRPr="008E5B32">
        <w:rPr>
          <w:lang w:val="en-GB"/>
        </w:rPr>
        <w:t xml:space="preserve">he approaches </w:t>
      </w:r>
      <w:r w:rsidR="007B0277" w:rsidRPr="008E5B32">
        <w:rPr>
          <w:lang w:val="en-GB"/>
        </w:rPr>
        <w:t xml:space="preserve">reviewed in this manuscript modelled datasets ranging from a minimum of 7 samples </w:t>
      </w:r>
      <w:r w:rsidR="007B0277" w:rsidRPr="008E5B32">
        <w:fldChar w:fldCharType="begin" w:fldLock="1"/>
      </w:r>
      <w:r w:rsidR="00434385" w:rsidRPr="008E5B32">
        <w:rPr>
          <w:lang w:val="en-GB"/>
        </w:rPr>
        <w:instrText>ADDIN CSL_CITATION {"citationItems":[{"id":"ITEM-1","itemData":{"DOI":"10.1021/acsnano.5b04420","ISSN":"1936-086X","PMID":"26284985","abstract":"It has been argued that in vitro toxicity testing of engineered nanoparticles (NPs) should consider delivered dose (i.e., NP mass settled per suspension volume) rather than relying exclusively on administered dose (initial NP mass concentration). Delivered dose calculations require quantification of NP sedimentation in tissue cell culture media, taking into consideration fundamental suspension properties. In this article, we calculate delivered dose using a first-principles \"particles in a box\" sedimentation model, which accounts for the particle size distribution, fractal dimension, and permeability of agglomerated NPs. The sedimentation model was evaluated against external and our own experimental sedimentation data for metal oxide NPs. We then utilized the model to construct delivered dose-response analysis for a library of metal oxide NPs (previously used for hazard ranking and prediction making) in different cell culture media. Hierarchical hazard ranking of the seven (out of 24) toxic metal oxide NPs in our library, using EC50 calculated on the basis of delivered dose, did not measurably differ from our ranking based on administered dose. In contrast, simplified sedimentation calculations based on the assumption of impermeable NP agglomerates of a single average size significantly underestimated the settled NPs' mass, resulting in misinterpretation of toxicity ranking. It is acknowledged that in vitro dose-response outcomes are likely to be shaped by complex toxicodynamics, which include NP/cellular association, triggering of dynamic cell response pathways involved in NP uptake, and multiple physicochemical parameters that influence NP sedimentation and internalization.","author":[{"dropping-particle":"","family":"Liu","given":"Rong","non-dropping-particle":"","parse-names":false,"suffix":""},{"dropping-particle":"","family":"Liu","given":"Haoyang Haven","non-dropping-particle":"","parse-names":false,"suffix":""},{"dropping-particle":"","family":"Ji","given":"Zhaoxia","non-dropping-particle":"","parse-names":false,"suffix":""},{"dropping-particle":"","family":"Chang","given":"Chong Hyun","non-dropping-particle":"","parse-names":false,"suffix":""},{"dropping-particle":"","family":"Xia","given":"Tian","non-dropping-particle":"","parse-names":false,"suffix":""},{"dropping-particle":"","family":"Nel","given":"Andre E","non-dropping-particle":"","parse-names":false,"suffix":""},{"dropping-particle":"","family":"Cohen","given":"Yoram","non-dropping-particle":"","parse-names":false,"suffix":""}],"container-title":"ACS nano","id":"ITEM-1","issue":"9","issued":{"date-parts":[["2015","9"]]},"language":"EN","page":"9303-13","publisher":"American Chemical Society","title":"Evaluation of Toxicity Ranking for Metal Oxide Nanoparticles via an in Vitro Dosimetry Model.","type":"article-journal","volume":"9"},"suppress-author":1,"uris":["http://www.mendeley.com/documents/?uuid=f2dfb1c7-111b-4ae5-a26b-6493d098f2bf","http://www.mendeley.com/documents/?uuid=3a70ebe8-ca03-41f0-95ef-652d29bba4a1","http://www.mendeley.com/documents/?uuid=c4eaa5f4-c329-48c3-be19-d523b5baa5e1","http://www.mendeley.com/documents/?uuid=1d128681-a23a-48db-a0a2-13d156c1ff27"]}],"mendeley":{"formattedCitation":"&lt;sup&gt;82&lt;/sup&gt;","plainTextFormattedCitation":"82","previouslyFormattedCitation":"&lt;sup&gt;82&lt;/sup&gt;"},"properties":{"noteIndex":0},"schema":"https://github.com/citation-style-language/schema/raw/master/csl-citation.json"}</w:instrText>
      </w:r>
      <w:r w:rsidR="007B0277" w:rsidRPr="008E5B32">
        <w:fldChar w:fldCharType="separate"/>
      </w:r>
      <w:r w:rsidR="004C12A8" w:rsidRPr="008E5B32">
        <w:rPr>
          <w:noProof/>
          <w:vertAlign w:val="superscript"/>
        </w:rPr>
        <w:t>82</w:t>
      </w:r>
      <w:r w:rsidR="007B0277" w:rsidRPr="008E5B32">
        <w:fldChar w:fldCharType="end"/>
      </w:r>
      <w:r w:rsidR="007B0277" w:rsidRPr="008E5B32">
        <w:t xml:space="preserve"> to a maximum of 2308 samples </w:t>
      </w:r>
      <w:r w:rsidR="007B0277" w:rsidRPr="008E5B32">
        <w:fldChar w:fldCharType="begin" w:fldLock="1"/>
      </w:r>
      <w:r w:rsidR="00434385" w:rsidRPr="008E5B32">
        <w:instrText>ADDIN CSL_CITATION {"citationItems":[{"id":"ITEM-1","itemData":{"DOI":"10.1186/1743-8977-10-32","ISBN":"1743-8977 (Electronic)\\r1743-8977 (Linking)","ISSN":"1743-8977","PMID":"23895432","abstract":"BACKGROUND: Cobalt-ferrite nanoparticles (Co-Fe NPs) are attractive for nanotechnology-based therapies. Thus, exploring their effect on viability of seven different cell lines representing different organs of the human body is highly important.\\n\\nMETHODS: The toxicological effects of Co-Fe NPs were studied by in-vitro exposure of A549 and NCIH441 cell-lines (lung), precision-cut lung slices from rat, HepG2 cell-line (liver), MDCK cell-line (kidney), Caco-2 TC7 cell-line (intestine), TK6 (lymphoblasts) and primary mouse dendritic-cells. Toxicity was examined following exposure to Co-Fe NPs in the concentration range of 0.05 -1.2 mM for 24 and 72 h, using Alamar blue, MTT and neutral red assays. Changes in oxidative stress were determined by a dichlorodihydrofluorescein diacetate based assay. Data analysis and predictive modeling of the obtained data sets were executed by employing methods of Knowledge Discovery from Data with emphasis on a decision tree model (J48).\\n\\nRESULTS: Different dose-response curves of cell viability were obtained for each of the seven cell lines upon exposure to Co-Fe NPs. Increase of oxidative stress was induced by Co-Fe NPs and found to be dependent on the cell type. A high linear correlation (R2=0.97) was found between the toxicity of Co-Fe NPs and the extent of ROS generation following their exposure to Co-Fe NPs. The algorithm we applied to model the observed toxicity belongs to a type of supervised classifier. The decision tree model yielded the following order with decrease of the ranking parameter: NP concentrations (as the most influencing parameter), cell type (possessing the following hierarchy of cell sensitivity towards viability decrease: TK6 &gt; Lung slices &gt; NCIH441 &gt; Caco-2 = MDCK &gt; A549 &gt; HepG2 = Dendritic) and time of exposure, where the highest-ranking parameter (NP concentration) provides the highest information gain with respect to toxicity. The validity of the chosen decision tree model J48 was established by yielding a higher accuracy than that of the well-known \"naive bayes\" classifier.\\n\\nCONCLUSIONS: The observed correlation between the oxidative stress, caused by the presence of the Co-Fe NPs, with the hierarchy of sensitivity of the different cell types towards toxicity, suggests that oxidative stress is one possible mechanism for the toxicity of Co-Fe NPs.","author":[{"dropping-particle":"","family":"Horev-Azaria","given":"Limor","non-dropping-particle":"","parse-names":false,"suffix":""},{"dropping-particle":"","family":"Baldi","given":"Giovanni","non-dropping-particle":"","parse-names":false,"suffix":""},{"dropping-particle":"","family":"Beno","given":"Delila","non-dropping-particle":"","parse-names":false,"suffix":""},{"dropping-particle":"","family":"Bonacchi","given":"Daniel","non-dropping-particle":"","parse-names":false,"suffix":""},{"dropping-particle":"","family":"Golla-Schindler","given":"Ute","non-dropping-particle":"","parse-names":false,"suffix":""},{"dropping-particle":"","family":"Kirkpatrick","given":"James C","non-dropping-particle":"","parse-names":false,"suffix":""},{"dropping-particle":"","family":"Kolle","given":"Susanne","non-dropping-particle":"","parse-names":false,"suffix":""},{"dropping-particle":"","family":"Landsiedel","given":"Robert","non-dropping-particle":"","parse-names":false,"suffix":""},{"dropping-particle":"","family":"Maimon","given":"Oded","non-dropping-particle":"","parse-names":false,"suffix":""},{"dropping-particle":"","family":"Marche","given":"Patrice N","non-dropping-particle":"","parse-names":false,"suffix":""},{"dropping-particle":"","family":"Ponti","given":"Jessica","non-dropping-particle":"","parse-names":false,"suffix":""},{"dropping-par</w:instrText>
      </w:r>
      <w:r w:rsidR="00434385" w:rsidRPr="008E5B32">
        <w:rPr>
          <w:lang w:val="en-US"/>
        </w:rPr>
        <w:instrText>ticle":"","family":"Romano","given":"Roni","non-dropping-particle":"","parse-names":false,"suffix":""},{"dropping-particle":"","family":"Rossi","given":"François","non-dropping-particle":"","parse-names":false,"suffix":""},{"dropping-particle":"","family":"Sommer","given":"Dieter","non-dropping-particle":"","parse-names":false,"suffix":""},{"dropping-particle":"","family":"Uboldi","given":"Chiara","non-dropping-particle":"","parse-names":false,"suffix":""},{"dropping-particle":"","family":"Unger","given":"Ronald E","non-dropping-particle":"","parse-names":false,"suffix":""},{"dropping-particle":"","family":"Villiers","given":"Christian","non-dropping-particle":"","parse-names":false,"suffix":""},{"dropping-particle":"","family":"Korenstein","given":"Rafi","non-dropping-particle":"","parse-names":false,"suffix":""}],"container-title":"Particle and Fibre Toxicology","id":"ITEM-1","issue":"1","issued":{"date-parts":[["2013"]]},"page":"32","title":"Predictive Toxicology of cobalt ferrite nanoparticles: comparative in-vitro study of different cellular models using methods of knowledge discovery from data","type":"article-journal","volume":"10"},"uris":["http://www.mendeley.com/documents/?uuid=f923a23e-4eca-4a06-93f0-7d09c9234ffc"]}],"mendeley":{"formattedCitation":"&lt;sup&gt;116&lt;/sup&gt;","plainTextFormattedCitation":"116","previouslyFormattedCitation":"&lt;sup&gt;116&lt;/sup&gt;"},"properties":{"noteIndex":0},"schema":"https://github.com/citation-style-language/schema/raw/master/csl-citation.json"}</w:instrText>
      </w:r>
      <w:r w:rsidR="007B0277" w:rsidRPr="008E5B32">
        <w:fldChar w:fldCharType="separate"/>
      </w:r>
      <w:r w:rsidR="004C12A8" w:rsidRPr="008E5B32">
        <w:rPr>
          <w:noProof/>
          <w:vertAlign w:val="superscript"/>
          <w:lang w:val="en-GB"/>
        </w:rPr>
        <w:t>116</w:t>
      </w:r>
      <w:r w:rsidR="007B0277" w:rsidRPr="008E5B32">
        <w:fldChar w:fldCharType="end"/>
      </w:r>
      <w:r w:rsidR="007B0277" w:rsidRPr="008E5B32">
        <w:rPr>
          <w:lang w:val="en-GB"/>
        </w:rPr>
        <w:t xml:space="preserve"> (cfr. </w:t>
      </w:r>
      <w:r w:rsidR="007B0277" w:rsidRPr="008E5B32">
        <w:fldChar w:fldCharType="begin"/>
      </w:r>
      <w:r w:rsidR="007B0277" w:rsidRPr="008E5B32">
        <w:rPr>
          <w:lang w:val="en-GB"/>
        </w:rPr>
        <w:instrText xml:space="preserve"> REF _Ref517446312 \h  \* MERGEFORMAT </w:instrText>
      </w:r>
      <w:r w:rsidR="007B0277" w:rsidRPr="008E5B32">
        <w:fldChar w:fldCharType="separate"/>
      </w:r>
      <w:r w:rsidR="00785247" w:rsidRPr="008E5B32">
        <w:rPr>
          <w:lang w:val="en-GB"/>
        </w:rPr>
        <w:t xml:space="preserve">Table </w:t>
      </w:r>
      <w:r w:rsidR="00785247" w:rsidRPr="008E5B32">
        <w:rPr>
          <w:noProof/>
          <w:lang w:val="en-GB"/>
        </w:rPr>
        <w:t>3</w:t>
      </w:r>
      <w:r w:rsidR="007B0277" w:rsidRPr="008E5B32">
        <w:fldChar w:fldCharType="end"/>
      </w:r>
      <w:r w:rsidR="007B0277" w:rsidRPr="008E5B32">
        <w:rPr>
          <w:lang w:val="en-GB"/>
        </w:rPr>
        <w:t xml:space="preserve"> and </w:t>
      </w:r>
      <w:r w:rsidR="007B0277" w:rsidRPr="008E5B32">
        <w:fldChar w:fldCharType="begin"/>
      </w:r>
      <w:r w:rsidR="007B0277" w:rsidRPr="008E5B32">
        <w:rPr>
          <w:lang w:val="en-GB"/>
        </w:rPr>
        <w:instrText xml:space="preserve"> REF _Ref506571074 \h  \* MERGEFORMAT </w:instrText>
      </w:r>
      <w:r w:rsidR="007B0277" w:rsidRPr="008E5B32">
        <w:fldChar w:fldCharType="separate"/>
      </w:r>
      <w:r w:rsidR="00785247" w:rsidRPr="008E5B32">
        <w:rPr>
          <w:lang w:val="en-GB"/>
        </w:rPr>
        <w:t xml:space="preserve">Table </w:t>
      </w:r>
      <w:r w:rsidR="00785247" w:rsidRPr="008E5B32">
        <w:rPr>
          <w:noProof/>
          <w:lang w:val="en-GB"/>
        </w:rPr>
        <w:t>4</w:t>
      </w:r>
      <w:r w:rsidR="007B0277" w:rsidRPr="008E5B32">
        <w:fldChar w:fldCharType="end"/>
      </w:r>
      <w:r w:rsidR="007B0277" w:rsidRPr="008E5B32">
        <w:rPr>
          <w:lang w:val="en-GB"/>
        </w:rPr>
        <w:t xml:space="preserve">), </w:t>
      </w:r>
      <w:r w:rsidR="005A3774" w:rsidRPr="008E5B32">
        <w:rPr>
          <w:lang w:val="en-GB"/>
        </w:rPr>
        <w:t xml:space="preserve">with roughly the 70% of the approaches modelling less than 100 samples, and </w:t>
      </w:r>
      <w:r w:rsidR="007B0277" w:rsidRPr="008E5B32">
        <w:rPr>
          <w:lang w:val="en-GB"/>
        </w:rPr>
        <w:t xml:space="preserve">being the approach of Horev-Azaria et al. (2013) </w:t>
      </w:r>
      <w:r w:rsidR="007B0277" w:rsidRPr="008E5B32">
        <w:fldChar w:fldCharType="begin" w:fldLock="1"/>
      </w:r>
      <w:r w:rsidR="00434385" w:rsidRPr="008E5B32">
        <w:rPr>
          <w:lang w:val="en-GB"/>
        </w:rPr>
        <w:instrText>ADDIN CSL_CITATION {"citationItems":[{"id":"ITEM-1","itemData":{"DOI":"10.1186/1743-8977-10-32","ISBN":"1743-8977 (Electronic)\\r1743-8977 (Linking)","ISSN":"1743-8977","PMID":"23895432","abstract":"BACKGROUND: Cobalt-ferrite nanoparticles (Co-Fe NPs) are attractive for nanotechnology-based therapies. Thus, exploring their effect on viability of seven different cell lines representing different organs of the human body is highly important.\\n\\nMETHODS: The toxicological effects of Co-Fe NPs were studied by in-vitro exposure of A549 and NCIH441 cell-lines (lung), precision-cut lung slices from rat, HepG2 cell-line (liver), MDCK cell-line (kidney), Caco-2 TC7 cell-line (intestine), TK6 (lymphoblasts) and primary mouse dendritic-cells. Toxicity was examined following exposure to Co-Fe NPs in the concentration range of 0.05 -1.2 mM for 24 and 72 h, using Alamar blue, MTT and neutral red assays. Changes in oxidative stress were determined by a dichlorodihydrofluorescein diacetate based assay. Data analysis and predictive modeling of the obtained data sets were executed by employing methods of Knowledge Discovery from Data with emphasis on a decision tree model (J48).\\n\\nRESULTS: Different dose-response curves of cell viability were obtained for each of the seven cell lines upon exposure to Co-Fe NPs. Increase of oxidative stress was induced by Co-Fe NPs and found to be dependent on the cell type. A high linear correlation (R2=0.97) was found between the toxicity of Co-Fe NPs and the extent of ROS generation following their exposure to Co-Fe NPs. The algorithm we applied to model the observed toxicity belongs to a type of supervised classifier. The decision tree model yielded the following order with decrease of the ranking parameter: NP concentrations (as the most influencing parameter), cell type (possessing the following hierarchy of cell sensitivity towards viability decrease: TK6 &gt; Lung slices &gt; NCIH441 &gt; Caco-2 = MDCK &gt; A549 &gt; HepG2 = Dendritic) and time of exposure, where the highest-ranking parameter (NP concentration) provides the highest information gain with respect to toxicity. The validity of the chosen decision tree model J48 was established by yielding a higher accuracy than that of the well-known \"naive bayes\" classifier.\\n\\nCONCLUSIONS: The observed correlation between the oxidative stress, caused by the presence of the Co-Fe NPs, with the hierarchy of sensitivity of the different cell types towards toxicity, suggests that oxidative stress is one possible mechanism for the toxicity of Co-Fe NPs.","author":[{"dropping-particle":"","family":"Horev-Azaria","given":"Limor","non-dropping-particle":"","parse-names":false,"suffix":""},{"dropping-particle":"","family":"Baldi","given":"Giovanni","non-dropping-particle":"","parse-names":false,"suffix":""},{"dropping-particle":"","family":"Beno","given":"Delila","non-dropping-particle":"","parse-names":false,"suffix":""},{"dropping-particle":"","family":"Bonacchi","given":"Daniel","non-dropping-particle":"","parse-names":false,"suffix":""},{"dropping-particle":"","family":"Golla-Schindler","given":"Ute","non-dropping-particle":"","parse-names":false,"suffix":""},{"dropping-particle":"","family":"Kirkpatrick","given":"James C","non-dropping-particle":"","parse-names":false,"suffix":""},{"dropping-particle":"","family":"Kolle","given":"Susanne","non-dropping-particle":"","parse-names":false,"suffix":""},{"dropping-particle":"","family":"Landsiedel","given":"Robert","non-dropping-particle":"","parse-names":false,"suffix":""},{"dropping-particle":"","family":"Maimon","given":"Oded","non-dropping-particle":"","parse-names":false,"suffix":""},{"dropping-particle":"","family":"Marche","given":"Patrice N","non-dropping-particle":"","parse-names":false,"suffix":""},{"dropping-particle":"","family":"Ponti","given":"Jessica","non-dropping-particle":"","parse-names":false,"suffix":""},{"dropping-particle":"","family":"Romano","given":"Roni","non-dropping-particle":"","parse-names":false,"suffix":""},{"dropping-particle":"","family":"Rossi","given":"François","non-dropping-particle":"","parse-names":false,"suffix":""},{"dropping-particle":"","family":"Sommer","given":"Dieter","non-dropping-particle":"","parse-names":false,"suffix":""},{"dropping-particle":"","family":"Uboldi","given":"Chiara","non-dropping-particle":"","parse-names":false,"suffix":""},{"dropping-particle":"","family":"Unger","given":"Ronald E","non-dropping-particle":"","parse-names":false,"suffix":""},{"dropping-particle":"","family":"Villiers","given":"Christian","non-dropping-particle":"","parse-names":false,"suffix":""},{"dropping-particle":"","family":"Korenstein","given":"Rafi","non-dropping-particle":"","parse-names":false,"suffix":""}],"container-title":"Particle and Fibre Toxicology","id":"ITEM-1","issue":"1","issued":{"date-parts":[["2013"]]},"page":"32","title":"Predictive Toxicology of cobalt ferrite nanoparticles: comparative in-vitro study of different cellular models using methods of knowledge discovery from data","type":"article-journal","volume":"10"},"uris":["http://www.mendeley.com/documents/?uuid=f923a23e-4eca-4a06-93f0-7d09c9234ffc"]}],"mendeley":{"formattedCitation":"&lt;sup&gt;116&lt;/sup&gt;","plainTextFormattedCitation":"116","previouslyFormattedCitation":"&lt;sup&gt;116&lt;/sup&gt;"},"properties":{"noteIndex":0},"schema":"https://github.com/citation-style-language/schema/raw/master/csl-citation.json"}</w:instrText>
      </w:r>
      <w:r w:rsidR="007B0277" w:rsidRPr="008E5B32">
        <w:fldChar w:fldCharType="separate"/>
      </w:r>
      <w:r w:rsidR="004C12A8" w:rsidRPr="008E5B32">
        <w:rPr>
          <w:noProof/>
          <w:vertAlign w:val="superscript"/>
          <w:lang w:val="en-GB"/>
        </w:rPr>
        <w:t>116</w:t>
      </w:r>
      <w:r w:rsidR="007B0277" w:rsidRPr="008E5B32">
        <w:fldChar w:fldCharType="end"/>
      </w:r>
      <w:r w:rsidR="005A3774" w:rsidRPr="008E5B32">
        <w:rPr>
          <w:lang w:val="en-GB"/>
        </w:rPr>
        <w:t xml:space="preserve"> </w:t>
      </w:r>
      <w:r w:rsidR="007B0277" w:rsidRPr="008E5B32">
        <w:rPr>
          <w:lang w:val="en-GB"/>
        </w:rPr>
        <w:t>the only one dealing with thousands of samples</w:t>
      </w:r>
      <w:r w:rsidR="005A3774" w:rsidRPr="008E5B32">
        <w:rPr>
          <w:lang w:val="en-GB"/>
        </w:rPr>
        <w:t>.</w:t>
      </w:r>
      <w:r w:rsidR="007B0277" w:rsidRPr="008E5B32">
        <w:rPr>
          <w:lang w:val="en-GB"/>
        </w:rPr>
        <w:t xml:space="preserve"> </w:t>
      </w:r>
      <w:r w:rsidR="005A3774" w:rsidRPr="008E5B32">
        <w:rPr>
          <w:lang w:val="en-GB"/>
        </w:rPr>
        <w:t xml:space="preserve">This is a potential issue affecting the predictive ability of he reviewed models, since it is well recognized that ML algorithms usually work better when trained with a sufficiently large number of samples </w:t>
      </w:r>
      <w:r w:rsidR="005A3774" w:rsidRPr="008E5B32">
        <w:fldChar w:fldCharType="begin" w:fldLock="1"/>
      </w:r>
      <w:r w:rsidR="004C12A8" w:rsidRPr="008E5B32">
        <w:rPr>
          <w:lang w:val="en-GB"/>
        </w:rPr>
        <w:instrText>ADDIN CSL_CITATION {"citationItems":[{"id":"ITEM-1","itemData":{"DOI":"10.1016/j.aca.2012.11.007","ISBN":"1873-4324 (Electronic)\\r0003-2670 (Linking)","ISSN":"00032670","PMID":"23265730","abstract":"In biospectroscopy, suitably annotated and statistically independent samples (e.g. patients, batches, etc.) for classifier training and testing are scarce and costly. Learning curves show the model performance as function of the training sample size and can help to determine the sample size needed to train good classifiers. However, building a good model is actually not enough: the performance must also be proven. We discuss learning curves for typical small sample size situations with 5-25 independent samples per class. Although the classification models achieve acceptable performance, the learning curve can be completely masked by the random testing uncertainty due to the equally limited test sample size. In consequence, we determine test sample sizes necessary to achieve reasonable precision in the validation and find that 75-100 samples will usually be needed to test a good but not perfect classifier. Such a data set will then allow refined sample size planning on the basis of the achieved performance. We also demonstrate how to calculate necessary sample sizes in order to show the superiority of one classifier over another: this often requires hundreds of statistically independent test samples or is even theoretically impossible. We demonstrate our findings with a data set of ca. 2550 Raman spectra of single cells (five classes: erythrocytes, leukocytes and three tumour cell lines BT-20, MCF-7 and OCI-AML3) as well as by an extensive simulation that allows precise determination of the actual performance of the models in question. © 2012 Elsevier B.V.","author":[{"dropping-particle":"","family":"Beleites","given":"Claudia","non-dropping-particle":"","parse-names":false,"suffix":""},{"dropping-particle":"","family":"Neugebauer","given":"Ute","non-dropping-particle":"","parse-names":false,"suffix":""},{"dropping-particle":"","family":"Bocklitz","given":"Thomas","non-dropping-particle":"","parse-names":false,"suffix":""},{"dropping-particle":"","family":"Krafft","given":"Christoph","non-dropping-particle":"","parse-names":false,"suffix":""},{"dropping-particle":"","family":"Popp","given":"Jürgen","non-dropping-particle":"","parse-names":false,"suffix":""}],"container-title":"Analytica Chimica Acta","id":"ITEM-1","issued":{"date-parts":[["2013"]]},"page":"25-33","title":"Sample size planning for classification models","type":"article-journal","volume":"760"},"uris":["http://www.mendeley.com/documents/?uuid=339f2f2c-08f2-411f-9c60-5c5797d49f7e"]},{"id":"ITEM-2","itemData":{"DOI":"10.1289/ehp.5758","ISBN":"0091-6765","ISSN":"00916765","PMID":"12896860","abstract":"This article provides an overview of methods for reliability assessment of quantitative structure-activity relationship (QSAR) models in the context of regulatory acceptance of human health and environmental QSARs. Useful diagnostic tools and data analytical approaches are highlighted and exemplified. Particular emphasis is given to the question of how to define the applicability borders of a QSAR and how to estimate parameter and prediction uncertainty. The article ends with a discussion regarding QSAR acceptability criteria. This discussion contains a list of recommended acceptability criteria, and we give reference values for important QSAR performance statistics. Finally, we emphasize that rigorous and independent validation of QSARs is an essential step toward their regulatory acceptance and implementation.","author":[{"dropping-particle":"","family":"Eriksson","given":"Lennart","non-dropping-particle":"","parse-names":false,"suffix":""},{"dropping-particle":"","family":"Jaworska","given":"Joanna","non-dropping-particle":"","parse-names":false,"suffix":""},{"dropping-particle":"","family":"Worth","given":"Andrew P.","non-dropping-particle":"","parse-names":false,"suffix":""},{"dropping-particle":"","family":"Cronin","given":"Mark T.D.","non-dropping-particle":"","parse-names":false,"suffix":""},{"dropping-particle":"","family":"McDowell","given":"Robert M.","non-dropping-particle":"","parse-names":false,"suffix":""},{"dropping-particle":"","family":"Gramatica","given":"Paola","non-dropping-particle":"","parse-names":false,"suffix":""}],"container-title":"Environmental Health Perspectives","id":"ITEM-2","issue":"10","issued":{"date-parts":[["2003"]]},"page":"1361-1375","title":"Methods for reliability and uncertainty assessment and for applicability evaluations of classification- and regression-based QSARs","type":"article","volume":"111"},"uris":["http://www.mendeley.com/documents/?uuid=4b76a516-1a5a-489b-b921-8417a85fadfa"]}],"mendeley":{"formattedCitation":"&lt;sup&gt;51,52&lt;/sup&gt;","plainTextFormattedCitation":"51,52","previouslyFormattedCitation":"&lt;sup&gt;51,52&lt;/sup&gt;"},"properties":{"noteIndex":0},"schema":"https://github.com/citation-style-language/schema/raw/master/csl-citation.json"}</w:instrText>
      </w:r>
      <w:r w:rsidR="005A3774" w:rsidRPr="008E5B32">
        <w:fldChar w:fldCharType="separate"/>
      </w:r>
      <w:r w:rsidR="005D1733" w:rsidRPr="008E5B32">
        <w:rPr>
          <w:noProof/>
          <w:vertAlign w:val="superscript"/>
          <w:lang w:val="en-GB"/>
        </w:rPr>
        <w:t>51,52</w:t>
      </w:r>
      <w:r w:rsidR="005A3774" w:rsidRPr="008E5B32">
        <w:fldChar w:fldCharType="end"/>
      </w:r>
      <w:r w:rsidR="005A3774" w:rsidRPr="008E5B32">
        <w:rPr>
          <w:lang w:val="en-GB"/>
        </w:rPr>
        <w:t>.</w:t>
      </w:r>
    </w:p>
    <w:p w14:paraId="235826D6" w14:textId="06DA5B5B" w:rsidR="00696E11" w:rsidRPr="008E5B32" w:rsidRDefault="00696E11" w:rsidP="00E84CE7">
      <w:pPr>
        <w:rPr>
          <w:lang w:val="en-GB"/>
        </w:rPr>
      </w:pPr>
      <w:r w:rsidRPr="008E5B32">
        <w:rPr>
          <w:lang w:val="en-GB"/>
        </w:rPr>
        <w:t xml:space="preserve">It is thus fundamental to address the issues highlighted in Section 3.1, curating existing data in available datasources </w:t>
      </w:r>
      <w:r w:rsidRPr="008E5B32">
        <w:rPr>
          <w:lang w:val="en-GB"/>
        </w:rPr>
        <w:fldChar w:fldCharType="begin" w:fldLock="1"/>
      </w:r>
      <w:r w:rsidR="004C12A8" w:rsidRPr="008E5B32">
        <w:rPr>
          <w:lang w:val="en-GB"/>
        </w:rPr>
        <w:instrText>ADDIN CSL_CITATION {"citationItems":[{"id":"ITEM-1","itemData":{"DOI":"10.3762/bjnano.6.189","ISBN":"2190-4286 (Electronic)\\r2190-4286 (Linking)","ISSN":"21904286","PMID":"26425437","abstract":"There is a critical opportunity in the field of nanoscience to compare and integrate information across diverse fields of study through informatics (i.e., nanoinformatics). This paper is one in a series of articles on the data curation process in nanoinformatics (nanocuration). Other articles in this series discuss key aspects of nanocuration (temporal metadata, data completeness, database integration), while the focus of this article is on the nanocuration workflow, or the process of identifying, inputting, and reviewing nanomaterial data in a data repository. In particular, the article discusses: 1) the rationale and importance of a defined workflow in nanocuration, 2) the influence of organizational goals or purpose on the workflow, 3) established workflow practices in other fields, 4) current workflow practices in nanocuration, 5) key challenges for workflows in emerging fields like nanomaterials, 6) examples to make these challenges more tangible, and 7) recommendations to address the identified challenges. Throughout the article, there is an emphasis on illustrating key concepts and current practices in the field. Data on current practices in the field are from a group of stakeholders active in nanocuration. In general, the development of workflows for nanocuration is nascent, with few individuals formally trained in data curation or utilizing available nanocuration resources (e.g., ISA-TAB-Nano). Additional emphasis on the potential benefits of cultivating nanomaterial data via nanocuration processes (e.g., capability to analyze data from across research groups) and providing nanocuration resources (e.g., training) will likely prove crucial for the wider application of nanocuration workflows in the scientific community.","author":[{"dropping-particle":"","family":"Powers","given":"Christina M.","non-dropping-particle":"","parse-names":false,"suffix":""},{"dropping-particle":"","family":"Mills","given":"Karmann A.","non-dropping-particle":"","parse-names":false,"suffix":""},{"dropping-particle":"","family":"Morris","given":"Stephanie A.","non-dropping-particle":"","parse-names":false,"suffix":""},{"dropping-particle":"","family":"Klaessig","given":"Fred","non-dropping-particle":"","parse-names":false,"suffix":""},{"dropping-particle":"","family":"Gaheen","given":"Sharon","non-dropping-particle":"","parse-names":false,"suffix":""},{"dropping-particle":"","family":"Lewinski","given":"Nastassja","non-dropping-particle":"","parse-names":false,"suffix":""},{"dropping-particle":"","family":"Hendren","given":"Christine Ogilvie","non-dropping-particle":"","parse-names":false,"suffix":""}],"container-title":"Beilstein Journal of Nanotechnology","id":"ITEM-1","issue":"1","issued":{"date-parts":[["2015"]]},"page":"1860-1871","title":"Nanocuration workflows: Establishing best practices for identifying, inputting, and sharing data to inform decisions on nanomaterials","type":"article-journal","volume":"6"},"uris":["http://www.mendeley.com/documents/?uuid=804a616b-72e4-4fb6-85fb-40aade24dbc0"]},{"id":"ITEM-2","itemData":{"DOI":"10.3762/bjnano.6.179","ISSN":"21904286","abstract":"The Nanomaterial Data Curation Initiative (NDCI), a project of the National Cancer Informatics Program Nanotechnology Working Group (NCIP NanoWG), explores the critical aspect of data curation within the development of informatics approaches to understanding nanomaterial behavior. Data repositories and tools for integrating and interrogating complex nanomaterial datasets are gaining widespread interest, with multiple projects now appearing in the US and the EU. Even in these early stages of development, a single common aspect shared across all nanoinformatics resources is that data must be curated into them. Through exploration of sub-topics related to all activities necessary to enable, execute, and improve the curation process, the NDCI will provide a substantive analysis of nanomaterial data curation itself, as well as a platform for multiple other important discussions to advance the field of nanoinformatics. This article outlines the NDCI project and lays the foundation for a series of papers on nanomaterial data curation. The NDCI purpose is to: 1) present and evaluate the current state of nanomaterial data curation across the field on multiple specific data curation topics, 2) propose ways to leverage and advance progress for both individual efforts and the nanomaterial data community as a whole, and 3) provide opportunities for similar publication series on the details of the interactive needs and workflows of data customers, data creators, and data analysts. Initial responses from stakeholder liaisons throughout the nanoinformatics community reveal a shared view that it will be critical to focus on integration of datasets with specific orientation toward the purposes for which the individual resources were created, as well as the purpose for integrating multiple resources. Early acknowledgement and undertaking of complex topics such as uncertainty, reproducibility, and interoperability is proposed as an important path to addressing key challenges within the nanomaterial community, such as reducing collateral negative impacts and decreasing the time from development to market for this new class of technologies.","author":[{"dropping-particle":"","family":"Hendren","given":"Christine Ogilvie","non-dropping-particle":"","parse-names":false,"suffix":""},{"dropping-particle":"","family":"Powers","given":"Christina M.","non-dropping-particle":"","parse-names":false,"suffix":""},{"dropping-particle":"","family":"Hoover","given":"Mark D.","non-dropping-particle":"","parse-names":false,"suffix":""},{"dropping-particle":"","family":"Harper","given":"Stacey L.","non-dropping-particle":"","parse-names":false,"suffix":""}],"container-title":"Beilstein Journal of Nanotechnology","id":"ITEM-2","issue":"1","issued":{"date-parts":[["2015"]]},"page":"1752-1762","title":"The Nanomaterial Data Curation Initiative: A collaborative approach to assessing, evaluating, and advancing the state of the field","type":"article-journal","volume":"6"},"uris":["http://www.mendeley.com/documents/?uuid=6a031c73-ebf2-4721-8383-a1a7155f3f0d"]}],"mendeley":{"formattedCitation":"&lt;sup&gt;70,71&lt;/sup&gt;","plainTextFormattedCitation":"70,71","previouslyFormattedCitation":"&lt;sup&gt;70,71&lt;/sup&gt;"},"properties":{"noteIndex":0},"schema":"https://github.com/citation-style-language/schema/raw/master/csl-citation.json"}</w:instrText>
      </w:r>
      <w:r w:rsidRPr="008E5B32">
        <w:rPr>
          <w:lang w:val="en-GB"/>
        </w:rPr>
        <w:fldChar w:fldCharType="separate"/>
      </w:r>
      <w:r w:rsidR="005D1733" w:rsidRPr="008E5B32">
        <w:rPr>
          <w:noProof/>
          <w:vertAlign w:val="superscript"/>
          <w:lang w:val="en-GB"/>
        </w:rPr>
        <w:t>70,71</w:t>
      </w:r>
      <w:r w:rsidRPr="008E5B32">
        <w:rPr>
          <w:lang w:val="en-GB"/>
        </w:rPr>
        <w:fldChar w:fldCharType="end"/>
      </w:r>
      <w:r w:rsidRPr="008E5B32">
        <w:rPr>
          <w:lang w:val="en-GB"/>
        </w:rPr>
        <w:t xml:space="preserve">, </w:t>
      </w:r>
      <w:r w:rsidR="00512924" w:rsidRPr="008E5B32">
        <w:rPr>
          <w:lang w:val="en-GB"/>
        </w:rPr>
        <w:t>improving</w:t>
      </w:r>
      <w:r w:rsidRPr="008E5B32">
        <w:rPr>
          <w:lang w:val="en-GB"/>
        </w:rPr>
        <w:t xml:space="preserve"> the completeness and the quality of</w:t>
      </w:r>
      <w:r w:rsidR="00512924" w:rsidRPr="008E5B32">
        <w:rPr>
          <w:lang w:val="en-GB"/>
        </w:rPr>
        <w:t xml:space="preserve"> data in</w:t>
      </w:r>
      <w:r w:rsidRPr="008E5B32">
        <w:rPr>
          <w:lang w:val="en-GB"/>
        </w:rPr>
        <w:t xml:space="preserve"> existing databases </w:t>
      </w:r>
      <w:r w:rsidR="00512924" w:rsidRPr="008E5B32">
        <w:rPr>
          <w:lang w:val="en-GB"/>
        </w:rPr>
        <w:fldChar w:fldCharType="begin" w:fldLock="1"/>
      </w:r>
      <w:r w:rsidR="004C12A8" w:rsidRPr="008E5B32">
        <w:rPr>
          <w:lang w:val="en-GB"/>
        </w:rPr>
        <w:instrText>ADDIN CSL_CITATION {"citationItems":[{"id":"ITEM-1","itemData":{"DOI":"10.1039/C5NR08944A","ISBN":"8620871129","ISSN":"2040-3364","PMID":"26584204","abstract":"&lt;p&gt;The challenge of evaluating the completeness and quality of (curated) nanomaterial data is addressed.&lt;/p&gt;","author":[{"dropping-particle":"","family":"Marchese Robinson","given":"Richard L.","non-dropping-particle":"","parse-names":false,"suffix":""},{"dropping-particle":"","family":"Lynch","given":"Iseult","non-dropping-particle":"","parse-names":false,"suffix":""},{"dropping-particle":"","family":"Peijnenburg","given":"Willie","non-dropping-particle":"","parse-names":false,"suffix":""},{"dropping-particle":"","family":"Rumble","given":"John","non-dropping-particle":"","parse-names":false,"suffix":""},{"dropping-particle":"","family":"Klaessig","given":"Fred","non-dropping-particle":"","parse-names":false,"suffix":""},{"dropping-particle":"","family":"Marquardt","given":"Clarissa","non-dropping-particle":"","parse-names":false,"suffix":""},{"dropping-particle":"","family":"Rauscher","given":"Hubert","non-dropping-particle":"","parse-names":false,"suffix":""},{"dropping-particle":"","family":"Puzyn","given":"Tomasz","non-dropping-particle":"","parse-names":false,"suffix":""},{"dropping-particle":"","family":"Purian","given":"Ronit","non-dropping-particle":"","parse-names":false,"suffix":""},{"dropping-particle":"","family":"Åberg","given":"Christoffer","non-dropping-particle":"","parse-names":false,"suffix":""},{"dropping-particle":"","family":"Karcher","given":"Sandra","non-dropping-particle":"","parse-names":false,"suffix":""},{"dropping-particle":"","family":"Vriens","given":"Hanne","non-dropping-particle":"","parse-names":false,"suffix":""},{"dropping-particle":"","family":"Hoet","given":"Peter","non-dropping-particle":"","parse-names":false,"suffix":""},{"dropping-particle":"","family":"Hoover","given":"Mark D.","non-dropping-particle":"","parse-names":false,"suffix":""},{"dropping-particle":"","family":"Hendren","given":"Christine Ogilvie","non-dropping-particle":"","parse-names":false,"suffix":""},{"dropping-particle":"","family":"Harper","given":"Stacey L.","non-dropping-particle":"","parse-names":false,"suffix":""}],"container-title":"Nanoscale","id":"ITEM-1","issue":"19","issued":{"date-parts":[["2016"]]},"page":"9919-9943","title":"How should the completeness and quality of curated nanomaterial data be evaluated?","type":"article-journal","volume":"8"},"uris":["http://www.mendeley.com/documents/?uuid=75014911-2b52-409d-9318-57da0fddc23e"]}],"mendeley":{"formattedCitation":"&lt;sup&gt;72&lt;/sup&gt;","plainTextFormattedCitation":"72","previouslyFormattedCitation":"&lt;sup&gt;72&lt;/sup&gt;"},"properties":{"noteIndex":0},"schema":"https://github.com/citation-style-language/schema/raw/master/csl-citation.json"}</w:instrText>
      </w:r>
      <w:r w:rsidR="00512924" w:rsidRPr="008E5B32">
        <w:rPr>
          <w:lang w:val="en-GB"/>
        </w:rPr>
        <w:fldChar w:fldCharType="separate"/>
      </w:r>
      <w:r w:rsidR="005D1733" w:rsidRPr="008E5B32">
        <w:rPr>
          <w:noProof/>
          <w:vertAlign w:val="superscript"/>
          <w:lang w:val="en-GB"/>
        </w:rPr>
        <w:t>72</w:t>
      </w:r>
      <w:r w:rsidR="00512924" w:rsidRPr="008E5B32">
        <w:rPr>
          <w:lang w:val="en-GB"/>
        </w:rPr>
        <w:fldChar w:fldCharType="end"/>
      </w:r>
      <w:r w:rsidRPr="008E5B32">
        <w:rPr>
          <w:lang w:val="en-GB"/>
        </w:rPr>
        <w:t xml:space="preserve">, and integrating as much as possible existing databases and datasets </w:t>
      </w:r>
      <w:r w:rsidRPr="008E5B32">
        <w:rPr>
          <w:lang w:val="en-GB"/>
        </w:rPr>
        <w:fldChar w:fldCharType="begin" w:fldLock="1"/>
      </w:r>
      <w:r w:rsidR="004C12A8" w:rsidRPr="008E5B32">
        <w:rPr>
          <w:lang w:val="en-GB"/>
        </w:rPr>
        <w:instrText>ADDIN CSL_CITATION {"citationItems":[{"id":"ITEM-1","itemData":{"DOI":"10.1016/j.impact.2017.11.002","ISSN":"24520748","abstract":"Many groups within the broad field of nanoinformatics are already developing data repositories and analytical tools driven by their individual organizational goals. Integrating these data resources across disciplines and with non-nanotechnology resources can support multiple objectives by enabling the reuse of the same information. Integration can also serve as the impetus for novel scientific discoveries by providing the framework to support deeper data analyses. This article discusses current data integration practices in nanoinformatics and in comparable mature fields, and nanotechnology-specific challenges impacting data integration. Based on results from a nanoinformatics-community-wide survey, recommendations for achieving integration of existing operational nanotechnology resources are presented. Nanotechnology-specific data integration challenges, if effectively resolved, can foster the application and validation of nanotechnology within and across disciplines. This paper is one of a series of articles by the Nanomaterial Data Curation Initiative that address data issues such as data curation workflows, data completeness and quality, curator responsibilities, and metadata.","author":[{"dropping-particle":"","family":"Karcher","given":"Sandra","non-dropping-particle":"","parse-names":false,"suffix":""},{"dropping-particle":"","family":"Willighagen","given":"Egon L.","non-dropping-particle":"","parse-names":false,"suffix":""},{"dropping-particle":"","family":"Rumble","given":"John","non-dropping-particle":"","parse-names":false,"suffix":""},{"dropping-particle":"","family":"Ehrhart","given":"Friederike","non-dropping-particle":"","parse-names":false,"suffix":""},{"dropping-particle":"","family":"Evelo","given":"Chris T.","non-dropping-particle":"","parse-names":false,"suffix":""},{"dropping-particle":"","family":"Fritts","given":"Martin","non-dropping-particle":"","parse-names":false,"suffix":""},{"dropping-particle":"","family":"Gaheen","given":"Sharon","non-dropping-particle":"","parse-names":false,"suffix":""},{"dropping-particle":"","family":"Harper","given":"Stacey L.","non-dropping-particle":"","parse-names":false,"suffix":""},{"dropping-particle":"","family":"Hoover","given":"Mark D.","non-dropping-particle":"","parse-names":false,"suffix":""},{"dropping-particle":"","family":"Jeliazkova","given":"Nina","non-dropping-particle":"","parse-names":false,"suffix":""},{"dropping-particle":"","family":"Lewinski","given":"Nastassja","non-dropping-particle":"","parse-names":false,"suffix":""},{"dropping-particle":"","family":"Marchese Robinson","given":"Richard L.","non-dropping-particle":"","parse-names":false,"suffix":""},{"dropping-particle":"","family":"Mills","given":"Karmann C.","non-dropping-particle":"","parse-names":false,"suffix":""},{"dropping-particle":"","family":"Mustad","given":"Axel P.","non-dropping-particle":"","parse-names":false,"suffix":""},{"dropping-particle":"","family":"Thomas","given":"Dennis G.","non-dropping-particle":"","parse-names":false,"suffix":""},{"dropping-particle":"","family":"Tsiliki","given":"Georgia","non-dropping-particle":"","parse-names":false,"suffix":""},{"dropping-particle":"","family":"Hendren","given":"Christine Ogilvie","non-dropping-particle":"","parse-names":false,"suffix":""}],"container-title":"NanoImpact","id":"ITEM-1","issued":{"date-parts":[["2018"]]},"title":"Integration among databases and data sets to support productive nanotechnology: Challenges and recommendations","type":"article-journal"},"uris":["http://www.mendeley.com/documents/?uuid=c0ea03bf-bd18-4b36-acd4-aa6de38e141d","http://www.mendeley.com/documents/?uuid=b73c56a9-f401-4274-9caa-22dd65d114aa"]}],"mendeley":{"formattedCitation":"&lt;sup&gt;75&lt;/sup&gt;","plainTextFormattedCitation":"75","previouslyFormattedCitation":"&lt;sup&gt;75&lt;/sup&gt;"},"properties":{"noteIndex":0},"schema":"https://github.com/citation-style-language/schema/raw/master/csl-citation.json"}</w:instrText>
      </w:r>
      <w:r w:rsidRPr="008E5B32">
        <w:rPr>
          <w:lang w:val="en-GB"/>
        </w:rPr>
        <w:fldChar w:fldCharType="separate"/>
      </w:r>
      <w:r w:rsidR="005D1733" w:rsidRPr="008E5B32">
        <w:rPr>
          <w:noProof/>
          <w:vertAlign w:val="superscript"/>
          <w:lang w:val="en-GB"/>
        </w:rPr>
        <w:t>75</w:t>
      </w:r>
      <w:r w:rsidRPr="008E5B32">
        <w:rPr>
          <w:lang w:val="en-GB"/>
        </w:rPr>
        <w:fldChar w:fldCharType="end"/>
      </w:r>
      <w:r w:rsidR="00512924" w:rsidRPr="008E5B32">
        <w:rPr>
          <w:lang w:val="en-GB"/>
        </w:rPr>
        <w:t>,</w:t>
      </w:r>
      <w:r w:rsidRPr="008E5B32">
        <w:rPr>
          <w:lang w:val="en-GB"/>
        </w:rPr>
        <w:t xml:space="preserve"> </w:t>
      </w:r>
      <w:r w:rsidR="00512924" w:rsidRPr="008E5B32">
        <w:rPr>
          <w:lang w:val="en-GB"/>
        </w:rPr>
        <w:t>to allow modellers to deal with larger sets</w:t>
      </w:r>
      <w:r w:rsidR="00412E7E" w:rsidRPr="008E5B32">
        <w:rPr>
          <w:lang w:val="en-GB"/>
        </w:rPr>
        <w:t xml:space="preserve"> of data</w:t>
      </w:r>
      <w:r w:rsidR="00512924" w:rsidRPr="008E5B32">
        <w:rPr>
          <w:lang w:val="en-GB"/>
        </w:rPr>
        <w:t>: hence, we encourage scientists to share their (curated) data in those data repositories. At the same time, it is worth noting that some of the approaches reviewed in this manuscript have been implemented as web services that are freely available to the community</w:t>
      </w:r>
      <w:r w:rsidR="00BD4886" w:rsidRPr="008E5B32">
        <w:rPr>
          <w:lang w:val="en-GB"/>
        </w:rPr>
        <w:t xml:space="preserve"> </w:t>
      </w:r>
      <w:r w:rsidR="00BD3012" w:rsidRPr="008E5B32">
        <w:rPr>
          <w:lang w:val="en-GB"/>
        </w:rPr>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properties","type":"article-journal"},"uris":["http://www.mendeley.com/documents/?uuid=e716cf4e-6241-4ba5-9036-9d82b993c983"]},{"id":"ITEM-2","itemData":{"DOI":"10.1021/acs.jcim.7b00160","ISSN":"15205142","PMID":"29281278","abstract":"We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Modeling","id":"ITEM-2","issued":{"date-parts":[["2018"]]},"title":"ToxFlow: A Web-Based Application for Read-Across Toxicity Prediction Using Omics and Physicochemical Data","type":"article-journal"},"uris":["http://www.mendeley.com/documents/?uuid=c252bcd2-36fa-4a11-9442-f73fa79bcbf2"]},{"id":"ITEM-3","itemData":{"DOI":"10.1039/c4ra07756c","ISSN":"20462069","abstract":"&lt;p&gt;A QNAR model, available online through Enalos InSilicoNano platform, has been developed and validated for the risk assessment of nanoparticles (NPs).&lt;/p&gt;","author":[{"dropping-particle":"","family":"Melagraki","given":"Georgia","non-dropping-particle":"","parse-names":false,"suffix":""},{"dropping-particle":"","family":"Afantitis","given":"Antreas","non-dropping-particle":"","parse-names":false,"suffix":""}],"container-title":"RSC Advances","id":"ITEM-3","issued":{"date-parts":[["2014"]]},"title":"Enalos InSilicoNano platform: An online decision support tool for the design and virtual screening of nanoparticles","type":"article-journal"},"uris":["http://www.mendeley.com/documents/?uuid=b7ec25b8-e866-468f-ac02-442665a4406e"]},{"id":"ITEM-4","itemData":{"DOI":"10.1186/s13321-015-0094-2","ISSN":"17582946","PMID":"26379782","abstract":"BACKGROUND: Predictive regression models can be created with many different modelling approaches. Choices need to be made for data set splitting, cross-validation methods, specific regression parameters and best model criteria, as they all affect the accuracy and efficiency of the produced predictive models, and therefore, raising model reproducibility and comparison issues. Cheminformatics and bioinformatics are extensively using predictive modelling and exhibit a need for standardization of these methodologies in order to assist model selection and speed up the process of predictive model development. A tool accessible to all users, irrespectively of their statistical knowledge, would be valuable if it tests several simple and complex regression models and validation schemes, produce unified reports, and offer the option to be integrated into more extensive studies. Additionally, such methodology should be implemented as a free programming package, in order to be continuously adapted and redistributed by others.\\n\\nRESULTS: We propose an integrated framework for creating multiple regression models, called RRegrs. The tool offers the option of ten simple and complex regression methods combined with repeated 10-fold and leave-one-out cross-validation. Methods include Multiple Linear regression, Generalized Linear Model with Stepwise Feature Selection, Partial Least Squares regression, Lasso regression, and Support Vector Machines Recursive Feature Elimination. The new framework is an automated fully validated procedure which produces standardized reports to quickly oversee the impact of choices in modelling algorithms and assess the model and cross-validation results. The methodology was implemented as an open source R package, available at https://www.github.com/enanomapper/RRegrs, by reusing and extending on the caret package.\\n\\nCONCLUSION: The universality of the new methodology is demonstrated using five standard data sets from different scientific fields. Its efficiency in cheminformatics and QSAR modelling is shown with three use cases: proteomics data for surface-modified gold nanoparticles, nano-metal oxides descriptor data, and molecular descriptors for acute aquatic toxicity data. The results show that for all data sets RRegrs reports models with equal or better performance for both training and test sets than those reported in the original publications. Its good performance as well as its adaptability in terms of parameter optimization could…","author":[{"dropping-particle":"","family":"Tsiliki","given":"Georgia","non-dropping-particle":"","parse-names":false,"suffix":""},{"dropping-particle":"","family":"Munteanu","given":"Cristian R.","non-dropping-particle":"","parse-names":false,"suffix":""},{"dropping-particle":"","family":"Seoane","given":"Jose A.","non-dropping-particle":"","parse-names":false,"suffix":""},{"dropping-particle":"","family":"Fernandez-Lozano","given":"Carlos","non-dropping-particle":"","parse-names":false,"suffix":""},{"dropping-particle":"","family":"Sarimveis","given":"Haralambos","non-dropping-particle":"","parse-names":false,"suffix":""},{"dropping-particle":"","family":"Willighagen","given":"Egon L.","non-dropping-particle":"","parse-names":false,"suffix":""}],"container-title":"Journal of Cheminformatics","id":"ITEM-4","issued":{"date-parts":[["2015"]]},"title":"RRegrs: An R package for computer-aided model selection with multiple regression models","type":"article-journal"},"uris":["http://www.mendeley.com/documents/?uuid=cb7ccf3b-57b2-4ab4-8b29-76cb79300e07"]}],"mendeley":{"formattedCitation":"&lt;sup&gt;84,86,130,138&lt;/sup&gt;","plainTextFormattedCitation":"84,86,130,138","previouslyFormattedCitation":"&lt;sup&gt;84,86,130,138&lt;/sup&gt;"},"properties":{"noteIndex":0},"schema":"https://github.com/citation-style-language/schema/raw/master/csl-citation.json"}</w:instrText>
      </w:r>
      <w:r w:rsidR="00BD3012" w:rsidRPr="008E5B32">
        <w:rPr>
          <w:lang w:val="en-GB"/>
        </w:rPr>
        <w:fldChar w:fldCharType="separate"/>
      </w:r>
      <w:r w:rsidR="004C12A8" w:rsidRPr="008E5B32">
        <w:rPr>
          <w:noProof/>
          <w:vertAlign w:val="superscript"/>
          <w:lang w:val="en-GB"/>
        </w:rPr>
        <w:t>84,86,130,138</w:t>
      </w:r>
      <w:r w:rsidR="00BD3012" w:rsidRPr="008E5B32">
        <w:rPr>
          <w:lang w:val="en-GB"/>
        </w:rPr>
        <w:fldChar w:fldCharType="end"/>
      </w:r>
      <w:r w:rsidR="00512924" w:rsidRPr="008E5B32">
        <w:rPr>
          <w:lang w:val="en-GB"/>
        </w:rPr>
        <w:t>. Such practices should be encouraged</w:t>
      </w:r>
      <w:r w:rsidR="00A35449" w:rsidRPr="008E5B32">
        <w:rPr>
          <w:lang w:val="en-GB"/>
        </w:rPr>
        <w:t xml:space="preserve"> as well</w:t>
      </w:r>
      <w:r w:rsidR="00512924" w:rsidRPr="008E5B32">
        <w:rPr>
          <w:lang w:val="en-GB"/>
        </w:rPr>
        <w:t>,</w:t>
      </w:r>
      <w:r w:rsidR="00A35449" w:rsidRPr="008E5B32">
        <w:rPr>
          <w:lang w:val="en-GB"/>
        </w:rPr>
        <w:t xml:space="preserve"> </w:t>
      </w:r>
      <w:r w:rsidR="006B647F" w:rsidRPr="008E5B32">
        <w:rPr>
          <w:lang w:val="en-GB"/>
        </w:rPr>
        <w:t xml:space="preserve">being the availability of data and </w:t>
      </w:r>
      <w:r w:rsidR="006B647F" w:rsidRPr="008E5B32">
        <w:rPr>
          <w:i/>
          <w:lang w:val="en-GB"/>
        </w:rPr>
        <w:t xml:space="preserve">in silico </w:t>
      </w:r>
      <w:r w:rsidR="006B647F" w:rsidRPr="008E5B32">
        <w:rPr>
          <w:lang w:val="en-GB"/>
        </w:rPr>
        <w:t>tools fundamental for the definition of IATAs for Grouping and Read-Across.</w:t>
      </w:r>
    </w:p>
    <w:p w14:paraId="4F05E28D" w14:textId="2AD19CBD" w:rsidR="00CF26A0" w:rsidRPr="008E5B32" w:rsidRDefault="003B78B1" w:rsidP="00B637FA">
      <w:pPr>
        <w:rPr>
          <w:lang w:val="en-GB"/>
        </w:rPr>
      </w:pPr>
      <w:r w:rsidRPr="008E5B32">
        <w:rPr>
          <w:lang w:val="en-GB"/>
        </w:rPr>
        <w:t xml:space="preserve">There are not many </w:t>
      </w:r>
      <w:r w:rsidR="00407B9E" w:rsidRPr="008E5B32">
        <w:rPr>
          <w:lang w:val="en-GB"/>
        </w:rPr>
        <w:t xml:space="preserve">case studies </w:t>
      </w:r>
      <w:r w:rsidR="00E95E7F" w:rsidRPr="008E5B32">
        <w:rPr>
          <w:lang w:val="en-GB"/>
        </w:rPr>
        <w:t xml:space="preserve">in the literature </w:t>
      </w:r>
      <w:r w:rsidR="00407B9E" w:rsidRPr="008E5B32">
        <w:rPr>
          <w:lang w:val="en-GB"/>
        </w:rPr>
        <w:t xml:space="preserve">on </w:t>
      </w:r>
      <w:r w:rsidR="00E95E7F" w:rsidRPr="008E5B32">
        <w:rPr>
          <w:lang w:val="en-GB"/>
        </w:rPr>
        <w:t>Grouping</w:t>
      </w:r>
      <w:r w:rsidR="00307BB0" w:rsidRPr="008E5B32">
        <w:rPr>
          <w:lang w:val="en-GB"/>
        </w:rPr>
        <w:t xml:space="preserve"> </w:t>
      </w:r>
      <w:r w:rsidR="00F8689A" w:rsidRPr="008E5B32">
        <w:rPr>
          <w:lang w:val="en-GB"/>
        </w:rPr>
        <w:t>for</w:t>
      </w:r>
      <w:r w:rsidR="00307BB0" w:rsidRPr="008E5B32">
        <w:rPr>
          <w:lang w:val="en-GB"/>
        </w:rPr>
        <w:t xml:space="preserve"> </w:t>
      </w:r>
      <w:r w:rsidR="00650B32" w:rsidRPr="008E5B32">
        <w:rPr>
          <w:lang w:val="en-GB"/>
        </w:rPr>
        <w:t>Read-Across</w:t>
      </w:r>
      <w:r w:rsidRPr="008E5B32">
        <w:rPr>
          <w:lang w:val="en-GB"/>
        </w:rPr>
        <w:t xml:space="preserve"> </w:t>
      </w:r>
      <w:r w:rsidR="00E95E7F" w:rsidRPr="008E5B32">
        <w:rPr>
          <w:lang w:val="en-GB"/>
        </w:rPr>
        <w:t>of NMs</w:t>
      </w:r>
      <w:r w:rsidR="000A4CEB" w:rsidRPr="008E5B32">
        <w:rPr>
          <w:lang w:val="en-GB"/>
        </w:rPr>
        <w:t xml:space="preserve"> (cfr. Section 3.2</w:t>
      </w:r>
      <w:r w:rsidR="0057503C" w:rsidRPr="008E5B32">
        <w:rPr>
          <w:lang w:val="en-GB"/>
        </w:rPr>
        <w:t xml:space="preserve"> and</w:t>
      </w:r>
      <w:r w:rsidR="000A4CEB" w:rsidRPr="008E5B32">
        <w:rPr>
          <w:lang w:val="en-GB"/>
        </w:rPr>
        <w:t xml:space="preserve"> </w:t>
      </w:r>
      <w:r w:rsidR="000A4CEB" w:rsidRPr="008E5B32">
        <w:fldChar w:fldCharType="begin"/>
      </w:r>
      <w:r w:rsidR="000A4CEB" w:rsidRPr="008E5B32">
        <w:rPr>
          <w:lang w:val="en-GB"/>
        </w:rPr>
        <w:instrText xml:space="preserve"> REF _Ref517446312 \h  \* MERGEFORMAT </w:instrText>
      </w:r>
      <w:r w:rsidR="000A4CEB" w:rsidRPr="008E5B32">
        <w:fldChar w:fldCharType="separate"/>
      </w:r>
      <w:r w:rsidR="00785247" w:rsidRPr="008E5B32">
        <w:rPr>
          <w:lang w:val="en-GB"/>
        </w:rPr>
        <w:t xml:space="preserve">Table </w:t>
      </w:r>
      <w:r w:rsidR="00785247" w:rsidRPr="008E5B32">
        <w:rPr>
          <w:noProof/>
          <w:lang w:val="en-GB"/>
        </w:rPr>
        <w:t>3</w:t>
      </w:r>
      <w:r w:rsidR="000A4CEB" w:rsidRPr="008E5B32">
        <w:fldChar w:fldCharType="end"/>
      </w:r>
      <w:r w:rsidR="000A4CEB" w:rsidRPr="008E5B32">
        <w:rPr>
          <w:lang w:val="en-GB"/>
        </w:rPr>
        <w:t>)</w:t>
      </w:r>
      <w:r w:rsidR="00407B9E" w:rsidRPr="008E5B32">
        <w:rPr>
          <w:lang w:val="en-GB"/>
        </w:rPr>
        <w:t>.</w:t>
      </w:r>
      <w:r w:rsidRPr="008E5B32">
        <w:rPr>
          <w:lang w:val="en-GB"/>
        </w:rPr>
        <w:t xml:space="preserve"> </w:t>
      </w:r>
      <w:r w:rsidR="0076723E" w:rsidRPr="008E5B32">
        <w:rPr>
          <w:lang w:val="en-GB"/>
        </w:rPr>
        <w:t>Most of th</w:t>
      </w:r>
      <w:r w:rsidR="00EE5288" w:rsidRPr="008E5B32">
        <w:rPr>
          <w:lang w:val="en-GB"/>
        </w:rPr>
        <w:t xml:space="preserve">e </w:t>
      </w:r>
      <w:r w:rsidR="00C5024B" w:rsidRPr="008E5B32">
        <w:rPr>
          <w:lang w:val="en-GB"/>
        </w:rPr>
        <w:t>1</w:t>
      </w:r>
      <w:r w:rsidR="00087DEA" w:rsidRPr="008E5B32">
        <w:rPr>
          <w:lang w:val="en-GB"/>
        </w:rPr>
        <w:t>1</w:t>
      </w:r>
      <w:r w:rsidR="00954453" w:rsidRPr="008E5B32">
        <w:rPr>
          <w:lang w:val="en-GB"/>
        </w:rPr>
        <w:t xml:space="preserve"> </w:t>
      </w:r>
      <w:r w:rsidR="00EE5288" w:rsidRPr="008E5B32">
        <w:rPr>
          <w:lang w:val="en-GB"/>
        </w:rPr>
        <w:t xml:space="preserve">approaches reported </w:t>
      </w:r>
      <w:r w:rsidR="00E40A0A" w:rsidRPr="008E5B32">
        <w:rPr>
          <w:lang w:val="en-GB"/>
        </w:rPr>
        <w:t xml:space="preserve">in Table 3 are built on </w:t>
      </w:r>
      <w:r w:rsidR="00EA5AB0" w:rsidRPr="008E5B32">
        <w:rPr>
          <w:lang w:val="en-GB"/>
        </w:rPr>
        <w:t xml:space="preserve">small datasets and do not predict </w:t>
      </w:r>
      <w:r w:rsidR="00C7453E" w:rsidRPr="008E5B32">
        <w:rPr>
          <w:lang w:val="en-GB"/>
        </w:rPr>
        <w:t xml:space="preserve">well-defined </w:t>
      </w:r>
      <w:r w:rsidR="00EA5AB0" w:rsidRPr="008E5B32">
        <w:rPr>
          <w:lang w:val="en-GB"/>
        </w:rPr>
        <w:t>endpoint</w:t>
      </w:r>
      <w:r w:rsidR="00E95E7F" w:rsidRPr="008E5B32">
        <w:rPr>
          <w:lang w:val="en-GB"/>
        </w:rPr>
        <w:t>s</w:t>
      </w:r>
      <w:r w:rsidR="000A4CEB" w:rsidRPr="008E5B32">
        <w:rPr>
          <w:lang w:val="en-GB"/>
        </w:rPr>
        <w:t xml:space="preserve">. </w:t>
      </w:r>
      <w:r w:rsidR="00E95E7F" w:rsidRPr="008E5B32">
        <w:rPr>
          <w:lang w:val="en-GB"/>
        </w:rPr>
        <w:t>I</w:t>
      </w:r>
      <w:r w:rsidR="00686C93" w:rsidRPr="008E5B32">
        <w:rPr>
          <w:lang w:val="en-GB"/>
        </w:rPr>
        <w:t xml:space="preserve">n case the endpoint </w:t>
      </w:r>
      <w:r w:rsidR="00E95E7F" w:rsidRPr="008E5B32">
        <w:rPr>
          <w:lang w:val="en-GB"/>
        </w:rPr>
        <w:t xml:space="preserve">selected to Read-Across </w:t>
      </w:r>
      <w:r w:rsidR="00686C93" w:rsidRPr="008E5B32">
        <w:rPr>
          <w:lang w:val="en-GB"/>
        </w:rPr>
        <w:t>is of relevance for REACH (</w:t>
      </w:r>
      <w:r w:rsidR="00087DEA" w:rsidRPr="008E5B32">
        <w:rPr>
          <w:lang w:val="en-GB"/>
        </w:rPr>
        <w:t>i.e</w:t>
      </w:r>
      <w:r w:rsidR="00686C93" w:rsidRPr="008E5B32">
        <w:rPr>
          <w:lang w:val="en-GB"/>
        </w:rPr>
        <w:t xml:space="preserve">. </w:t>
      </w:r>
      <w:r w:rsidR="00686C93" w:rsidRPr="008E5B32">
        <w:rPr>
          <w:i/>
          <w:lang w:val="en-GB"/>
        </w:rPr>
        <w:t>in vitro</w:t>
      </w:r>
      <w:r w:rsidR="00686C93" w:rsidRPr="008E5B32">
        <w:rPr>
          <w:lang w:val="en-GB"/>
        </w:rPr>
        <w:t xml:space="preserve"> </w:t>
      </w:r>
      <w:r w:rsidR="00D44383" w:rsidRPr="008E5B32">
        <w:rPr>
          <w:lang w:val="en-GB"/>
        </w:rPr>
        <w:t xml:space="preserve">or </w:t>
      </w:r>
      <w:r w:rsidR="00D44383" w:rsidRPr="008E5B32">
        <w:rPr>
          <w:i/>
          <w:lang w:val="en-GB"/>
        </w:rPr>
        <w:t>in vivo</w:t>
      </w:r>
      <w:r w:rsidR="00D44383" w:rsidRPr="008E5B32">
        <w:rPr>
          <w:lang w:val="en-GB"/>
        </w:rPr>
        <w:t xml:space="preserve"> </w:t>
      </w:r>
      <w:r w:rsidR="00686C93" w:rsidRPr="008E5B32">
        <w:rPr>
          <w:lang w:val="en-GB"/>
        </w:rPr>
        <w:t>genoto</w:t>
      </w:r>
      <w:r w:rsidR="00627285" w:rsidRPr="008E5B32">
        <w:rPr>
          <w:lang w:val="en-GB"/>
        </w:rPr>
        <w:t>x</w:t>
      </w:r>
      <w:r w:rsidR="00686C93" w:rsidRPr="008E5B32">
        <w:rPr>
          <w:lang w:val="en-GB"/>
        </w:rPr>
        <w:t>icity</w:t>
      </w:r>
      <w:r w:rsidR="00E95E7F" w:rsidRPr="008E5B32">
        <w:rPr>
          <w:lang w:val="en-GB"/>
        </w:rPr>
        <w:t>) it</w:t>
      </w:r>
      <w:r w:rsidR="00F700E2" w:rsidRPr="008E5B32">
        <w:rPr>
          <w:lang w:val="en-GB"/>
        </w:rPr>
        <w:t xml:space="preserve"> </w:t>
      </w:r>
      <w:r w:rsidR="00257E43" w:rsidRPr="008E5B32">
        <w:rPr>
          <w:lang w:val="en-GB"/>
        </w:rPr>
        <w:t>is</w:t>
      </w:r>
      <w:r w:rsidR="00F700E2" w:rsidRPr="008E5B32">
        <w:rPr>
          <w:lang w:val="en-GB"/>
        </w:rPr>
        <w:t xml:space="preserve"> </w:t>
      </w:r>
      <w:r w:rsidR="001F52BB" w:rsidRPr="008E5B32">
        <w:rPr>
          <w:lang w:val="en-GB"/>
        </w:rPr>
        <w:t xml:space="preserve">either </w:t>
      </w:r>
      <w:r w:rsidR="00585BAF" w:rsidRPr="008E5B32">
        <w:rPr>
          <w:lang w:val="en-GB"/>
        </w:rPr>
        <w:t xml:space="preserve">(i) </w:t>
      </w:r>
      <w:r w:rsidR="002D0421" w:rsidRPr="008E5B32">
        <w:rPr>
          <w:lang w:val="en-GB"/>
        </w:rPr>
        <w:t xml:space="preserve">not </w:t>
      </w:r>
      <w:r w:rsidR="00585BAF" w:rsidRPr="008E5B32">
        <w:rPr>
          <w:lang w:val="en-GB"/>
        </w:rPr>
        <w:t xml:space="preserve">applied as </w:t>
      </w:r>
      <w:r w:rsidR="004A59E0" w:rsidRPr="008E5B32">
        <w:rPr>
          <w:lang w:val="en-GB"/>
        </w:rPr>
        <w:t>an alternative method to animal testing</w:t>
      </w:r>
      <w:r w:rsidR="00E95E7F" w:rsidRPr="008E5B32">
        <w:rPr>
          <w:lang w:val="en-GB"/>
        </w:rPr>
        <w:t xml:space="preserve"> (</w:t>
      </w:r>
      <w:r w:rsidR="004A59E0" w:rsidRPr="008E5B32">
        <w:rPr>
          <w:lang w:val="en-GB"/>
        </w:rPr>
        <w:t xml:space="preserve">as the prediction is made for an </w:t>
      </w:r>
      <w:r w:rsidR="004A59E0" w:rsidRPr="008E5B32">
        <w:rPr>
          <w:i/>
          <w:lang w:val="en-GB"/>
        </w:rPr>
        <w:t>in vitro</w:t>
      </w:r>
      <w:r w:rsidR="004A59E0" w:rsidRPr="008E5B32">
        <w:rPr>
          <w:lang w:val="en-GB"/>
        </w:rPr>
        <w:t xml:space="preserve"> </w:t>
      </w:r>
      <w:r w:rsidR="00585BAF" w:rsidRPr="008E5B32">
        <w:rPr>
          <w:lang w:val="en-GB"/>
        </w:rPr>
        <w:t>assay</w:t>
      </w:r>
      <w:r w:rsidR="00E95E7F" w:rsidRPr="008E5B32">
        <w:rPr>
          <w:lang w:val="en-GB"/>
        </w:rPr>
        <w:t>)</w:t>
      </w:r>
      <w:r w:rsidR="00B95CB1" w:rsidRPr="008E5B32">
        <w:rPr>
          <w:lang w:val="en-GB"/>
        </w:rPr>
        <w:t xml:space="preserve"> </w:t>
      </w:r>
      <w:r w:rsidR="00B95CB1" w:rsidRPr="008E5B32">
        <w:rPr>
          <w:lang w:val="en-GB"/>
        </w:rPr>
        <w:fldChar w:fldCharType="begin" w:fldLock="1"/>
      </w:r>
      <w:r w:rsidR="00793E15">
        <w:rPr>
          <w:lang w:val="en-GB"/>
        </w:rPr>
        <w:instrText>ADDIN CSL_CITATION {"citationItems":[{"id":"ITEM-1","itemData":{"DOI":"10.1186/s12989-018-0273-1","ISSN":"1743-8977","abstract":"An increasing number of manufactured nanomaterials (NMs) are being used in industrial products and need to be registered under the REACH legislation. The hazard characterisation of all these forms is not only technically challenging but resource and time demanding. The use of non-testing strategies like read-across is deemed essential to assure the assessment of all NMs in due time and at lower cost. The fact that read-across is based on the structural similarity of substances represents an additional difficulty for NMs as in general their structure is not unequivocally defined. In such a scenario, the identification of physicochemical properties affecting the hazard potential of NMs is crucial to define a grouping hypothesis and predict the toxicological hazards of similar NMs. In order to promote the read-across of NMs, ECHA has recently published “Recommendations for nanomaterials applicable to the guidance on QSARs and Grouping”, but no practical examples were provided in the document. Due to the lack of publicly available data and the inherent difficulties of reading-across NMs, only a few examples of read-across of NMs can be found in the literature. This manuscript presents the first case study of the practical process of grouping and read-across of NMs following the workflow proposed by ECHA. The workflow proposed by ECHA was used and slightly modified to present the read-across case study. The Read-Across Assessment Framework (RAAF) was used to evaluate the uncertainties of a read-across within NMs. Chemoinformatic techniques were used to support the grouping hypothesis and identify key physicochemical properties. A dataset of 6 nanoforms of TiO2 with more than 100 physicochemical properties each was collected. In vitro comet assay result was selected as the endpoint to read-across due to data availability. A correlation between the presence of coating or large amounts of impurities and negative comet assay results was observed. The workflow proposed by ECHA to read-across NMs was applied successfully. Chemoinformatic techniques were shown to provide key evidence for the assessment of the grouping hypothesis and the definition of similar NMs. The RAAF was found to be applicable to NMs.","author":[{"dropping-particle":"","family":"Lamon","given":"L.","non-dropping-particle":"","parse-names":false,"suffix":""},{"dropping-particle":"","family":"Asturiol","given":"D.","non-dropping-particle":"","parse-names":false,"suffix":""},{"dropping-particle":"","family":"Richarz","given":"A.","non-dropping-particle":"","parse-names":false,"suffix":""},{"dropping-particle":"","family":"Joossens","given":"E.","non-dropping-particle":"","parse-names":false,"suffix":""},{"dropping-particle":"","family":"Graepel","given":"R.","non-dropping-particle":"","parse-names":false,"suffix":""},{"dropping-particle":"","family":"Aschberger","given":"K.","non-dropping-particle":"","parse-names":false,"suffix":""},{"dropping-particle":"","family":"Worth","given":"A.","non-dropping-particle":"","parse-names":false,"suffix":""}],"container-title":"Particle and Fibre Toxicology","id":"ITEM-1","issue":"1","issued":{"date-parts":[["2018","12"]]},"page":"37","publisher":"BioMed Central","title":"Grouping of nanomaterials to read-across hazard endpoints: from data collection to assessment of the grouping hypothesis by application of chemoinformatic techniques","type":"article-journal","volume":"15"},"uris":["http://www.mendeley.com/documents/?uuid=4605adbd-981e-4085-886e-833a98330991"]}],"mendeley":{"formattedCitation":"&lt;sup&gt;93&lt;/sup&gt;","plainTextFormattedCitation":"93","previouslyFormattedCitation":"&lt;sup&gt;93&lt;/sup&gt;"},"properties":{"noteIndex":0},"schema":"https://github.com/citation-style-language/schema/raw/master/csl-citation.json"}</w:instrText>
      </w:r>
      <w:r w:rsidR="00B95CB1" w:rsidRPr="008E5B32">
        <w:rPr>
          <w:lang w:val="en-GB"/>
        </w:rPr>
        <w:fldChar w:fldCharType="separate"/>
      </w:r>
      <w:r w:rsidR="004C12A8" w:rsidRPr="008E5B32">
        <w:rPr>
          <w:noProof/>
          <w:vertAlign w:val="superscript"/>
          <w:lang w:val="en-GB"/>
        </w:rPr>
        <w:t>93</w:t>
      </w:r>
      <w:r w:rsidR="00B95CB1" w:rsidRPr="008E5B32">
        <w:rPr>
          <w:lang w:val="en-GB"/>
        </w:rPr>
        <w:fldChar w:fldCharType="end"/>
      </w:r>
      <w:r w:rsidR="001F52BB" w:rsidRPr="008E5B32">
        <w:rPr>
          <w:lang w:val="en-GB"/>
        </w:rPr>
        <w:t xml:space="preserve">, or </w:t>
      </w:r>
      <w:r w:rsidR="00585BAF" w:rsidRPr="008E5B32">
        <w:rPr>
          <w:lang w:val="en-GB"/>
        </w:rPr>
        <w:t xml:space="preserve">(ii) </w:t>
      </w:r>
      <w:r w:rsidR="004A59E0" w:rsidRPr="008E5B32">
        <w:rPr>
          <w:lang w:val="en-GB"/>
        </w:rPr>
        <w:t>the</w:t>
      </w:r>
      <w:r w:rsidR="00712871" w:rsidRPr="008E5B32">
        <w:rPr>
          <w:lang w:val="en-GB"/>
        </w:rPr>
        <w:t xml:space="preserve"> data of the source materials are</w:t>
      </w:r>
      <w:r w:rsidR="00F700E2" w:rsidRPr="008E5B32">
        <w:rPr>
          <w:lang w:val="en-GB"/>
        </w:rPr>
        <w:t xml:space="preserve"> not </w:t>
      </w:r>
      <w:r w:rsidR="00F6788D" w:rsidRPr="008E5B32">
        <w:rPr>
          <w:lang w:val="en-GB"/>
        </w:rPr>
        <w:t xml:space="preserve">provided following an internationally accepted </w:t>
      </w:r>
      <w:r w:rsidR="00087DEA" w:rsidRPr="008E5B32">
        <w:rPr>
          <w:lang w:val="en-GB"/>
        </w:rPr>
        <w:t>SOP</w:t>
      </w:r>
      <w:r w:rsidR="00B95CB1" w:rsidRPr="008E5B32">
        <w:rPr>
          <w:lang w:val="en-GB"/>
        </w:rPr>
        <w:t xml:space="preserve"> </w:t>
      </w:r>
      <w:r w:rsidR="00B95CB1" w:rsidRPr="008E5B32">
        <w:rPr>
          <w:lang w:val="en-GB"/>
        </w:rPr>
        <w:fldChar w:fldCharType="begin" w:fldLock="1"/>
      </w:r>
      <w:r w:rsidR="00793E15">
        <w:rPr>
          <w:lang w:val="en-GB"/>
        </w:rPr>
        <w:instrText>ADDIN CSL_CITATION {"citationItems":[{"id":"ITEM-1","itemData":{"DOI":"10.1016/J.COMTOX.2018.10.001","ISSN":"2468-1113","abstract":"Multi-walled carbon nanotubes (MWCNTs) consist of multiple layers of graphene sheets in a tubular shape. Depending on the synthesis and purification method, MWCNTs may differ in size, shape, rigidity and other properties. Previous research has shown that physicochemical properties can influence the translocation and toxicity of MWCNTs. Extensive in vitro and in vivo testing may be required to characterise the hazard of various physical forms of MWCNTs. Grouping of MWCNTs to read-across data for toxicological endpoints could efficiently contribute to reduce and focus MWCNT testing. This paper describes a case study to explore and illustrate read-across of genotoxicity data by following the “Recommendations for nanomaterials applicable to the Guidance on QSARs and Grouping”, developed by the European Chemicals Agency (ECHA). The grouping hypothesis was supported by the use of chemoinformatics techniques such as hierarchical clustering and principal components analysis. The uncertainties of the present case study were evaluated using the Read-Across Assessment Framework (RAAF) developed by ECHA. While the aim of this study was not to conduct a hazard assessment, the study data chosen for illustrative purposes suggest that the MWCNTs analogues selected are not genotoxic. No (major) differences between the analogues were observed which could be attributed to differences in physicochemical properties such as length, diameter or rigidity/straightness. Such properties, however, may have an impact on other hazard endpoints such as carcinogenicity. This study shows the practical application of the ECHA framework for grouping of nanomaterials (NMs) as well as use of the ECHA RAAF for NMs, and how this can be supported by chemoinformatics techniques. Some adaptations to the workflow are suggested for a more practical and straightforward narrative in the reporting.","author":[{"dropping-particle":"","family":"Aschberger","given":"Karin","non-dropping-particle":"","parse-names":false,"suffix":""},{"dropping-particle":"","family":"Asturiol","given":"David","non-dropping-particle":"","parse-names":false,"suffix":""},{"dropping-particle":"","family":"Lamon","given":"Lara","non-dropping-particle":"","parse-names":false,"suffix":""},{"dropping-particle":"","family":"Richarz","given":"Andrea","non-dropping-particle":"","parse-names":false,"suffix":""},{"dropping-particle":"","family":"Gerloff","given":"Kirsten","non-dropping-particle":"","parse-names":false,"suffix":""},{"dropping-particle":"","family":"Worth","given":"Andrew","non-dropping-particle":"","parse-names":false,"suffix":""}],"container-title":"Computational Toxicology","id":"ITEM-1","issued":{"date-parts":[["2019","2"]]},"page":"22-35","publisher":"Elsevier","title":"Grouping of multi-walled carbon nanotubes to read-across genotoxicity: A case study to evaluate the applicability of regulatory guidance","type":"article-journal","volume":"9"},"uris":["http://www.mendeley.com/documents/?uuid=60b0b649-84cf-48a6-8aaa-9ec7a7ad75c3"]}],"mendeley":{"formattedCitation":"&lt;sup&gt;97&lt;/sup&gt;","plainTextFormattedCitation":"97","previouslyFormattedCitation":"&lt;sup&gt;97&lt;/sup&gt;"},"properties":{"noteIndex":0},"schema":"https://github.com/citation-style-language/schema/raw/master/csl-citation.json"}</w:instrText>
      </w:r>
      <w:r w:rsidR="00B95CB1" w:rsidRPr="008E5B32">
        <w:rPr>
          <w:lang w:val="en-GB"/>
        </w:rPr>
        <w:fldChar w:fldCharType="separate"/>
      </w:r>
      <w:r w:rsidR="004C12A8" w:rsidRPr="008E5B32">
        <w:rPr>
          <w:noProof/>
          <w:vertAlign w:val="superscript"/>
          <w:lang w:val="en-GB"/>
        </w:rPr>
        <w:t>97</w:t>
      </w:r>
      <w:r w:rsidR="00B95CB1" w:rsidRPr="008E5B32">
        <w:rPr>
          <w:lang w:val="en-GB"/>
        </w:rPr>
        <w:fldChar w:fldCharType="end"/>
      </w:r>
      <w:r w:rsidR="00E43219" w:rsidRPr="008E5B32">
        <w:rPr>
          <w:lang w:val="en-GB"/>
        </w:rPr>
        <w:t>.</w:t>
      </w:r>
      <w:r w:rsidR="00585BAF" w:rsidRPr="008E5B32">
        <w:rPr>
          <w:lang w:val="en-GB"/>
        </w:rPr>
        <w:t xml:space="preserve"> </w:t>
      </w:r>
      <w:r w:rsidR="00470405" w:rsidRPr="008E5B32">
        <w:rPr>
          <w:lang w:val="en-GB"/>
        </w:rPr>
        <w:t>In addition</w:t>
      </w:r>
      <w:r w:rsidR="00585BAF" w:rsidRPr="008E5B32">
        <w:rPr>
          <w:lang w:val="en-GB"/>
        </w:rPr>
        <w:t>, b</w:t>
      </w:r>
      <w:r w:rsidR="00686C93" w:rsidRPr="008E5B32">
        <w:rPr>
          <w:lang w:val="en-GB"/>
        </w:rPr>
        <w:t>ecause of</w:t>
      </w:r>
      <w:r w:rsidR="00555140" w:rsidRPr="008E5B32">
        <w:rPr>
          <w:lang w:val="en-GB"/>
        </w:rPr>
        <w:t xml:space="preserve"> the small </w:t>
      </w:r>
      <w:r w:rsidR="007C5D3A" w:rsidRPr="008E5B32">
        <w:rPr>
          <w:lang w:val="en-GB"/>
        </w:rPr>
        <w:t>dataset size</w:t>
      </w:r>
      <w:r w:rsidR="00555140" w:rsidRPr="008E5B32">
        <w:rPr>
          <w:lang w:val="en-GB"/>
        </w:rPr>
        <w:t>,</w:t>
      </w:r>
      <w:r w:rsidR="007C5D3A" w:rsidRPr="008E5B32">
        <w:rPr>
          <w:lang w:val="en-GB"/>
        </w:rPr>
        <w:t xml:space="preserve"> m</w:t>
      </w:r>
      <w:r w:rsidR="00C5024B" w:rsidRPr="008E5B32">
        <w:rPr>
          <w:lang w:val="en-GB"/>
        </w:rPr>
        <w:t>any</w:t>
      </w:r>
      <w:r w:rsidR="007C5D3A" w:rsidRPr="008E5B32">
        <w:rPr>
          <w:lang w:val="en-GB"/>
        </w:rPr>
        <w:t xml:space="preserve"> of the case studies </w:t>
      </w:r>
      <w:r w:rsidR="00470405" w:rsidRPr="008E5B32">
        <w:rPr>
          <w:lang w:val="en-GB"/>
        </w:rPr>
        <w:t xml:space="preserve">neither </w:t>
      </w:r>
      <w:r w:rsidR="007C5D3A" w:rsidRPr="008E5B32">
        <w:rPr>
          <w:lang w:val="en-GB"/>
        </w:rPr>
        <w:t xml:space="preserve">report </w:t>
      </w:r>
      <w:r w:rsidR="00555140" w:rsidRPr="008E5B32">
        <w:rPr>
          <w:lang w:val="en-GB"/>
        </w:rPr>
        <w:t>on</w:t>
      </w:r>
      <w:r w:rsidR="007C5D3A" w:rsidRPr="008E5B32">
        <w:rPr>
          <w:lang w:val="en-GB"/>
        </w:rPr>
        <w:t xml:space="preserve"> model validation, nor </w:t>
      </w:r>
      <w:r w:rsidR="00470405" w:rsidRPr="008E5B32">
        <w:rPr>
          <w:lang w:val="en-GB"/>
        </w:rPr>
        <w:t xml:space="preserve">provide </w:t>
      </w:r>
      <w:r w:rsidR="007C5D3A" w:rsidRPr="008E5B32">
        <w:rPr>
          <w:lang w:val="en-GB"/>
        </w:rPr>
        <w:t xml:space="preserve">a comparison to </w:t>
      </w:r>
      <w:r w:rsidR="005941E4" w:rsidRPr="008E5B32">
        <w:rPr>
          <w:lang w:val="en-GB"/>
        </w:rPr>
        <w:t>experimental data</w:t>
      </w:r>
      <w:r w:rsidR="00470405" w:rsidRPr="008E5B32">
        <w:rPr>
          <w:lang w:val="en-GB"/>
        </w:rPr>
        <w:t>. Moreover, in most cases</w:t>
      </w:r>
      <w:r w:rsidR="005941E4" w:rsidRPr="008E5B32">
        <w:rPr>
          <w:lang w:val="en-GB"/>
        </w:rPr>
        <w:t xml:space="preserve"> </w:t>
      </w:r>
      <w:r w:rsidR="001F52BB" w:rsidRPr="008E5B32">
        <w:rPr>
          <w:lang w:val="en-GB"/>
        </w:rPr>
        <w:t>the possibly large uncertainties in the predictions a</w:t>
      </w:r>
      <w:r w:rsidR="00C5024B" w:rsidRPr="008E5B32">
        <w:rPr>
          <w:lang w:val="en-GB"/>
        </w:rPr>
        <w:t>re</w:t>
      </w:r>
      <w:r w:rsidR="001F52BB" w:rsidRPr="008E5B32">
        <w:rPr>
          <w:lang w:val="en-GB"/>
        </w:rPr>
        <w:t xml:space="preserve"> not properly evaluated</w:t>
      </w:r>
      <w:r w:rsidR="005941E4" w:rsidRPr="008E5B32">
        <w:rPr>
          <w:lang w:val="en-GB"/>
        </w:rPr>
        <w:t xml:space="preserve">. </w:t>
      </w:r>
      <w:r w:rsidR="006D756E" w:rsidRPr="008E5B32">
        <w:rPr>
          <w:lang w:val="en-GB"/>
        </w:rPr>
        <w:t>On the other hand,</w:t>
      </w:r>
      <w:r w:rsidR="00C5024B" w:rsidRPr="008E5B32">
        <w:rPr>
          <w:lang w:val="en-GB"/>
        </w:rPr>
        <w:t xml:space="preserve"> almost</w:t>
      </w:r>
      <w:r w:rsidR="006D756E" w:rsidRPr="008E5B32">
        <w:rPr>
          <w:lang w:val="en-GB"/>
        </w:rPr>
        <w:t xml:space="preserve"> all</w:t>
      </w:r>
      <w:r w:rsidR="00C5024B" w:rsidRPr="008E5B32">
        <w:rPr>
          <w:lang w:val="en-GB"/>
        </w:rPr>
        <w:t xml:space="preserve"> the</w:t>
      </w:r>
      <w:r w:rsidR="006D756E" w:rsidRPr="008E5B32">
        <w:rPr>
          <w:lang w:val="en-GB"/>
        </w:rPr>
        <w:t xml:space="preserve"> case studies have a clear presentation of the </w:t>
      </w:r>
      <w:r w:rsidR="00A743C0" w:rsidRPr="008E5B32">
        <w:rPr>
          <w:lang w:val="en-GB"/>
        </w:rPr>
        <w:t>Grouping</w:t>
      </w:r>
      <w:r w:rsidR="00F8689A" w:rsidRPr="008E5B32">
        <w:rPr>
          <w:lang w:val="en-GB"/>
        </w:rPr>
        <w:t xml:space="preserve"> </w:t>
      </w:r>
      <w:r w:rsidR="003A59B1" w:rsidRPr="008E5B32">
        <w:rPr>
          <w:lang w:val="en-GB"/>
        </w:rPr>
        <w:t xml:space="preserve">hypothesis or </w:t>
      </w:r>
      <w:r w:rsidR="00470405" w:rsidRPr="008E5B32">
        <w:rPr>
          <w:lang w:val="en-GB"/>
        </w:rPr>
        <w:t>relationship and</w:t>
      </w:r>
      <w:r w:rsidR="003A59B1" w:rsidRPr="008E5B32">
        <w:rPr>
          <w:lang w:val="en-GB"/>
        </w:rPr>
        <w:t xml:space="preserve"> </w:t>
      </w:r>
      <w:r w:rsidR="001F52BB" w:rsidRPr="008E5B32">
        <w:rPr>
          <w:lang w:val="en-GB"/>
        </w:rPr>
        <w:t xml:space="preserve">provide mostly satisfactory </w:t>
      </w:r>
      <w:r w:rsidR="003A59B1" w:rsidRPr="008E5B32">
        <w:rPr>
          <w:lang w:val="en-GB"/>
        </w:rPr>
        <w:t xml:space="preserve">interpretation of </w:t>
      </w:r>
      <w:r w:rsidR="00606A10" w:rsidRPr="008E5B32">
        <w:rPr>
          <w:lang w:val="en-GB"/>
        </w:rPr>
        <w:t>the</w:t>
      </w:r>
      <w:r w:rsidR="003A59B1" w:rsidRPr="008E5B32">
        <w:rPr>
          <w:lang w:val="en-GB"/>
        </w:rPr>
        <w:t xml:space="preserve"> results</w:t>
      </w:r>
      <w:r w:rsidR="00F24B5C" w:rsidRPr="008E5B32">
        <w:rPr>
          <w:lang w:val="en-GB"/>
        </w:rPr>
        <w:t>.</w:t>
      </w:r>
    </w:p>
    <w:p w14:paraId="2FD10866" w14:textId="65BBA3A8" w:rsidR="008329B9" w:rsidRPr="008E5B32" w:rsidRDefault="00244E46" w:rsidP="00B637FA">
      <w:pPr>
        <w:rPr>
          <w:lang w:val="en-GB"/>
        </w:rPr>
      </w:pPr>
      <w:r w:rsidRPr="008E5B32">
        <w:rPr>
          <w:lang w:val="en-GB"/>
        </w:rPr>
        <w:t xml:space="preserve">Similar </w:t>
      </w:r>
      <w:r w:rsidR="00AC6F89" w:rsidRPr="008E5B32">
        <w:rPr>
          <w:lang w:val="en-GB"/>
        </w:rPr>
        <w:t>conclusions may be drawn from</w:t>
      </w:r>
      <w:r w:rsidRPr="008E5B32">
        <w:rPr>
          <w:lang w:val="en-GB"/>
        </w:rPr>
        <w:t xml:space="preserve"> </w:t>
      </w:r>
      <w:r w:rsidR="007C354C" w:rsidRPr="008E5B32">
        <w:rPr>
          <w:lang w:val="en-GB"/>
        </w:rPr>
        <w:t xml:space="preserve">the </w:t>
      </w:r>
      <w:r w:rsidR="00AC6F89" w:rsidRPr="008E5B32">
        <w:rPr>
          <w:lang w:val="en-GB"/>
        </w:rPr>
        <w:t xml:space="preserve">evaluation of </w:t>
      </w:r>
      <w:r w:rsidR="007C354C" w:rsidRPr="008E5B32">
        <w:rPr>
          <w:lang w:val="en-GB"/>
        </w:rPr>
        <w:t>(Q)SAR models</w:t>
      </w:r>
      <w:r w:rsidR="00834532" w:rsidRPr="008E5B32">
        <w:rPr>
          <w:lang w:val="en-GB"/>
        </w:rPr>
        <w:t xml:space="preserve"> for the prediction of</w:t>
      </w:r>
      <w:r w:rsidR="004472AD" w:rsidRPr="008E5B32">
        <w:rPr>
          <w:lang w:val="en-GB"/>
        </w:rPr>
        <w:t xml:space="preserve"> human health</w:t>
      </w:r>
      <w:r w:rsidR="00834532" w:rsidRPr="008E5B32">
        <w:rPr>
          <w:lang w:val="en-GB"/>
        </w:rPr>
        <w:t xml:space="preserve"> hazard endpoints</w:t>
      </w:r>
      <w:r w:rsidR="007C354C" w:rsidRPr="008E5B32">
        <w:rPr>
          <w:lang w:val="en-GB"/>
        </w:rPr>
        <w:t xml:space="preserve"> </w:t>
      </w:r>
      <w:r w:rsidR="001F52BB" w:rsidRPr="008E5B32">
        <w:rPr>
          <w:lang w:val="en-GB"/>
        </w:rPr>
        <w:t>(cf</w:t>
      </w:r>
      <w:r w:rsidR="000A4CEB" w:rsidRPr="008E5B32">
        <w:rPr>
          <w:lang w:val="en-GB"/>
        </w:rPr>
        <w:t>r</w:t>
      </w:r>
      <w:r w:rsidR="001F52BB" w:rsidRPr="008E5B32">
        <w:rPr>
          <w:lang w:val="en-GB"/>
        </w:rPr>
        <w:t>.</w:t>
      </w:r>
      <w:r w:rsidR="0057503C" w:rsidRPr="008E5B32">
        <w:rPr>
          <w:lang w:val="en-GB"/>
        </w:rPr>
        <w:t xml:space="preserve"> Section 3.1 and</w:t>
      </w:r>
      <w:r w:rsidR="001F52BB" w:rsidRPr="008E5B32">
        <w:rPr>
          <w:lang w:val="en-GB"/>
        </w:rPr>
        <w:t xml:space="preserve"> </w:t>
      </w:r>
      <w:r w:rsidR="008F0B03" w:rsidRPr="008E5B32">
        <w:fldChar w:fldCharType="begin"/>
      </w:r>
      <w:r w:rsidR="008F0B03" w:rsidRPr="008E5B32">
        <w:rPr>
          <w:lang w:val="en-GB"/>
        </w:rPr>
        <w:instrText xml:space="preserve"> REF _Ref506571074 \h </w:instrText>
      </w:r>
      <w:r w:rsidR="00174EA9" w:rsidRPr="008E5B32">
        <w:rPr>
          <w:lang w:val="en-GB"/>
        </w:rPr>
        <w:instrText xml:space="preserve"> \* MERGEFORMAT </w:instrText>
      </w:r>
      <w:r w:rsidR="008F0B03" w:rsidRPr="008E5B32">
        <w:fldChar w:fldCharType="separate"/>
      </w:r>
      <w:r w:rsidR="00785247" w:rsidRPr="008E5B32">
        <w:rPr>
          <w:lang w:val="en-GB"/>
        </w:rPr>
        <w:t>Table 4</w:t>
      </w:r>
      <w:r w:rsidR="008F0B03" w:rsidRPr="008E5B32">
        <w:fldChar w:fldCharType="end"/>
      </w:r>
      <w:r w:rsidR="001F52BB" w:rsidRPr="008E5B32">
        <w:rPr>
          <w:lang w:val="en-GB"/>
        </w:rPr>
        <w:t xml:space="preserve">) </w:t>
      </w:r>
      <w:r w:rsidR="004B4209" w:rsidRPr="008E5B32">
        <w:rPr>
          <w:lang w:val="en-GB"/>
        </w:rPr>
        <w:t xml:space="preserve">where </w:t>
      </w:r>
      <w:r w:rsidR="006725C8" w:rsidRPr="008E5B32">
        <w:rPr>
          <w:lang w:val="en-GB"/>
        </w:rPr>
        <w:t>4</w:t>
      </w:r>
      <w:r w:rsidR="00713F03" w:rsidRPr="008E5B32">
        <w:rPr>
          <w:lang w:val="en-GB"/>
        </w:rPr>
        <w:t>1</w:t>
      </w:r>
      <w:r w:rsidR="004B4209" w:rsidRPr="008E5B32">
        <w:rPr>
          <w:lang w:val="en-GB"/>
        </w:rPr>
        <w:t xml:space="preserve"> </w:t>
      </w:r>
      <w:r w:rsidR="00834532" w:rsidRPr="008E5B32">
        <w:rPr>
          <w:lang w:val="en-GB"/>
        </w:rPr>
        <w:t>published studies have been reviewed</w:t>
      </w:r>
      <w:r w:rsidR="00AC6F89" w:rsidRPr="008E5B32">
        <w:rPr>
          <w:lang w:val="en-GB"/>
        </w:rPr>
        <w:t xml:space="preserve">: most of the approaches </w:t>
      </w:r>
      <w:r w:rsidR="00E43906" w:rsidRPr="008E5B32">
        <w:rPr>
          <w:lang w:val="en-GB"/>
        </w:rPr>
        <w:t xml:space="preserve">modelled small datasets, </w:t>
      </w:r>
      <w:r w:rsidR="00174EA9" w:rsidRPr="008E5B32">
        <w:rPr>
          <w:lang w:val="en-GB"/>
        </w:rPr>
        <w:t xml:space="preserve">and none of the approaches reported using any of the databases </w:t>
      </w:r>
      <w:r w:rsidR="00FB1CD2" w:rsidRPr="008E5B32">
        <w:rPr>
          <w:lang w:val="en-GB"/>
        </w:rPr>
        <w:t xml:space="preserve">in </w:t>
      </w:r>
      <w:r w:rsidR="0051695E" w:rsidRPr="008E5B32">
        <w:fldChar w:fldCharType="begin"/>
      </w:r>
      <w:r w:rsidR="0051695E" w:rsidRPr="008E5B32">
        <w:rPr>
          <w:lang w:val="en-GB"/>
        </w:rPr>
        <w:instrText xml:space="preserve"> REF _Ref524537959 \h  \* MERGEFORMAT </w:instrText>
      </w:r>
      <w:r w:rsidR="0051695E" w:rsidRPr="008E5B32">
        <w:fldChar w:fldCharType="separate"/>
      </w:r>
      <w:r w:rsidR="00785247" w:rsidRPr="008E5B32">
        <w:rPr>
          <w:lang w:val="en-GB"/>
        </w:rPr>
        <w:t xml:space="preserve">Table </w:t>
      </w:r>
      <w:r w:rsidR="00785247" w:rsidRPr="008E5B32">
        <w:rPr>
          <w:noProof/>
          <w:lang w:val="en-GB"/>
        </w:rPr>
        <w:t>2</w:t>
      </w:r>
      <w:r w:rsidR="0051695E" w:rsidRPr="008E5B32">
        <w:fldChar w:fldCharType="end"/>
      </w:r>
      <w:r w:rsidR="009E0EDE" w:rsidRPr="008E5B32">
        <w:rPr>
          <w:lang w:val="en-GB"/>
        </w:rPr>
        <w:t xml:space="preserve">. </w:t>
      </w:r>
      <w:r w:rsidR="00585BAF" w:rsidRPr="008E5B32">
        <w:rPr>
          <w:lang w:val="en-GB"/>
        </w:rPr>
        <w:t>It is also of note that 12 studies over the total</w:t>
      </w:r>
      <w:r w:rsidR="006A26BD" w:rsidRPr="008E5B32">
        <w:rPr>
          <w:lang w:val="en-GB"/>
        </w:rPr>
        <w:t xml:space="preserve"> </w:t>
      </w:r>
      <w:r w:rsidR="00585BAF" w:rsidRPr="008E5B32">
        <w:rPr>
          <w:lang w:val="en-GB"/>
        </w:rPr>
        <w:t xml:space="preserve">studies reported in Tables 3 and 4 rely on the same datasets </w:t>
      </w:r>
      <w:r w:rsidR="00585BAF" w:rsidRPr="008E5B32">
        <w:fldChar w:fldCharType="begin" w:fldLock="1"/>
      </w:r>
      <w:r w:rsidR="00434385" w:rsidRPr="008E5B32">
        <w:rPr>
          <w:lang w:val="en-GB"/>
        </w:rPr>
        <w:instrText>ADDIN CSL_CITATION {"citationItems":[{"id":"ITEM-1","itemData":{"DOI":"10.1038/nnano.2011.10","ISBN":"1748-3387","ISSN":"17483395","PMID":"21317892","abstract":"It is expected that the number and variety of engineered nanoparticles will increase rapidly over the next few years, and there is a need for new methods to quickly test the potential toxicity of these materials. Because experimental evaluation of the safety of chemicals is expensive and time-consuming, computational methods have been found to be efficient alternatives for predicting the potential toxicity and environmental impact of new nanomaterials before mass production. Here, we show that the quantitative structure-activity relationship (QSAR) method commonly used to predict the physicochemical properties of chemical compounds can be applied to predict the toxicity of various metal oxides. Based on experimental testing, we have developed a model to describe the cytotoxicity of 17 different types of metal oxide nanoparticles to bacteria Escherichia coli. The model reliably predicts the toxicity of all considered compounds, and the methodology is expected to provide guidance for the future design of safe nanomaterials.","author":[{"dropping-particle":"","family":"Puzyn","given":"Tomasz","non-dropping-particle":"","parse-names":false,"suffix":""},{"dropping-particle":"","family":"Rasulev","given":"Bakhtiyor","non-dropping-particle":"","parse-names":false,"suffix":""},{"dropping-particle":"","family":"Gajewicz","given":"Agnieszka","non-dropping-particle":"","parse-names":false,"suffix":""},{"dropping-particle":"","family":"Hu","given":"Xiaoke","non-dropping-particle":"","parse-names":false,"suffix":""},{"dropping-particle":"","family":"Dasari","given":"Thabitha P.","non-dropping-particle":"","parse-names":false,"suffix":""},{"dropping-particle":"","family":"Michalkova","given":"Andrea","non-dropping-particle":"","parse-names":false,"suffix":""},{"dropping-particle":"","family":"Hwang","given":"Huey Min","non-dropping-particle":"","parse-names":false,"suffix":""},{"dropping-particle":"","family":"Toropov","given":"Andrey","non-dropping-particle":"","parse-names":false,"suffix":""},{"dropping-particle":"","family":"Leszczynska","given":"Danuta","non-dropping-particle":"","parse-names":false,"suffix":""},{"dropping-particle":"","family":"Leszczynski","given":"Jerzy","non-dropping-particle":"","parse-names":false,"suffix":""}],"container-title":"Nature Nanotechnology","id":"ITEM-1","issue":"3","issued":{"date-parts":[["2011"]]},"page":"175-178","title":"Using nano-QSAR to predict the cytotoxicity of metal oxide nanoparticles","type":"article-journal","volume":"6"},"uris":["http://www.mendeley.com/documents/?uuid=1756c334-31e6-47b0-8ae2-2e43eff4d026"]},{"id":"ITEM-2","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-2","issue":"3","issued":{"date-parts":[["2015"]]},"page":"313-325","title":"Towards understanding mechanisms governing cytotoxicity of metal oxides nanoparticles: Hints from nano-QSAR studies","type":"article-journal","volume":"9"},"uris":["http://www.mendeley.com/documents/?uuid=c2cc70a2-4cb0-4d51-afc1-2bc29b803386"]}],"mendeley":{"formattedCitation":"&lt;sup&gt;23,83&lt;/sup&gt;","plainTextFormattedCitation":"23,83","previouslyFormattedCitation":"&lt;sup&gt;23,83&lt;/sup&gt;"},"properties":{"noteIndex":0},"schema":"https://github.com/citation-style-language/schema/raw/master/csl-citation.json"}</w:instrText>
      </w:r>
      <w:r w:rsidR="00585BAF" w:rsidRPr="008E5B32">
        <w:fldChar w:fldCharType="separate"/>
      </w:r>
      <w:r w:rsidR="004C12A8" w:rsidRPr="008E5B32">
        <w:rPr>
          <w:noProof/>
          <w:vertAlign w:val="superscript"/>
          <w:lang w:val="en-GB"/>
        </w:rPr>
        <w:t>23,83</w:t>
      </w:r>
      <w:r w:rsidR="00585BAF" w:rsidRPr="008E5B32">
        <w:fldChar w:fldCharType="end"/>
      </w:r>
      <w:r w:rsidR="00585BAF" w:rsidRPr="008E5B32">
        <w:rPr>
          <w:lang w:val="en-GB"/>
        </w:rPr>
        <w:t xml:space="preserve">. </w:t>
      </w:r>
      <w:r w:rsidR="009E0EDE" w:rsidRPr="008E5B32">
        <w:rPr>
          <w:lang w:val="en-GB"/>
        </w:rPr>
        <w:t xml:space="preserve">The </w:t>
      </w:r>
      <w:r w:rsidR="00270E27" w:rsidRPr="008E5B32">
        <w:rPr>
          <w:lang w:val="en-GB"/>
        </w:rPr>
        <w:t>mo</w:t>
      </w:r>
      <w:r w:rsidR="00163999" w:rsidRPr="008E5B32">
        <w:rPr>
          <w:lang w:val="en-GB"/>
        </w:rPr>
        <w:t>d</w:t>
      </w:r>
      <w:r w:rsidR="00270E27" w:rsidRPr="008E5B32">
        <w:rPr>
          <w:lang w:val="en-GB"/>
        </w:rPr>
        <w:t>elled</w:t>
      </w:r>
      <w:r w:rsidR="009E0EDE" w:rsidRPr="008E5B32">
        <w:rPr>
          <w:lang w:val="en-GB"/>
        </w:rPr>
        <w:t xml:space="preserve"> </w:t>
      </w:r>
      <w:r w:rsidR="00270E27" w:rsidRPr="008E5B32">
        <w:rPr>
          <w:lang w:val="en-GB"/>
        </w:rPr>
        <w:t>outcome</w:t>
      </w:r>
      <w:r w:rsidR="009E0EDE" w:rsidRPr="008E5B32">
        <w:rPr>
          <w:lang w:val="en-GB"/>
        </w:rPr>
        <w:t xml:space="preserve"> was in general well communicated</w:t>
      </w:r>
      <w:r w:rsidR="00F01756" w:rsidRPr="008E5B32">
        <w:rPr>
          <w:lang w:val="en-GB"/>
        </w:rPr>
        <w:t xml:space="preserve">. The prediction </w:t>
      </w:r>
      <w:r w:rsidR="008141FB" w:rsidRPr="008E5B32">
        <w:rPr>
          <w:lang w:val="en-GB"/>
        </w:rPr>
        <w:t xml:space="preserve">was related to </w:t>
      </w:r>
      <w:r w:rsidR="008141FB" w:rsidRPr="008E5B32">
        <w:rPr>
          <w:i/>
          <w:lang w:val="en-GB"/>
        </w:rPr>
        <w:t xml:space="preserve">in vitro </w:t>
      </w:r>
      <w:r w:rsidR="00F01756" w:rsidRPr="008E5B32">
        <w:rPr>
          <w:lang w:val="en-GB"/>
        </w:rPr>
        <w:t>endpoints</w:t>
      </w:r>
      <w:r w:rsidR="009976BF" w:rsidRPr="008E5B32">
        <w:rPr>
          <w:lang w:val="en-GB"/>
        </w:rPr>
        <w:t>,</w:t>
      </w:r>
      <w:r w:rsidR="00713F03" w:rsidRPr="008E5B32">
        <w:rPr>
          <w:lang w:val="en-GB"/>
        </w:rPr>
        <w:t xml:space="preserve"> except in a single case study</w:t>
      </w:r>
      <w:r w:rsidR="00F24B5C" w:rsidRPr="008E5B32">
        <w:rPr>
          <w:lang w:val="en-GB"/>
        </w:rPr>
        <w:t xml:space="preserve"> </w:t>
      </w:r>
      <w:r w:rsidR="00507583" w:rsidRPr="008E5B32">
        <w:rPr>
          <w:lang w:val="en-GB"/>
        </w:rPr>
        <w:fldChar w:fldCharType="begin" w:fldLock="1"/>
      </w:r>
      <w:r w:rsidR="00793E15">
        <w:rPr>
          <w:lang w:val="en-GB"/>
        </w:rPr>
        <w:instrText>ADDIN CSL_CITATION {"citationItems":[{"id":"ITEM-1","itemData":{"DOI":"10.1080/17435390.2017.1415388","ISSN":"1743-5390","author":[{"dropping-particle":"","family":"Gajewicz","given":"Agnieszka","non-dropping-particle":"","parse-names":false,"suffix":""},{"dropping-particle":"","family":"Puzyn","given":"Tomasz","non-dropping-particle":"","parse-names":false,"suffix":""},{"dropping-particle":"","family":"Odziomek","given":"Katarzyna","non-dropping-particle":"","parse-names":false,"suffix":""},{"dropping-particle":"","family":"Urbaszek","given":"Piotr","non-dropping-particle":"","parse-names":false,"suffix":""},{"dropping-particle":"","family":"Haase","given":"Andrea","non-dropping-particle":"","parse-names":false,"suffix":""},{"dropping-particle":"","family":"Riebeling","given":"Christian","non-dropping-particle":"","parse-names":false,"suffix":""},{"dropping-particle":"","family":"Luch","given":"Andreas","non-dropping-particle":"","parse-names":false,"suffix":""},{"dropping-particle":"","family":"Irfan","given":"Muhammad A.","non-dropping-particle":"","parse-names":false,"suffix":""},{"dropping-particle":"","family":"Landsiedel","given":"Robert","non-dropping-particle":"","parse-names":false,"suffix":""},{"dropping-particle":"","family":"Zande","given":"Meike","non-dropping-particle":"van der","parse-names":false,"suffix":""},{"dropping-particle":"","family":"Bouwmeester","given":"Hans","non-dropping-particle":"","parse-names":false,"suffix":""}],"container-title":"Nanotoxicology","id":"ITEM-1","issue":"1","issued":{"date-parts":[["2018","1"]]},"page":"1-17","title":"Decision tree models to classify nanomaterials according to the &lt;i&gt;DF4nanoGrouping&lt;/i&gt; scheme","type":"article-journal","volume":"12"},"uris":["http://www.mendeley.com/documents/?uuid=a08261e2-9c25-4436-8863-c0c1e49c8515"]}],"mendeley":{"formattedCitation":"&lt;sup&gt;154&lt;/sup&gt;","plainTextFormattedCitation":"154","previouslyFormattedCitation":"&lt;sup&gt;154&lt;/sup&gt;"},"properties":{"noteIndex":0},"schema":"https://github.com/citation-style-language/schema/raw/master/csl-citation.json"}</w:instrText>
      </w:r>
      <w:r w:rsidR="00507583" w:rsidRPr="008E5B32">
        <w:rPr>
          <w:lang w:val="en-GB"/>
        </w:rPr>
        <w:fldChar w:fldCharType="separate"/>
      </w:r>
      <w:r w:rsidR="004C12A8" w:rsidRPr="008E5B32">
        <w:rPr>
          <w:noProof/>
          <w:vertAlign w:val="superscript"/>
          <w:lang w:val="en-GB"/>
        </w:rPr>
        <w:t>154</w:t>
      </w:r>
      <w:r w:rsidR="00507583" w:rsidRPr="008E5B32">
        <w:rPr>
          <w:lang w:val="en-GB"/>
        </w:rPr>
        <w:fldChar w:fldCharType="end"/>
      </w:r>
      <w:r w:rsidR="00713F03" w:rsidRPr="008E5B32">
        <w:rPr>
          <w:lang w:val="en-GB"/>
        </w:rPr>
        <w:t>,</w:t>
      </w:r>
      <w:r w:rsidR="009976BF" w:rsidRPr="008E5B32">
        <w:rPr>
          <w:lang w:val="en-GB"/>
        </w:rPr>
        <w:t xml:space="preserve"> and </w:t>
      </w:r>
      <w:r w:rsidR="00270E27" w:rsidRPr="008E5B32">
        <w:rPr>
          <w:lang w:val="en-GB"/>
        </w:rPr>
        <w:t xml:space="preserve">in </w:t>
      </w:r>
      <w:r w:rsidR="00386081" w:rsidRPr="008E5B32">
        <w:rPr>
          <w:lang w:val="en-GB"/>
        </w:rPr>
        <w:t>roughly a third</w:t>
      </w:r>
      <w:r w:rsidR="00270E27" w:rsidRPr="008E5B32">
        <w:rPr>
          <w:lang w:val="en-GB"/>
        </w:rPr>
        <w:t xml:space="preserve"> of the reviewed approaches</w:t>
      </w:r>
      <w:r w:rsidR="009976BF" w:rsidRPr="008E5B32">
        <w:rPr>
          <w:lang w:val="en-GB"/>
        </w:rPr>
        <w:t xml:space="preserve"> </w:t>
      </w:r>
      <w:r w:rsidR="000337DF" w:rsidRPr="008E5B32">
        <w:rPr>
          <w:lang w:val="en-GB"/>
        </w:rPr>
        <w:t xml:space="preserve">the model outcome </w:t>
      </w:r>
      <w:r w:rsidR="00C01929" w:rsidRPr="008E5B32">
        <w:rPr>
          <w:lang w:val="en-GB"/>
        </w:rPr>
        <w:t>consisted in a combination of different endpoints</w:t>
      </w:r>
      <w:r w:rsidR="008141FB" w:rsidRPr="008E5B32">
        <w:rPr>
          <w:lang w:val="en-GB"/>
        </w:rPr>
        <w:t>.</w:t>
      </w:r>
      <w:r w:rsidR="0003120D" w:rsidRPr="008E5B32">
        <w:rPr>
          <w:lang w:val="en-GB"/>
        </w:rPr>
        <w:t xml:space="preserve"> Even though the modelling approach, as well as the descriptors</w:t>
      </w:r>
      <w:r w:rsidR="00D34261" w:rsidRPr="008E5B32">
        <w:rPr>
          <w:lang w:val="en-GB"/>
        </w:rPr>
        <w:t>, w</w:t>
      </w:r>
      <w:r w:rsidR="008141FB" w:rsidRPr="008E5B32">
        <w:rPr>
          <w:lang w:val="en-GB"/>
        </w:rPr>
        <w:t>ere</w:t>
      </w:r>
      <w:r w:rsidR="00D34261" w:rsidRPr="008E5B32">
        <w:rPr>
          <w:lang w:val="en-GB"/>
        </w:rPr>
        <w:t xml:space="preserve"> in </w:t>
      </w:r>
      <w:r w:rsidR="00D94538" w:rsidRPr="008E5B32">
        <w:rPr>
          <w:lang w:val="en-GB"/>
        </w:rPr>
        <w:t>most of the cases</w:t>
      </w:r>
      <w:r w:rsidR="00D34261" w:rsidRPr="008E5B32">
        <w:rPr>
          <w:lang w:val="en-GB"/>
        </w:rPr>
        <w:t xml:space="preserve"> </w:t>
      </w:r>
      <w:r w:rsidR="008141FB" w:rsidRPr="008E5B32">
        <w:rPr>
          <w:lang w:val="en-GB"/>
        </w:rPr>
        <w:t>clearly reported</w:t>
      </w:r>
      <w:r w:rsidR="00D34261" w:rsidRPr="008E5B32">
        <w:rPr>
          <w:lang w:val="en-GB"/>
        </w:rPr>
        <w:t xml:space="preserve">, </w:t>
      </w:r>
      <w:r w:rsidR="00B100EC" w:rsidRPr="008E5B32">
        <w:rPr>
          <w:lang w:val="en-GB"/>
        </w:rPr>
        <w:t>model validation was not always properly assessed, and</w:t>
      </w:r>
      <w:r w:rsidR="00585BAF" w:rsidRPr="008E5B32">
        <w:rPr>
          <w:lang w:val="en-GB"/>
        </w:rPr>
        <w:t xml:space="preserve"> in some cases the statistics</w:t>
      </w:r>
      <w:r w:rsidR="00B100EC" w:rsidRPr="008E5B32">
        <w:rPr>
          <w:lang w:val="en-GB"/>
        </w:rPr>
        <w:t xml:space="preserve"> </w:t>
      </w:r>
      <w:r w:rsidR="00585BAF" w:rsidRPr="008E5B32">
        <w:rPr>
          <w:lang w:val="en-GB"/>
        </w:rPr>
        <w:t xml:space="preserve">supporting </w:t>
      </w:r>
      <w:r w:rsidR="00D8618B" w:rsidRPr="008E5B32">
        <w:rPr>
          <w:lang w:val="en-GB"/>
        </w:rPr>
        <w:t xml:space="preserve">model performance are </w:t>
      </w:r>
      <w:r w:rsidR="005F4344" w:rsidRPr="008E5B32">
        <w:rPr>
          <w:lang w:val="en-GB"/>
        </w:rPr>
        <w:t>ins</w:t>
      </w:r>
      <w:r w:rsidR="00D8618B" w:rsidRPr="008E5B32">
        <w:rPr>
          <w:lang w:val="en-GB"/>
        </w:rPr>
        <w:t xml:space="preserve">ufficient. </w:t>
      </w:r>
      <w:r w:rsidR="000E2D4A" w:rsidRPr="008E5B32">
        <w:rPr>
          <w:lang w:val="en-GB"/>
        </w:rPr>
        <w:t xml:space="preserve">The AD of the model was assessed only in half of the reviewed approaches, </w:t>
      </w:r>
      <w:r w:rsidR="006173C2" w:rsidRPr="008E5B32">
        <w:rPr>
          <w:lang w:val="en-GB"/>
        </w:rPr>
        <w:t xml:space="preserve">and </w:t>
      </w:r>
      <w:r w:rsidR="00FC3E36" w:rsidRPr="008E5B32">
        <w:rPr>
          <w:lang w:val="en-GB"/>
        </w:rPr>
        <w:t>the evaluation of the uncertainty</w:t>
      </w:r>
      <w:r w:rsidR="009E301D" w:rsidRPr="008E5B32">
        <w:rPr>
          <w:lang w:val="en-GB"/>
        </w:rPr>
        <w:t>, of the sensitivity, and of the robustness</w:t>
      </w:r>
      <w:r w:rsidR="00FC3E36" w:rsidRPr="008E5B32">
        <w:rPr>
          <w:lang w:val="en-GB"/>
        </w:rPr>
        <w:t xml:space="preserve"> of the model predictions is </w:t>
      </w:r>
      <w:r w:rsidR="009E301D" w:rsidRPr="008E5B32">
        <w:rPr>
          <w:lang w:val="en-GB"/>
        </w:rPr>
        <w:t>missing</w:t>
      </w:r>
      <w:r w:rsidR="001E411E" w:rsidRPr="008E5B32">
        <w:rPr>
          <w:lang w:val="en-GB"/>
        </w:rPr>
        <w:t xml:space="preserve"> in most of the reviewed approaches</w:t>
      </w:r>
      <w:r w:rsidR="009E301D" w:rsidRPr="008E5B32">
        <w:rPr>
          <w:lang w:val="en-GB"/>
        </w:rPr>
        <w:t xml:space="preserve">. </w:t>
      </w:r>
      <w:r w:rsidR="003E5EDA" w:rsidRPr="008E5B32">
        <w:rPr>
          <w:lang w:val="en-GB"/>
        </w:rPr>
        <w:t xml:space="preserve">A </w:t>
      </w:r>
      <w:r w:rsidR="00585BAF" w:rsidRPr="008E5B32">
        <w:rPr>
          <w:lang w:val="en-GB"/>
        </w:rPr>
        <w:t xml:space="preserve">mechanistic </w:t>
      </w:r>
      <w:r w:rsidR="003E5EDA" w:rsidRPr="008E5B32">
        <w:rPr>
          <w:lang w:val="en-GB"/>
        </w:rPr>
        <w:t>justification of the model, on the other hand, is generally provided.</w:t>
      </w:r>
    </w:p>
    <w:p w14:paraId="1C5F0FEE" w14:textId="6E7755B6" w:rsidR="00EF57FB" w:rsidRPr="008E5B32" w:rsidRDefault="00EF57FB" w:rsidP="00B637FA">
      <w:pPr>
        <w:rPr>
          <w:lang w:val="en-GB"/>
        </w:rPr>
      </w:pPr>
      <w:r w:rsidRPr="008E5B32">
        <w:rPr>
          <w:lang w:val="en-GB"/>
        </w:rPr>
        <w:t>Roughly 50% of the approaches reviewed in this manuscript included in the final model nanospecific descriptors</w:t>
      </w:r>
      <w:r w:rsidR="00BB2340" w:rsidRPr="008E5B32">
        <w:rPr>
          <w:lang w:val="en-GB"/>
        </w:rPr>
        <w:t xml:space="preserve">, in addition </w:t>
      </w:r>
      <w:r w:rsidR="00D047B2" w:rsidRPr="008E5B32">
        <w:rPr>
          <w:lang w:val="en-GB"/>
        </w:rPr>
        <w:t>few</w:t>
      </w:r>
      <w:r w:rsidRPr="008E5B32">
        <w:rPr>
          <w:lang w:val="en-GB"/>
        </w:rPr>
        <w:t xml:space="preserve"> approaches reported including in their analysis proteomics </w:t>
      </w:r>
      <w:r w:rsidR="00AB2125" w:rsidRPr="008E5B32">
        <w:fldChar w:fldCharType="begin" w:fldLock="1"/>
      </w:r>
      <w:r w:rsidR="00AB2125" w:rsidRPr="008E5B32">
        <w:rPr>
          <w:lang w:val="en-US"/>
        </w:rPr>
        <w:instrText>ADDIN CSL_CITATION {"citationItems":[{"id":"ITEM-1","itemData":{"DOI":"10.1080/1062936X.2016.1197310","ISBN":"1062-936X","ISSN":"1029046X","abstract":"The understanding of the mechanisms and interactions that occur when nanomaterials enter biological systems is important to improve their future use. The adsorption of proteins from biological fluids in a physiological environment to form a corona on the surface of nanoparticles represents a key step that influences nanoparticle behaviour. In this study, the quantitative description of the composition of the protein corona was used to study the effect on cell association induced by 84 surface-modified gold nanoparticles of different sizes. Quantitative relationships between the protein corona and the activity of the gold nanoparticles were modelled by using several machine learning-based linear and non-linear approaches. Models based on a selection of only six serum proteins had robust and predictive results. The Projection Pursuit Regression method had the best performances (r2 = 0.91; Q2loo = 0.81; r2ext = 0.79). The present study confirmed the utility of protein corona composition to predict the bioactivity of gold nanoparticles and identified the main proteins that act as promoters or inhibitors of cell association. In addition, the comparison of several techniques showed which strategies offer the best results in prediction and could be used to support new toxicological studies on gold-based nanomaterials. © 2016 Informa UK Limited, trading as Taylor &amp; Francis Group","author":[{"dropping-particle":"","family":"Papa","given":"E.","non-dropping-particle":"","parse-names":false,"suffix":""},{"dropping-particle":"","family":"Doucet","given":"J. P.","non-dropping-particle":"","parse-names":false,"suffix":""},{"dropping-particle":"","family":"Sangion","given":"A.","non-dropping-particle":"","parse-names":false,"suffix":""},{"dropping-particle":"","family":"Doucet-Panaye","given":"A.","non-dropping-particle":"","parse-names":false,"suffix":""}],"container-title":"SAR and QSAR in Environmental Research","id":"ITEM-1","issued":{"date-parts":[["2016"]]},"title":"Investigation of the influence of protein corona composition on gold nanoparticle bioactivity using machine learning approaches","type":"article-journal"},"uris":["http://www.mendeley.com/documents/?uuid=a8d36dff-a50f-42dd-816c-2c93a1aaeabd","http://www.mendeley.com/documents/?uuid=7a3bbf05-1926-43cc-a0ec-c96d3f502fe7","http://www.mendeley.com/documents/?uuid=64fb1a58-0675-40bc-9983-62d4d42bf8bc"]},{"id":"ITEM-2","itemData":{"DOI":"10.1039/c5nr01537e","ISBN":"10.1039/C5NR01537E","ISSN":"20403372","PMID":"25959034","abstract":"Cellular association of nanoparticles (NPs) in biological fluids is affected by proteins adsorbed onto the NP surface, forming a \"protein corona\", thereby impacting cellular bioactivity. Here we investigate, based on an extensive gold NPs protein corona dataset, the relationships between NP-cell association and protein corona fingerprints (PCFs) as well as NP physicochemical properties. Accordingly, quantitative structure-activity relationships (QSARs) were developed based on both linear and non-linear support vector regression (SVR) models making use of a sequential forward floating selection of descriptors. The SVR model with only 6 serum proteins and zeta potential had higher accuracy (R2 = 0.895) relative to the linear model (R2 = 0.850) with 11 PCFs. Considering the initial pool of 148 descriptors, the APOB, A1AT, ANT3, and PLMN serum proteins along with NP zeta potential were identified as most significant to correlating NP-cell association. The present study suggests that QSARs exploration of NP-cell association data, considering the role of both NP protein corona and physicochemical properties, can support the planning and interpretation of toxicity studies and guide the design of NPs for biomedical applications. © The Royal Society of Chemistry.","author":[{"dropping-particle":"","family":"Liu","given":"Rong","non-dropping-particle":"","parse-names":false,"suffix":""},{"dropping-particle":"","family":"Jiang","given":"Wen","non-dropping-particle":"","parse-names":false,"suffix":""},{"dropping-particle":"","family":"Walkey","given":"Carl D.","non-dropping-particle":"","parse-names":false,"suffix":""},{"dropping-particle":"","family":"Chan","given":"Warren C.W.","non-dropping-particle":"","parse-names":false,"suffix":""},{"dropping-particle":"","family":"Cohen","given":"Yoram","non-dropping-particle":"","parse-names":false,"suffix":""}],"container-title":"Nanoscale","id":"ITEM-2","issued":{"date-parts":[["2015"]]},"title":"Prediction of nanoparticles-cell association based on corona proteins and physicochemical properties","type":"article-journal"},"uris":["http://www.mendeley.com/documents/?uuid=6b687b75-689c-46bc-8795-760f66959d90"]},{"id":"ITEM-3","itemData":{"DOI":"10.1186/s13321-015-0094-2","ISSN":"17582946","PMID":"26379782","abstract":"BACKGROUND: Predictive regression models can be created with many different modelling approaches. Choices need to be made for data set splitting, cross-validation methods, specific regression parameters and best model criteria, as they all affect the accuracy and efficiency of the produced predictive models, and therefore, raising model reproducibility and comparison issues. Cheminformatics and bioinformatics are extensively using predictive modelling and exhibit a need for standardization of these methodologies in order to assist model selection and speed up the process of predictive model development. A tool accessible to all users, irrespectively of their statistical knowledge, would be valuable if it tests several simple and complex regression models and validation schemes, produce unified reports, and offer the option to be integrated into more extensive studies. Additionally, such methodology should be implemented as a free programming package, in order to be continuously adapted and redistributed by others.\\n\\nRESULTS: We propose an integrated framework for creating multiple regression models, called RRegrs. The tool offers the option of ten simple and complex regression methods combined with repeated 10-fold and leave-one-out cross-validation. Methods include Multiple Linear regression, Generalized Linear Model with Stepwise Feature Selection, Partial Least Squares regression, Lasso regression, and Support Vector Machines Recursive Feature Elimination. The new framework is an automated fully validated procedure which produces standardized reports to quickly oversee the impact of choices in modelling algorithms and assess the model and cross-validation results. The methodology was implemented as an open source R package, available at https://www.github.com/enanomapper/RRegrs, by reusing and extending on the caret package.\\n\\nCONCLUSION: The universality of the new methodology is demonstrated using five standard data sets from different scientific fields. Its efficiency in cheminformatics and QSAR modelling is shown with three use cases: proteomics data for surface-modified gold nanoparticles, nano-metal oxides descriptor data, and molecular descriptors for acute aquatic toxicity data. The results show that for all data sets RRegrs reports models with equal or better performance for both training and test sets than those reported in the original publications. Its good performance as well as its adaptability in terms of parameter optimization could…","author":[{"dropping-particle":"","family":"Tsiliki","given":"Georgia","non-dropping-particle":"","parse-names":false,"suffix":""},{"dropping-particle":"","family":"Munteanu","given":"Cristian R.","non-dropping-particle":"","parse-names":false,"suffix":""},{"dropping-particle":"","family":"Seoane","given":"Jose A.","non-dropping-particle":"","parse-names":false,"suffix":""},{"dropping-particle":"","family":"Fernandez-Lozano","given":"Carlos","non-dropping-particle":"","parse-names":false,"suffix":""},{"dropping-particle":"","family":"Sarimveis","given":"Haralambos","non-dropping-particle":"","parse-names":false,"suffix":""},{"dropping-particle":"","family":"Willighagen","given":"Egon L.","non-dropping-particle":"","parse-names":false,"suffix":""}],"container-title":"Journal of Cheminformatics","id":"ITEM-3","issued":{"date-parts":[["2015"]]},"title":"RRegrs: An R package for computer-aided model selection with multiple regression models","type":"article-journal"},"uris":["http://www.mendeley.com/documents/?uuid=cb7ccf3b-57b2-4ab4-8b29-76cb79300e07"]},{"id":"ITEM-4","itemData":{"DOI":"10.3389/fphar.2017.00377","ISSN":"16639812","PMID":"28670277","abstract":"The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Pharmacology","id":"ITEM-4","issued":{"date-parts":[["2017"]]},"title":"Nano-Lazar: Read across predictions for nanoparticle toxicities with calculated and measured properties","type":"article-journal"},"uris":["http://www.mendeley.com/documents/?uuid=e716cf4e-6241-4ba5-9036-9d82b993c983"]}],"mendeley":{"formattedCitation":"&lt;sup&gt;84,137,138,143&lt;/sup&gt;","plainTextFormattedCitation":"84,137,138,143","previouslyFormattedCitation":"&lt;sup&gt;84,137,138,143&lt;/sup&gt;"},"properties":{"noteIndex":0},"schema":"https://github.com/citation-style-language/schema/raw/master/csl-citation.json"}</w:instrText>
      </w:r>
      <w:r w:rsidR="00AB2125" w:rsidRPr="008E5B32">
        <w:fldChar w:fldCharType="separate"/>
      </w:r>
      <w:r w:rsidR="00AB2125" w:rsidRPr="008E5B32">
        <w:rPr>
          <w:noProof/>
          <w:vertAlign w:val="superscript"/>
          <w:lang w:val="en-US"/>
        </w:rPr>
        <w:t>84,137,138,143</w:t>
      </w:r>
      <w:r w:rsidR="00AB2125" w:rsidRPr="008E5B32">
        <w:fldChar w:fldCharType="end"/>
      </w:r>
      <w:r w:rsidRPr="008E5B32">
        <w:rPr>
          <w:lang w:val="en-GB"/>
        </w:rPr>
        <w:t xml:space="preserve"> and omics descriptors</w:t>
      </w:r>
      <w:r w:rsidR="00AB2125" w:rsidRPr="008E5B32">
        <w:rPr>
          <w:lang w:val="en-GB"/>
        </w:rPr>
        <w:t xml:space="preserve"> </w:t>
      </w:r>
      <w:r w:rsidR="00AB2125" w:rsidRPr="008E5B32">
        <w:rPr>
          <w:lang w:val="en-GB"/>
        </w:rPr>
        <w:fldChar w:fldCharType="begin" w:fldLock="1"/>
      </w:r>
      <w:r w:rsidR="00793E15">
        <w:rPr>
          <w:lang w:val="en-GB"/>
        </w:rPr>
        <w:instrText>ADDIN CSL_CITATION {"citationItems":[{"id":"ITEM-1","itemData":{"DOI":"10.1021/acs.jcim.7b00160","ISSN":"15205142","PMID":"29281278","abstract":"We present toxFlow, a web-application developed for enrichment analysis of omics data coupled with read-across toxicity prediction. A sequential analysis workflow is suggested where users can filter omics data using enrichment scores and incorporate their findings into a correlation-based read-across technique for predicting the toxicity of a substance based on its analogs. Either embedded or in-house gene signature libraries can be used for enrichment analysis. The suggested approach can be used for toxicity prediction of diverse chemical entities, however this article focuses on the multi-perspective characterization of nanoparticles and selects their neighbors based on both physicochemical and biological similarity criteria. In addition, visualization options are offered to interactively explore correlation patterns in the data, whereas results can be exported for further analysis. toxFlow is accessible at http://147.102.86.129:3838/toxflow.","author":[{"dropping-particle":"","family":"Varsou","given":"Dimitra Danai","non-dropping-particle":"","parse-names":false,"suffix":""},{"dropping-particle":"","family":"Tsiliki","given":"Georgia","non-dropping-particle":"","parse-names":false,"suffix":""},{"dropping-particle":"","family":"Nymark","given":"Penny","non-dropping-particle":"","parse-names":false,"suffix":""},{"dropping-particle":"","family":"Kohonen","given":"Pekka","non-dropping-particle":"","parse-names":false,"suffix":""},{"dropping-particle":"","family":"Grafström","given":"Roland","non-dropping-particle":"","parse-names":false,"suffix":""},{"dropping-particle":"","family":"Sarimveis","given":"Haralambos","non-dropping-particle":"","parse-names":false,"suffix":""}],"container-title":"Journal of Chemical Information and Modeling","id":"ITEM-1","issued":{"date-parts":[["2018"]]},"title":"ToxFlow: A Web-Based Application for Read-Across Toxicity Prediction Using Omics and Physicochemical Data","type":"article-journal"},"uris":["http://www.mendeley.com/documents/?uuid=891fee53-14fe-406d-960f-6dc2d57e729f"]}],"mendeley":{"formattedCitation":"&lt;sup&gt;86&lt;/sup&gt;","plainTextFormattedCitation":"86","previouslyFormattedCitation":"&lt;sup&gt;86&lt;/sup&gt;"},"properties":{"noteIndex":0},"schema":"https://github.com/citation-style-language/schema/raw/master/csl-citation.json"}</w:instrText>
      </w:r>
      <w:r w:rsidR="00AB2125" w:rsidRPr="008E5B32">
        <w:rPr>
          <w:lang w:val="en-GB"/>
        </w:rPr>
        <w:fldChar w:fldCharType="separate"/>
      </w:r>
      <w:r w:rsidR="00AB2125" w:rsidRPr="008E5B32">
        <w:rPr>
          <w:noProof/>
          <w:vertAlign w:val="superscript"/>
          <w:lang w:val="en-GB"/>
        </w:rPr>
        <w:t>86</w:t>
      </w:r>
      <w:r w:rsidR="00AB2125" w:rsidRPr="008E5B32">
        <w:rPr>
          <w:lang w:val="en-GB"/>
        </w:rPr>
        <w:fldChar w:fldCharType="end"/>
      </w:r>
      <w:r w:rsidRPr="008E5B32">
        <w:rPr>
          <w:lang w:val="en-GB"/>
        </w:rPr>
        <w:t>, with encouraging results</w:t>
      </w:r>
      <w:r w:rsidR="005E2485" w:rsidRPr="008E5B32">
        <w:rPr>
          <w:lang w:val="en-GB"/>
        </w:rPr>
        <w:t xml:space="preserve"> (cfr. Section 3.2 and Section 3.3)</w:t>
      </w:r>
      <w:r w:rsidRPr="008E5B32">
        <w:rPr>
          <w:lang w:val="en-GB"/>
        </w:rPr>
        <w:t xml:space="preserve">. Future research should </w:t>
      </w:r>
      <w:r w:rsidR="005E2485" w:rsidRPr="008E5B32">
        <w:rPr>
          <w:lang w:val="en-GB"/>
        </w:rPr>
        <w:t xml:space="preserve">keep in consideration such informative descriptors, which can complement physicochemical descriptors and nanospecific </w:t>
      </w:r>
      <w:r w:rsidR="00BB2340" w:rsidRPr="008E5B32">
        <w:rPr>
          <w:lang w:val="en-GB"/>
        </w:rPr>
        <w:t>properties in</w:t>
      </w:r>
      <w:r w:rsidR="005E2485" w:rsidRPr="008E5B32">
        <w:rPr>
          <w:lang w:val="en-GB"/>
        </w:rPr>
        <w:t>dicated in Appendix R6.1 of REACH</w:t>
      </w:r>
      <w:r w:rsidR="001809F0" w:rsidRPr="008E5B32">
        <w:rPr>
          <w:lang w:val="en-GB"/>
        </w:rPr>
        <w:t xml:space="preserve"> </w:t>
      </w:r>
      <w:r w:rsidR="005E2485" w:rsidRPr="008E5B32">
        <w:rPr>
          <w:lang w:val="en-GB"/>
        </w:rPr>
        <w:fldChar w:fldCharType="begin" w:fldLock="1"/>
      </w:r>
      <w:r w:rsidR="005E2485"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005E2485" w:rsidRPr="008E5B32">
        <w:rPr>
          <w:lang w:val="en-GB"/>
        </w:rPr>
        <w:fldChar w:fldCharType="separate"/>
      </w:r>
      <w:r w:rsidR="005E2485" w:rsidRPr="008E5B32">
        <w:rPr>
          <w:noProof/>
          <w:vertAlign w:val="superscript"/>
          <w:lang w:val="en-GB"/>
        </w:rPr>
        <w:t>3</w:t>
      </w:r>
      <w:r w:rsidR="005E2485" w:rsidRPr="008E5B32">
        <w:rPr>
          <w:lang w:val="en-GB"/>
        </w:rPr>
        <w:fldChar w:fldCharType="end"/>
      </w:r>
      <w:r w:rsidRPr="008E5B32">
        <w:rPr>
          <w:lang w:val="en-GB"/>
        </w:rPr>
        <w:t>.</w:t>
      </w:r>
    </w:p>
    <w:p w14:paraId="013C0E58" w14:textId="6B403369" w:rsidR="00EE0B22" w:rsidRPr="008E5B32" w:rsidRDefault="00B55D46" w:rsidP="00532E15">
      <w:pPr>
        <w:rPr>
          <w:lang w:val="en-US"/>
        </w:rPr>
      </w:pPr>
      <w:r w:rsidRPr="008E5B32">
        <w:rPr>
          <w:lang w:val="en-GB"/>
        </w:rPr>
        <w:t>Structured sources (e.g. databases), where data are well-defined, and semantics are implicit, could be easily mined with automatic methods that are already available for the scientific community. On the other hand, unstructured sources (e.g. technical reports, journal articles) generally provide data in free text format, making it more difficult to automate the process of information extraction</w:t>
      </w:r>
      <w:r w:rsidR="0090534C" w:rsidRPr="008E5B32">
        <w:rPr>
          <w:lang w:val="en-GB"/>
        </w:rPr>
        <w:t xml:space="preserve"> and consequently making it</w:t>
      </w:r>
      <w:r w:rsidR="00F362E1" w:rsidRPr="008E5B32">
        <w:rPr>
          <w:lang w:val="en-GB"/>
        </w:rPr>
        <w:t xml:space="preserve"> harder for modellers to retrieve such data </w:t>
      </w:r>
      <w:r w:rsidR="00F362E1" w:rsidRPr="008E5B32">
        <w:rPr>
          <w:lang w:val="en-GB"/>
        </w:rPr>
        <w:fldChar w:fldCharType="begin" w:fldLock="1"/>
      </w:r>
      <w:r w:rsidR="00434385" w:rsidRPr="008E5B32">
        <w:rPr>
          <w:lang w:val="en-GB"/>
        </w:rPr>
        <w:instrText>ADDIN CSL_CITATION {"citationItems":[{"id":"ITEM-1","itemData":{"DOI":"10.1145/1089815.1089817","ISBN":"1931-0145","ISSN":"19310145","PMID":"2014879187","abstract":"An important approach to text mining involves the use of natural-language information extraction. Information extraction (IE) distills structured data or knowledge from unstructured text by identifying references to named entities as well as stated relationships between such entities. IE systems can be used to directly extricate abstract knowledge from a text corpus, or to extract concrete data from a set of documents which can then be further analyzed with traditional data-mining techniques to discover more general patterns. We discuss methods and implemented systems for both of these approaches and summarize results on mining real text corpora of biomedical abstracts, job announcements, and product descriptions. We also discuss challenges that arise when employing current information extraction technology to discover knowledge in text.","author":[{"dropping-particle":"","family":"Mooney","given":"Raymond J.","non-dropping-particle":"","parse-names":false,"suffix":""},{"dropping-particle":"","family":"Bunescu","given":"Razvan","non-dropping-particle":"","parse-names":false,"suffix":""}],"container-title":"ACM SIGKDD Explorations Newsletter","id":"ITEM-1","issued":{"date-parts":[["2005"]]},"title":"Mining knowledge from text using information extraction","type":"article-journal"},"uris":["http://www.mendeley.com/documents/?uuid=50d784dd-2ce1-4331-a19d-310553d6f732","http://www.mendeley.com/documents/?uuid=f546ec93-c9b5-4bf4-9232-663fe74a3ee5","http://www.mendeley.com/documents/?uuid=b7ec73ea-ccdd-4f09-b47e-749cc85d3fe9"]}],"mendeley":{"formattedCitation":"&lt;sup&gt;155&lt;/sup&gt;","plainTextFormattedCitation":"155","previouslyFormattedCitation":"&lt;sup&gt;155&lt;/sup&gt;"},"properties":{"noteIndex":0},"schema":"https://github.com/citation-style-language/schema/raw/master/csl-citation.json"}</w:instrText>
      </w:r>
      <w:r w:rsidR="00F362E1" w:rsidRPr="008E5B32">
        <w:rPr>
          <w:lang w:val="en-GB"/>
        </w:rPr>
        <w:fldChar w:fldCharType="separate"/>
      </w:r>
      <w:r w:rsidR="004C12A8" w:rsidRPr="008E5B32">
        <w:rPr>
          <w:noProof/>
          <w:vertAlign w:val="superscript"/>
          <w:lang w:val="en-GB"/>
        </w:rPr>
        <w:t>155</w:t>
      </w:r>
      <w:r w:rsidR="00F362E1" w:rsidRPr="008E5B32">
        <w:rPr>
          <w:lang w:val="en-GB"/>
        </w:rPr>
        <w:fldChar w:fldCharType="end"/>
      </w:r>
      <w:r w:rsidRPr="008E5B32">
        <w:rPr>
          <w:lang w:val="en-GB"/>
        </w:rPr>
        <w:t>. It is thus surprising that only</w:t>
      </w:r>
      <w:r w:rsidR="00462B0B" w:rsidRPr="008E5B32">
        <w:rPr>
          <w:lang w:val="en-GB"/>
        </w:rPr>
        <w:t xml:space="preserve"> Helma et al. (2017) report</w:t>
      </w:r>
      <w:r w:rsidRPr="008E5B32">
        <w:rPr>
          <w:lang w:val="en-GB"/>
        </w:rPr>
        <w:t>ed</w:t>
      </w:r>
      <w:r w:rsidR="00462B0B" w:rsidRPr="008E5B32">
        <w:rPr>
          <w:lang w:val="en-GB"/>
        </w:rPr>
        <w:t xml:space="preserve"> </w:t>
      </w:r>
      <w:r w:rsidRPr="008E5B32">
        <w:rPr>
          <w:lang w:val="en-GB"/>
        </w:rPr>
        <w:t>retrieving</w:t>
      </w:r>
      <w:r w:rsidR="00462B0B" w:rsidRPr="008E5B32">
        <w:rPr>
          <w:lang w:val="en-GB"/>
        </w:rPr>
        <w:t xml:space="preserve"> their dataset </w:t>
      </w:r>
      <w:r w:rsidRPr="008E5B32">
        <w:rPr>
          <w:lang w:val="en-GB"/>
        </w:rPr>
        <w:t>from</w:t>
      </w:r>
      <w:r w:rsidR="00462B0B" w:rsidRPr="008E5B32">
        <w:rPr>
          <w:lang w:val="en-GB"/>
        </w:rPr>
        <w:t xml:space="preserve"> one of the available databases (eNanoMapper) </w:t>
      </w:r>
      <w:r w:rsidR="00462B0B" w:rsidRPr="008E5B32">
        <w:fldChar w:fldCharType="begin" w:fldLock="1"/>
      </w:r>
      <w:r w:rsidR="00434385" w:rsidRPr="008E5B32">
        <w:rPr>
          <w:lang w:val="en-GB"/>
        </w:rPr>
        <w:instrText>ADDIN CSL_CITATION {"citationItems":[{"id":"ITEM-1","itemData":{"DOI":"10.3389/fphar.2017.00377","ISSN":"16639812","PMID":"28670277","abstract":"The lazar framework for read across predictions was expanded for the prediction of nanoparticle toxicities, and a new methodology for calculating nanoparticle descriptors from core and coating structures was implemented. Nano-lazar provides a flexible and reproducible framework for downloading data and ontologies from the open eNanoMapper infrastructure, developing and validating nanoparticle read across models, open-source code and a free graphical interface for nanoparticle read-across predictions. In this study we compare different nanoparticle descriptor sets and local regression algorithms. Sixty independent crossvalidation experiments were performed for the Net Cell Association endpoint of the Protein Corona dataset. The best RMSE and r(2) results originated from models with protein corona descriptors and the weighted random forest algorithm, but their 95% prediction interval is significantly less accurate than for models with simpler descriptor sets (measured and calculated nanoparticle properties). The most accurate prediction intervals were obtained with measured nanoparticle properties (no statistical significant difference (p &lt; 0.05) of RMSE and r(2) values compared to protein corona descriptors). Calculated descriptors are interesting for cheap and fast high-throughput screening purposes. RMSE and prediction intervals of random forest models are comparable to protein corona models, but r(2) values are significantly lower.","author":[{"dropping-particle":"","family":"Helma","given":"Christoph","non-dropping-particle":"","parse-names":false,"suffix":""},{"dropping-particle":"","family":"Rautenberg","given":"Micha","non-dropping-particle":"","parse-names":false,"suffix":""},{"dropping-particle":"","family":"Gebele","given":"Denis","non-dropping-particle":"","parse-names":false,"suffix":""}],"container-title":"Frontiers in Pharmacology","id":"ITEM-1","issued":{"date-parts":[["2017"]]},"title":"Nano-Lazar: Read across predictions for nanoparticle toxicities with calculated and measured properties","type":"article-journal"},"uris":["http://www.mendeley.com/documents/?uuid=bc5fff7e-25ad-48da-bd1d-5dc229a7f6b2","http://www.mendeley.com/documents/?uuid=e716cf4e-6241-4ba5-9036-9d82b993c983","http://www.mendeley.com/documents/?uuid=6ad07293-d700-47f7-b215-04232ca5ee0b"]}],"mendeley":{"formattedCitation":"&lt;sup&gt;84&lt;/sup&gt;","plainTextFormattedCitation":"84","previouslyFormattedCitation":"&lt;sup&gt;84&lt;/sup&gt;"},"properties":{"noteIndex":0},"schema":"https://github.com/citation-style-language/schema/raw/master/csl-citation.json"}</w:instrText>
      </w:r>
      <w:r w:rsidR="00462B0B" w:rsidRPr="008E5B32">
        <w:fldChar w:fldCharType="separate"/>
      </w:r>
      <w:r w:rsidR="004C12A8" w:rsidRPr="008E5B32">
        <w:rPr>
          <w:noProof/>
          <w:vertAlign w:val="superscript"/>
          <w:lang w:val="en-GB"/>
        </w:rPr>
        <w:t>84</w:t>
      </w:r>
      <w:r w:rsidR="00462B0B" w:rsidRPr="008E5B32">
        <w:fldChar w:fldCharType="end"/>
      </w:r>
      <w:r w:rsidR="00462B0B" w:rsidRPr="008E5B32">
        <w:rPr>
          <w:lang w:val="en-GB"/>
        </w:rPr>
        <w:t xml:space="preserve">, </w:t>
      </w:r>
      <w:r w:rsidRPr="008E5B32">
        <w:rPr>
          <w:lang w:val="en-GB"/>
        </w:rPr>
        <w:t>and only</w:t>
      </w:r>
      <w:r w:rsidR="00462B0B" w:rsidRPr="008E5B32">
        <w:rPr>
          <w:lang w:val="en-GB"/>
        </w:rPr>
        <w:t xml:space="preserve"> Jones et al. (2015) reported using data mining techniques </w:t>
      </w:r>
      <w:r w:rsidR="00462B0B" w:rsidRPr="008E5B32">
        <w:fldChar w:fldCharType="begin" w:fldLock="1"/>
      </w:r>
      <w:r w:rsidR="00434385" w:rsidRPr="008E5B32">
        <w:rPr>
          <w:lang w:val="en-GB"/>
        </w:rPr>
        <w:instrText>ADDIN CSL_CITATION {"citationItems":[{"id":"ITEM-1","itemData":{"DOI":"10.3762/bjnano.6.192","ISSN":"21904286","abstract":"The use of data mining techniques in the field of nanomedicine has been very limited. In this paper we demonstrate that data mining techniques can be used for the development of predictive models of the cytotoxicity of poly(amido amine) (PAMAM) dendrimers using their chemical and structural properties. We present predictive models developed using 103 PAMAM dendrimer cytotoxicity values that were extracted from twelve cancer nanomedicine journal articles. The results indicate that data mining and machine learning can be effectively used to predict the cytotoxicity of PAMAM dendrimers on Caco-2 cells.","author":[{"dropping-particle":"","family":"Jones","given":"David E.","non-dropping-particle":"","parse-names":false,"suffix":""},{"dropping-particle":"","family":"Ghandehari","given":"Hamidreza","non-dropping-particle":"","parse-names":false,"suffix":""},{"dropping-particle":"","family":"Facelli","given":"Julio C.","non-dropping-particle":"","parse-names":false,"suffix":""}],"container-title":"Beilstein Journal of Nanotechnology","id":"ITEM-1","issue":"1","issued":{"date-parts":[["2015"]]},"page":"1886-1896","title":"Predicting cytotoxicity of PAMAM dendrimers using molecular descriptors","type":"article-journal","volume":"6"},"uris":["http://www.mendeley.com/documents/?uuid=8f999da7-b031-4d3e-b300-5ea7ec0547cc"]}],"mendeley":{"formattedCitation":"&lt;sup&gt;133&lt;/sup&gt;","plainTextFormattedCitation":"133","previouslyFormattedCitation":"&lt;sup&gt;133&lt;/sup&gt;"},"properties":{"noteIndex":0},"schema":"https://github.com/citation-style-language/schema/raw/master/csl-citation.json"}</w:instrText>
      </w:r>
      <w:r w:rsidR="00462B0B" w:rsidRPr="008E5B32">
        <w:fldChar w:fldCharType="separate"/>
      </w:r>
      <w:r w:rsidR="004C12A8" w:rsidRPr="008E5B32">
        <w:rPr>
          <w:noProof/>
          <w:vertAlign w:val="superscript"/>
          <w:lang w:val="en-GB"/>
        </w:rPr>
        <w:t>133</w:t>
      </w:r>
      <w:r w:rsidR="00462B0B" w:rsidRPr="008E5B32">
        <w:fldChar w:fldCharType="end"/>
      </w:r>
      <w:r w:rsidRPr="008E5B32">
        <w:rPr>
          <w:lang w:val="en-GB"/>
        </w:rPr>
        <w:t>, while the</w:t>
      </w:r>
      <w:r w:rsidR="00AF17CA" w:rsidRPr="008E5B32">
        <w:rPr>
          <w:lang w:val="en-GB"/>
        </w:rPr>
        <w:t xml:space="preserve"> other</w:t>
      </w:r>
      <w:r w:rsidR="00462B0B" w:rsidRPr="008E5B32">
        <w:rPr>
          <w:lang w:val="en-GB"/>
        </w:rPr>
        <w:t xml:space="preserve"> approache</w:t>
      </w:r>
      <w:r w:rsidR="00AF17CA" w:rsidRPr="008E5B32">
        <w:rPr>
          <w:lang w:val="en-GB"/>
        </w:rPr>
        <w:t>s modelled datasets created ad-hoc or fetched from previous studies or from the literature</w:t>
      </w:r>
      <w:r w:rsidRPr="008E5B32">
        <w:rPr>
          <w:lang w:val="en-GB"/>
        </w:rPr>
        <w:t>.</w:t>
      </w:r>
      <w:r w:rsidR="00AF17CA" w:rsidRPr="008E5B32">
        <w:rPr>
          <w:lang w:val="en-GB"/>
        </w:rPr>
        <w:t xml:space="preserve"> </w:t>
      </w:r>
      <w:r w:rsidR="00C5024B" w:rsidRPr="008E5B32">
        <w:rPr>
          <w:lang w:val="en-GB"/>
        </w:rPr>
        <w:t>On the other hand,</w:t>
      </w:r>
      <w:r w:rsidR="005E0267" w:rsidRPr="008E5B32">
        <w:rPr>
          <w:lang w:val="en-GB"/>
        </w:rPr>
        <w:t xml:space="preserve"> Liu et al.</w:t>
      </w:r>
      <w:r w:rsidR="00307BB0" w:rsidRPr="008E5B32">
        <w:rPr>
          <w:lang w:val="en-GB"/>
        </w:rPr>
        <w:t xml:space="preserve"> (2013)</w:t>
      </w:r>
      <w:r w:rsidR="005E0267" w:rsidRPr="008E5B32">
        <w:rPr>
          <w:lang w:val="en-GB"/>
        </w:rPr>
        <w:t xml:space="preserve"> </w:t>
      </w:r>
      <w:r w:rsidR="005E0267" w:rsidRPr="008E5B32">
        <w:fldChar w:fldCharType="begin" w:fldLock="1"/>
      </w:r>
      <w:r w:rsidR="00434385" w:rsidRPr="008E5B32">
        <w:rPr>
          <w:lang w:val="en-GB"/>
        </w:rPr>
        <w:instrText>ADDIN CSL_CITATION {"citationItems":[{"id":"ITEM-1","itemData":{"DOI":"10.2147/IJN.S40742","ISBN":"1178-2013 (Electronic)\\r1176-9114 (Linking)","ISSN":"11769114","PMID":"24098077","abstract":"BACKGROUND: Predictive modeling of the biological effects of nanomaterials is critical for industry and policymakers to assess the potential hazards resulting from the application of engineered nanomaterials.\\n\\nMETHODS: We generated an experimental dataset on the toxic effects experienced by embryonic zebrafish due to exposure to nanomaterials. Several nanomaterials were studied, such as metal nanoparticles, dendrimer, metal oxide, and polymeric materials. The embryonic zebrafish metric (EZ Metric) was used as a screening-level measurement representative of adverse effects. Using the dataset, we developed a data mining approach to model the toxic endpoints and the overall biological impact of nanomaterials. Data mining techniques, such as numerical prediction, can assist analysts in developing risk assessment models for nanomaterials.\\n\\nRESULTS: We found several important attributes that contribute to the 24 hours post-fertilization (hpf) mortality, such as dosage concentration, shell composition, and surface charge. These findings concur with previous studies on nanomaterial toxicity using embryonic zebrafish. We conducted case studies on modeling the overall effect/impact of nanomaterials and the specific toxic endpoints such as mortality, delayed development, and morphological malformations. The results show that we can achieve high prediction accuracy for certain biological effects, such as 24 hpf mortality, 120 hpf mortality, and 120 hpf heart malformation. The results also show that the weighting scheme for individual biological effects has a significant influence on modeling the overall impact of nanomaterials. Sample prediction models can be found at http://neiminer.i-a-i.com/nei_models.\\n\\nCONCLUSION: The EZ Metric-based data mining approach has been shown to have predictive power. The results provide valuable insights into the modeling and understanding of nanomaterial exposure effects.","author":[{"dropping-particle":"","family":"Liu","given":"Xiong","non-dropping-particle":"","parse-names":false,"suffix":""},{"dropping-particle":"","family":"Tang","given":"Kaizhi","non-dropping-particle":"","parse-names":false,"suffix":""},{"dropping-particle":"","family":"Harper","given":"Stacey","non-dropping-particle":"","parse-names":false,"suffix":""},{"dropping-particle":"","family":"Harper","given":"Bryan","non-dropping-particle":"","parse-names":false,"suffix":""},{"dropping-particle":"","family":"Steevens","given":"Jeffery A.","non-dropping-particle":"","parse-names":false,"suffix":""},{"dropping-particle":"","family":"Xu","given":"Roger","non-dropping-particle":"","parse-names":false,"suffix":""}],"container-title":"International Journal of Nanomedicine","id":"ITEM-1","issued":{"date-parts":[["2013"]]},"title":"Predictive modeling of nanomaterial exposure effects in biological systems","type":"article-journal"},"uris":["http://www.mendeley.com/documents/?uuid=528ef3b8-60ce-400f-b806-faf562f84afe","http://www.mendeley.com/documents/?uuid=46a7ab70-6ab3-41b9-aaa9-623ee017a572","http://www.mendeley.com/documents/?uuid=ab9b5a48-a04e-4985-b983-ab81cf8912e0"]}],"mendeley":{"formattedCitation":"&lt;sup&gt;156&lt;/sup&gt;","plainTextFormattedCitation":"156","previouslyFormattedCitation":"&lt;sup&gt;156&lt;/sup&gt;"},"properties":{"noteIndex":0},"schema":"https://github.com/citation-style-language/schema/raw/master/csl-citation.json"}</w:instrText>
      </w:r>
      <w:r w:rsidR="005E0267" w:rsidRPr="008E5B32">
        <w:fldChar w:fldCharType="separate"/>
      </w:r>
      <w:r w:rsidR="004C12A8" w:rsidRPr="008E5B32">
        <w:rPr>
          <w:noProof/>
          <w:vertAlign w:val="superscript"/>
        </w:rPr>
        <w:t>156</w:t>
      </w:r>
      <w:r w:rsidR="005E0267" w:rsidRPr="008E5B32">
        <w:fldChar w:fldCharType="end"/>
      </w:r>
      <w:r w:rsidR="0027432A" w:rsidRPr="008E5B32">
        <w:t xml:space="preserve">, </w:t>
      </w:r>
      <w:r w:rsidR="004472AD" w:rsidRPr="008E5B32">
        <w:t xml:space="preserve">Kovalishyn et. al. (2018) </w:t>
      </w:r>
      <w:r w:rsidR="004472AD" w:rsidRPr="008E5B32">
        <w:fldChar w:fldCharType="begin" w:fldLock="1"/>
      </w:r>
      <w:r w:rsidR="00434385" w:rsidRPr="008E5B32">
        <w:instrText>ADDIN CSL_CITATION {"citationItems":[{"id":"ITEM-1","itemData":{"DOI":"10.1016/j.fct.2017.08.008","ISBN":"0045-6535","ISSN":"18736351","PMID":"26401637","abstract":"Inorganic nanomaterials have become one of the new areas of modern knowledge and technology and have already found an increasing number of applications. However, some nanoparticles show toxicity to living organisms, and can potentially have a negative influence on environmental ecosystems. While toxicity can be determined experimentally, such studies are time consuming and costly. Computational toxicology can provide an alternative approach and there is a need to develop methods to reliably assess Quantitative Structure–Property Relationships for nanomaterials (nano-QSPRs). Importantly, development of such models requires careful collection and curation of data. This article overviews freely available nano-QSPR models, which were developed using the Online Chemical Modeling Environment (OCHEM). Multiple data on toxicity of nanoparticles to different living organisms were collected from the literature and uploaded in the OCHEM database. The main characteristics of nanoparticles such as chemical composition of nanoparticles, average particle size, shape, surface charge and information about the biological test species were used as descriptors for developing QSPR models. QSPR methodologies used Random Forests (WEKA-RF), k-Nearest Neighbors and Associative Neural Networks. The predictive ability of the models was tested through cross-validation, giving cross-validated coefficients q2= 0.58–0.80 for regression models and balanced accuracies of 65–88% for classification models. These results matched the predictions for the test sets used to develop the models. The proposed nano-QSPR models and uploaded data are freely available online at http://ochem.eu/article/103451 and can be used for estimation of toxicity of new and emerging nanoparticles at the early stages of nanomaterial development.","author":[{"dropping-particle":"","family":"Kovalishyn","given":"Vasyl","non-dropping-particle":"","parse-names":false,"suffix":""},{"dropping-particle":"","family":"Abramenko","given":"Natalia","non-dropping-particle":"</w:instrText>
      </w:r>
      <w:r w:rsidR="00434385" w:rsidRPr="008E5B32">
        <w:rPr>
          <w:lang w:val="en-US"/>
        </w:rPr>
        <w:instrText>","parse-names":false,"suffix":""},{"dropping-particle":"","family":"Kopernyk","given":"Iryna","non-dropping-particle":"","parse-names":false,"suffix":""},{"dropping-particle":"","family":"Charochkina","given":"Larysa","non-dropping-particle":"","parse-names":false,"suffix":""},{"dropping-particle":"","family":"Metelytsia","given":"Larysa","non-dropping-particle":"","parse-names":false,"suffix":""},{"dropping-particle":"V.","family":"Tetko","given":"Igor","non-dropping-particle":"","parse-names":false,"suffix":""},{"dropping-particle":"","family":"Peijnenburg","given":"Willie","non-dropping-particle":"","parse-names":false,"suffix":""},{"dropping-particle":"","family":"Kustov","given":"Leonid","non-dropping-particle":"","parse-names":false,"suffix":""}],"container-title":"Food and Chemical Toxicology","id":"ITEM-1","issued":{"date-parts":[["2018"]]},"title":"Modelling the toxicity of a large set of metal and metal oxide nanoparticles using the OCHEM platform","type":"article-journal"},"uris":["http://www.mendeley.com/documents/?uuid=99f9bd1b-8477-4afe-b719-139f5165e326","http://www.mendeley.com/documents/?uuid=dfae7231-b36b-4f5e-a00a-218743039886","http://www.mendeley.com/documents/?uuid=ed1a4321-d0b0-4ebb-ac78-3a889a4797e5"]}],"mendeley":{"formattedCitation":"&lt;sup&gt;157&lt;/sup&gt;","plainTextFormattedCitation":"157","previouslyFormattedCitation":"&lt;sup&gt;157&lt;/sup&gt;"},"properties":{"noteIndex":0},"schema":"https://github.com/citation-style-language/schema/raw/master/csl-citation.json"}</w:instrText>
      </w:r>
      <w:r w:rsidR="004472AD" w:rsidRPr="008E5B32">
        <w:fldChar w:fldCharType="separate"/>
      </w:r>
      <w:r w:rsidR="004C12A8" w:rsidRPr="008E5B32">
        <w:rPr>
          <w:noProof/>
          <w:vertAlign w:val="superscript"/>
          <w:lang w:val="en-GB"/>
        </w:rPr>
        <w:t>157</w:t>
      </w:r>
      <w:r w:rsidR="004472AD" w:rsidRPr="008E5B32">
        <w:fldChar w:fldCharType="end"/>
      </w:r>
      <w:r w:rsidR="004472AD" w:rsidRPr="008E5B32">
        <w:rPr>
          <w:lang w:val="en-GB"/>
        </w:rPr>
        <w:t xml:space="preserve">, and </w:t>
      </w:r>
      <w:r w:rsidR="00307BB0" w:rsidRPr="008E5B32">
        <w:rPr>
          <w:lang w:val="en-GB"/>
        </w:rPr>
        <w:t xml:space="preserve">Chen et al. (2016) </w:t>
      </w:r>
      <w:r w:rsidR="00307BB0" w:rsidRPr="008E5B32">
        <w:fldChar w:fldCharType="begin" w:fldLock="1"/>
      </w:r>
      <w:r w:rsidR="00434385" w:rsidRPr="008E5B32">
        <w:rPr>
          <w:lang w:val="en-GB"/>
        </w:rPr>
        <w:instrText>ADDIN CSL_CITATION {"citationItems":[{"id":"ITEM-1","itemData":{"DOI":"10.1039/c6ra06159a","ISSN":"20462069","abstract":"&lt;p&gt;Developed nano-SARs based on the state-of-art of ecotoxicity testing of metallic nanomaterials.&lt;/p&gt;","author":[{"dropping-particle":"","family":"Chen","given":"Guangchao","non-dropping-particle":"","parse-names":false,"suffix":""},{"dropping-particle":"","family":"Peijnenburg","given":"Willie J.G.M.","non-dropping-particle":"","parse-names":false,"suffix":""},{"dropping-particle":"","family":"Kovalishyn","given":"Vasyl","non-dropping-particle":"","parse-names":false,"suffix":""},{"dropping-particle":"","family":"Vijver","given":"Martina G.","non-dropping-particle":"","parse-names":false,"suffix":""}],"container-title":"RSC Advances","id":"ITEM-1","issued":{"date-parts":[["2016"]]},"title":"Development of nanostructure-activity relationships assisting the nanomaterial hazard categorization for risk assessment and regulatory decision-making","type":"article-journal"},"uris":["http://www.mendeley.com/documents/?uuid=b2456a92-00dc-4776-899f-13a3185e48ff","http://www.mendeley.com/documents/?uuid=c8375456-2bde-4823-9c71-cd9685f5a602","http://www.mendeley.com/documents/?uuid=75f286d3-2c7a-48f7-9b88-743ea3211043"]}],"mendeley":{"formattedCitation":"&lt;sup&gt;158&lt;/sup&gt;","plainTextFormattedCitation":"158","previouslyFormattedCitation":"&lt;sup&gt;158&lt;/sup&gt;"},"properties":{"noteIndex":0},"schema":"https://github.com/citation-style-language/schema/raw/master/csl-citation.json"}</w:instrText>
      </w:r>
      <w:r w:rsidR="00307BB0" w:rsidRPr="008E5B32">
        <w:fldChar w:fldCharType="separate"/>
      </w:r>
      <w:r w:rsidR="004C12A8" w:rsidRPr="008E5B32">
        <w:rPr>
          <w:noProof/>
          <w:vertAlign w:val="superscript"/>
          <w:lang w:val="en-GB"/>
        </w:rPr>
        <w:t>158</w:t>
      </w:r>
      <w:r w:rsidR="00307BB0" w:rsidRPr="008E5B32">
        <w:fldChar w:fldCharType="end"/>
      </w:r>
      <w:r w:rsidR="0027432A" w:rsidRPr="008E5B32">
        <w:rPr>
          <w:lang w:val="en-GB"/>
        </w:rPr>
        <w:t xml:space="preserve">, </w:t>
      </w:r>
      <w:r w:rsidR="005E0267" w:rsidRPr="008E5B32">
        <w:rPr>
          <w:lang w:val="en-GB"/>
        </w:rPr>
        <w:t>fetched their datasets from the OCHEM and the NBI data</w:t>
      </w:r>
      <w:r w:rsidR="00C5024B" w:rsidRPr="008E5B32">
        <w:rPr>
          <w:lang w:val="en-GB"/>
        </w:rPr>
        <w:t>bases</w:t>
      </w:r>
      <w:r w:rsidR="005E0267" w:rsidRPr="008E5B32">
        <w:rPr>
          <w:lang w:val="en-GB"/>
        </w:rPr>
        <w:t xml:space="preserve"> for modelling ecotoxicity.</w:t>
      </w:r>
      <w:r w:rsidR="00891915" w:rsidRPr="008E5B32">
        <w:rPr>
          <w:lang w:val="en-GB"/>
        </w:rPr>
        <w:t xml:space="preserve"> This</w:t>
      </w:r>
      <w:r w:rsidR="0027082D" w:rsidRPr="008E5B32">
        <w:rPr>
          <w:lang w:val="en-GB"/>
        </w:rPr>
        <w:t xml:space="preserve"> </w:t>
      </w:r>
      <w:r w:rsidR="000D2E9E" w:rsidRPr="008E5B32">
        <w:rPr>
          <w:lang w:val="en-GB"/>
        </w:rPr>
        <w:t xml:space="preserve">may indicate that for ecotoxicity endpoints </w:t>
      </w:r>
      <w:r w:rsidR="0018602E" w:rsidRPr="008E5B32">
        <w:rPr>
          <w:lang w:val="en-GB"/>
        </w:rPr>
        <w:t>data in publicly available databases is in the current state more suitable for</w:t>
      </w:r>
      <w:r w:rsidR="00891915" w:rsidRPr="008E5B32">
        <w:rPr>
          <w:lang w:val="en-GB"/>
        </w:rPr>
        <w:t xml:space="preserve"> modelling</w:t>
      </w:r>
      <w:r w:rsidR="0018602E" w:rsidRPr="008E5B32">
        <w:rPr>
          <w:lang w:val="en-GB"/>
        </w:rPr>
        <w:t xml:space="preserve"> than </w:t>
      </w:r>
      <w:r w:rsidR="006D0FDC" w:rsidRPr="008E5B32">
        <w:rPr>
          <w:lang w:val="en-GB"/>
        </w:rPr>
        <w:t>data related to human health hazard endpoints</w:t>
      </w:r>
      <w:r w:rsidR="001D1A10" w:rsidRPr="008E5B32">
        <w:rPr>
          <w:lang w:val="en-GB"/>
        </w:rPr>
        <w:t xml:space="preserve">. </w:t>
      </w:r>
      <w:r w:rsidR="00231257" w:rsidRPr="008E5B32">
        <w:rPr>
          <w:lang w:val="en-GB"/>
        </w:rPr>
        <w:t>At present, indeed, research efforts are carried out in the nanosafety community in improving data curation and integration</w:t>
      </w:r>
      <w:r w:rsidR="00DB794D" w:rsidRPr="008E5B32">
        <w:rPr>
          <w:lang w:val="en-GB"/>
        </w:rPr>
        <w:t xml:space="preserve"> (cfr. Section 3.1)</w:t>
      </w:r>
      <w:r w:rsidR="00231257" w:rsidRPr="008E5B32">
        <w:rPr>
          <w:lang w:val="en-GB"/>
        </w:rPr>
        <w:t>, to enable subsequent development</w:t>
      </w:r>
      <w:r w:rsidR="00231257" w:rsidRPr="008E5B32">
        <w:rPr>
          <w:i/>
          <w:lang w:val="en-GB"/>
        </w:rPr>
        <w:t xml:space="preserve"> </w:t>
      </w:r>
      <w:r w:rsidR="00231257" w:rsidRPr="008E5B32">
        <w:rPr>
          <w:lang w:val="en-GB"/>
        </w:rPr>
        <w:t xml:space="preserve">of </w:t>
      </w:r>
      <w:r w:rsidR="00231257" w:rsidRPr="008E5B32">
        <w:rPr>
          <w:i/>
          <w:lang w:val="en-GB"/>
        </w:rPr>
        <w:t>in silico</w:t>
      </w:r>
      <w:r w:rsidR="00231257" w:rsidRPr="008E5B32">
        <w:rPr>
          <w:lang w:val="en-GB"/>
        </w:rPr>
        <w:t xml:space="preserve"> modelling as part of IATA for Grouping and Read-Across. </w:t>
      </w:r>
    </w:p>
    <w:p w14:paraId="77FEFEE9" w14:textId="1F77DC9A" w:rsidR="00B958DE" w:rsidRPr="008E5B32" w:rsidRDefault="00D463A3" w:rsidP="008326DE">
      <w:pPr>
        <w:rPr>
          <w:lang w:val="en-GB"/>
        </w:rPr>
      </w:pPr>
      <w:r w:rsidRPr="008E5B32">
        <w:rPr>
          <w:lang w:val="en-GB"/>
        </w:rPr>
        <w:t>In</w:t>
      </w:r>
      <w:r w:rsidR="009A0CC9" w:rsidRPr="008E5B32">
        <w:rPr>
          <w:lang w:val="en-GB"/>
        </w:rPr>
        <w:t xml:space="preserve"> most of the reviewed approaches</w:t>
      </w:r>
      <w:r w:rsidRPr="008E5B32">
        <w:rPr>
          <w:lang w:val="en-GB"/>
        </w:rPr>
        <w:t>,</w:t>
      </w:r>
      <w:r w:rsidR="00756C12" w:rsidRPr="008E5B32">
        <w:rPr>
          <w:lang w:val="en-GB"/>
        </w:rPr>
        <w:t xml:space="preserve"> </w:t>
      </w:r>
      <w:r w:rsidR="009000E6" w:rsidRPr="008E5B32">
        <w:rPr>
          <w:lang w:val="en-GB"/>
        </w:rPr>
        <w:t xml:space="preserve">despite the small </w:t>
      </w:r>
      <w:r w:rsidR="009F19F0" w:rsidRPr="008E5B32">
        <w:rPr>
          <w:lang w:val="en-GB"/>
        </w:rPr>
        <w:t>s</w:t>
      </w:r>
      <w:r w:rsidR="009000E6" w:rsidRPr="008E5B32">
        <w:rPr>
          <w:lang w:val="en-GB"/>
        </w:rPr>
        <w:t>ample</w:t>
      </w:r>
      <w:r w:rsidR="00664330" w:rsidRPr="008E5B32">
        <w:rPr>
          <w:lang w:val="en-GB"/>
        </w:rPr>
        <w:t xml:space="preserve"> size</w:t>
      </w:r>
      <w:r w:rsidR="00CF26A0" w:rsidRPr="008E5B32">
        <w:rPr>
          <w:lang w:val="en-GB"/>
        </w:rPr>
        <w:t>, many descriptors have been included in the final</w:t>
      </w:r>
      <w:r w:rsidR="009000E6" w:rsidRPr="008E5B32">
        <w:rPr>
          <w:lang w:val="en-GB"/>
        </w:rPr>
        <w:t xml:space="preserve"> models</w:t>
      </w:r>
      <w:r w:rsidR="009D3CC0" w:rsidRPr="008E5B32">
        <w:rPr>
          <w:lang w:val="en-GB"/>
        </w:rPr>
        <w:t xml:space="preserve"> (cfr. Section 3.1 and </w:t>
      </w:r>
      <w:r w:rsidR="009D3CC0" w:rsidRPr="008E5B32">
        <w:rPr>
          <w:lang w:val="en-GB"/>
        </w:rPr>
        <w:fldChar w:fldCharType="begin"/>
      </w:r>
      <w:r w:rsidR="009D3CC0" w:rsidRPr="008E5B32">
        <w:rPr>
          <w:lang w:val="en-GB"/>
        </w:rPr>
        <w:instrText xml:space="preserve"> REF _Ref517446312 \h  \* MERGEFORMAT </w:instrText>
      </w:r>
      <w:r w:rsidR="009D3CC0" w:rsidRPr="008E5B32">
        <w:rPr>
          <w:lang w:val="en-GB"/>
        </w:rPr>
      </w:r>
      <w:r w:rsidR="009D3CC0" w:rsidRPr="008E5B32">
        <w:rPr>
          <w:lang w:val="en-GB"/>
        </w:rPr>
        <w:fldChar w:fldCharType="separate"/>
      </w:r>
      <w:r w:rsidR="00785247" w:rsidRPr="008E5B32">
        <w:rPr>
          <w:lang w:val="en-GB"/>
        </w:rPr>
        <w:t xml:space="preserve">Table </w:t>
      </w:r>
      <w:r w:rsidR="00785247" w:rsidRPr="008E5B32">
        <w:rPr>
          <w:noProof/>
          <w:lang w:val="en-GB"/>
        </w:rPr>
        <w:t>3</w:t>
      </w:r>
      <w:r w:rsidR="009D3CC0" w:rsidRPr="008E5B32">
        <w:rPr>
          <w:lang w:val="en-GB"/>
        </w:rPr>
        <w:fldChar w:fldCharType="end"/>
      </w:r>
      <w:r w:rsidR="009D3CC0" w:rsidRPr="008E5B32">
        <w:rPr>
          <w:lang w:val="en-GB"/>
        </w:rPr>
        <w:t xml:space="preserve">, Section 3.2 and </w:t>
      </w:r>
      <w:r w:rsidR="009D3CC0" w:rsidRPr="008E5B32">
        <w:rPr>
          <w:lang w:val="en-GB"/>
        </w:rPr>
        <w:fldChar w:fldCharType="begin"/>
      </w:r>
      <w:r w:rsidR="009D3CC0" w:rsidRPr="008E5B32">
        <w:rPr>
          <w:lang w:val="en-GB"/>
        </w:rPr>
        <w:instrText xml:space="preserve"> REF _Ref506571074 \h  \* MERGEFORMAT </w:instrText>
      </w:r>
      <w:r w:rsidR="009D3CC0" w:rsidRPr="008E5B32">
        <w:rPr>
          <w:lang w:val="en-GB"/>
        </w:rPr>
      </w:r>
      <w:r w:rsidR="009D3CC0" w:rsidRPr="008E5B32">
        <w:rPr>
          <w:lang w:val="en-GB"/>
        </w:rPr>
        <w:fldChar w:fldCharType="separate"/>
      </w:r>
      <w:r w:rsidR="00785247" w:rsidRPr="008E5B32">
        <w:rPr>
          <w:lang w:val="en-GB"/>
        </w:rPr>
        <w:t xml:space="preserve">Table </w:t>
      </w:r>
      <w:r w:rsidR="00785247" w:rsidRPr="008E5B32">
        <w:rPr>
          <w:noProof/>
          <w:lang w:val="en-GB"/>
        </w:rPr>
        <w:t>4</w:t>
      </w:r>
      <w:r w:rsidR="009D3CC0" w:rsidRPr="008E5B32">
        <w:rPr>
          <w:lang w:val="en-GB"/>
        </w:rPr>
        <w:fldChar w:fldCharType="end"/>
      </w:r>
      <w:r w:rsidR="009D3CC0" w:rsidRPr="008E5B32">
        <w:rPr>
          <w:lang w:val="en-GB"/>
        </w:rPr>
        <w:t>)</w:t>
      </w:r>
      <w:r w:rsidR="00CF26A0" w:rsidRPr="008E5B32">
        <w:rPr>
          <w:lang w:val="en-GB"/>
        </w:rPr>
        <w:t xml:space="preserve">. However, ideally </w:t>
      </w:r>
      <w:r w:rsidR="0033381A" w:rsidRPr="008E5B32">
        <w:rPr>
          <w:lang w:val="en-GB"/>
        </w:rPr>
        <w:t xml:space="preserve">most of the </w:t>
      </w:r>
      <w:r w:rsidR="005066A8" w:rsidRPr="008E5B32">
        <w:rPr>
          <w:lang w:val="en-GB"/>
        </w:rPr>
        <w:t>ML</w:t>
      </w:r>
      <w:r w:rsidR="00CF26A0" w:rsidRPr="008E5B32">
        <w:rPr>
          <w:lang w:val="en-GB"/>
        </w:rPr>
        <w:t xml:space="preserve"> algorithms work better when a high number of samples is used to train them, and as the number of descriptors used by the model increase</w:t>
      </w:r>
      <w:r w:rsidR="006F4116" w:rsidRPr="008E5B32">
        <w:rPr>
          <w:lang w:val="en-GB"/>
        </w:rPr>
        <w:t>,</w:t>
      </w:r>
      <w:r w:rsidR="00CF26A0" w:rsidRPr="008E5B32">
        <w:rPr>
          <w:lang w:val="en-GB"/>
        </w:rPr>
        <w:t xml:space="preserve"> the minimum number of samples required to train it </w:t>
      </w:r>
      <w:r w:rsidR="00B85D52" w:rsidRPr="008E5B32">
        <w:rPr>
          <w:lang w:val="en-GB"/>
        </w:rPr>
        <w:t xml:space="preserve">should </w:t>
      </w:r>
      <w:r w:rsidR="00CF26A0" w:rsidRPr="008E5B32">
        <w:rPr>
          <w:lang w:val="en-GB"/>
        </w:rPr>
        <w:t xml:space="preserve">increase as well. Moreover, the concept of proximity, distance or nearest neighbour exploited by </w:t>
      </w:r>
      <w:r w:rsidR="00483C1D" w:rsidRPr="008E5B32">
        <w:rPr>
          <w:lang w:val="en-GB"/>
        </w:rPr>
        <w:t xml:space="preserve">distance-based </w:t>
      </w:r>
      <w:r w:rsidR="00D41DFF" w:rsidRPr="008E5B32">
        <w:rPr>
          <w:lang w:val="en-GB"/>
        </w:rPr>
        <w:t>ML</w:t>
      </w:r>
      <w:r w:rsidR="00CF26A0" w:rsidRPr="008E5B32">
        <w:rPr>
          <w:lang w:val="en-GB"/>
        </w:rPr>
        <w:t xml:space="preserve"> algorithms become less meaningful as the number of dimension become higher: this problem is known as the “curse of dimensionality” </w:t>
      </w:r>
      <w:r w:rsidR="00CF26A0" w:rsidRPr="008E5B32">
        <w:fldChar w:fldCharType="begin" w:fldLock="1"/>
      </w:r>
      <w:r w:rsidR="00434385" w:rsidRPr="008E5B32">
        <w:rPr>
          <w:lang w:val="en-GB"/>
        </w:rPr>
        <w:instrText>ADDIN CSL_CITATION {"citationItems":[{"id":"ITEM-1","itemData":{"ISBN":"978-3-540-41456-8","abstract":"Abstract In recent years, the effect of the curse of high dimensionality has been studied in great detail on several problems such as clustering, nearest neighbor search, and indexing. In high dimensional space the data becomes sparse, and traditional indexing and ... \\n","author":[{"dropping-particle":"","family":"Aggarwal","given":"Charu C","non-dropping-particle":"","parse-names":false,"suffix":""},{"dropping-particle":"","family":"Hinneburg","given":"Alexander","non-dropping-particle":"","parse-names":false,"suffix":""},{"dropping-particle":"","family":"Keim","given":"Daniel A","non-dropping-particle":"","parse-names":false,"suffix":""}],"container-title":"Database theory","id":"ITEM-1","issued":{"date-parts":[["2001"]]},"title":"On the Surprising Behavior of Distance Metrics in High Dimensional Space BT  - Database theory","type":"chapter"},"uris":["http://www.mendeley.com/documents/?uuid=8bb9e7af-2302-463f-a193-fc2fe1f68b85","http://www.mendeley.com/documents/?uuid=aa5e1cdb-3adc-47c7-9cf1-7566106687e4","http://www.mendeley.com/documents/?uuid=0af856f3-34c4-492d-9009-f01cf94af679"]},{"id":"ITEM-2","itemData":{"DOI":"10.1007/11494669_93","ISBN":"3540262083","ISSN":"03029743","abstract":"Modern data analysis tools have to work on high-dimensional data, whose components are not independently distributed. High-dimensional spaces show surprising, counter-intuitive geometrical properties that have a large influence on the performances of data analysis tools. Among these properties, the concentration of the norm phenomenon results in the fact that Euclidean norms and Gaussian kernels, both commonly used in models, become inappropriate in high-dimensional spaces. This papers presents alternative distance measures and kernels, together with geometrical methods to decrease the dimension of the space. The methodology is applied to a typical time series prediction example.","author":[{"dropping-particle":"","family":"Verleysen","given":"Michel","non-dropping-particle":"","parse-names":false,"suffix":""},{"dropping-particle":"","family":"François","given":"Damien","non-dropping-particle":"","parse-names":false,"suffix":""}],"container-title":"Analysis","id":"ITEM-2","issued":{"date-parts":[["2005"]]},"title":"The Curse of Dimensionality in Data Mining","type":"article-journal"},"uris":["http://www.mendeley.com/documents/?uuid=adf605f7-74a5-4926-b096-7e8ea6c25c6e","http://www.mendeley.com/documents/?uuid=74f2d6a3-00f9-45c8-8879-e13ca575b955","http://www.mendeley.com/documents/?uuid=6886a962-4559-49af-93d0-8c600c3b7db3"]},{"id":"ITEM-3","itemData":{"DOI":"10.1.1.329.3392","abstract":"The coming century is surely the century of data. A combination of blind faith and serious purpose makes our society invest massively in the collection and processing of data of all kinds, on scales unimaginable until recently. Hyperspectral Imagery, Internet Portals, Financial tick-by-tick data, and DNA Microarrays are just a few of the better-known sources, feeding data in torrential streams into scientific and business databases worldwide. In traditional statistical data analysis, we think of observations of instances of par-ticular phenomena (e.g. instance ↔ human being), these observations being a vector of values we measured on several variables (e.g. blood pressure, weight, height, ...). In traditional statistical methodology, we assumed many observations and a few, well-chosen variables. The trend today is towards more observations but even more so, to radically larger numbers of variables – voracious, automatic, systematic collection of hyper-informative detail about each observed instance. We are seeing examples where the observations gathered on individual instances are curves, or spectra, or images, or even movies, so that a single observation has dimensions in the thousands or billions, while there are only tens or hundreds of instances available for study. Classical methods are simply not designed to cope with this kind of explosive growth of dimensionality of the observation vector. We can say with complete confidence that in the coming cen-tury, high-dimensional data analysis will be a very significant activity, and completely new methods of high-dimensional data analysis will be developed; we just don't know what they are yet. Mathematicians are ideally prepared for appreciating the abstract issues involved in finding patterns in such high-dimensional data. Two of the most influential prin-ciples in the coming century will be principles originally discovered and cultivated by mathematicians: the blessings of dimensionality and the curse of dimensionality. The curse of dimensionality is a phrase used by several subfields in the mathematical sciences; I use it here to refer to the apparent intractability of systematically searching through a high-dimensional space, the apparent intractability of accurately approxi-mating a general high-dimensional function, the apparent intractability of integrating a high-dimensional function. The blessings of dimensionality are less widely noted, but they include the concen-tration of measure phenomenon…","author":[{"dropping-particle":"","family":"Donoho","given":"David L","non-dropping-particle":"","parse-names":false,"suffix":""}],"container-title":"American Math. Society Lecture-Math Challenges of the 21st Century","id":"ITEM-3","issued":{"date-parts":[["2000"]]},"title":"Aide-Memoire. High-Dimensional Data Analysis: The Curses and Blessings of Dimensionality","type":"article-journal"},"uris":["http://www.mendeley.com/documents/?uuid=4abc8686-dbf1-4f1f-8948-6a78110b767b","http://www.mendeley.com/documents/?uuid=2ef81d51-4456-45ea-abfe-98825407c433","http://www.mendeley.com/documents/?uuid=869bfb91-d46d-40a7-b32d-d4a44623e9c8"]}],"mendeley":{"formattedCitation":"&lt;sup&gt;159–161&lt;/sup&gt;","plainTextFormattedCitation":"159–161","previouslyFormattedCitation":"&lt;sup&gt;159–161&lt;/sup&gt;"},"properties":{"noteIndex":0},"schema":"https://github.com/citation-style-language/schema/raw/master/csl-citation.json"}</w:instrText>
      </w:r>
      <w:r w:rsidR="00CF26A0" w:rsidRPr="008E5B32">
        <w:fldChar w:fldCharType="separate"/>
      </w:r>
      <w:r w:rsidR="004C12A8" w:rsidRPr="008E5B32">
        <w:rPr>
          <w:noProof/>
          <w:vertAlign w:val="superscript"/>
          <w:lang w:val="en-GB"/>
        </w:rPr>
        <w:t>159–161</w:t>
      </w:r>
      <w:r w:rsidR="00CF26A0" w:rsidRPr="008E5B32">
        <w:fldChar w:fldCharType="end"/>
      </w:r>
      <w:r w:rsidR="00CF26A0" w:rsidRPr="008E5B32">
        <w:rPr>
          <w:lang w:val="en-GB"/>
        </w:rPr>
        <w:t xml:space="preserve">. Even though there are no general rules specifying the minimum number of samples required </w:t>
      </w:r>
      <w:r w:rsidR="00F90ABE" w:rsidRPr="008E5B32">
        <w:rPr>
          <w:lang w:val="en-GB"/>
        </w:rPr>
        <w:t xml:space="preserve">to </w:t>
      </w:r>
      <w:r w:rsidR="00CF26A0" w:rsidRPr="008E5B32">
        <w:rPr>
          <w:lang w:val="en-GB"/>
        </w:rPr>
        <w:t>train a model, experiments demonstrated that at least 10 samples per variable are required</w:t>
      </w:r>
      <w:r w:rsidR="00483C1D" w:rsidRPr="008E5B32">
        <w:rPr>
          <w:lang w:val="en-GB"/>
        </w:rPr>
        <w:t xml:space="preserve"> for logistic regression</w:t>
      </w:r>
      <w:r w:rsidR="00946248" w:rsidRPr="008E5B32">
        <w:rPr>
          <w:lang w:val="en-GB"/>
        </w:rPr>
        <w:t xml:space="preserve"> </w:t>
      </w:r>
      <w:r w:rsidR="00CF26A0" w:rsidRPr="008E5B32">
        <w:fldChar w:fldCharType="begin" w:fldLock="1"/>
      </w:r>
      <w:r w:rsidR="00434385" w:rsidRPr="008E5B32">
        <w:rPr>
          <w:lang w:val="en-GB"/>
        </w:rPr>
        <w:instrText>ADDIN CSL_CITATION {"citationItems":[{"id":"ITEM-1","itemData":{"DOI":"10.1016/S0895-4356(96)00236-3","ISBN":"0895-4356","ISSN":"08954356","PMID":"8970487","abstract":"We performed a Monte Carlo study to evaluate the effect of the number of events per variable (EPV) analyzed in logistic regression analysis. The simulations were based on data from a cardiac trial of 673 patients in which 252 deaths occurred and seven variables were cogent predictors of mortality; the number of events per predictive variable was (252/7 =) 36 for the full sample. For the simulations, at values of EPV = 2, 5, 10, 15, 20, and 25, we randomly generated 500 samples of the 673 patients, chosen with replacement, according to a logistic model derived from the full sample. Simulation results for the regression coefficients for each variable in each group of 500 samples were compared for bias, precision, and significance testing against the results of the model fitted to the original sample. For EPV values of 10 or greater, no major problems occurred. For EPV values less than 10, however, the regression coefficients were biased in both positive and negative directions; the large sample variance estimates from the logistic model both overestimated and underestimated the sample variance of the regression coefficients; the 90% confidence limits about the estimated values did not have proper coverage; the Wald statistic was conservative under the null hypothesis; and paradoxical associations (significance in the wrong direction) were increased. Although other factors (such as the total number of events, or sample size) may influence the validity of the logistic model, our findings indicate that low EPV can lead to major problems.","author":[{"dropping-particle":"","family":"Peduzzi","given":"Peter","non-dropping-particle":"","parse-names":false,"suffix":""},{"dropping-particle":"","family":"Concato","given":"John","non-dropping-particle":"","parse-names":false,"suffix":""},{"dropping-particle":"","family":"Kemper","given":"Elizabeth","non-dropping-particle":"","parse-names":false,"suffix":""},{"dropping-particle":"","family":"Holford","given":"Theodore R.","non-dropping-particle":"","parse-names":false,"suffix":""},{"dropping-particle":"","family":"Feinstem","given":"Alvan R.","non-dropping-particle":"","parse-names":false,"suffix":""}],"container-title":"Journal of Clinical Epidemiology","id":"ITEM-1","issued":{"date-parts":[["1996"]]},"title":"A simulation study of the number of events per variable in logistic regression analysis","type":"article-journal"},"uris":["http://www.mendeley.com/documents/?uuid=acb2a65e-eb35-43dd-b335-33edf30b4e7a","http://www.mendeley.com/documents/?uuid=070221eb-7eb1-4962-8be2-85c2900bccfe","http://www.mendeley.com/documents/?uuid=a72e8679-8dcd-4376-92b2-ad6946d69f34"]}],"mendeley":{"formattedCitation":"&lt;sup&gt;162&lt;/sup&gt;","plainTextFormattedCitation":"162","previouslyFormattedCitation":"&lt;sup&gt;162&lt;/sup&gt;"},"properties":{"noteIndex":0},"schema":"https://github.com/citation-style-language/schema/raw/master/csl-citation.json"}</w:instrText>
      </w:r>
      <w:r w:rsidR="00CF26A0" w:rsidRPr="008E5B32">
        <w:fldChar w:fldCharType="separate"/>
      </w:r>
      <w:r w:rsidR="004C12A8" w:rsidRPr="008E5B32">
        <w:rPr>
          <w:noProof/>
          <w:vertAlign w:val="superscript"/>
          <w:lang w:val="en-GB"/>
        </w:rPr>
        <w:t>162</w:t>
      </w:r>
      <w:r w:rsidR="00CF26A0" w:rsidRPr="008E5B32">
        <w:fldChar w:fldCharType="end"/>
      </w:r>
      <w:r w:rsidR="00CF26A0" w:rsidRPr="008E5B32">
        <w:rPr>
          <w:lang w:val="en-GB"/>
        </w:rPr>
        <w:t>, while a more conservative rule</w:t>
      </w:r>
      <w:r w:rsidR="000F7C49" w:rsidRPr="008E5B32">
        <w:rPr>
          <w:lang w:val="en-GB"/>
        </w:rPr>
        <w:t xml:space="preserve"> </w:t>
      </w:r>
      <w:r w:rsidR="000F7C49" w:rsidRPr="008E5B32">
        <w:fldChar w:fldCharType="begin" w:fldLock="1"/>
      </w:r>
      <w:r w:rsidR="00434385" w:rsidRPr="008E5B32">
        <w:rPr>
          <w:lang w:val="en-GB"/>
        </w:rPr>
        <w:instrText>ADDIN CSL_CITATION {"citationItems":[{"id":"ITEM-1","itemData":{"abstract":"Clustering is a highly popular and widely used tool for identifying or constructing databased market segments. Over decades of applying cluster analytical procedures for the purpose of searching for homogeneous subgroups among consumers, questionable standards of utilization have emerged, e.g. the non-explorative manner in which results from cluster analytic procedures are reported, the black-box approach ignoring crucial parameters of the algorithms applied or the lack of harmonization of methodology chosen and data conditions. The purpose of this study is threefold: (1) to investigate whether and which standards of application of cluster analysis have emerged in the academic marketing literature, (2) to compare these standards of application to methodological knowledge about clustering procedures and (3) suggest changes in clustering habits. These goals are achieved by systematically reviewing 243 data-driven segmentation studies that apply cluster analysis for partitioning purposes.","author":[{"dropping-particle":"","family":"Dolnicar","given":"Sara","non-dropping-particle":"","parse-names":false,"suffix":""}],"container-title":"Faculty of Commerce-Papers","id":"ITEM-1","issued":{"date-parts":[["2002"]]},"title":"A review of unquestioned standards in using cluster analysis for data-driven market segmentation","type":"book"},"uris":["http://www.mendeley.com/documents/?uuid=5c53275c-addf-4871-b9a7-b488de67d081","http://www.mendeley.com/documents/?uuid=dfb6b55e-d831-435f-bc97-bd44198e0abe","http://www.mendeley.com/documents/?uuid=597a0518-e0f4-4ce4-a3c4-68d9e3f4758b"]}],"mendeley":{"formattedCitation":"&lt;sup&gt;163&lt;/sup&gt;","plainTextFormattedCitation":"163","previouslyFormattedCitation":"&lt;sup&gt;163&lt;/sup&gt;"},"properties":{"noteIndex":0},"schema":"https://github.com/citation-style-language/schema/raw/master/csl-citation.json"}</w:instrText>
      </w:r>
      <w:r w:rsidR="000F7C49" w:rsidRPr="008E5B32">
        <w:fldChar w:fldCharType="separate"/>
      </w:r>
      <w:r w:rsidR="004C12A8" w:rsidRPr="008E5B32">
        <w:rPr>
          <w:noProof/>
          <w:vertAlign w:val="superscript"/>
          <w:lang w:val="en-GB"/>
        </w:rPr>
        <w:t>163</w:t>
      </w:r>
      <w:r w:rsidR="000F7C49" w:rsidRPr="008E5B32">
        <w:fldChar w:fldCharType="end"/>
      </w:r>
      <w:r w:rsidR="00CF26A0" w:rsidRPr="008E5B32">
        <w:rPr>
          <w:lang w:val="en-GB"/>
        </w:rPr>
        <w:t xml:space="preserve"> can be adapted from Latent Class Analysis, where the minimal sample size to include is suggested to be no less than 2</w:t>
      </w:r>
      <w:r w:rsidR="00CF26A0" w:rsidRPr="008E5B32">
        <w:rPr>
          <w:vertAlign w:val="superscript"/>
          <w:lang w:val="en-GB"/>
        </w:rPr>
        <w:t>k</w:t>
      </w:r>
      <w:r w:rsidR="00CF26A0" w:rsidRPr="008E5B32">
        <w:rPr>
          <w:lang w:val="en-GB"/>
        </w:rPr>
        <w:t xml:space="preserve"> (where k is the number of variables), preferably 5*</w:t>
      </w:r>
      <w:r w:rsidR="000F7C49" w:rsidRPr="008E5B32">
        <w:rPr>
          <w:lang w:val="en-GB"/>
        </w:rPr>
        <w:t>2</w:t>
      </w:r>
      <w:r w:rsidR="000F7C49" w:rsidRPr="008E5B32">
        <w:rPr>
          <w:vertAlign w:val="superscript"/>
          <w:lang w:val="en-GB"/>
        </w:rPr>
        <w:t>k</w:t>
      </w:r>
      <w:r w:rsidR="000F7C49" w:rsidRPr="008E5B32">
        <w:rPr>
          <w:lang w:val="en-GB"/>
        </w:rPr>
        <w:t>.</w:t>
      </w:r>
      <w:r w:rsidR="007F5344" w:rsidRPr="008E5B32">
        <w:rPr>
          <w:lang w:val="en-GB"/>
        </w:rPr>
        <w:t xml:space="preserve"> Zhang and Ling (2018) </w:t>
      </w:r>
      <w:r w:rsidR="007F5344" w:rsidRPr="008E5B32">
        <w:rPr>
          <w:lang w:val="en-GB"/>
        </w:rPr>
        <w:fldChar w:fldCharType="begin" w:fldLock="1"/>
      </w:r>
      <w:r w:rsidR="00434385" w:rsidRPr="008E5B32">
        <w:rPr>
          <w:lang w:val="en-GB"/>
        </w:rPr>
        <w:instrText>ADDIN CSL_CITATION {"citationItems":[{"id":"ITEM-1","itemData":{"DOI":"10.1038/s41524-018-0081-z","ISSN":"20573960","abstract":"There is growing interest in applying machine learning techniques in the research of materials science. However, although it is recognized that materials datasets are typically smaller and sometimes more diverse compared to other fields, the influence of availability of materials data on training machine learning models has not yet been studied, which prevents the possibility to establish accurate predictive rules using small materials datasets. Here we analyzed the fundamental interplay between the availability of materials data and the predictive capability of machine learning models. Instead of affecting the model precision directly, the effect of data size is mediated by the degree of freedom (DoF) of model, resulting in the phenomenon of association between precision and DoF. The appearance of precision–DoF association signals the issue of underfitting and is characterized by large bias of prediction, which consequently restricts the accurate prediction in unknown domains. We proposed to incorporate the crude estimation of property in the feature space to establish ML models using small sized materials data, which increases the accuracy of prediction without the cost of higher DoF. In three case studies of predicting the band gap of binary semiconductors, lattice thermal conductivity, and elastic properties of zeolites, the integration of crude estimation effectively boosted the predictive capability of machine learning models to state-of-art levels, demonstrating the generality of the proposed strategy to construct accurate machine learning models using small materials dataset.","author":[{"dropping-particle":"","family":"Zhang","given":"Ying","non-dropping-particle":"","parse-names":false,"suffix":""},{"dropping-particle":"","family":"Ling","given":"Chen","non-dropping-particle":"","parse-names":false,"suffix":""}],"container-title":"npj Computational Materials","id":"ITEM-1","issued":{"date-parts":[["2018"]]},"title":"A strategy to apply machine learning to small datasets in materials science","type":"article-journal"},"uris":["http://www.mendeley.com/documents/?uuid=6fa3aff7-ffaf-475c-b94b-b296ce466d5c","http://www.mendeley.com/documents/?uuid=b024f7f5-ecf9-4054-91f3-a4decb81feb3"]}],"mendeley":{"formattedCitation":"&lt;sup&gt;153&lt;/sup&gt;","plainTextFormattedCitation":"153","previouslyFormattedCitation":"&lt;sup&gt;153&lt;/sup&gt;"},"properties":{"noteIndex":0},"schema":"https://github.com/citation-style-language/schema/raw/master/csl-citation.json"}</w:instrText>
      </w:r>
      <w:r w:rsidR="007F5344" w:rsidRPr="008E5B32">
        <w:rPr>
          <w:lang w:val="en-GB"/>
        </w:rPr>
        <w:fldChar w:fldCharType="separate"/>
      </w:r>
      <w:r w:rsidR="004C12A8" w:rsidRPr="008E5B32">
        <w:rPr>
          <w:noProof/>
          <w:vertAlign w:val="superscript"/>
          <w:lang w:val="en-GB"/>
        </w:rPr>
        <w:t>153</w:t>
      </w:r>
      <w:r w:rsidR="007F5344" w:rsidRPr="008E5B32">
        <w:rPr>
          <w:lang w:val="en-GB"/>
        </w:rPr>
        <w:fldChar w:fldCharType="end"/>
      </w:r>
      <w:r w:rsidR="007F5344" w:rsidRPr="008E5B32">
        <w:rPr>
          <w:lang w:val="en-GB"/>
        </w:rPr>
        <w:t>, instead, suggested that 100 should be in their opinion the lowest sample size of the dataset to apply ML in materials research. In our opinion it is more meaningful to have a rule which is dependent to the number of descriptors used by the model</w:t>
      </w:r>
      <w:r w:rsidR="00826B33" w:rsidRPr="008E5B32">
        <w:rPr>
          <w:lang w:val="en-GB"/>
        </w:rPr>
        <w:t xml:space="preserve"> and has statistical grounds</w:t>
      </w:r>
      <w:r w:rsidR="007F5344" w:rsidRPr="008E5B32">
        <w:rPr>
          <w:lang w:val="en-GB"/>
        </w:rPr>
        <w:t>, rather than having a fixed threshold derived heuristically or set up by scientists’ judgement,</w:t>
      </w:r>
      <w:r w:rsidR="00826B33" w:rsidRPr="008E5B32">
        <w:rPr>
          <w:lang w:val="en-GB"/>
        </w:rPr>
        <w:t xml:space="preserve"> thus</w:t>
      </w:r>
      <w:r w:rsidR="007F5344" w:rsidRPr="008E5B32">
        <w:rPr>
          <w:lang w:val="en-GB"/>
        </w:rPr>
        <w:t xml:space="preserve"> the most conservative rule proposed by Dolnicar (2002) </w:t>
      </w:r>
      <w:r w:rsidR="007F5344" w:rsidRPr="008E5B32">
        <w:rPr>
          <w:lang w:val="en-GB"/>
        </w:rPr>
        <w:fldChar w:fldCharType="begin" w:fldLock="1"/>
      </w:r>
      <w:r w:rsidR="00434385" w:rsidRPr="008E5B32">
        <w:rPr>
          <w:lang w:val="en-GB"/>
        </w:rPr>
        <w:instrText>ADDIN CSL_CITATION {"citationItems":[{"id":"ITEM-1","itemData":{"abstract":"Clustering is a highly popular and widely used tool for identifying or constructing databased market segments. Over decades of applying cluster analytical procedures for the purpose of searching for homogeneous subgroups among consumers, questionable standards of utilization have emerged, e.g. the non-explorative manner in which results from cluster analytic procedures are reported, the black-box approach ignoring crucial parameters of the algorithms applied or the lack of harmonization of methodology chosen and data conditions. The purpose of this study is threefold: (1) to investigate whether and which standards of application of cluster analysis have emerged in the academic marketing literature, (2) to compare these standards of application to methodological knowledge about clustering procedures and (3) suggest changes in clustering habits. These goals are achieved by systematically reviewing 243 data-driven segmentation studies that apply cluster analysis for partitioning purposes.","author":[{"dropping-particle":"","family":"Dolnicar","given":"Sara","non-dropping-particle":"","parse-names":false,"suffix":""}],"container-title":"Faculty of Commerce-Papers","id":"ITEM-1","issued":{"date-parts":[["2002"]]},"title":"A review of unquestioned standards in using cluster analysis for data-driven market segmentation","type":"book"},"uris":["http://www.mendeley.com/documents/?uuid=597a0518-e0f4-4ce4-a3c4-68d9e3f4758b"]}],"mendeley":{"formattedCitation":"&lt;sup&gt;163&lt;/sup&gt;","plainTextFormattedCitation":"163","previouslyFormattedCitation":"&lt;sup&gt;163&lt;/sup&gt;"},"properties":{"noteIndex":0},"schema":"https://github.com/citation-style-language/schema/raw/master/csl-citation.json"}</w:instrText>
      </w:r>
      <w:r w:rsidR="007F5344" w:rsidRPr="008E5B32">
        <w:rPr>
          <w:lang w:val="en-GB"/>
        </w:rPr>
        <w:fldChar w:fldCharType="separate"/>
      </w:r>
      <w:r w:rsidR="004C12A8" w:rsidRPr="008E5B32">
        <w:rPr>
          <w:noProof/>
          <w:vertAlign w:val="superscript"/>
          <w:lang w:val="en-GB"/>
        </w:rPr>
        <w:t>163</w:t>
      </w:r>
      <w:r w:rsidR="007F5344" w:rsidRPr="008E5B32">
        <w:rPr>
          <w:lang w:val="en-GB"/>
        </w:rPr>
        <w:fldChar w:fldCharType="end"/>
      </w:r>
      <w:r w:rsidR="007F5344" w:rsidRPr="008E5B32">
        <w:rPr>
          <w:lang w:val="en-GB"/>
        </w:rPr>
        <w:t xml:space="preserve"> of having a training set with a sample size of at least 5*2</w:t>
      </w:r>
      <w:r w:rsidR="007F5344" w:rsidRPr="008E5B32">
        <w:rPr>
          <w:vertAlign w:val="superscript"/>
          <w:lang w:val="en-GB"/>
        </w:rPr>
        <w:t>k</w:t>
      </w:r>
      <w:r w:rsidR="007F5344" w:rsidRPr="008E5B32">
        <w:rPr>
          <w:lang w:val="en-GB"/>
        </w:rPr>
        <w:t xml:space="preserve"> should be taken in consideration in future research. </w:t>
      </w:r>
      <w:r w:rsidR="0043530A" w:rsidRPr="008E5B32">
        <w:rPr>
          <w:lang w:val="en-GB"/>
        </w:rPr>
        <w:t xml:space="preserve">In many of the reviewed cases </w:t>
      </w:r>
      <w:r w:rsidR="007F5344" w:rsidRPr="008E5B32">
        <w:rPr>
          <w:lang w:val="en-GB"/>
        </w:rPr>
        <w:t xml:space="preserve">studies </w:t>
      </w:r>
      <w:r w:rsidR="0043530A" w:rsidRPr="008E5B32">
        <w:rPr>
          <w:lang w:val="en-GB"/>
        </w:rPr>
        <w:t>these rules are not fulfilled.</w:t>
      </w:r>
      <w:r w:rsidR="001809F0" w:rsidRPr="008E5B32">
        <w:rPr>
          <w:lang w:val="en-GB"/>
        </w:rPr>
        <w:t xml:space="preserve"> </w:t>
      </w:r>
      <w:r w:rsidR="00D03DB3" w:rsidRPr="008E5B32">
        <w:rPr>
          <w:lang w:val="en-GB"/>
        </w:rPr>
        <w:t>In addition, i</w:t>
      </w:r>
      <w:r w:rsidR="00B958DE" w:rsidRPr="008E5B32">
        <w:rPr>
          <w:lang w:val="en-GB"/>
        </w:rPr>
        <w:t xml:space="preserve">t </w:t>
      </w:r>
      <w:r w:rsidR="00D03DB3" w:rsidRPr="008E5B32">
        <w:rPr>
          <w:lang w:val="en-GB"/>
        </w:rPr>
        <w:t xml:space="preserve">is </w:t>
      </w:r>
      <w:r w:rsidR="00B958DE" w:rsidRPr="008E5B32">
        <w:rPr>
          <w:lang w:val="en-GB"/>
        </w:rPr>
        <w:t xml:space="preserve">fundamental to validate models both internally and externally, </w:t>
      </w:r>
      <w:r w:rsidR="0033381A" w:rsidRPr="008E5B32">
        <w:rPr>
          <w:lang w:val="en-GB"/>
        </w:rPr>
        <w:t>and</w:t>
      </w:r>
      <w:r w:rsidR="00946248" w:rsidRPr="008E5B32">
        <w:rPr>
          <w:lang w:val="en-GB"/>
        </w:rPr>
        <w:t xml:space="preserve"> </w:t>
      </w:r>
      <w:r w:rsidR="00B958DE" w:rsidRPr="008E5B32">
        <w:rPr>
          <w:lang w:val="en-GB"/>
        </w:rPr>
        <w:t>to cross</w:t>
      </w:r>
      <w:r w:rsidR="00B60555" w:rsidRPr="008E5B32">
        <w:rPr>
          <w:lang w:val="en-GB"/>
        </w:rPr>
        <w:t>-</w:t>
      </w:r>
      <w:r w:rsidR="00B958DE" w:rsidRPr="008E5B32">
        <w:rPr>
          <w:lang w:val="en-GB"/>
        </w:rPr>
        <w:t xml:space="preserve">validate </w:t>
      </w:r>
      <w:r w:rsidR="00D03DB3" w:rsidRPr="008E5B32">
        <w:rPr>
          <w:lang w:val="en-GB"/>
        </w:rPr>
        <w:t>models</w:t>
      </w:r>
      <w:r w:rsidR="00B958DE" w:rsidRPr="008E5B32">
        <w:rPr>
          <w:lang w:val="en-GB"/>
        </w:rPr>
        <w:t xml:space="preserve"> when the number of samples is not sufficiently high to perform</w:t>
      </w:r>
      <w:r w:rsidR="0033381A" w:rsidRPr="008E5B32">
        <w:rPr>
          <w:lang w:val="en-GB"/>
        </w:rPr>
        <w:t xml:space="preserve"> also</w:t>
      </w:r>
      <w:r w:rsidR="00B958DE" w:rsidRPr="008E5B32">
        <w:rPr>
          <w:lang w:val="en-GB"/>
        </w:rPr>
        <w:t xml:space="preserve"> external validation</w:t>
      </w:r>
      <w:r w:rsidR="00D03DB3" w:rsidRPr="008E5B32">
        <w:rPr>
          <w:lang w:val="en-GB"/>
        </w:rPr>
        <w:t>,</w:t>
      </w:r>
      <w:r w:rsidR="00B60555" w:rsidRPr="008E5B32">
        <w:rPr>
          <w:lang w:val="en-GB"/>
        </w:rPr>
        <w:t xml:space="preserve"> </w:t>
      </w:r>
      <w:r w:rsidR="00B958DE" w:rsidRPr="008E5B32">
        <w:rPr>
          <w:lang w:val="en-GB"/>
        </w:rPr>
        <w:t xml:space="preserve">to provide an unbiased evaluation of </w:t>
      </w:r>
      <w:r w:rsidR="00B60555" w:rsidRPr="008E5B32">
        <w:rPr>
          <w:lang w:val="en-GB"/>
        </w:rPr>
        <w:t>the predictive</w:t>
      </w:r>
      <w:r w:rsidR="00B958DE" w:rsidRPr="008E5B32">
        <w:rPr>
          <w:lang w:val="en-GB"/>
        </w:rPr>
        <w:t xml:space="preserve"> ability</w:t>
      </w:r>
      <w:r w:rsidR="00B60555" w:rsidRPr="008E5B32">
        <w:rPr>
          <w:lang w:val="en-GB"/>
        </w:rPr>
        <w:t xml:space="preserve"> of the models</w:t>
      </w:r>
      <w:r w:rsidR="00B958DE" w:rsidRPr="008E5B32">
        <w:rPr>
          <w:lang w:val="en-GB"/>
        </w:rPr>
        <w:t xml:space="preserve"> </w:t>
      </w:r>
      <w:r w:rsidR="00B958DE" w:rsidRPr="008E5B32">
        <w:rPr>
          <w:vertAlign w:val="superscript"/>
          <w:lang w:val="en-GB"/>
        </w:rPr>
        <w:t>29–32</w:t>
      </w:r>
      <w:r w:rsidR="0013424B" w:rsidRPr="008E5B32">
        <w:rPr>
          <w:lang w:val="en-GB"/>
        </w:rPr>
        <w:t>,</w:t>
      </w:r>
      <w:r w:rsidR="00455DCD" w:rsidRPr="008E5B32">
        <w:rPr>
          <w:lang w:val="en-GB"/>
        </w:rPr>
        <w:t xml:space="preserve"> a</w:t>
      </w:r>
      <w:r w:rsidR="007C55D2" w:rsidRPr="008E5B32">
        <w:rPr>
          <w:lang w:val="en-GB"/>
        </w:rPr>
        <w:t>nd to</w:t>
      </w:r>
      <w:r w:rsidR="00455DCD" w:rsidRPr="008E5B32">
        <w:rPr>
          <w:lang w:val="en-GB"/>
        </w:rPr>
        <w:t xml:space="preserve"> </w:t>
      </w:r>
      <w:r w:rsidR="007C55D2" w:rsidRPr="008E5B32">
        <w:rPr>
          <w:lang w:val="en-GB"/>
        </w:rPr>
        <w:t xml:space="preserve">reduce the risk of </w:t>
      </w:r>
      <w:r w:rsidR="00455DCD" w:rsidRPr="008E5B32">
        <w:rPr>
          <w:lang w:val="en-GB"/>
        </w:rPr>
        <w:t>overfitting.</w:t>
      </w:r>
    </w:p>
    <w:p w14:paraId="0C8632A6" w14:textId="5AAB499D" w:rsidR="00B958DE" w:rsidRPr="008E5B32" w:rsidRDefault="0038740C" w:rsidP="00B958DE">
      <w:pPr>
        <w:rPr>
          <w:lang w:val="en-GB"/>
        </w:rPr>
      </w:pPr>
      <w:r w:rsidRPr="008E5B32">
        <w:rPr>
          <w:lang w:val="en-GB"/>
        </w:rPr>
        <w:t>Other potential biases that may cause derived models to be inaccurate or even not useful in practice are related to non-</w:t>
      </w:r>
      <w:r w:rsidR="00EA30D3" w:rsidRPr="008E5B32">
        <w:rPr>
          <w:lang w:val="en-GB"/>
        </w:rPr>
        <w:t>i.i.d</w:t>
      </w:r>
      <w:r w:rsidRPr="008E5B32">
        <w:rPr>
          <w:lang w:val="en-GB"/>
        </w:rPr>
        <w:t xml:space="preserve"> selection of samples</w:t>
      </w:r>
      <w:r w:rsidR="00B60555" w:rsidRPr="008E5B32">
        <w:rPr>
          <w:lang w:val="en-GB"/>
        </w:rPr>
        <w:t>. This results</w:t>
      </w:r>
      <w:r w:rsidRPr="008E5B32">
        <w:rPr>
          <w:lang w:val="en-GB"/>
        </w:rPr>
        <w:t xml:space="preserve"> in </w:t>
      </w:r>
      <w:r w:rsidR="00B60555" w:rsidRPr="008E5B32">
        <w:rPr>
          <w:lang w:val="en-GB"/>
        </w:rPr>
        <w:t>poor</w:t>
      </w:r>
      <w:r w:rsidRPr="008E5B32">
        <w:rPr>
          <w:lang w:val="en-GB"/>
        </w:rPr>
        <w:t xml:space="preserve"> representativeness of </w:t>
      </w:r>
      <w:r w:rsidR="00B60555" w:rsidRPr="008E5B32">
        <w:rPr>
          <w:lang w:val="en-GB"/>
        </w:rPr>
        <w:t xml:space="preserve">the </w:t>
      </w:r>
      <w:r w:rsidRPr="008E5B32">
        <w:rPr>
          <w:lang w:val="en-GB"/>
        </w:rPr>
        <w:t xml:space="preserve">data being modelled </w:t>
      </w:r>
      <w:r w:rsidR="00B60555" w:rsidRPr="008E5B32">
        <w:rPr>
          <w:lang w:val="en-GB"/>
        </w:rPr>
        <w:t>as compared</w:t>
      </w:r>
      <w:r w:rsidRPr="008E5B32">
        <w:rPr>
          <w:lang w:val="en-GB"/>
        </w:rPr>
        <w:t xml:space="preserve"> to what the resulting model is expected to predict. Representativeness, indeed, is as important as sample size: it can potentially magnify bias effects in case of non-representative or not properly collected samples, instead of correcting it </w:t>
      </w:r>
      <w:r w:rsidRPr="008E5B32">
        <w:fldChar w:fldCharType="begin" w:fldLock="1"/>
      </w:r>
      <w:r w:rsidR="00434385" w:rsidRPr="008E5B32">
        <w:rPr>
          <w:lang w:val="en-GB"/>
        </w:rPr>
        <w:instrText>ADDIN CSL_CITATION {"citationItems":[{"id":"ITEM-1","itemData":{"DOI":"10.1111/cts.12178","ISBN":"1752-8054","ISSN":"17528062","PMID":"25043853","abstract":"A number of commentaries have suggested that large studies are more reliable than smaller studies and there is a growing interest in the analysis of \"big data\" that integrates information from many thousands of persons and/or different data sources. We consider a variety of biases that are likely in the era of big data, including sampling error, measurement error, multiple comparisons errors, aggregation error, and errors associated with the systematic exclusion of information. Using examples from epidemiology, health services research, studies on determinants of health, and clinical trials, we conclude that it is necessary to exercise greater caution to be sure that big sample size does not lead to big inferential errors. Despite the advantages of big studies, large sample size can magnify the bias associated with error resulting from sampling or study design.","author":[{"dropping-particle":"","family":"Kaplan","given":"Robert M.","non-dropping-particle":"","parse-names":false,"suffix":""},{"dropping-particle":"","family":"Chambers","given":"David A.","non-dropping-particle":"","parse-names":false,"suffix":""},{"dropping-particle":"","family":"Glasgow","given":"Russell E.","non-dropping-particle":"","parse-names":false,"suffix":""}],"container-title":"Clinical and Translational Science","id":"ITEM-1","issue":"4","issued":{"date-parts":[["2014"]]},"page":"342-346","title":"Big data and large sample size: A cautionary note on the potential for bias","type":"article","volume":"7"},"uris":["http://www.mendeley.com/documents/?uuid=86e4d67a-4982-4c39-b373-806aea9aea9e"]}],"mendeley":{"formattedCitation":"&lt;sup&gt;164&lt;/sup&gt;","plainTextFormattedCitation":"164","previouslyFormattedCitation":"&lt;sup&gt;164&lt;/sup&gt;"},"properties":{"noteIndex":0},"schema":"https://github.com/citation-style-language/schema/raw/master/csl-citation.json"}</w:instrText>
      </w:r>
      <w:r w:rsidRPr="008E5B32">
        <w:fldChar w:fldCharType="separate"/>
      </w:r>
      <w:r w:rsidR="004C12A8" w:rsidRPr="008E5B32">
        <w:rPr>
          <w:noProof/>
          <w:vertAlign w:val="superscript"/>
          <w:lang w:val="en-GB"/>
        </w:rPr>
        <w:t>164</w:t>
      </w:r>
      <w:r w:rsidRPr="008E5B32">
        <w:fldChar w:fldCharType="end"/>
      </w:r>
      <w:r w:rsidRPr="008E5B32">
        <w:rPr>
          <w:lang w:val="en-GB"/>
        </w:rPr>
        <w:t xml:space="preserve">. Heckman </w:t>
      </w:r>
      <w:r w:rsidR="00E84E2B" w:rsidRPr="008E5B32">
        <w:rPr>
          <w:lang w:val="en-GB"/>
        </w:rPr>
        <w:t xml:space="preserve">(1979) </w:t>
      </w:r>
      <w:r w:rsidRPr="008E5B32">
        <w:rPr>
          <w:lang w:val="en-GB"/>
        </w:rPr>
        <w:t xml:space="preserve">studied the problem of sample selection bias in econometric problems and proposed a method to correct </w:t>
      </w:r>
      <w:r w:rsidR="00EA30D3" w:rsidRPr="008E5B32">
        <w:rPr>
          <w:lang w:val="en-GB"/>
        </w:rPr>
        <w:t>i</w:t>
      </w:r>
      <w:r w:rsidR="00E84E2B" w:rsidRPr="008E5B32">
        <w:rPr>
          <w:lang w:val="en-GB"/>
        </w:rPr>
        <w:t>t</w:t>
      </w:r>
      <w:r w:rsidRPr="008E5B32">
        <w:rPr>
          <w:lang w:val="en-GB"/>
        </w:rPr>
        <w:t xml:space="preserve"> for </w:t>
      </w:r>
      <w:r w:rsidR="00D01458" w:rsidRPr="008E5B32">
        <w:rPr>
          <w:lang w:val="en-GB"/>
        </w:rPr>
        <w:t>r</w:t>
      </w:r>
      <w:r w:rsidRPr="008E5B32">
        <w:rPr>
          <w:lang w:val="en-GB"/>
        </w:rPr>
        <w:t xml:space="preserve">egression models, assuming that it is possible to estimate the probability that an observation is selected into the sample </w:t>
      </w:r>
      <w:r w:rsidRPr="008E5B32">
        <w:fldChar w:fldCharType="begin" w:fldLock="1"/>
      </w:r>
      <w:r w:rsidR="00434385" w:rsidRPr="008E5B32">
        <w:rPr>
          <w:lang w:val="en-GB"/>
        </w:rPr>
        <w:instrText>ADDIN CSL_CITATION {"citationItems":[{"id":"ITEM-1","itemData":{"DOI":"10.2307/1912352","ISBN":"00129682, 14680262","ISSN":"00129682","PMID":"1912352","abstract":"This paper discusses the bias that results from using nonrandomly selected samples to estimate behavioral relationships as an ordinary specification error or \"omitted variables\" bias. A simple consistent two stage estimator is considered that enables analysts to utilize simple regression methods to estimate behavioral functions by least squares methods. The asymptotic distribution of the estimator is derived.","author":[{"dropping-particle":"","family":"Heckman","given":"James J.","non-dropping-particle":"","parse-names":false,"suffix":""}],"container-title":"Econometrica","id":"ITEM-1","issue":"1","issued":{"date-parts":[["1979"]]},"page":"153","title":"Sample Selection Bias as a Specification Error","type":"article-journal","volume":"47"},"uris":["http://www.mendeley.com/documents/?uuid=a449f984-be89-4294-9c87-5896b857a3bc"]}],"mendeley":{"formattedCitation":"&lt;sup&gt;165&lt;/sup&gt;","plainTextFormattedCitation":"165","previouslyFormattedCitation":"&lt;sup&gt;165&lt;/sup&gt;"},"properties":{"noteIndex":0},"schema":"https://github.com/citation-style-language/schema/raw/master/csl-citation.json"}</w:instrText>
      </w:r>
      <w:r w:rsidRPr="008E5B32">
        <w:fldChar w:fldCharType="separate"/>
      </w:r>
      <w:r w:rsidR="004C12A8" w:rsidRPr="008E5B32">
        <w:rPr>
          <w:noProof/>
          <w:vertAlign w:val="superscript"/>
          <w:lang w:val="en-GB"/>
        </w:rPr>
        <w:t>165</w:t>
      </w:r>
      <w:r w:rsidRPr="008E5B32">
        <w:fldChar w:fldCharType="end"/>
      </w:r>
      <w:r w:rsidR="00131DD5" w:rsidRPr="008E5B32">
        <w:rPr>
          <w:lang w:val="en-GB"/>
        </w:rPr>
        <w:t xml:space="preserve">, </w:t>
      </w:r>
      <w:r w:rsidRPr="008E5B32">
        <w:rPr>
          <w:lang w:val="en-GB"/>
        </w:rPr>
        <w:t>being awarded to the Nobel prize for this work (there exists implementation of Heckman-type methods in different programming language</w:t>
      </w:r>
      <w:r w:rsidR="001225AC" w:rsidRPr="008E5B32">
        <w:rPr>
          <w:lang w:val="en-GB"/>
        </w:rPr>
        <w:t>s</w:t>
      </w:r>
      <w:r w:rsidRPr="008E5B32">
        <w:rPr>
          <w:lang w:val="en-GB"/>
        </w:rPr>
        <w:t xml:space="preserve">, including R </w:t>
      </w:r>
      <w:r w:rsidRPr="008E5B32">
        <w:fldChar w:fldCharType="begin" w:fldLock="1"/>
      </w:r>
      <w:r w:rsidR="00434385" w:rsidRPr="008E5B32">
        <w:rPr>
          <w:lang w:val="en-GB"/>
        </w:rPr>
        <w:instrText>ADDIN CSL_CITATION {"citationItems":[{"id":"ITEM-1","itemData":{"DOI":"10.1007/s00221-005-0322-5","ISBN":"1548-7660","ISSN":"15487660","abstract":"This paper describes the implementation of Heckman-type sample selection models in R. We discuss the sample selection problem as well as the Heckman solution to it, and argue that although modern econometrics has non- and semiparametric estimation methods in its toolbox, Heckman models are an integral part of the modern applied analysis and econometrics syllabus. We describe the implementation of these models in the package sampleSelection and illustrate the usage of the package on several simulation and real data examples. Our examples demonstrate the effect of exclusion restrictions, identification at infinity and misspecification. We argue that the package can be used both in applied research and teaching.","author":[{"dropping-particle":"","family":"Toomet","given":"Ott","non-dropping-particle":"","parse-names":false,"suffix":""},{"dropping-particle":"","family":"Henningsen","given":"Arne","non-dropping-particle":"","parse-names":false,"suffix":""}],"container-title":"Journal of Statistical Software","id":"ITEM-1","issue":"7","issued":{"date-parts":[["2008"]]},"page":"1-23","title":"Sample Selection Models in R: Package sampleSelection","type":"article-journal","volume":"27"},"uris":["http://www.mendeley.com/documents/?uuid=b2d0884b-8a20-4795-b503-20e9470a85a1"]}],"mendeley":{"formattedCitation":"&lt;sup&gt;166&lt;/sup&gt;","plainTextFormattedCitation":"166","previouslyFormattedCitation":"&lt;sup&gt;166&lt;/sup&gt;"},"properties":{"noteIndex":0},"schema":"https://github.com/citation-style-language/schema/raw/master/csl-citation.json"}</w:instrText>
      </w:r>
      <w:r w:rsidRPr="008E5B32">
        <w:fldChar w:fldCharType="separate"/>
      </w:r>
      <w:r w:rsidR="004C12A8" w:rsidRPr="008E5B32">
        <w:rPr>
          <w:noProof/>
          <w:vertAlign w:val="superscript"/>
          <w:lang w:val="en-GB"/>
        </w:rPr>
        <w:t>166</w:t>
      </w:r>
      <w:r w:rsidRPr="008E5B32">
        <w:fldChar w:fldCharType="end"/>
      </w:r>
      <w:r w:rsidR="00EE694E" w:rsidRPr="008E5B32">
        <w:rPr>
          <w:lang w:val="en-GB"/>
        </w:rPr>
        <w:t>)</w:t>
      </w:r>
      <w:r w:rsidR="00131DD5" w:rsidRPr="008E5B32">
        <w:rPr>
          <w:lang w:val="en-GB"/>
        </w:rPr>
        <w:t>. L</w:t>
      </w:r>
      <w:r w:rsidRPr="008E5B32">
        <w:rPr>
          <w:lang w:val="en-GB"/>
        </w:rPr>
        <w:t xml:space="preserve">ater it has been shown that the same problem affects also </w:t>
      </w:r>
      <w:r w:rsidR="00590BC3" w:rsidRPr="008E5B32">
        <w:rPr>
          <w:lang w:val="en-GB"/>
        </w:rPr>
        <w:t>c</w:t>
      </w:r>
      <w:r w:rsidRPr="008E5B32">
        <w:rPr>
          <w:lang w:val="en-GB"/>
        </w:rPr>
        <w:t xml:space="preserve">lassification models </w:t>
      </w:r>
      <w:r w:rsidRPr="008E5B32">
        <w:fldChar w:fldCharType="begin" w:fldLock="1"/>
      </w:r>
      <w:r w:rsidR="00434385" w:rsidRPr="008E5B32">
        <w:rPr>
          <w:lang w:val="en-GB"/>
        </w:rPr>
        <w:instrText>ADDIN CSL_CITATION {"citationItems":[{"id":"ITEM-1","itemData":{"DOI":"10.1145/1015330.1015425","ISBN":"1581138285","abstract":"Classi er learning methods commonly as- sume that the training data consist of ran- domly drawn examples from the same dis- tribution as the test examples about which the learned model is expected to make predic- tions. In many practical situations, however, this assumption is violated, in a problem known in econometrics as sample selection bias. In this paper, we formalize the sam- ple selection bias problem in machine learn- ing terms and study analytically and experi- mentally how a number of well-known classi- er learning methods are a ected by it. We also present a bias correction method that is particularly useful for classi er evaluation under sample selection bias.","author":[{"dropping-particle":"","family":"Zadrozny","given":"Bianca","non-dropping-particle":"","parse-names":false,"suffix":""}],"container-title":"Twenty-first international conference on Machine learning  - ICML '04","id":"ITEM-1","issued":{"date-parts":[["2004"]]},"page":"114","title":"Learning and evaluating classifiers under sample selection bias","type":"paper-conference"},"uris":["http://www.mendeley.com/documents/?uuid=ca5114ff-1fab-413b-8191-eee2a0e91d09"]}],"mendeley":{"formattedCitation":"&lt;sup&gt;167&lt;/sup&gt;","plainTextFormattedCitation":"167","previouslyFormattedCitation":"&lt;sup&gt;167&lt;/sup&gt;"},"properties":{"noteIndex":0},"schema":"https://github.com/citation-style-language/schema/raw/master/csl-citation.json"}</w:instrText>
      </w:r>
      <w:r w:rsidRPr="008E5B32">
        <w:fldChar w:fldCharType="separate"/>
      </w:r>
      <w:r w:rsidR="004C12A8" w:rsidRPr="008E5B32">
        <w:rPr>
          <w:noProof/>
          <w:vertAlign w:val="superscript"/>
          <w:lang w:val="en-GB"/>
        </w:rPr>
        <w:t>167</w:t>
      </w:r>
      <w:r w:rsidRPr="008E5B32">
        <w:fldChar w:fldCharType="end"/>
      </w:r>
      <w:r w:rsidRPr="008E5B32">
        <w:rPr>
          <w:lang w:val="en-GB"/>
        </w:rPr>
        <w:t>, and methods to correct it w</w:t>
      </w:r>
      <w:r w:rsidR="009E4A58" w:rsidRPr="008E5B32">
        <w:rPr>
          <w:lang w:val="en-GB"/>
        </w:rPr>
        <w:t>ere</w:t>
      </w:r>
      <w:r w:rsidRPr="008E5B32">
        <w:rPr>
          <w:lang w:val="en-GB"/>
        </w:rPr>
        <w:t xml:space="preserve"> proposed. It will be useful to study how these bias affects </w:t>
      </w:r>
      <w:r w:rsidRPr="008E5B32">
        <w:rPr>
          <w:i/>
          <w:lang w:val="en-GB"/>
        </w:rPr>
        <w:t xml:space="preserve">in silico </w:t>
      </w:r>
      <w:r w:rsidRPr="008E5B32">
        <w:rPr>
          <w:lang w:val="en-GB"/>
        </w:rPr>
        <w:t xml:space="preserve">models for NMs, and to test and if </w:t>
      </w:r>
      <w:r w:rsidR="007A240E" w:rsidRPr="008E5B32">
        <w:rPr>
          <w:lang w:val="en-GB"/>
        </w:rPr>
        <w:t>necessary,</w:t>
      </w:r>
      <w:r w:rsidR="00982CA0" w:rsidRPr="008E5B32">
        <w:rPr>
          <w:lang w:val="en-GB"/>
        </w:rPr>
        <w:t xml:space="preserve"> </w:t>
      </w:r>
      <w:r w:rsidRPr="008E5B32">
        <w:rPr>
          <w:lang w:val="en-GB"/>
        </w:rPr>
        <w:t xml:space="preserve">propose methods to correct it. </w:t>
      </w:r>
    </w:p>
    <w:p w14:paraId="1F0CF9F0" w14:textId="202205E5" w:rsidR="00494647" w:rsidRPr="008E5B32" w:rsidRDefault="00B958DE" w:rsidP="00B637FA">
      <w:pPr>
        <w:rPr>
          <w:lang w:val="en-GB"/>
        </w:rPr>
      </w:pPr>
      <w:r w:rsidRPr="008E5B32">
        <w:rPr>
          <w:lang w:val="en-GB"/>
        </w:rPr>
        <w:t xml:space="preserve">Moreover, it is rarely taken into account that </w:t>
      </w:r>
      <w:r w:rsidR="00D41DFF" w:rsidRPr="008E5B32">
        <w:rPr>
          <w:lang w:val="en-GB"/>
        </w:rPr>
        <w:t>ML</w:t>
      </w:r>
      <w:r w:rsidRPr="008E5B32">
        <w:rPr>
          <w:lang w:val="en-GB"/>
        </w:rPr>
        <w:t xml:space="preserve"> algorithms require that training and test data are drawn from the same distribution and the same feature space</w:t>
      </w:r>
      <w:r w:rsidR="00131DD5" w:rsidRPr="008E5B32">
        <w:rPr>
          <w:lang w:val="en-GB"/>
        </w:rPr>
        <w:t>. H</w:t>
      </w:r>
      <w:r w:rsidRPr="008E5B32">
        <w:rPr>
          <w:lang w:val="en-GB"/>
        </w:rPr>
        <w:t>owever</w:t>
      </w:r>
      <w:r w:rsidR="00131DD5" w:rsidRPr="008E5B32">
        <w:rPr>
          <w:lang w:val="en-GB"/>
        </w:rPr>
        <w:t>,</w:t>
      </w:r>
      <w:r w:rsidRPr="008E5B32">
        <w:rPr>
          <w:lang w:val="en-GB"/>
        </w:rPr>
        <w:t xml:space="preserve"> in many real-world applications this assumption does not always hold. Transfer Learning </w:t>
      </w:r>
      <w:r w:rsidRPr="008E5B32">
        <w:fldChar w:fldCharType="begin" w:fldLock="1"/>
      </w:r>
      <w:r w:rsidR="00434385" w:rsidRPr="008E5B32">
        <w:rPr>
          <w:lang w:val="en-GB"/>
        </w:rPr>
        <w:instrText>ADDIN CSL_CITATION {"citationItems":[{"id":"ITEM-1","itemData":{"DOI":"10.1109/TKDE.2009.191","ISBN":"1041-4347 VO - 22","ISSN":"10414347","abstract":"A survey on transfer learning. IEEE Trans. Knowl. Data Eng","author":[{"dropping-particle":"","family":"Pan","given":"Sinno Jialin","non-dropping-particle":"","parse-names":false,"suffix":""},{"dropping-particle":"","family":"Yang","given":"Qiang","non-dropping-particle":"","parse-names":false,"suffix":""}],"container-title":"IEEE Transactions on Knowledge and Data Engineering","id":"ITEM-1","issue":"10","issued":{"date-parts":[["2010"]]},"page":"1345-1359","title":"A survey on transfer learning","type":"article","volume":"22"},"uris":["http://www.mendeley.com/documents/?uuid=b794ed5d-0a77-4e5f-ad4c-a27a4bc2eae4"]},{"id":"ITEM-2","itemData":{"DOI":"10.1186/s40537-016-0043-6","ISBN":"4053701600","ISSN":"21961115","abstract":"Machine learning and data mining techniques have been used in numerous real-world applications. An assumption of traditional machine learning methodologies is the training data and testing data are taken from the same domain, such that the input feature space and data distribution characteristics are the same. However, in some real-world machine learning scenarios, this assumption does not hold. There are cases where training data is expensive or difficult to collect. Therefore, there is a need to create high-performance learners trained with more easily obtained data from different domains. This methodology is referred to as transfer learning. This survey paper formally defines transfer learning, presents information on current solutions, and reviews applications applied to transfer learning. Lastly, there is information listed on software downloads for various transfer learning solutions and a discussion of possible future research work. The transfer learning solutions surveyed are independent of data size and can be applied to big data environments.","author":[{"dropping-particle":"","family":"Weiss","given":"Karl","non-dropping-particle":"","parse-names":false,"suffix":""},{"dropping-particle":"","family":"Khoshgoftaar","given":"Taghi M.","non-dropping-particle":"","parse-names":false,"suffix":""},{"dropping-particle":"","family":"Wang","given":"Ding Ding","non-dropping-particle":"","parse-names":false,"suffix":""}],"container-title":"Journal of Big Data","id":"ITEM-2","issue":"1","issued":{"date-parts":[["2016"]]},"title":"A survey of transfer learning","type":"article-journal","volume":"3"},"uris":["http://www.mendeley.com/documents/?uuid=65b8fa55-fc78-452a-8d04-f88e4e6d49b6"]}],"mendeley":{"formattedCitation":"&lt;sup&gt;168,169&lt;/sup&gt;","plainTextFormattedCitation":"168,169","previouslyFormattedCitation":"&lt;sup&gt;168,169&lt;/sup&gt;"},"properties":{"noteIndex":0},"schema":"https://github.com/citation-style-language/schema/raw/master/csl-citation.json"}</w:instrText>
      </w:r>
      <w:r w:rsidRPr="008E5B32">
        <w:fldChar w:fldCharType="separate"/>
      </w:r>
      <w:r w:rsidR="004C12A8" w:rsidRPr="008E5B32">
        <w:rPr>
          <w:noProof/>
          <w:vertAlign w:val="superscript"/>
          <w:lang w:val="en-GB"/>
        </w:rPr>
        <w:t>168,169</w:t>
      </w:r>
      <w:r w:rsidRPr="008E5B32">
        <w:fldChar w:fldCharType="end"/>
      </w:r>
      <w:r w:rsidRPr="008E5B32">
        <w:rPr>
          <w:lang w:val="en-GB"/>
        </w:rPr>
        <w:t>, also known as Knowledge Transfer, is a trending topic in the M</w:t>
      </w:r>
      <w:r w:rsidR="00D41DFF" w:rsidRPr="008E5B32">
        <w:rPr>
          <w:lang w:val="en-GB"/>
        </w:rPr>
        <w:t>L</w:t>
      </w:r>
      <w:r w:rsidRPr="008E5B32">
        <w:rPr>
          <w:lang w:val="en-GB"/>
        </w:rPr>
        <w:t xml:space="preserve"> community. It aims at extracting knowledge from one or more domains and to apply this extracted knowledge to the target domain and has been also shown to be a powerful tool to correct biases related to non-random sample selection. This class of approaches fits almost perfectly with the task required by </w:t>
      </w:r>
      <w:r w:rsidR="00650B32" w:rsidRPr="008E5B32">
        <w:rPr>
          <w:lang w:val="en-GB"/>
        </w:rPr>
        <w:t>Read-Across</w:t>
      </w:r>
      <w:r w:rsidRPr="008E5B32">
        <w:rPr>
          <w:lang w:val="en-GB"/>
        </w:rPr>
        <w:t xml:space="preserve">, where knowledge extracted within a group of NMs </w:t>
      </w:r>
      <w:r w:rsidR="00585BAF" w:rsidRPr="008E5B32">
        <w:rPr>
          <w:lang w:val="en-GB"/>
        </w:rPr>
        <w:t xml:space="preserve">is to be applied </w:t>
      </w:r>
      <w:r w:rsidRPr="008E5B32">
        <w:rPr>
          <w:lang w:val="en-GB"/>
        </w:rPr>
        <w:t xml:space="preserve">to other NMs for which data </w:t>
      </w:r>
      <w:r w:rsidR="00585BAF" w:rsidRPr="008E5B32">
        <w:rPr>
          <w:lang w:val="en-GB"/>
        </w:rPr>
        <w:t>are</w:t>
      </w:r>
      <w:r w:rsidRPr="008E5B32">
        <w:rPr>
          <w:lang w:val="en-GB"/>
        </w:rPr>
        <w:t xml:space="preserve"> missing and may provide a powerful tool to try and correct the limitations of (Q)SARs</w:t>
      </w:r>
      <w:r w:rsidR="00131DD5" w:rsidRPr="008E5B32">
        <w:rPr>
          <w:lang w:val="en-GB"/>
        </w:rPr>
        <w:t xml:space="preserve"> (</w:t>
      </w:r>
      <w:r w:rsidRPr="008E5B32">
        <w:rPr>
          <w:lang w:val="en-GB"/>
        </w:rPr>
        <w:t>being also able to</w:t>
      </w:r>
      <w:r w:rsidR="00AB14F4" w:rsidRPr="008E5B32">
        <w:rPr>
          <w:lang w:val="en-GB"/>
        </w:rPr>
        <w:t xml:space="preserve"> more reliably</w:t>
      </w:r>
      <w:r w:rsidRPr="008E5B32">
        <w:rPr>
          <w:lang w:val="en-GB"/>
        </w:rPr>
        <w:t xml:space="preserve"> extrapolate outside the applicability domain of </w:t>
      </w:r>
      <w:r w:rsidR="00AB14F4" w:rsidRPr="008E5B32">
        <w:rPr>
          <w:lang w:val="en-GB"/>
        </w:rPr>
        <w:t>the</w:t>
      </w:r>
      <w:r w:rsidRPr="008E5B32">
        <w:rPr>
          <w:lang w:val="en-GB"/>
        </w:rPr>
        <w:t xml:space="preserve"> model</w:t>
      </w:r>
      <w:r w:rsidR="00AB14F4" w:rsidRPr="008E5B32">
        <w:rPr>
          <w:lang w:val="en-GB"/>
        </w:rPr>
        <w:t>s</w:t>
      </w:r>
      <w:r w:rsidR="00131DD5" w:rsidRPr="008E5B32">
        <w:rPr>
          <w:lang w:val="en-GB"/>
        </w:rPr>
        <w:t>)</w:t>
      </w:r>
      <w:r w:rsidRPr="008E5B32">
        <w:rPr>
          <w:lang w:val="en-GB"/>
        </w:rPr>
        <w:t>. The definition of the chemical space in which models provide reliable predictions is indeed fundamental, however it is not always properly assessed for (Q)SARs, and its assessment is currently lacking for</w:t>
      </w:r>
      <w:r w:rsidR="006F4116" w:rsidRPr="008E5B32">
        <w:rPr>
          <w:lang w:val="en-GB"/>
        </w:rPr>
        <w:t xml:space="preserve"> most of the</w:t>
      </w:r>
      <w:r w:rsidRPr="008E5B32">
        <w:rPr>
          <w:lang w:val="en-GB"/>
        </w:rPr>
        <w:t xml:space="preserve"> </w:t>
      </w:r>
      <w:r w:rsidR="00650B32" w:rsidRPr="008E5B32">
        <w:rPr>
          <w:lang w:val="en-GB"/>
        </w:rPr>
        <w:t>Read-Across</w:t>
      </w:r>
      <w:r w:rsidRPr="008E5B32">
        <w:rPr>
          <w:lang w:val="en-GB"/>
        </w:rPr>
        <w:t xml:space="preserve"> approaches. </w:t>
      </w:r>
      <w:r w:rsidR="00DC494B" w:rsidRPr="008E5B32">
        <w:rPr>
          <w:lang w:val="en-GB"/>
        </w:rPr>
        <w:t>In addition to Transfer Learning, another trending topic in ML is Deep Learning</w:t>
      </w:r>
      <w:r w:rsidR="00372CAD" w:rsidRPr="008E5B32">
        <w:rPr>
          <w:lang w:val="en-GB"/>
        </w:rPr>
        <w:t>, where</w:t>
      </w:r>
      <w:r w:rsidR="007F3953" w:rsidRPr="008E5B32">
        <w:rPr>
          <w:lang w:val="en-GB"/>
        </w:rPr>
        <w:t xml:space="preserve"> a neural network with a large number of hidden layers composed by nonlinear units is trained</w:t>
      </w:r>
      <w:r w:rsidR="001809F0" w:rsidRPr="008E5B32">
        <w:rPr>
          <w:lang w:val="en-GB"/>
        </w:rPr>
        <w:t xml:space="preserve"> </w:t>
      </w:r>
      <w:r w:rsidR="00DC494B" w:rsidRPr="008E5B32">
        <w:fldChar w:fldCharType="begin" w:fldLock="1"/>
      </w:r>
      <w:r w:rsidR="00434385" w:rsidRPr="008E5B32">
        <w:rPr>
          <w:lang w:val="en-GB"/>
        </w:rPr>
        <w:instrText>ADDIN CSL_CITATION {"citationItems":[{"id":"ITEM-1","itemData":{"DOI":"10.1038/nature14539","ISBN":"9780521835688","ISSN":"14764687","PMID":"10463930","abstract":"Deep learning allows computational models that are composed of multiple processing layers to learn representations of data with multiple levels of abstraction. These methods have dramatically improved the state-of-the-art in speech recognition, visual object recognition, object detection and many other domains such as drug discovery and genomics. Deep learning discovers intricate structure in large data sets by using the backpropagation algorithm to indicate how a machine should change its internal parameters that are used to compute the representation in each layer from the representation in the previous layer. Deep convolutional nets have brought about breakthroughs in processing images, video, speech and audio, whereas recurrent nets have shone light on sequential data such as text and speech.","author":[{"dropping-particle":"","family":"Lecun","given":"Yann","non-dropping-particle":"","parse-names":false,"suffix":""},{"dropping-particle":"","family":"Bengio","given":"Yoshua","non-dropping-particle":"","parse-names":false,"suffix":""},{"dropping-particle":"","family":"Hinton","given":"Geoffrey","non-dropping-particle":"","parse-names":false,"suffix":""}],"container-title":"Nature","id":"ITEM-1","issued":{"date-parts":[["2015"]]},"title":"Deep learning","type":"article"},"uris":["http://www.mendeley.com/documents/?uuid=cbd23c1a-b616-4f63-a1a0-8908c4e08df5","http://www.mendeley.com/documents/?uuid=bd9f079d-9b71-4318-96af-76543139683d","http://www.mendeley.com/documents/?uuid=9e69711d-2866-43ba-a5f6-47549e2e2046"]}],"mendeley":{"formattedCitation":"&lt;sup&gt;170&lt;/sup&gt;","plainTextFormattedCitation":"170","previouslyFormattedCitation":"&lt;sup&gt;170&lt;/sup&gt;"},"properties":{"noteIndex":0},"schema":"https://github.com/citation-style-language/schema/raw/master/csl-citation.json"}</w:instrText>
      </w:r>
      <w:r w:rsidR="00DC494B" w:rsidRPr="008E5B32">
        <w:fldChar w:fldCharType="separate"/>
      </w:r>
      <w:r w:rsidR="004C12A8" w:rsidRPr="008E5B32">
        <w:rPr>
          <w:noProof/>
          <w:vertAlign w:val="superscript"/>
          <w:lang w:val="en-GB"/>
        </w:rPr>
        <w:t>170</w:t>
      </w:r>
      <w:r w:rsidR="00DC494B" w:rsidRPr="008E5B32">
        <w:fldChar w:fldCharType="end"/>
      </w:r>
      <w:r w:rsidR="00DC494B" w:rsidRPr="008E5B32">
        <w:rPr>
          <w:lang w:val="en-GB"/>
        </w:rPr>
        <w:t>. Such class of algorithm</w:t>
      </w:r>
      <w:r w:rsidR="00930F7D" w:rsidRPr="008E5B32">
        <w:rPr>
          <w:lang w:val="en-GB"/>
        </w:rPr>
        <w:t xml:space="preserve">s are usually </w:t>
      </w:r>
      <w:r w:rsidR="00534376" w:rsidRPr="008E5B32">
        <w:rPr>
          <w:lang w:val="en-GB"/>
        </w:rPr>
        <w:t>applied on dataset composed by thousands</w:t>
      </w:r>
      <w:r w:rsidR="007F3953" w:rsidRPr="008E5B32">
        <w:rPr>
          <w:lang w:val="en-GB"/>
        </w:rPr>
        <w:t>/</w:t>
      </w:r>
      <w:r w:rsidR="00534376" w:rsidRPr="008E5B32">
        <w:rPr>
          <w:lang w:val="en-GB"/>
        </w:rPr>
        <w:t>millions of samples</w:t>
      </w:r>
      <w:r w:rsidR="007F3953" w:rsidRPr="008E5B32">
        <w:rPr>
          <w:lang w:val="en-GB"/>
        </w:rPr>
        <w:t xml:space="preserve">, even though there exist algorithms capable to deal with </w:t>
      </w:r>
      <w:r w:rsidR="00854535" w:rsidRPr="008E5B32">
        <w:rPr>
          <w:lang w:val="en-GB"/>
        </w:rPr>
        <w:t>smaller datasets (i.e. datasets composed by few thousands of samples)</w:t>
      </w:r>
      <w:r w:rsidR="00494647" w:rsidRPr="008E5B32">
        <w:rPr>
          <w:lang w:val="en-GB"/>
        </w:rPr>
        <w:t xml:space="preserve"> </w:t>
      </w:r>
      <w:r w:rsidR="007F3953" w:rsidRPr="008E5B32">
        <w:fldChar w:fldCharType="begin" w:fldLock="1"/>
      </w:r>
      <w:r w:rsidR="00434385" w:rsidRPr="008E5B32">
        <w:rPr>
          <w:lang w:val="en-GB"/>
        </w:rPr>
        <w:instrText>ADDIN CSL_CITATION {"citationItems":[{"id":"ITEM-1","itemData":{"DOI":"10.24963/ijcai.2017/318","ISBN":"9780999241103","ISSN":"10450823","PMID":"20173941","abstract":"In terahertz reflection imaging, a deconvolution process is often employed to extract the impulse function of the sample of interest. A band-pass filter such as a double Gaussian filter is typically incorporated into the inverse filtering to suppress the noise, but this can result in over-smoothing due to the loss of useful information. In this paper, with a view to improving the calculation of terahertz impulse response functions for systems with a low signal to noise ratio, we propose a hybrid Frequency-Wavelet Domain Deconvolution (FWDD) for terahertz reflection imaging. Our approach works well; it retrieves more accurate impulse response functions than existing approaches and these impulse functions can then also be used to better extract the terahertz spectroscopic properties of the sample.","author":[{"dropping-particle":"","family":"Liu","given":"Bo","non-dropping-particle":"","parse-names":false,"suffix":""},{"dropping-particle":"","family":"Wei","given":"Ying","non-dropping-particle":"","parse-names":false,"suffix":""},{"dropping-particle":"","family":"Zhang","given":"Yu","non-dropping-particle":"","parse-names":false,"suffix":""},{"dropping-particle":"","family":"Yang","given":"Qiang","non-dropping-particle":"","parse-names":false,"suffix":""}],"container-title":"IJCAI International Joint Conference on Artificial Intelligence","id":"ITEM-1","issued":{"date-parts":[["2017"]]},"title":"Deep neural networks for high dimension, low sample size data","type":"paper-conference"},"uris":["http://www.mendeley.com/documents/?uuid=a8bec6c8-5f48-4cc0-a1ba-58caf8cc3879","http://www.mendeley.com/documents/?uuid=d2efe48c-3ebb-4e08-96d7-9a8da9ce082a","http://www.mendeley.com/documents/?uuid=0dfb541c-587d-4f65-98ba-de7e0dd9420c"]}],"mendeley":{"formattedCitation":"&lt;sup&gt;171&lt;/sup&gt;","plainTextFormattedCitation":"171","previouslyFormattedCitation":"&lt;sup&gt;171&lt;/sup&gt;"},"properties":{"noteIndex":0},"schema":"https://github.com/citation-style-language/schema/raw/master/csl-citation.json"}</w:instrText>
      </w:r>
      <w:r w:rsidR="007F3953" w:rsidRPr="008E5B32">
        <w:fldChar w:fldCharType="separate"/>
      </w:r>
      <w:r w:rsidR="004C12A8" w:rsidRPr="008E5B32">
        <w:rPr>
          <w:noProof/>
          <w:vertAlign w:val="superscript"/>
          <w:lang w:val="en-GB"/>
        </w:rPr>
        <w:t>171</w:t>
      </w:r>
      <w:r w:rsidR="007F3953" w:rsidRPr="008E5B32">
        <w:fldChar w:fldCharType="end"/>
      </w:r>
      <w:r w:rsidR="00534376" w:rsidRPr="008E5B32">
        <w:rPr>
          <w:lang w:val="en-GB"/>
        </w:rPr>
        <w:t xml:space="preserve">, </w:t>
      </w:r>
      <w:r w:rsidR="007F3953" w:rsidRPr="008E5B32">
        <w:rPr>
          <w:lang w:val="en-GB"/>
        </w:rPr>
        <w:t xml:space="preserve">thus </w:t>
      </w:r>
      <w:r w:rsidR="00E07C8B" w:rsidRPr="008E5B32">
        <w:rPr>
          <w:lang w:val="en-GB"/>
        </w:rPr>
        <w:t xml:space="preserve">its application for nanoinformatics </w:t>
      </w:r>
      <w:r w:rsidR="00EB14F5" w:rsidRPr="008E5B32">
        <w:rPr>
          <w:lang w:val="en-GB"/>
        </w:rPr>
        <w:t>in the current state of the art is</w:t>
      </w:r>
      <w:r w:rsidR="00A52553" w:rsidRPr="008E5B32">
        <w:rPr>
          <w:lang w:val="en-GB"/>
        </w:rPr>
        <w:t xml:space="preserve"> particularly</w:t>
      </w:r>
      <w:r w:rsidR="00EB14F5" w:rsidRPr="008E5B32">
        <w:rPr>
          <w:lang w:val="en-GB"/>
        </w:rPr>
        <w:t xml:space="preserve"> suitable </w:t>
      </w:r>
      <w:r w:rsidR="00A52553" w:rsidRPr="008E5B32">
        <w:rPr>
          <w:lang w:val="en-GB"/>
        </w:rPr>
        <w:t>when</w:t>
      </w:r>
      <w:r w:rsidR="00EB14F5" w:rsidRPr="008E5B32">
        <w:rPr>
          <w:lang w:val="en-GB"/>
        </w:rPr>
        <w:t xml:space="preserve"> </w:t>
      </w:r>
      <w:r w:rsidR="00494647" w:rsidRPr="008E5B32">
        <w:rPr>
          <w:lang w:val="en-GB"/>
        </w:rPr>
        <w:t xml:space="preserve">dealing with electronic images. Another </w:t>
      </w:r>
      <w:r w:rsidR="00854535" w:rsidRPr="008E5B32">
        <w:rPr>
          <w:lang w:val="en-GB"/>
        </w:rPr>
        <w:t>possible future development for nanoinformatics research</w:t>
      </w:r>
      <w:r w:rsidR="00494647" w:rsidRPr="008E5B32">
        <w:rPr>
          <w:lang w:val="en-GB"/>
        </w:rPr>
        <w:t xml:space="preserve"> is to apply Transfer Learning from a pre-trained </w:t>
      </w:r>
      <w:r w:rsidR="00F50477" w:rsidRPr="008E5B32">
        <w:rPr>
          <w:lang w:val="en-GB"/>
        </w:rPr>
        <w:t>d</w:t>
      </w:r>
      <w:r w:rsidR="00854535" w:rsidRPr="008E5B32">
        <w:rPr>
          <w:lang w:val="en-GB"/>
        </w:rPr>
        <w:t xml:space="preserve">eep learning </w:t>
      </w:r>
      <w:r w:rsidR="00494647" w:rsidRPr="008E5B32">
        <w:rPr>
          <w:lang w:val="en-GB"/>
        </w:rPr>
        <w:t xml:space="preserve">model, adapting </w:t>
      </w:r>
      <w:r w:rsidR="00A52553" w:rsidRPr="008E5B32">
        <w:rPr>
          <w:lang w:val="en-GB"/>
        </w:rPr>
        <w:t xml:space="preserve">it for the task of interest </w:t>
      </w:r>
      <w:r w:rsidR="00A52553" w:rsidRPr="008E5B32">
        <w:fldChar w:fldCharType="begin" w:fldLock="1"/>
      </w:r>
      <w:r w:rsidR="00434385" w:rsidRPr="008E5B32">
        <w:rPr>
          <w:lang w:val="en-GB"/>
        </w:rPr>
        <w:instrText>ADDIN CSL_CITATION {"citationItems":[{"id":"ITEM-1","itemData":{"DOI":"10.1109/CVPRW.2014.131","ISBN":"9781479943098","ISSN":"21607516","PMID":"87882338","abstract":"Recent results indicate that the generic descriptors extracted from the convolutional neural networks are very powerful. This paper adds to the mounting evidence that this is indeed the case. We report on a series of experiments conducted for different recognition tasks using the publicly available code and model of the \\overfeat network which was trained to perform object classification on ILSVRC13. We use features extracted from the \\overfeat network as a generic image representation to tackle the diverse range of recognition tasks of object image classification, scene recognition, fine grained recognition, attribute detection and image retrieval applied to a diverse set of datasets. We selected these tasks and datasets as they gradually move further away from the original task and data the \\overfeat network was trained to solve. Astonishingly, we report consistent superior results compared to the highly tuned state-of-the-art systems in all the visual classification tasks on various datasets. For instance retrieval it consistently outperforms low memory footprint methods except for sculptures dataset. The results are achieved using a linear SVM classifier (or $L2$ distance in case of retrieval) applied to a feature representation of size 4096 extracted from a layer in the net. The representations are further modified using simple augmentation techniques e.g. jittering. The results strongly suggest that features obtained from deep learning with convolutional nets should be the primary candidate in most visual recognition tasks.","author":[{"dropping-particle":"","family":"Razavian","given":"Ali Sharif","non-dropping-particle":"","parse-names":false,"suffix":""},{"dropping-particle":"","family":"Azizpour","given":"Hossein","non-dropping-particle":"","parse-names":false,"suffix":""},{"dropping-particle":"","family":"Sullivan","given":"Josephine","non-dropping-particle":"","parse-names":false,"suffix":""},{"dropping-particle":"","family":"Carlsson","given":"Stefan","non-dropping-particle":"","parse-names":false,"suffix":""}],"container-title":"IEEE Computer Society Conference on Computer Vision and Pattern Recognition Workshops","id":"ITEM-1","issued":{"date-parts":[["2014"]]},"title":"CNN features off-the-shelf: An astounding baseline for recognition","type":"paper-conference"},"uris":["http://www.mendeley.com/documents/?uuid=968479ad-f503-48ec-bf57-dbe474fe6430","http://www.mendeley.com/documents/?uuid=5b6b9d5c-fc09-43e7-a345-ef81b98b9359","http://www.mendeley.com/documents/?uuid=36dfcb29-7c7f-473c-8650-6fc620d52317"]},{"id":"ITEM-2","itemData":{"DOI":"10.1109/CVPR.2014.222","ISBN":"9781479951178","ISSN":"10636919","PMID":"2054463","abstract":"Convolutional neural networks (CNN) have recently shown outstanding image classification performance in the large-scale visual recognition challenge (ILSVRC2012). The suc-cess of CNNs is attributed to their ability to learn rich mid-level image representations as opposed to hand-designed low-level features used in other image classification meth-ods. Learning CNNs, however, amounts to estimating mil-lions of parameters and requires a very large number of annotated image samples. This property currently prevents application of CNNs to problems with limited training data. In this work we show how image representations learned with CNNs on large-scale annotated datasets can be effi-ciently transferred to other visual recognition tasks with limited amount of training data. We design a method to reuse layers trained on the ImageNet dataset to compute mid-level image representation for images in the PASCAL VOC dataset. We show that despite differences in image statistics and tasks in the two datasets, the transferred rep-resentation leads to significantly improved results for object and action classification, outperforming the current state of the art on Pascal VOC 2007 and 2012 datasets. We also show promising results for object and action localization.","author":[{"dropping-particle":"","family":"Oquab","given":"Maxime","non-dropping-particle":"","parse-names":false,"suffix":""},{"dropping-particle":"","family":"Bottou","given":"Leon","non-dropping-particle":"","parse-names":false,"suffix":""},{"dropping-particle":"","family":"Laptev","given":"Ivan","non-dropping-particle":"","parse-names":false,"suffix":""},{"dropping-particle":"","family":"Sivic","given":"Josef","non-dropping-particle":"","parse-names":false,"suffix":""}],"container-title":"Proceedings of the IEEE Computer Society Conference on Computer Vision and Pattern Recognition","id":"ITEM-2","issued":{"date-parts":[["2014"]]},"title":"Learning and transferring mid-level image representations using convolutional neural networks","type":"paper-conference"},"uris":["http://www.mendeley.com/documents/?uuid=f21eeede-1637-4c81-9ef6-5329ce1b1d8d","http://www.mendeley.com/documents/?uuid=a46f2c34-f182-4c5d-b959-95714eb5406d","http://www.mendeley.com/documents/?uuid=59972c45-3d4b-4859-a962-66e5488b8281"]},{"id":"ITEM-3","itemData":{"DOI":"10.1109/TMI.2016.2528162","ISBN":"1558-254X (Electronic)\\r0278-0062 (Linking)","ISSN":"1558254X","PMID":"26886976","abstract":"Remarkable progress has been made in image recognition, primarily due to the availability of large-scale annotated datasets and the revival of deep CNN. CNNs enable learning data-driven, highly representative, layered hierarchical image features from sufficient training data. However, obtaining datasets as comprehensively annotated as ImageNet in the medical imaging domain remains a challenge. There are currently three major techniques that successfully employ CNNs to medical image classification: training the CNN from scratch, using off-the-shelf pre-trained CNN features, and conducting unsupervised CNN pre-training with supervised fine-tuning. Another effective method is transfer learning, i.e., fine-tuning CNN models pre-trained from natural image dataset to medical image tasks. In this paper, we exploit three important, but previously understudied factors of employing deep convolutional neural networks to computer-aided detection problems. We first explore and evaluate different CNN architectures. The studied models contain 5 thousand to 160 million parameters, and vary in numbers of layers. We then evaluate the influence of dataset scale and spatial image context on performance. Finally, we examine when and why transfer learning from pre-trained ImageNet (via fine-tuning) can be useful. We study two specific computer-aided detection (CADe) problems, namely thoraco-abdominal lymph node (LN) detection and interstitial lung disease (ILD) classification. We achieve the state-of-the-art performance on the mediastinal LN detection, with 85% sensitivity at 3 false positive per patient, and report the first five-fold cross-validation classification results on predicting axial CT slices with ILD categories. Our extensive empirical evaluation, CNN model analysis and valuable insights can be extended to the design of high performance CAD systems for other medical imaging tasks.","author":[{"dropping-particle":"","family":"Shin","given":"Hoo Chang","non-dropping-particle":"","parse-names":false,"suffix":""},{"dropping-particle":"","family":"Roth","given":"Holger R.","non-dropping-particle":"","parse-names":false,"suffix":""},{"dropping-particle":"","family":"Gao","given":"Mingchen","non-dropping-particle":"","parse-names":false,"suffix":""},{"dropping-particle":"","family":"Lu","given":"Le","non-dropping-particle":"","parse-names":false,"suffix":""},{"dropping-particle":"","family":"Xu","given":"Ziyue","non-dropping-particle":"","parse-names":false,"suffix":""},{"dropping-particle":"","family":"Nogues","given":"Isabella","non-dropping-particle":"","parse-names":false,"suffix":""},{"dropping-particle":"","family":"Yao","given":"Jianhua","non-dropping-particle":"","parse-names":false,"suffix":""},{"dropping-particle":"","family":"Mollura","given":"Daniel","non-dropping-particle":"","parse-names":false,"suffix":""},{"dropping-particle":"","family":"Summers","given":"Ronald M.","non-dropping-particle":"","parse-names":false,"suffix":""}],"container-title":"IEEE Transactions on Medical Imaging","id":"ITEM-3","issued":{"date-parts":[["2016"]]},"title":"Deep Convolutional Neural Networks for Computer-Aided Detection: CNN Architectures, Dataset Characteristics and Transfer Learning","type":"article-journal"},"uris":["http://www.mendeley.com/documents/?uuid=e8f638ef-5ffe-4b99-b5f2-e20a7ff9d69a","http://www.mendeley.com/documents/?uuid=639773c0-25f9-41e7-9b21-dbb2fa94cce7","http://www.mendeley.com/documents/?uuid=53861a8c-a3be-406e-b76b-3be63fbd5fe8"]}],"mendeley":{"formattedCitation":"&lt;sup&gt;172–174&lt;/sup&gt;","plainTextFormattedCitation":"172–174","previouslyFormattedCitation":"&lt;sup&gt;172–174&lt;/sup&gt;"},"properties":{"noteIndex":0},"schema":"https://github.com/citation-style-language/schema/raw/master/csl-citation.json"}</w:instrText>
      </w:r>
      <w:r w:rsidR="00A52553" w:rsidRPr="008E5B32">
        <w:fldChar w:fldCharType="separate"/>
      </w:r>
      <w:r w:rsidR="004C12A8" w:rsidRPr="008E5B32">
        <w:rPr>
          <w:noProof/>
          <w:vertAlign w:val="superscript"/>
          <w:lang w:val="en-GB"/>
        </w:rPr>
        <w:t>172–174</w:t>
      </w:r>
      <w:r w:rsidR="00A52553" w:rsidRPr="008E5B32">
        <w:fldChar w:fldCharType="end"/>
      </w:r>
      <w:r w:rsidR="00A52553" w:rsidRPr="008E5B32">
        <w:rPr>
          <w:lang w:val="en-GB"/>
        </w:rPr>
        <w:t>.</w:t>
      </w:r>
    </w:p>
    <w:p w14:paraId="447F9595" w14:textId="56BAF39B" w:rsidR="00E62A38" w:rsidRPr="008E5B32" w:rsidRDefault="00E62A38" w:rsidP="00B637FA">
      <w:pPr>
        <w:rPr>
          <w:lang w:val="en-GB"/>
        </w:rPr>
      </w:pPr>
      <w:r w:rsidRPr="008E5B32">
        <w:rPr>
          <w:lang w:val="en-GB"/>
        </w:rPr>
        <w:t xml:space="preserve">Another </w:t>
      </w:r>
      <w:r w:rsidR="00603974" w:rsidRPr="008E5B32">
        <w:rPr>
          <w:lang w:val="en-GB"/>
        </w:rPr>
        <w:t>issue</w:t>
      </w:r>
      <w:r w:rsidR="0089064F" w:rsidRPr="008E5B32">
        <w:rPr>
          <w:lang w:val="en-GB"/>
        </w:rPr>
        <w:t xml:space="preserve"> that should be carefully addressed </w:t>
      </w:r>
      <w:r w:rsidRPr="008E5B32">
        <w:rPr>
          <w:lang w:val="en-GB"/>
        </w:rPr>
        <w:t xml:space="preserve">relies on the fact that </w:t>
      </w:r>
      <w:r w:rsidR="00585BAF" w:rsidRPr="008E5B32">
        <w:rPr>
          <w:lang w:val="en-GB"/>
        </w:rPr>
        <w:t xml:space="preserve">hazard </w:t>
      </w:r>
      <w:r w:rsidRPr="008E5B32">
        <w:rPr>
          <w:lang w:val="en-GB"/>
        </w:rPr>
        <w:t>classes (</w:t>
      </w:r>
      <w:r w:rsidR="00B370A0" w:rsidRPr="008E5B32">
        <w:rPr>
          <w:lang w:val="en-GB"/>
        </w:rPr>
        <w:t>toxic</w:t>
      </w:r>
      <w:r w:rsidRPr="008E5B32">
        <w:rPr>
          <w:lang w:val="en-GB"/>
        </w:rPr>
        <w:t>/non-</w:t>
      </w:r>
      <w:r w:rsidR="00B370A0" w:rsidRPr="008E5B32">
        <w:rPr>
          <w:lang w:val="en-GB"/>
        </w:rPr>
        <w:t>toxic</w:t>
      </w:r>
      <w:r w:rsidRPr="008E5B32">
        <w:rPr>
          <w:lang w:val="en-GB"/>
        </w:rPr>
        <w:t xml:space="preserve">) are </w:t>
      </w:r>
      <w:r w:rsidR="00585BAF" w:rsidRPr="008E5B32">
        <w:rPr>
          <w:lang w:val="en-GB"/>
        </w:rPr>
        <w:t xml:space="preserve">sometimes not </w:t>
      </w:r>
      <w:r w:rsidRPr="008E5B32">
        <w:rPr>
          <w:lang w:val="en-GB"/>
        </w:rPr>
        <w:t>balanced</w:t>
      </w:r>
      <w:r w:rsidR="00B33B19" w:rsidRPr="008E5B32">
        <w:rPr>
          <w:lang w:val="en-GB"/>
        </w:rPr>
        <w:t xml:space="preserve">, meaning that the number of samples belonging to one class is higher than the number of samples belonging on the other class </w:t>
      </w:r>
      <w:r w:rsidR="00B33B19" w:rsidRPr="008E5B32">
        <w:fldChar w:fldCharType="begin" w:fldLock="1"/>
      </w:r>
      <w:r w:rsidR="00434385" w:rsidRPr="008E5B32">
        <w:rPr>
          <w:lang w:val="en-GB"/>
        </w:rPr>
        <w:instrText>ADDIN CSL_CITATION {"citationItems":[{"id":"ITEM-1","itemData":{"DOI":"10.1.1.711.8214","ISBN":"1088-467X","ISSN":"1088467X","PMID":"15891416","abstract":"In machine learning problems, differences in prior class probabilities -- or class imbalances -- have been reported to hinder the performance of some standard classifiers, such as decision trees. This paper presents a systematic study aimed at answering three different questions. First, we attempt to understand the nature of the class imbalance problem by establishing a relationship between concept complexity, size of the training set and class imbalance level. Second, we discuss several basic re-sampling or cost-modifying methods previously proposed to deal with the class imbalance problem and compare their effectiveness. The results obtained by such methods on artificial domains are linked to results in real-world domains. Finally, we investigate the assumption that the class imbalance problem does not only affect decision tree systems but also affects other classification systems such as Neural Networks and Support Vector Machines.","author":[{"dropping-particle":"","family":"Japkowicz","given":"Nathalie","non-dropping-particle":"","parse-names":false,"suffix":""},{"dropping-particle":"","family":"Stephen","given":"Shaju","non-dropping-particle":"","parse-names":false,"suffix":""}],"container-title":"Intelligent Data Analysis","id":"ITEM-1","issued":{"date-parts":[["2002"]]},"title":"The class imbalance problem: A systematic study","type":"article-journal"},"uris":["http://www.mendeley.com/documents/?uuid=54b3f9a3-d9cb-4587-b370-7e64b8708624","http://www.mendeley.com/documents/?uuid=50821c7f-475f-4709-a11e-7bf16de62fe7","http://www.mendeley.com/documents/?uuid=1d2fd514-8fce-4a62-bdf3-84063786a77c"]},{"id":"ITEM-2","itemData":{"DOI":"10.1109/SIU.2013.6531574","ISBN":"978-1-4673-5563-6","ISSN":"2277-5420","abstract":"In last few years there are major changes and evolution has been done on classification of data. As the application area of technology is increases the size of data also increases. Classification of data becomes difficult because of unbounded size and imbalance nature of data. Class imbalance problem become greatest issue in data mining. Imbalance problem occur where one of the two classes having more sample than other classes. The most of algorithm are more focusing on classification of major sample while ignoring or misclassifying minority sample. The minority samples are those that rarely occur but very important. There are different methods available for classification of imbalance data set which is divided into three main categories, the algorithmic approach, data- preprocessing approach and feature selection approach. Each of this technique has their own advantages and disadvantages. In this paper systematic study of each approach is define which gives the right direction for research in class imbalance problem.","author":[{"dropping-particle":"","family":"Longadge","given":"Rushi","non-dropping-particle":"","parse-names":false,"suffix":""},{"dropping-particle":"","family":"Dongre","given":"Snehalata Snehlata","non-dropping-particle":"","parse-names":false,"suffix":""},{"dropping-particle":"","family":"Malik","given":"Latesh","non-dropping-particle":"","parse-names":false,"suffix":""}],"container-title":"International Journal of Computer Science and Network","id":"ITEM-2","issued":{"date-parts":[["2013"]]},"title":"Class imbalance problem in data mining: review","type":"article-journal"},"uris":["http://www.mendeley.com/documents/?uuid=66e46d2e-b4e3-4ae1-bdbf-ca613d710626","http://www.mendeley.com/documents/?uuid=678bd528-346e-4d2c-9200-c88015649182","http://www.mendeley.com/documents/?uuid=7c560142-a3c5-4193-a99a-eb087c7298df"]}],"mendeley":{"formattedCitation":"&lt;sup&gt;175,176&lt;/sup&gt;","plainTextFormattedCitation":"175,176","previouslyFormattedCitation":"&lt;sup&gt;175,176&lt;/sup&gt;"},"properties":{"noteIndex":0},"schema":"https://github.com/citation-style-language/schema/raw/master/csl-citation.json"}</w:instrText>
      </w:r>
      <w:r w:rsidR="00B33B19" w:rsidRPr="008E5B32">
        <w:fldChar w:fldCharType="separate"/>
      </w:r>
      <w:r w:rsidR="004C12A8" w:rsidRPr="008E5B32">
        <w:rPr>
          <w:noProof/>
          <w:vertAlign w:val="superscript"/>
          <w:lang w:val="en-GB"/>
        </w:rPr>
        <w:t>175,176</w:t>
      </w:r>
      <w:r w:rsidR="00B33B19" w:rsidRPr="008E5B32">
        <w:fldChar w:fldCharType="end"/>
      </w:r>
      <w:r w:rsidRPr="008E5B32">
        <w:rPr>
          <w:lang w:val="en-GB"/>
        </w:rPr>
        <w:t>, and this is not always properly accounted in the modelling and in the evaluation phase. It is also important to provide proper</w:t>
      </w:r>
      <w:r w:rsidR="00603974" w:rsidRPr="008E5B32">
        <w:rPr>
          <w:lang w:val="en-GB"/>
        </w:rPr>
        <w:t xml:space="preserve"> metrics and</w:t>
      </w:r>
      <w:r w:rsidRPr="008E5B32">
        <w:rPr>
          <w:lang w:val="en-GB"/>
        </w:rPr>
        <w:t xml:space="preserve"> statistics when evaluating model performances, possibly discussing it: for instance, for regulatory purpose</w:t>
      </w:r>
      <w:r w:rsidR="00585BAF" w:rsidRPr="008E5B32">
        <w:rPr>
          <w:lang w:val="en-GB"/>
        </w:rPr>
        <w:t>s</w:t>
      </w:r>
      <w:r w:rsidR="00C80FD6" w:rsidRPr="008E5B32">
        <w:rPr>
          <w:lang w:val="en-GB"/>
        </w:rPr>
        <w:t>,</w:t>
      </w:r>
      <w:r w:rsidRPr="008E5B32">
        <w:rPr>
          <w:lang w:val="en-GB"/>
        </w:rPr>
        <w:t xml:space="preserve"> a model that overestimate</w:t>
      </w:r>
      <w:r w:rsidR="00585BAF" w:rsidRPr="008E5B32">
        <w:rPr>
          <w:lang w:val="en-GB"/>
        </w:rPr>
        <w:t>s</w:t>
      </w:r>
      <w:r w:rsidRPr="008E5B32">
        <w:rPr>
          <w:lang w:val="en-GB"/>
        </w:rPr>
        <w:t xml:space="preserve"> the hazard of a NM would be preferred to another one having better performances, but which tends to underestimate it.</w:t>
      </w:r>
      <w:r w:rsidR="00C364DC" w:rsidRPr="008E5B32">
        <w:rPr>
          <w:lang w:val="en-GB"/>
        </w:rPr>
        <w:t xml:space="preserve"> </w:t>
      </w:r>
    </w:p>
    <w:p w14:paraId="5C69D97E" w14:textId="567EDD31" w:rsidR="0089064F" w:rsidRPr="008E5B32" w:rsidRDefault="0089064F" w:rsidP="004B2823">
      <w:pPr>
        <w:rPr>
          <w:lang w:val="en-GB"/>
        </w:rPr>
      </w:pPr>
      <w:r w:rsidRPr="008E5B32">
        <w:rPr>
          <w:lang w:val="en-GB"/>
        </w:rPr>
        <w:t>Expert judgement is essential for Grouping, especially because a rigorous scientific justification of the Grouping hypotheses should be provided</w:t>
      </w:r>
      <w:r w:rsidR="002A75AC" w:rsidRPr="008E5B32">
        <w:rPr>
          <w:lang w:val="en-GB"/>
        </w:rPr>
        <w:t xml:space="preserve"> </w:t>
      </w:r>
      <w:r w:rsidR="002A75AC" w:rsidRPr="008E5B32">
        <w:fldChar w:fldCharType="begin" w:fldLock="1"/>
      </w:r>
      <w:r w:rsidR="005D1733" w:rsidRPr="008E5B32">
        <w:rPr>
          <w:lang w:val="en-GB"/>
        </w:rPr>
        <w:instrText>ADDIN CSL_CITATION {"citationItems":[{"id":"ITEM-1","itemData":{"DOI":"10.2823/884050","ISBN":"9789294958716","author":[{"dropping-particle":"","family":"ECHA","given":"","non-dropping-particle":"","parse-names":false,"suffix":""}],"id":"ITEM-1","issued":{"date-parts":[["2017"]]},"title":"Appendix R . 6-1 : Recommendations for nanomaterials applicable to the Guidance on QSARs and Grouping","type":"report"},"uris":["http://www.mendeley.com/documents/?uuid=c004e91b-496f-3294-a7f9-a8d8773ce252"]}],"mendeley":{"formattedCitation":"&lt;sup&gt;3&lt;/sup&gt;","plainTextFormattedCitation":"3","previouslyFormattedCitation":"&lt;sup&gt;3&lt;/sup&gt;"},"properties":{"noteIndex":0},"schema":"https://github.com/citation-style-language/schema/raw/master/csl-citation.json"}</w:instrText>
      </w:r>
      <w:r w:rsidR="002A75AC" w:rsidRPr="008E5B32">
        <w:fldChar w:fldCharType="separate"/>
      </w:r>
      <w:r w:rsidR="002A75AC" w:rsidRPr="008E5B32">
        <w:rPr>
          <w:noProof/>
          <w:vertAlign w:val="superscript"/>
          <w:lang w:val="en-GB"/>
        </w:rPr>
        <w:t>3</w:t>
      </w:r>
      <w:r w:rsidR="002A75AC" w:rsidRPr="008E5B32">
        <w:fldChar w:fldCharType="end"/>
      </w:r>
      <w:r w:rsidRPr="008E5B32">
        <w:rPr>
          <w:lang w:val="en-GB"/>
        </w:rPr>
        <w:t>. It is straightforward to apply computational tools</w:t>
      </w:r>
      <w:r w:rsidR="007B2E8F" w:rsidRPr="008E5B32">
        <w:rPr>
          <w:lang w:val="en-GB"/>
        </w:rPr>
        <w:t xml:space="preserve"> and combine them to </w:t>
      </w:r>
      <w:r w:rsidRPr="008E5B32">
        <w:rPr>
          <w:lang w:val="en-GB"/>
        </w:rPr>
        <w:t>expert judgement</w:t>
      </w:r>
      <w:r w:rsidR="007B2E8F" w:rsidRPr="008E5B32">
        <w:rPr>
          <w:lang w:val="en-GB"/>
        </w:rPr>
        <w:t xml:space="preserve"> to strengthen the validity of the prediction or grouping hypothesis</w:t>
      </w:r>
      <w:r w:rsidRPr="008E5B32">
        <w:rPr>
          <w:lang w:val="en-GB"/>
        </w:rPr>
        <w:t xml:space="preserve">. Unsupervised learning techniques (e.g. Principal Component Analysis, Clustering and Self-Organizing Maps) have been already employed for instance to assist the development of (Q)SAR models and Read-Across approaches for NMs </w:t>
      </w:r>
      <w:r w:rsidRPr="008E5B32">
        <w:fldChar w:fldCharType="begin" w:fldLock="1"/>
      </w:r>
      <w:r w:rsidR="00434385" w:rsidRPr="008E5B32">
        <w:rPr>
          <w:lang w:val="en-GB"/>
        </w:rPr>
        <w:instrText xml:space="preserve">ADDIN CSL_CITATION {"citationItems":[{"id":"ITEM-1","itemData":{"DOI":"10.1039/c3nr01533e","ISBN":"2040-3372","ISSN":"20403364","PMID":"23689214","abstract":"Nanomaterial structure–activity relationships (nano-SARs) for metal oxide nanoparticles (NPs) toxicity were investigated using metrics based on dose–response analysis and consensus self-organizing map clustering. The NP cellular toxicity dataset included toxicity profiles consisting of seven different assays for human bronchial epithelial (BEAS-2B) and murine myeloid (RAW 264.7) cells, over a concentration range of 0.39–100 mg L−1 and exposure time up to 24 h, for twenty-four different metal oxide NPs. Various nano-SAR building models were evaluated, based on an initial pool of thirty NP descriptors. The conduction band energy and ionic index (often correlated with the hydration enthalpy) were identified as suitable NP descriptors that are consistent with suggested toxicity mechanisms for metal oxide NPs and metal ions. The best performing nano-SAR with the above two descriptors, built with support vector machine (SVM) model and of validated robustness, had a balanced classification accuracy of </w:instrText>
      </w:r>
      <w:r w:rsidR="00434385" w:rsidRPr="008E5B32">
        <w:rPr>
          <w:rFonts w:ascii="Cambria Math" w:hAnsi="Cambria Math" w:cs="Cambria Math"/>
          <w:lang w:val="en-GB"/>
        </w:rPr>
        <w:instrText>∼</w:instrText>
      </w:r>
      <w:r w:rsidR="00434385" w:rsidRPr="008E5B32">
        <w:rPr>
          <w:lang w:val="en-GB"/>
        </w:rPr>
        <w:instrText>94%. An applicability domain for the present data was established with a reasonable confidence level of 80%. Given the potential role of nano-SARs in decision making, regarding the environmental impact of NPs, the class probabilities provided by the SVM nano-SAR enabled the construction of decision boundaries with respect to toxicity classification under different acceptance levels of false negative relative to false positive predictions.","author":[{"dropping-particle":"","family":"Liu","given":"Rong","non-dropping-particle":"","parse-names":false,"suffix":""},{"dropping-particle":"","family":"Zhang","given":"Hai Yuan","non-dropping-particle":"","parse-names":false,"suffix":""},{"dropping-particle":"","family":"Ji","given":"Zhao Xia","non-dropping-particle":"","parse-names":false,"suffix":""},{"dropping-particle":"","family":"Rallo","given":"Robert","non-dropping-particle":"","parse-names":false,"suffix":""},{"dropping-particle":"","family":"Xia","given":"Tian","non-dropping-particle":"","parse-names":false,"suffix":""},{"dropping-particle":"","family":"Chang","given":"Chong Hyun","non-dropping-particle":"","parse-names":false,"suffix":""},{"dropping-particle":"","family":"Nel","given":"Andre","non-dropping-particle":"","parse-names":false,"suffix":""},{"dropping-particle":"","family":"Cohen","given":"Yoram","non-dropping-particle":"","parse-names":false,"suffix":""}],"container-title":"Nanoscale","id":"ITEM-1","issued":{"date-parts":[["2013"]]},"title":"Development of structure-activity relationship for metal oxide nanoparticles","type":"article-journal"},"uris":["http://www.mendeley.com/documents/?uuid=24d1f6ff-622e-45b3-b4be-b04f6fb51c0a"]},{"id":"ITEM-2","itemData":{"DOI":"10.1021/nn1013484","ISBN":"1936-0851","ISSN":"1936-0851","PMID":"20857979","abstract":"Evaluation of biological effects, both desired and undesired, caused by manufactured nanoparticles (MNPs) is of critical importance for nanotechnology. Experimental studies, especially toxicological, are time-consuming, costly, and often impractical, calling for the development of efficient computational approaches capable of predicting biological effects of MNPs. To this end, we have investigated the potential of cheminformatics methods such as quantitative structure−activity relationship (QSAR) modeling to establish statistically significant relationships between measured biological activity profiles of MNPs and their physical, chemical, and geometrical properties, either measured experimentally or computed from the structure of MNPs. To reflect the context of the study, we termed our approach quantitative nanostructure−activity relationship (QNAR) modeling. We have employed two representative sets of MNPs studied recently using in vitro cell-based assays: (i) 51 various MNPs with diverse metal cores (P...","author":[{"dropping-particle":"","family":"Fourches","given":"Denis","non-dropping-particle":"","parse-names":false,"suffix":""},{"dropping-particle":"","family":"Pu","given":"Dongqiuye","non-dropping-particle":"","parse-names":false,"suffix":""},{"dropping-particle":"","family":"Tassa","given":"Carlos","non-dropping-particle":"","parse-names":false,"suffix":""},{"dropping-particle":"","family":"Weissleder","given":"Ralph","non-dropping-particle":"","parse-names":false,"suffix":""},{"dropping-particle":"","family":"Shaw","given":"Stanley Y.","non-dropping-particle":"","parse-names":false,"suffix":""},{"dropping-particle":"","family":"Mumper","given":"Russell J.","non-dropping-particle":"","parse-names":false,"suffix":""},{"dropping-particle":"","family":"Tropsha","given":"Alexander","non-dropping-particle":"","parse-names":false,"suffix":""}],"container-title":"ACS Nano","id":"ITEM-2","issue":"10","issued":{"date-parts":[["2010"]]},"page":"5703-5712","title":"Quantitative Nanostructure−Activity Relationship Modeling","type":"article-journal","volume":"4"},"uris":["http://www.mendeley.com/documents/?uuid=60483abc-289a-49e6-8656-ebabdaafed4d"]},{"id":"ITEM-3","itemData":{"DOI":"10.1021/nl303144k","ISBN":"1530-6992","ISSN":"15306984","PMID":"23039907","abstract":"Products are increasingly incorporating nanomaterials, but we have a poor understanding of their adverse effects. To assess risk, regulatory authorities need more experimental testing of nanoparticles. Computational models play a complementary role in allowing rapid prediction of potential toxicities of new and modified nanomaterials. We generated quantitative, predictive models of cellular uptake and apoptosis induced by nanoparticles for several cell types. We illustrate the potential of computational methods to make a contribution to nanosafety.","author":[{"dropping-particle":"","family":"Epa","given":"V. Chandana","non-dropping-particle":"","parse-names":false,"suffix":""},{"dropping-particle":"","family":"Burden","given":"Frank R.","non-dropping-particle":"","parse-names":false,"suffix":""},{"dropping-particle":"","family":"Tassa","given":"Carlos","non-dropping-particle":"","parse-names":false,"suffix":""},{"dropping-particle":"","family":"Weissleder","given":"Ralph","non-dropping-particle":"","parse-names":false,"suffix":""},{"dropping-particle":"","family":"Shaw","given":"Stanley","non-dropping-particle":"","parse-names":false,"suffix":""},{"dropping-particle":"","family":"Winkler","given":"David A.","non-dropping-particle":"","parse-names":false,"suffix":""}],"container-title":"Nano Letters","id":"ITEM-3","issue":"11","issued":{"date-parts":[["2012"]]},"page":"5808-5812","title":"Modeling biological activities of nanoparticles","type":"article-journal","volume":"12"},"uris":["http://www.mendeley.com/documents/?uuid=4bcd02fd-38d5-40ce-9472-9d874ebe3ec8"]},{"id":"ITEM-4","itemData":{"DOI":"10.1002/smll.201201903","ISBN":"1613-6829","ISSN":"16136810","PMID":"23423856","abstract":"The development of classification nano-structure-activity Relationships (nano-SARs) of nanoparticle (NP) bioactivity is presented with the aim of demonstrating the integration of multiparametric toxicity/bioactivity assays to arrive at statistically meaningful class definitions (i.e., bioactivity/ inactivity endpoints), as well as the implications of nano-SAR applicability domains and decision boundaries. Nano-SARs are constructed based on a dataset of 44 iron oxide core nanoparticles (NPs), used in molecular imaging and nano-sensing, containing bioactivity profiles for four cell types and four different assays. Class definitions are developed on the basis of 'hit' (i.e., significant bioactivity) identification analysis and self-organizing map based consensus clustering; these class definitions enable construction of nano-SARs of a high classification accuracy (&gt;78%) with different NP descriptor combinations that include primary size, spin-lattice and spin-spin relaxivities, and zeta potentials. Analysis of the nano-SAR performance for different class definitions suggests that H4 (i.e., class with at least four hits) is a reasonable endpoint (from a 'regulatory' viewpoint) for keeping the level of false negatives (i.e., incorrect labeling of bioactive NPs as inactive) low. The establishment of a quantitative nano-SAR applicability domain is demonstrated, making use of a probability density with the H4 class definition and naive Bayesian classifier (NBC) model (with spin-lattice relaxivity and zeta potential as descriptors). Decision boundaries are determined for the above H4/NBC nano-SAR for different acceptance levels of false negative to false positive predictions, illustrating a practical approach that may assist in regulatory decision making with a consideration of reducing the likelihood of identifying bioactive NPs as being inactive. A classification nano-structure-activity relationships (nano-SARs) development process is presented for nanoparticle (NP) bioactivity, in which multiparametric high-throughput screening (HTS) bioactivity profiles are integrated to arrive at statistically meaningful nano-SAR endpoints (bioactive/inactive class definitions). The approach presents quantification of nano-SAR applicability domains and determination of nano-SAR decision boundaries for different acceptance levels of false negative to false positive predictions. Copyright © 2013 WILEY-VCH Verlag GmbH &amp; Co. KGaA, Weinheim.","author":[{"dropping-particle":"","family":"Liu","given":"Rong","non-dropping-particle":"","parse-names":false,"suffix":""},{"dropping-particle":"","family":"Rallo","given":"Robert","non-dropping-particle":"","parse-names":false,"suffix":""},{"dropping-particle":"","family":"Weissleder","given":"Ralph","non-dropping-particle":"","parse-names":false,"suffix":""},{"dropping-particle":"","family":"Tassa","given":"Carlos","non-dropping-particle":"","parse-names":false,"suffix":""},{"dropping-particle":"","family":"Shaw","given":"Stanley","non-dropping-particle":"","parse-names":false,"suffix":""},{"dropping-particle":"","family":"Cohen","given":"Yoram","non-dropping-particle":"","parse-names":false,"suffix":""}],"container-title":"Small","id":"ITEM-4","issue":"9-10","issued":{"date-parts":[["2013"]]},"page":"1842-1852","title":"Nano-SAR development for bioactivity of nanoparticles with considerations of decision boundaries","type":"article-journal","volume":"9"},"uris":["http://www.mendeley.com/documents/?uuid=e2114d14-3cea-4598-b3d2-8824a4420975"]},{"id":"ITEM-5","itemData":{"DOI":"10.1088/0957-4484/26/1/015701","ISBN":"0957-4484","ISSN":"13616528","PMID":"25473798","abstract":"Creating suitable chemical categories and developing read-across methods, supported by quantum mechanical calculations, can be an effective solution to solving key problems related to current scarcity of data on the toxicity of various nanoparticles. This study has demonstrated that by applying a nano-read-across, the cytotoxicity of nano-sized metal oxides could be estimated with a similar level of accuracy as provided by quantitative structure-activity relationship for nanomaterials (nano-QSAR model(s)). The method presented is a suitable computational tool for the preliminary hazard assessment of nanomaterials. It also could be used for the identification of nanomaterials that may pose potential negative impact to human health and the environment. Such approaches are especially necessary when there is paucity of relevant and reliable data points to develop and validate nano-QSAR models.","author":[{"dropping-particle":"","family":"Gajewicz","given":"Agnieszka","non-dropping-particle":"","parse-names":false,"suffix":""},{"dropping-particle":"","family":"Cronin","given":"Mark T.D.","non-dropping-particle":"","parse-names":false,"suffix":""},{"dropping-particle":"","family":"Rasulev","given":"Bakhtiyor","non-dropping-particle":"","parse-names":false,"suffix":""},{"dropping-particle":"","family":"Leszczynski","given":"Jerzy","non-dropping-particle":"","parse-names":false,"suffix":""},{"dropping-particle":"","family":"Puzyn","given":"Tomasz","non-dropping-particle":"","parse-names":false,"suffix":""}],"container-title":"Nanotechnology","id":"ITEM-5","issue":"1","issued":{"date-parts":[["2015"]]},"title":"Novel approach for efficient predictions properties of large pool of nanomaterials based on limited set of species: Nano-read-across","type":"article-journal","volume":"26"},"uris":["http://www.mendeley.com/documents/?uuid=c813faf0-b149-47df-8105-408c98398069"]},{"id":"ITEM-6","itemData":{"DOI":"10.3109/17435390.2014.930195","ISBN":"1743-5390","ISSN":"1743-5390","PMID":"24983896","abstract":"Abstract The production of nanomaterials increases every year exponentially and therefore the probability these novel materials that they could cause adverse outcomes for human health and the environment also expands rapidly. We proposed two types of mechanisms of toxic action that are collectively applied in a nano-QSAR model, which provides governance over the toxicity of metal oxide nanoparticles to the human keratinocyte cell line (HaCaT). The combined experimental-theoretical studies allowed the development of an interpretative nano-QSAR model describing the toxicity of 18 nano-metal oxides to the HaCaT cell line, which is a common in vitro model for keratinocyte response during toxic dermal exposure. The comparison of the toxicity of metal oxide nanoparticles to bacteria Escherichia coli (prokaryotic system) and a human keratinocyte cell line (eukaryotic system), resulted in the hypothesis that different modes of toxic action occur between prokaryotic and eukaryotic systems.","author":[{"dropping-particle":"","family":"Gajewicz","given":"Agnieszka","non-dropping-particle":"","parse-names":false,"suffix":""},{"dropping-particle":"","family":"Schaeublin","given":"Nicole","non-dropping-particle":"","parse-names":false,"suffix":""},{"dropping-particle":"","family":"Rasulev","given":"Bakhtiyor","non-dropping-particle":"","parse-names":false,"suffix":""},{"dropping-particle":"","family":"Hussain","given":"Saber","non-dropping-particle":"","parse-names":false,"suffix":""},{"dropping-particle":"","family":"Leszczynska","given":"Danuta","non-dropping-particle":"","parse-names":false,"suffix":""},{"dropping-particle":"","family":"Puzyn","given":"Tomasz","non-dropping-particle":"","parse-names":false,"suffix":""},{"dropping-particle":"","family":"Leszczynski","given":"Jerzy","non-dropping-particle":"","parse-names":false,"suffix":""}],"container-title":"Nanotoxicology","id":"ITEM-6","issue":"3","issued":{"date-parts":[["2015"]]},"page":"313-325","title":"Towards understanding mechanisms governing cytotoxicity of metal oxides nanoparticles: Hints from nano-QSAR studies","type":"article-journal","volume":"9"},"uris":["http://www.mendeley.com/documents/?uuid=c2cc70a2-4cb0-4d51-afc1-2bc29b803386"]},{"id":"ITEM-7","itemData":{"DOI":"10.3109/17435390.2015.1073397","ISSN":"17435404","PMID":"26525350","abstract":"Growing experimental evidences suggest the existence of direct relationships between the surface chemistry of nanomaterials and their biological effects. Herein, we have employed computational approaches to design a set of biologically active carbon nanotubes (CNTs) with controlled protein binding and cytotoxicity. Quantitative structure-activity relationship (QSAR) models were built and validated using a dataset of 83 surface-modified CNTs. A subset of a combinatorial virtual library of 240 000 ligands potentially attachable to CNTs was selected to include molecules that were within the chemical similarity threshold with respect to the modeling set compounds. QSAR models were then employed to virtually screen this subset and prioritize CNTs for chemical synthesis and biological evaluation. Ten putatively active and 10 putatively inactive CNTs decorated with the ligands prioritized by virtual screening for either protein-binding or cytotoxicity assay were synthesized and tested. We found that all 10 putatively inactive and 7 of 10 putatively active CNTs were confirmed in the protein-binding assay, whereas all 10 putatively inactive and 6 of 10 putatively active CNTs were confirmed in the cytotoxicity assay. This proof-of-concept study shows that computational models can be employed to guide the design of surface-modified nanomaterials with the desired biological and safety profiles.","author":[{"dropping-particle":"","family":"Fourches","given":"Denis","non-dropping-particle":"","parse-names":false,"suffix":""},{"dropping-particle":"","family":"Pu","given":"Dongqiuye","non-dropping-particle":"","parse-names":false,"suffix":""},{"dropping-particle":"","family":"Li","given":"Liwen","non-dropping-particle":"","parse-names":false,"suffix":""},{"dropping-particle":"","family":"Zhou","given":"Hongyu","non-dropping-particle":"","parse-names":false,"suffix":""},{"dropping-particle":"","family":"Mu","given":"Qingxin","non-dropping-particle":"","parse-names":false,"suffix":""},{"dropping-particle":"","family":"Su","given":"Gaoxing","non-dropping-particle":"","parse-names":false,"suffix":""},{"dropping-particle":"","family":"Yan","given":"Bing","non-dropping-particle":"","parse-names":false,"suffix":""},{"dropping-particle":"","family":"Tropsha","given":"Alexander","non-dropping-particle":"","parse-names":false,"suffix":""}],"container-title":"Nanotoxicology","id":"ITEM-7","issue":"3","issued":{"date-parts":[["2016"]]},"page":"374-383","title":"Computer-aided design of carbon nanotubes with the desired bioactivity and safety profiles","type":"article-journal","volume":"10"},"uris":["http://www.mendeley.com/documents/?uuid=ee3d9946-51d4-4e8e-abcd-8b8d5b7886c5"]}],"mendeley":{"formattedCitation":"&lt;sup&gt;22,32,83,100,106,113,115&lt;/sup&gt;","plainTextFormattedCitation":"22,32,83,100,106,113,115","previouslyFormattedCitation":"&lt;sup&gt;22,32,83,100,106,113,115&lt;/sup&gt;"},"properties":{"noteIndex":0},"schema":"https://github.com/citation-style-language/schema/raw/master/csl-citation.json"}</w:instrText>
      </w:r>
      <w:r w:rsidRPr="008E5B32">
        <w:fldChar w:fldCharType="separate"/>
      </w:r>
      <w:r w:rsidR="004C12A8" w:rsidRPr="008E5B32">
        <w:rPr>
          <w:noProof/>
          <w:vertAlign w:val="superscript"/>
        </w:rPr>
        <w:t>22,32,83,100,106,113,115</w:t>
      </w:r>
      <w:r w:rsidRPr="008E5B32">
        <w:fldChar w:fldCharType="end"/>
      </w:r>
      <w:r w:rsidRPr="008E5B32">
        <w:t xml:space="preserve">, for NMs classification </w:t>
      </w:r>
      <w:r w:rsidRPr="008E5B32">
        <w:fldChar w:fldCharType="begin" w:fldLock="1"/>
      </w:r>
      <w:r w:rsidR="00434385" w:rsidRPr="008E5B32">
        <w:instrText>ADDIN CSL_CITATION {"citationItems":[{"id":"ITEM-1","itemData":{"DOI":"10.2147/IJN.S40521","abstract":"Background: There is a need to take a broader look at nanotoxicological studies. Eventually, the field will demand that some generalizations be made. To begin to address this issue, we posed a question: are metal colloids on the nanometer-size scale a homogeneous group? In general, most people can agree that the physicochemical properties of nanomaterials can be linked and related to their induced toxicological responses. Methods: The focus of this study was to determine how a set of selected physicochemical properties of five specific metal-based colloidal materials on the nanometer-size scale - silver, copper, nickel, iron, and zinc - could be used as nanodescriptors that facilitate the grouping of these metal-based colloids. Results: The example of the framework pipeline processing provided in this paper shows the utility of specific statistical and pattern recognition techniques in grouping nanoparticles based on experimental data about their physicochemical properties. Interestingly, the results of the analyses suggest that a seemingly homogeneous group of nanoparticles could be separated into sub-groups depending on interdependencies observed in their nanodescriptors. Conclusion: These particles represent an important category of nanomaterials that are currently mass produced. Each has been reputed to induce toxicological and/or cytotoxicological effects. Here, we propose an experimental methodology coupled with mathematical and statistical modeling that can serve as a prototype for a rigorous framework that aids in the ability to group nanomaterials together and to facilitate the subsequent analysis of trends in data based on quantitative modeling of nanoparticle-specific structure-activity relationships. The computational part of the proposed framework is rather general and can be applied to other groups of nanomaterials as well. © 2013 Sayes et al, publisher and licensee Dove Medical Press Ltd.","author":[{"dropping-particle":"","family":"Sayes","given":"C.M.","non-dropping-particle":"","parse-names":false,"suffix":""},{"dropping-particle":"","family":"Alex Smith","given":"P.","non-dropping-particle":"","parse-names":false,"suffix":""},{"dropping-particle":"","family":"Ivanov","given":"I.V.","non-dropping-particle":"","parse-names":false,"suffix":""}],"container-title":"International Journal of Nanomedicine","id":"ITEM-1","issue":"Suppl 1","issued":{"date-parts":[["2013"]]},"page":"45-56","title":"A framework for grouping nanoparticles based on their measurable characteristics","type":"article-journal","volume":"8"},"uris":["http://www.mendeley.com/documents/?uuid=c34a7f87-e646-47fc-8c34-94830d03a265","http://www.mendeley.com/documents/?uuid=5d2d214e-8156-404e-a440-7a5a91ca07d3"]},{"id":"ITEM-2","itemData":{"DOI":"10.3109/17435390.2013.796534","ISBN":"1743-5390; 1743-5404","ISSN":"17435390","PMID":"23586395","abstract":"Structure toxicity relationship analysis was conducted using principal component analysis (PCA) for a panel of nanoparticles that included dry powders of oxides of titanium, zinc, cerium and silicon, dry powders of silvers, suspensions of polystyrene latex beads and dry particles of carbon black, nanotubes and fullerene, as well as diesel exhaust particles. Acute in vitro toxicity was assessed by different measures of cell viability, apoptosis and necrosis, haemolytic effects and the impact on cell morphology, while structural properties were characterised by particle size and size distribution, surface area, morphology, metal content, reactivity, free radical generation and zeta potential. Different acute toxicity measures were processed using PCA that classified the particles and identified four materials with an acute toxicity profile: zinc oxide, polystyrene latex amine, nanotubes and nickel oxide. PCA and contribution plot analysis then focused on identifying the structural properties that could determine the acute cytotoxicity of these four materials. It was found that metal content was an explanatory variable for acute toxicity associated with zinc oxide and nickel oxide, while high aspect ratio appeared the most important feature in nanotubes. Particle charge was considered as a determinant for high to</w:instrText>
      </w:r>
      <w:r w:rsidR="00434385" w:rsidRPr="008E5B32">
        <w:rPr>
          <w:lang w:val="en-US"/>
        </w:rPr>
        <w:instrText>xicity of polystyrene latex amine.","author":[{"dropping-particle":"","family":"Wang","given":"Xue Z.","non-dropping-particle":"","parse-names":false,"suffix":""},{"dropping-particle":"","family":"Yang","given":"Yang","non-dropping-particle":"","parse-names":false,"suffix":""},{"dropping-particle":"","family":"Li","given":"Ruifa","non-dropping-particle":"","parse-names":false,"suffix":""},{"dropping-particle":"","family":"Mcguinnes","given":"Catherine","non-dropping-particle":"","parse-names":false,"suffix":""},{"dropping-particle":"","family":"Adamson","given":"Janet","non-dropping-particle":"","parse-names":false,"suffix":""},{"dropping-particle":"","family":"Megson","given":"Ian L.","non-dropping-particle":"","parse-names":false,"suffix":""},{"dropping-particle":"","family":"Donaldson","given":"Kenneth","non-dropping-particle":"","parse-names":false,"suffix":""}],"container-title":"Nanotoxicology","id":"ITEM-2","issue":"5","issued":{"date-parts":[["2014"]]},"page":"465-476","title":"Principal component and causal analysis of structural and acute in vitro toxicity data for nanoparticles","type":"article-journal","volume":"8"},"uris":["http://www.mendeley.com/documents/?uuid=c578d6c1-21bc-4909-972d-020167dd8ee0"]}],"mendeley":{"formattedCitation":"&lt;sup&gt;177,178&lt;/sup&gt;","plainTextFormattedCitation":"177,178","previouslyFormattedCitation":"&lt;sup&gt;177,178&lt;/sup&gt;"},"properties":{"noteIndex":0},"schema":"https://github.com/citation-style-language/schema/raw/master/csl-citation.json"}</w:instrText>
      </w:r>
      <w:r w:rsidRPr="008E5B32">
        <w:fldChar w:fldCharType="separate"/>
      </w:r>
      <w:r w:rsidR="004C12A8" w:rsidRPr="008E5B32">
        <w:rPr>
          <w:noProof/>
          <w:vertAlign w:val="superscript"/>
          <w:lang w:val="en-GB"/>
        </w:rPr>
        <w:t>177,178</w:t>
      </w:r>
      <w:r w:rsidRPr="008E5B32">
        <w:fldChar w:fldCharType="end"/>
      </w:r>
      <w:r w:rsidR="005B7F7A" w:rsidRPr="008E5B32">
        <w:rPr>
          <w:lang w:val="en-GB"/>
        </w:rPr>
        <w:t xml:space="preserve">, </w:t>
      </w:r>
      <w:r w:rsidRPr="008E5B32">
        <w:rPr>
          <w:lang w:val="en-GB"/>
        </w:rPr>
        <w:t xml:space="preserve">for quality assessment of nano-based dispersions </w:t>
      </w:r>
      <w:r w:rsidRPr="008E5B32">
        <w:fldChar w:fldCharType="begin" w:fldLock="1"/>
      </w:r>
      <w:r w:rsidR="00434385" w:rsidRPr="008E5B32">
        <w:rPr>
          <w:lang w:val="en-GB"/>
        </w:rPr>
        <w:instrText>ADDIN CSL_CITATION {"citationItems":[{"id":"ITEM-1","itemData":{"DOI":"10.1016/j.partic.2014.10.004","ISSN":"22104291","abstract":"Abstract Seemingly contradictory findings between studies are a major issue in nanoecotoxicological research and have been explained as a result of the lack of comparability between assay methods, with dispersion of nanomaterials being identified as a key factor. Here we show the use of a multivariate method, principal component analysis (PCA), as a tool in protocol development and categorization of dispersion quality. Results show the significance of particle concentration within a protocol, and its effect on repeatability. Our results suggest that future studies should involve the use of PCA as a powerful data exploration tool to facilitate method development, comparability and integration of data across different laboratories.","author":[{"dropping-particle":"","family":"Tantra","given":"R.","non-dropping-particle":"","parse-names":false,"suffix":""},{"dropping-particle":"","family":"Oksel","given":"C.","non-dropping-particle":"","parse-names":false,"suffix":""},{"dropping-particle":"","family":"Robinson","given":"K. N.","non-dropping-particle":"","parse-names":false,"suffix":""},{"dropping-particle":"","family":"Sikora","given":"A.","non-dropping-particle":"","parse-names":false,"suffix":""},{"dropping-particle":"","family":"Wang","given":"X. Z.","non-dropping-particle":"","parse-names":false,"suffix":""},{"dropping-particle":"","family":"Wilkins","given":"T. A.","non-dropping-particle":"","parse-names":false,"suffix":""}],"container-title":"Particuology","id":"ITEM-1","issued":{"date-parts":[["2015"]]},"title":"A method for assessing nanomaterial dispersion quality based on principal component analysis of particle size distribution data","type":"article-journal"},"uris":["http://www.mendeley.com/documents/?uuid=78853c6e-e213-4bdf-bb9b-2a5b6835abeb"]}],"mendeley":{"formattedCitation":"&lt;sup&gt;179&lt;/sup&gt;","plainTextFormattedCitation":"179","previouslyFormattedCitation":"&lt;sup&gt;179&lt;/sup&gt;"},"properties":{"noteIndex":0},"schema":"https://github.com/citation-style-language/schema/raw/master/csl-citation.json"}</w:instrText>
      </w:r>
      <w:r w:rsidRPr="008E5B32">
        <w:fldChar w:fldCharType="separate"/>
      </w:r>
      <w:r w:rsidR="004C12A8" w:rsidRPr="008E5B32">
        <w:rPr>
          <w:noProof/>
          <w:vertAlign w:val="superscript"/>
          <w:lang w:val="en-GB"/>
        </w:rPr>
        <w:t>179</w:t>
      </w:r>
      <w:r w:rsidRPr="008E5B32">
        <w:fldChar w:fldCharType="end"/>
      </w:r>
      <w:r w:rsidR="005B7F7A" w:rsidRPr="008E5B32">
        <w:rPr>
          <w:lang w:val="en-GB"/>
        </w:rPr>
        <w:t xml:space="preserve">, and to study how surface modifications by means of attaching organic ligands can affect the colloidal stability of NMs </w:t>
      </w:r>
      <w:r w:rsidR="005B7F7A" w:rsidRPr="008E5B32">
        <w:fldChar w:fldCharType="begin" w:fldLock="1"/>
      </w:r>
      <w:r w:rsidR="00434385" w:rsidRPr="008E5B32">
        <w:rPr>
          <w:lang w:val="en-GB"/>
        </w:rPr>
        <w:instrText>ADDIN CSL_CITATION {"citationItems":[{"id":"ITEM-1","itemData":{"DOI":"10.1016/j.impact.2018.03.001","ISSN":"24520748","abstract":"The considerable diversity and complexity of manufactured nanoparticles (NPs) have made their regulatory safety assessment challenging due to the need for excessive testing. Therefore, it is relevant to derive physicochemical and structural descriptors for in silico modelling that can help to develop strategies for “Safety by Design” (SbD) in the early stages of product development. This paper aims at informing such strategies by studying how surface modification by means of attaching organic ligands can affect the colloidal stability of nanoscale TiO2in different environmental media with changing electrolyte concentrations and pH levels. The functionalization was performed by using four catecholate derivatives (catechol, 3,4-dihydroxybenzaldehyde, 3,4-dihydroxybenzoic acid, dopamine hydrochloride), salicylic acid and polyethylene glycol (PEG) polymer. Surface charge, hydrodynamic diameter and sedimentation velocity were measured to assess the colloidal stability of each of the dispersions. Then, statistical clustering techniques and Principal Component Analysis (PCA) were applied to the obtained experimental data in order to identify physicochemical descriptors and classes of stability, which were used to classify the investigated surface modifications. In conclusion, the proposed approach, combining experimental results from simple and fast techniques with multivariate statistical methods has proven to be useful for supporting nanomaterials categorization for the purpose of developing SbD strategies.","author":[{"dropping-particle":"","family":"Brunelli","given":"Andrea","non-dropping-particle":"","parse-names":false,"suffix":""},{"dropping-particle":"","family":"Badetti","given":"Elena","non-dropping-particle":"","parse-names":false,"suffix":""},{"dropping-particle":"","family":"Basei","given":"Gianpietro","non-dropping-particle":"","parse-names":false,"suffix":""},{"dropping-particle":"","family":"Izzo","given":"Francesca Caterina","non-dropping-particle":"","parse-names":false,"suffix":""},{"dropping-particle":"","family":"Hristozov","given":"Danail","non-dropping-particle":"","parse-names":false,"suffix":""},{"dropping-particle":"","family":"Marcomini","given":"Antonio","non-dropping-particle":"","parse-names":false,"suffix":""}],"container-title":"NanoImpact","id":"ITEM-1","issued":{"date-parts":[["2018"]]},"title":"Effects of organic modifiers on the colloidal stability of TiO2nanoparticles. A methodological approach for NPs categorization by multivariate statistical analysis","type":"article-journal"},"uris":["http://www.mendeley.com/documents/?uuid=750dcf45-c063-3afa-ad31-166f2676fc3c"]}],"mendeley":{"formattedCitation":"&lt;sup&gt;180&lt;/sup&gt;","plainTextFormattedCitation":"180","previouslyFormattedCitation":"&lt;sup&gt;180&lt;/sup&gt;"},"properties":{"noteIndex":0},"schema":"https://github.com/citation-style-language/schema/raw/master/csl-citation.json"}</w:instrText>
      </w:r>
      <w:r w:rsidR="005B7F7A" w:rsidRPr="008E5B32">
        <w:fldChar w:fldCharType="separate"/>
      </w:r>
      <w:r w:rsidR="004C12A8" w:rsidRPr="008E5B32">
        <w:rPr>
          <w:noProof/>
          <w:vertAlign w:val="superscript"/>
          <w:lang w:val="en-GB"/>
        </w:rPr>
        <w:t>180</w:t>
      </w:r>
      <w:r w:rsidR="005B7F7A" w:rsidRPr="008E5B32">
        <w:fldChar w:fldCharType="end"/>
      </w:r>
      <w:r w:rsidRPr="008E5B32">
        <w:rPr>
          <w:lang w:val="en-GB"/>
        </w:rPr>
        <w:t xml:space="preserve">. </w:t>
      </w:r>
    </w:p>
    <w:p w14:paraId="68FE1E05" w14:textId="7D75F779" w:rsidR="00B66663" w:rsidRPr="008E5B32" w:rsidRDefault="00DD16B4" w:rsidP="004B2823">
      <w:pPr>
        <w:rPr>
          <w:lang w:val="en-GB"/>
        </w:rPr>
      </w:pPr>
      <w:r w:rsidRPr="008E5B32">
        <w:rPr>
          <w:lang w:val="en-GB"/>
        </w:rPr>
        <w:t>Finally, t</w:t>
      </w:r>
      <w:r w:rsidR="00F5027B" w:rsidRPr="008E5B32">
        <w:rPr>
          <w:lang w:val="en-GB"/>
        </w:rPr>
        <w:t>here are several sources of uncertainty that must be taken in</w:t>
      </w:r>
      <w:r w:rsidR="00214C47" w:rsidRPr="008E5B32">
        <w:rPr>
          <w:lang w:val="en-GB"/>
        </w:rPr>
        <w:t>to</w:t>
      </w:r>
      <w:r w:rsidR="00F5027B" w:rsidRPr="008E5B32">
        <w:rPr>
          <w:lang w:val="en-GB"/>
        </w:rPr>
        <w:t xml:space="preserve"> account when applying </w:t>
      </w:r>
      <w:r w:rsidR="00650B32" w:rsidRPr="008E5B32">
        <w:rPr>
          <w:lang w:val="en-GB"/>
        </w:rPr>
        <w:t>Read-Across</w:t>
      </w:r>
      <w:r w:rsidR="00072433" w:rsidRPr="008E5B32">
        <w:rPr>
          <w:lang w:val="en-GB"/>
        </w:rPr>
        <w:t xml:space="preserve"> and when dealing with (Q)SARs</w:t>
      </w:r>
      <w:r w:rsidR="00F5027B" w:rsidRPr="008E5B32">
        <w:rPr>
          <w:lang w:val="en-GB"/>
        </w:rPr>
        <w:t xml:space="preserve">. Specifically, it may be required to apply assessment factors depending on the nature of uncertainty related to the endpoint taken into consideration </w:t>
      </w:r>
      <w:r w:rsidR="00F5027B" w:rsidRPr="008E5B32">
        <w:fldChar w:fldCharType="begin" w:fldLock="1"/>
      </w:r>
      <w:r w:rsidR="00434385" w:rsidRPr="008E5B32">
        <w:rPr>
          <w:lang w:val="en-GB"/>
        </w:rPr>
        <w:instrText>ADDIN CSL_CITATION {"citationItems":[{"id":"ITEM-1","itemData":{"DOI":"10.14573/altex.1410071","ISSN":"07176201","PMID":"25368965","abstract":"Read-across is a data gap filling technique used within category and analogue approaches. It has been utilized as an alternative approach to address information requirements under various past and present regulatory programs such as the OECD High Production Volume Programme as well as the EU's Registration, Evaluation, Authorisation and restriction of CHemicals (REACH) regulation. Although read-across raises a number of expectations, many misconceptions still remain around what it truly represents; how to address its associated justification in a robust and scientifically credible manner; what challenges/issues exist in terms of its application and acceptance; and what future efforts are needed to resolve them. In terms of future enhancements, read-across is likely to embrace more biologically-orientated approaches consistent with the Toxicity in the 21st Century vision (Tox-21c). This Food for Thought article, which is notably not a consensus report, aims to discuss a number of these aspects and, in doing so, to raise awareness of the ongoing efforts and activities to enhance read-across. It also intends to set the agenda for a CAAT read-across initiative in 2014-2015 to facilitate the proper use of this technique.","author":[{"dropping-particle":"","family":"Patlewicz","given":"Grace","non-dropping-particle":"","parse-names":false,"suffix":""},{"dropping-particle":"","family":"Ball","given":"Nicholas","non-dropping-particle":"","parse-names":false,"suffix":""},{"dropping-particle":"","family":"Becker","given":"Richard A.","non-dropping-particle":"","parse-names":false,"suffix":""},{"dropping-particle":"","family":"Booth","given":"Ewan D.","non-dropping-particle":"","parse-names":false,"suffix":""},{"dropping-particle":"","family":"Cronin","given":"Mark T.D.","non-dropping-particle":"","parse-names":false,"suffix":""},{"dropping-particle":"","family":"Kroese","given":"Dinant","non-dropping-particle":"","parse-names":false,"suffix":""},{"dropping-particle":"","family":"Steup","given":"David","non-dropping-particle":"","parse-names":false,"suffix":""},{"dropping-particle":"","family":"Ravenzwaay","given":"Ben","non-dropping-particle":"Van","parse-names":false,"suffix":""},{"dropping-particle":"","family":"Hartung","given":"Thomas","non-dropping-particle":"","parse-names":false,"suffix":""}],"container-title":"Archivos de Medicina Veterinaria","id":"ITEM-1","issue":"4","issued":{"date-parts":[["2014"]]},"page":"387-396","title":"Read-across approaches - Misconceptions, promises and challenges ahead","type":"article-journal","volume":"46"},"uris":["http://www.mendeley.com/documents/?uuid=3c4eaf68-ad47-4918-989a-42a15ba12dea"]}],"mendeley":{"formattedCitation":"&lt;sup&gt;181&lt;/sup&gt;","plainTextFormattedCitation":"181","previouslyFormattedCitation":"&lt;sup&gt;181&lt;/sup&gt;"},"properties":{"noteIndex":0},"schema":"https://github.com/citation-style-language/schema/raw/master/csl-citation.json"}</w:instrText>
      </w:r>
      <w:r w:rsidR="00F5027B" w:rsidRPr="008E5B32">
        <w:fldChar w:fldCharType="separate"/>
      </w:r>
      <w:r w:rsidR="004C12A8" w:rsidRPr="008E5B32">
        <w:rPr>
          <w:noProof/>
          <w:vertAlign w:val="superscript"/>
          <w:lang w:val="en-GB"/>
        </w:rPr>
        <w:t>181</w:t>
      </w:r>
      <w:r w:rsidR="00F5027B" w:rsidRPr="008E5B32">
        <w:fldChar w:fldCharType="end"/>
      </w:r>
      <w:r w:rsidR="00856035" w:rsidRPr="008E5B32">
        <w:rPr>
          <w:lang w:val="en-GB"/>
        </w:rPr>
        <w:t xml:space="preserve">, and there </w:t>
      </w:r>
      <w:r w:rsidR="00F5027B" w:rsidRPr="008E5B32">
        <w:rPr>
          <w:lang w:val="en-GB"/>
        </w:rPr>
        <w:t xml:space="preserve">is a perception of greater uncertainty while reading across starting from non-toxic substances (negative </w:t>
      </w:r>
      <w:r w:rsidR="00650B32" w:rsidRPr="008E5B32">
        <w:rPr>
          <w:lang w:val="en-GB"/>
        </w:rPr>
        <w:t>Read-Across</w:t>
      </w:r>
      <w:r w:rsidR="00F5027B" w:rsidRPr="008E5B32">
        <w:rPr>
          <w:lang w:val="en-GB"/>
        </w:rPr>
        <w:t xml:space="preserve">), while </w:t>
      </w:r>
      <w:r w:rsidR="00650B32" w:rsidRPr="008E5B32">
        <w:rPr>
          <w:lang w:val="en-GB"/>
        </w:rPr>
        <w:t>Read-Across</w:t>
      </w:r>
      <w:r w:rsidR="00F5027B" w:rsidRPr="008E5B32">
        <w:rPr>
          <w:lang w:val="en-GB"/>
        </w:rPr>
        <w:t xml:space="preserve"> </w:t>
      </w:r>
      <w:r w:rsidR="00214C47" w:rsidRPr="008E5B32">
        <w:rPr>
          <w:lang w:val="en-GB"/>
        </w:rPr>
        <w:t>to</w:t>
      </w:r>
      <w:r w:rsidR="00F5027B" w:rsidRPr="008E5B32">
        <w:rPr>
          <w:lang w:val="en-GB"/>
        </w:rPr>
        <w:t xml:space="preserve"> toxic substances is </w:t>
      </w:r>
      <w:r w:rsidR="00984B3E" w:rsidRPr="008E5B32">
        <w:rPr>
          <w:lang w:val="en-GB"/>
        </w:rPr>
        <w:t>generally</w:t>
      </w:r>
      <w:r w:rsidR="00F5027B" w:rsidRPr="008E5B32">
        <w:rPr>
          <w:lang w:val="en-GB"/>
        </w:rPr>
        <w:t xml:space="preserve"> more accepted</w:t>
      </w:r>
      <w:r w:rsidR="00984B3E" w:rsidRPr="008E5B32">
        <w:rPr>
          <w:lang w:val="en-GB"/>
        </w:rPr>
        <w:t>. Moreover, it is generally more accepted that</w:t>
      </w:r>
      <w:r w:rsidR="00F5027B" w:rsidRPr="008E5B32">
        <w:rPr>
          <w:lang w:val="en-GB"/>
        </w:rPr>
        <w:t xml:space="preserve"> </w:t>
      </w:r>
      <w:r w:rsidR="00650B32" w:rsidRPr="008E5B32">
        <w:rPr>
          <w:lang w:val="en-GB"/>
        </w:rPr>
        <w:t>Read-Across</w:t>
      </w:r>
      <w:r w:rsidR="00F5027B" w:rsidRPr="008E5B32">
        <w:rPr>
          <w:lang w:val="en-GB"/>
        </w:rPr>
        <w:t xml:space="preserve"> is performed on a substance that "falls" between substances already taken into account (interpolation), while extrapolation is less accepted, </w:t>
      </w:r>
      <w:r w:rsidR="00545FE8" w:rsidRPr="008E5B32">
        <w:rPr>
          <w:lang w:val="en-GB"/>
        </w:rPr>
        <w:t xml:space="preserve">and </w:t>
      </w:r>
      <w:r w:rsidR="00F5027B" w:rsidRPr="008E5B32">
        <w:rPr>
          <w:lang w:val="en-GB"/>
        </w:rPr>
        <w:t xml:space="preserve">it is considered more important to demonstrate the correctness of the </w:t>
      </w:r>
      <w:r w:rsidR="00ED6F70" w:rsidRPr="008E5B32">
        <w:rPr>
          <w:lang w:val="en-GB"/>
        </w:rPr>
        <w:t>Grouping</w:t>
      </w:r>
      <w:r w:rsidR="00F5027B" w:rsidRPr="008E5B32">
        <w:rPr>
          <w:lang w:val="en-GB"/>
        </w:rPr>
        <w:t xml:space="preserve"> than considering whether </w:t>
      </w:r>
      <w:r w:rsidR="00650B32" w:rsidRPr="008E5B32">
        <w:rPr>
          <w:lang w:val="en-GB"/>
        </w:rPr>
        <w:t>Read-Across</w:t>
      </w:r>
      <w:r w:rsidR="00F5027B" w:rsidRPr="008E5B32">
        <w:rPr>
          <w:lang w:val="en-GB"/>
        </w:rPr>
        <w:t xml:space="preserve"> results in interpolation or extrapolation</w:t>
      </w:r>
      <w:r w:rsidR="003D37C5" w:rsidRPr="008E5B32">
        <w:rPr>
          <w:lang w:val="en-GB"/>
        </w:rPr>
        <w:t xml:space="preserve">. </w:t>
      </w:r>
    </w:p>
    <w:p w14:paraId="1AED3600" w14:textId="77777777" w:rsidR="00B611A8" w:rsidRPr="008E5B32" w:rsidRDefault="00AA3DDB" w:rsidP="00B611A8">
      <w:pPr>
        <w:pStyle w:val="Heading1"/>
        <w:spacing w:line="312" w:lineRule="auto"/>
        <w:rPr>
          <w:lang w:val="en-GB"/>
        </w:rPr>
      </w:pPr>
      <w:r w:rsidRPr="008E5B32">
        <w:rPr>
          <w:lang w:val="en-GB"/>
        </w:rPr>
        <w:t xml:space="preserve">5 </w:t>
      </w:r>
      <w:r w:rsidR="00CD6D1C" w:rsidRPr="008E5B32">
        <w:rPr>
          <w:lang w:val="en-GB"/>
        </w:rPr>
        <w:t>Conclusions</w:t>
      </w:r>
    </w:p>
    <w:p w14:paraId="4581B525" w14:textId="44F11A46" w:rsidR="008E5B34" w:rsidRPr="008E5B32" w:rsidRDefault="00810C35" w:rsidP="006D4D50">
      <w:pPr>
        <w:rPr>
          <w:lang w:val="en-GB"/>
        </w:rPr>
      </w:pPr>
      <w:r w:rsidRPr="008E5B32">
        <w:rPr>
          <w:i/>
          <w:lang w:val="en-GB"/>
        </w:rPr>
        <w:t>In silico</w:t>
      </w:r>
      <w:r w:rsidRPr="008E5B32">
        <w:rPr>
          <w:lang w:val="en-GB"/>
        </w:rPr>
        <w:t xml:space="preserve"> models to predict </w:t>
      </w:r>
      <w:r w:rsidR="00B66663" w:rsidRPr="008E5B32">
        <w:rPr>
          <w:lang w:val="en-GB"/>
        </w:rPr>
        <w:t xml:space="preserve">properties of concern and </w:t>
      </w:r>
      <w:r w:rsidRPr="008E5B32">
        <w:rPr>
          <w:lang w:val="en-GB"/>
        </w:rPr>
        <w:t>(eco)</w:t>
      </w:r>
      <w:r w:rsidR="00B66663" w:rsidRPr="008E5B32">
        <w:rPr>
          <w:lang w:val="en-GB"/>
        </w:rPr>
        <w:t>toxicological endpoints should be seen as</w:t>
      </w:r>
      <w:r w:rsidR="00616410" w:rsidRPr="008E5B32">
        <w:rPr>
          <w:lang w:val="en-GB"/>
        </w:rPr>
        <w:t xml:space="preserve"> </w:t>
      </w:r>
      <w:r w:rsidR="001D58F7" w:rsidRPr="008E5B32">
        <w:rPr>
          <w:lang w:val="en-GB"/>
        </w:rPr>
        <w:t xml:space="preserve">highly relevant </w:t>
      </w:r>
      <w:r w:rsidR="003E5584" w:rsidRPr="008E5B32">
        <w:rPr>
          <w:lang w:val="en-GB"/>
        </w:rPr>
        <w:t xml:space="preserve">components </w:t>
      </w:r>
      <w:r w:rsidR="00616410" w:rsidRPr="008E5B32">
        <w:rPr>
          <w:lang w:val="en-GB"/>
        </w:rPr>
        <w:t xml:space="preserve">of IATA </w:t>
      </w:r>
      <w:r w:rsidR="00B66663" w:rsidRPr="008E5B32">
        <w:rPr>
          <w:lang w:val="en-GB"/>
        </w:rPr>
        <w:t>for the safety assessment of NMs</w:t>
      </w:r>
      <w:r w:rsidRPr="008E5B32">
        <w:rPr>
          <w:lang w:val="en-GB"/>
        </w:rPr>
        <w:t>.</w:t>
      </w:r>
      <w:r w:rsidR="003601CF" w:rsidRPr="008E5B32">
        <w:rPr>
          <w:lang w:val="en-GB"/>
        </w:rPr>
        <w:t xml:space="preserve"> </w:t>
      </w:r>
      <w:r w:rsidRPr="008E5B32">
        <w:rPr>
          <w:lang w:val="en-GB"/>
        </w:rPr>
        <w:t>In this manuscript, we</w:t>
      </w:r>
      <w:r w:rsidR="00697337" w:rsidRPr="008E5B32">
        <w:rPr>
          <w:lang w:val="en-GB"/>
        </w:rPr>
        <w:t xml:space="preserve"> critically</w:t>
      </w:r>
      <w:r w:rsidRPr="008E5B32">
        <w:rPr>
          <w:lang w:val="en-GB"/>
        </w:rPr>
        <w:t xml:space="preserve"> reviewed</w:t>
      </w:r>
      <w:r w:rsidR="003601CF" w:rsidRPr="008E5B32">
        <w:rPr>
          <w:lang w:val="en-GB"/>
        </w:rPr>
        <w:t xml:space="preserve"> </w:t>
      </w:r>
      <w:r w:rsidR="00D11455" w:rsidRPr="008E5B32">
        <w:rPr>
          <w:lang w:val="en-GB"/>
        </w:rPr>
        <w:t xml:space="preserve">the available </w:t>
      </w:r>
      <w:r w:rsidR="00D11455" w:rsidRPr="008E5B32">
        <w:rPr>
          <w:i/>
          <w:lang w:val="en-GB"/>
        </w:rPr>
        <w:t>in silico</w:t>
      </w:r>
      <w:r w:rsidR="00D11455" w:rsidRPr="008E5B32">
        <w:rPr>
          <w:lang w:val="en-GB"/>
        </w:rPr>
        <w:t xml:space="preserve"> computational</w:t>
      </w:r>
      <w:r w:rsidR="001A3432" w:rsidRPr="008E5B32">
        <w:rPr>
          <w:lang w:val="en-GB"/>
        </w:rPr>
        <w:t xml:space="preserve"> </w:t>
      </w:r>
      <w:r w:rsidRPr="008E5B32">
        <w:rPr>
          <w:lang w:val="en-GB"/>
        </w:rPr>
        <w:t>approaches</w:t>
      </w:r>
      <w:r w:rsidR="00B8099F" w:rsidRPr="008E5B32">
        <w:rPr>
          <w:lang w:val="en-GB"/>
        </w:rPr>
        <w:t xml:space="preserve"> predicting human health hazard endpoints</w:t>
      </w:r>
      <w:r w:rsidRPr="008E5B32">
        <w:rPr>
          <w:lang w:val="en-GB"/>
        </w:rPr>
        <w:t xml:space="preserve"> </w:t>
      </w:r>
      <w:r w:rsidR="00D11455" w:rsidRPr="008E5B32">
        <w:rPr>
          <w:lang w:val="en-GB"/>
        </w:rPr>
        <w:t xml:space="preserve">applied </w:t>
      </w:r>
      <w:r w:rsidR="003E5584" w:rsidRPr="008E5B32">
        <w:rPr>
          <w:lang w:val="en-GB"/>
        </w:rPr>
        <w:t>specific</w:t>
      </w:r>
      <w:r w:rsidR="00D11455" w:rsidRPr="008E5B32">
        <w:rPr>
          <w:lang w:val="en-GB"/>
        </w:rPr>
        <w:t>ally in the</w:t>
      </w:r>
      <w:r w:rsidR="003E5584" w:rsidRPr="008E5B32">
        <w:rPr>
          <w:lang w:val="en-GB"/>
        </w:rPr>
        <w:t xml:space="preserve"> context of Grouping and Read-Acros</w:t>
      </w:r>
      <w:r w:rsidR="00D11455" w:rsidRPr="008E5B32">
        <w:rPr>
          <w:lang w:val="en-GB"/>
        </w:rPr>
        <w:t>s</w:t>
      </w:r>
      <w:r w:rsidRPr="008E5B32">
        <w:rPr>
          <w:lang w:val="en-GB"/>
        </w:rPr>
        <w:t xml:space="preserve">. </w:t>
      </w:r>
      <w:r w:rsidR="001A3432" w:rsidRPr="008E5B32">
        <w:rPr>
          <w:lang w:val="en-GB"/>
        </w:rPr>
        <w:t xml:space="preserve">The </w:t>
      </w:r>
      <w:r w:rsidR="00697337" w:rsidRPr="008E5B32">
        <w:rPr>
          <w:lang w:val="en-GB"/>
        </w:rPr>
        <w:t>ma</w:t>
      </w:r>
      <w:r w:rsidR="004F61BD" w:rsidRPr="008E5B32">
        <w:rPr>
          <w:lang w:val="en-GB"/>
        </w:rPr>
        <w:t>i</w:t>
      </w:r>
      <w:r w:rsidR="00697337" w:rsidRPr="008E5B32">
        <w:rPr>
          <w:lang w:val="en-GB"/>
        </w:rPr>
        <w:t>n conclusion</w:t>
      </w:r>
      <w:r w:rsidR="003E5584" w:rsidRPr="008E5B32">
        <w:rPr>
          <w:lang w:val="en-GB"/>
        </w:rPr>
        <w:t>s</w:t>
      </w:r>
      <w:r w:rsidR="00697337" w:rsidRPr="008E5B32">
        <w:rPr>
          <w:lang w:val="en-GB"/>
        </w:rPr>
        <w:t xml:space="preserve"> of </w:t>
      </w:r>
      <w:r w:rsidR="003E5584" w:rsidRPr="008E5B32">
        <w:rPr>
          <w:lang w:val="en-GB"/>
        </w:rPr>
        <w:t>our analysis are that</w:t>
      </w:r>
      <w:r w:rsidR="00697337" w:rsidRPr="008E5B32">
        <w:rPr>
          <w:lang w:val="en-GB"/>
        </w:rPr>
        <w:t>:</w:t>
      </w:r>
      <w:r w:rsidR="004F61BD" w:rsidRPr="008E5B32">
        <w:rPr>
          <w:lang w:val="en-GB"/>
        </w:rPr>
        <w:t xml:space="preserve"> (i) </w:t>
      </w:r>
      <w:r w:rsidR="003E5584" w:rsidRPr="008E5B32">
        <w:rPr>
          <w:lang w:val="en-GB"/>
        </w:rPr>
        <w:t xml:space="preserve">considerably </w:t>
      </w:r>
      <w:r w:rsidR="00F758F8" w:rsidRPr="008E5B32">
        <w:rPr>
          <w:lang w:val="en-GB"/>
        </w:rPr>
        <w:t>more effort</w:t>
      </w:r>
      <w:r w:rsidR="003E5584" w:rsidRPr="008E5B32">
        <w:rPr>
          <w:lang w:val="en-GB"/>
        </w:rPr>
        <w:t>s</w:t>
      </w:r>
      <w:r w:rsidR="00F758F8" w:rsidRPr="008E5B32">
        <w:rPr>
          <w:lang w:val="en-GB"/>
        </w:rPr>
        <w:t xml:space="preserve"> </w:t>
      </w:r>
      <w:r w:rsidR="003E5584" w:rsidRPr="008E5B32">
        <w:rPr>
          <w:lang w:val="en-GB"/>
        </w:rPr>
        <w:t>need to be invested into curating the available nano-EHS data</w:t>
      </w:r>
      <w:r w:rsidR="00522EEB" w:rsidRPr="008E5B32">
        <w:rPr>
          <w:lang w:val="en-GB"/>
        </w:rPr>
        <w:t>base</w:t>
      </w:r>
      <w:r w:rsidR="003E5584" w:rsidRPr="008E5B32">
        <w:rPr>
          <w:lang w:val="en-GB"/>
        </w:rPr>
        <w:t>s in order to establish the completeness and quality of the data,</w:t>
      </w:r>
      <w:r w:rsidR="00522EEB" w:rsidRPr="008E5B32">
        <w:rPr>
          <w:lang w:val="en-GB"/>
        </w:rPr>
        <w:t xml:space="preserve"> integrating as much as possible existing databases, thus providing larger datasets to modellers</w:t>
      </w:r>
      <w:r w:rsidR="00802A82" w:rsidRPr="008E5B32">
        <w:rPr>
          <w:lang w:val="en-GB"/>
        </w:rPr>
        <w:t>,</w:t>
      </w:r>
      <w:r w:rsidR="00CF5628" w:rsidRPr="008E5B32">
        <w:rPr>
          <w:lang w:val="en-GB"/>
        </w:rPr>
        <w:t xml:space="preserve"> (ii)</w:t>
      </w:r>
      <w:r w:rsidR="008F6450" w:rsidRPr="008E5B32">
        <w:rPr>
          <w:lang w:val="en-GB"/>
        </w:rPr>
        <w:t xml:space="preserve"> Unsupervised ML techniques </w:t>
      </w:r>
      <w:r w:rsidR="00D11455" w:rsidRPr="008E5B32">
        <w:rPr>
          <w:lang w:val="en-GB"/>
        </w:rPr>
        <w:t>should be further explored as</w:t>
      </w:r>
      <w:r w:rsidR="00CF5628" w:rsidRPr="008E5B32">
        <w:rPr>
          <w:lang w:val="en-GB"/>
        </w:rPr>
        <w:t xml:space="preserve"> useful tool</w:t>
      </w:r>
      <w:r w:rsidR="008F6450" w:rsidRPr="008E5B32">
        <w:rPr>
          <w:lang w:val="en-GB"/>
        </w:rPr>
        <w:t>s</w:t>
      </w:r>
      <w:r w:rsidR="00CF5628" w:rsidRPr="008E5B32">
        <w:rPr>
          <w:lang w:val="en-GB"/>
        </w:rPr>
        <w:t xml:space="preserve"> to </w:t>
      </w:r>
      <w:r w:rsidR="00D11455" w:rsidRPr="008E5B32">
        <w:rPr>
          <w:lang w:val="en-GB"/>
        </w:rPr>
        <w:t>facilitate</w:t>
      </w:r>
      <w:r w:rsidR="006A26BD" w:rsidRPr="008E5B32">
        <w:rPr>
          <w:lang w:val="en-GB"/>
        </w:rPr>
        <w:t xml:space="preserve"> </w:t>
      </w:r>
      <w:r w:rsidR="00ED6F70" w:rsidRPr="008E5B32">
        <w:rPr>
          <w:lang w:val="en-GB"/>
        </w:rPr>
        <w:t>Grouping</w:t>
      </w:r>
      <w:r w:rsidR="00CF5628" w:rsidRPr="008E5B32">
        <w:rPr>
          <w:lang w:val="en-GB"/>
        </w:rPr>
        <w:t xml:space="preserve"> </w:t>
      </w:r>
      <w:r w:rsidR="00F8689A" w:rsidRPr="008E5B32">
        <w:rPr>
          <w:lang w:val="en-GB"/>
        </w:rPr>
        <w:t>for</w:t>
      </w:r>
      <w:r w:rsidR="00D11455" w:rsidRPr="008E5B32">
        <w:rPr>
          <w:lang w:val="en-GB"/>
        </w:rPr>
        <w:t xml:space="preserve"> Read-Across of </w:t>
      </w:r>
      <w:r w:rsidR="00CF5628" w:rsidRPr="008E5B32">
        <w:rPr>
          <w:lang w:val="en-GB"/>
        </w:rPr>
        <w:t>NMs,</w:t>
      </w:r>
      <w:r w:rsidR="00802A82" w:rsidRPr="008E5B32">
        <w:rPr>
          <w:lang w:val="en-GB"/>
        </w:rPr>
        <w:t xml:space="preserve"> (i</w:t>
      </w:r>
      <w:r w:rsidR="00CF5628" w:rsidRPr="008E5B32">
        <w:rPr>
          <w:lang w:val="en-GB"/>
        </w:rPr>
        <w:t>i</w:t>
      </w:r>
      <w:r w:rsidR="00802A82" w:rsidRPr="008E5B32">
        <w:rPr>
          <w:lang w:val="en-GB"/>
        </w:rPr>
        <w:t xml:space="preserve">i) attention should be paid in future research </w:t>
      </w:r>
      <w:r w:rsidR="00D11455" w:rsidRPr="008E5B32">
        <w:rPr>
          <w:lang w:val="en-GB"/>
        </w:rPr>
        <w:t xml:space="preserve">on </w:t>
      </w:r>
      <w:r w:rsidR="00802A82" w:rsidRPr="008E5B32">
        <w:rPr>
          <w:lang w:val="en-GB"/>
        </w:rPr>
        <w:t>properly</w:t>
      </w:r>
      <w:r w:rsidR="00394150" w:rsidRPr="008E5B32">
        <w:rPr>
          <w:lang w:val="en-GB"/>
        </w:rPr>
        <w:t xml:space="preserve"> </w:t>
      </w:r>
      <w:r w:rsidR="00D11455" w:rsidRPr="008E5B32">
        <w:rPr>
          <w:lang w:val="en-GB"/>
        </w:rPr>
        <w:t xml:space="preserve">communicating </w:t>
      </w:r>
      <w:r w:rsidR="00394150" w:rsidRPr="008E5B32">
        <w:rPr>
          <w:lang w:val="en-GB"/>
        </w:rPr>
        <w:t>model performance</w:t>
      </w:r>
      <w:r w:rsidR="00D11455" w:rsidRPr="008E5B32">
        <w:rPr>
          <w:lang w:val="en-GB"/>
        </w:rPr>
        <w:t xml:space="preserve">, (iv) the </w:t>
      </w:r>
      <w:r w:rsidR="00D11455" w:rsidRPr="008E5B32">
        <w:rPr>
          <w:i/>
          <w:lang w:val="en-GB"/>
        </w:rPr>
        <w:t>in silico</w:t>
      </w:r>
      <w:r w:rsidR="00D11455" w:rsidRPr="008E5B32">
        <w:rPr>
          <w:lang w:val="en-GB"/>
        </w:rPr>
        <w:t xml:space="preserve"> models should be properly</w:t>
      </w:r>
      <w:r w:rsidR="00394150" w:rsidRPr="008E5B32">
        <w:rPr>
          <w:lang w:val="en-GB"/>
        </w:rPr>
        <w:t xml:space="preserve"> </w:t>
      </w:r>
      <w:r w:rsidR="00D11455" w:rsidRPr="008E5B32">
        <w:rPr>
          <w:lang w:val="en-GB"/>
        </w:rPr>
        <w:t>validated (</w:t>
      </w:r>
      <w:r w:rsidR="00802A82" w:rsidRPr="008E5B32">
        <w:rPr>
          <w:lang w:val="en-GB"/>
        </w:rPr>
        <w:t>both in</w:t>
      </w:r>
      <w:r w:rsidR="008B32A0" w:rsidRPr="008E5B32">
        <w:rPr>
          <w:lang w:val="en-GB"/>
        </w:rPr>
        <w:t>ternally and externally</w:t>
      </w:r>
      <w:r w:rsidR="00D11455" w:rsidRPr="008E5B32">
        <w:rPr>
          <w:lang w:val="en-GB"/>
        </w:rPr>
        <w:t xml:space="preserve">) </w:t>
      </w:r>
      <w:r w:rsidR="008B32A0" w:rsidRPr="008E5B32">
        <w:rPr>
          <w:lang w:val="en-GB"/>
        </w:rPr>
        <w:t xml:space="preserve">to avoid overfitting and </w:t>
      </w:r>
      <w:r w:rsidR="00212A5D" w:rsidRPr="008E5B32">
        <w:rPr>
          <w:lang w:val="en-GB"/>
        </w:rPr>
        <w:t xml:space="preserve">to provide more reliable </w:t>
      </w:r>
      <w:r w:rsidR="00D11455" w:rsidRPr="008E5B32">
        <w:rPr>
          <w:lang w:val="en-GB"/>
        </w:rPr>
        <w:t>results</w:t>
      </w:r>
      <w:r w:rsidR="00394150" w:rsidRPr="008E5B32">
        <w:rPr>
          <w:lang w:val="en-GB"/>
        </w:rPr>
        <w:t xml:space="preserve">, </w:t>
      </w:r>
      <w:r w:rsidR="00212A5D" w:rsidRPr="008E5B32">
        <w:rPr>
          <w:lang w:val="en-GB"/>
        </w:rPr>
        <w:t>(</w:t>
      </w:r>
      <w:r w:rsidR="00CF5628" w:rsidRPr="008E5B32">
        <w:rPr>
          <w:lang w:val="en-GB"/>
        </w:rPr>
        <w:t>v</w:t>
      </w:r>
      <w:r w:rsidR="00212A5D" w:rsidRPr="008E5B32">
        <w:rPr>
          <w:lang w:val="en-GB"/>
        </w:rPr>
        <w:t>)</w:t>
      </w:r>
      <w:r w:rsidR="000C0A88" w:rsidRPr="008E5B32">
        <w:rPr>
          <w:lang w:val="en-GB"/>
        </w:rPr>
        <w:t xml:space="preserve"> the AD of the model is fundamental</w:t>
      </w:r>
      <w:r w:rsidR="00C471F6" w:rsidRPr="008E5B32">
        <w:rPr>
          <w:lang w:val="en-GB"/>
        </w:rPr>
        <w:t xml:space="preserve">: while for (Q)SARs it </w:t>
      </w:r>
      <w:r w:rsidR="0026626E" w:rsidRPr="008E5B32">
        <w:rPr>
          <w:lang w:val="en-GB"/>
        </w:rPr>
        <w:t xml:space="preserve">is </w:t>
      </w:r>
      <w:r w:rsidR="00C471F6" w:rsidRPr="008E5B32">
        <w:rPr>
          <w:lang w:val="en-GB"/>
        </w:rPr>
        <w:t xml:space="preserve">often assessed, it is needed to further explore methods to define it also for </w:t>
      </w:r>
      <w:r w:rsidR="00333591" w:rsidRPr="008E5B32">
        <w:rPr>
          <w:lang w:val="en-GB"/>
        </w:rPr>
        <w:t xml:space="preserve">the </w:t>
      </w:r>
      <w:r w:rsidR="00650B32" w:rsidRPr="008E5B32">
        <w:rPr>
          <w:lang w:val="en-GB"/>
        </w:rPr>
        <w:t>Read-Across</w:t>
      </w:r>
      <w:r w:rsidR="00C471F6" w:rsidRPr="008E5B32">
        <w:rPr>
          <w:lang w:val="en-GB"/>
        </w:rPr>
        <w:t xml:space="preserve"> approaches</w:t>
      </w:r>
      <w:r w:rsidR="00CF5628" w:rsidRPr="008E5B32">
        <w:rPr>
          <w:lang w:val="en-GB"/>
        </w:rPr>
        <w:t>, (v</w:t>
      </w:r>
      <w:r w:rsidR="00333591" w:rsidRPr="008E5B32">
        <w:rPr>
          <w:lang w:val="en-GB"/>
        </w:rPr>
        <w:t>i</w:t>
      </w:r>
      <w:r w:rsidR="00CF5628" w:rsidRPr="008E5B32">
        <w:rPr>
          <w:lang w:val="en-GB"/>
        </w:rPr>
        <w:t xml:space="preserve">) </w:t>
      </w:r>
      <w:r w:rsidR="003B260B" w:rsidRPr="008E5B32">
        <w:rPr>
          <w:lang w:val="en-GB"/>
        </w:rPr>
        <w:t xml:space="preserve">the uncertainty </w:t>
      </w:r>
      <w:r w:rsidR="00624992" w:rsidRPr="008E5B32">
        <w:rPr>
          <w:lang w:val="en-GB"/>
        </w:rPr>
        <w:t xml:space="preserve">and </w:t>
      </w:r>
      <w:r w:rsidR="0026626E" w:rsidRPr="008E5B32">
        <w:rPr>
          <w:lang w:val="en-GB"/>
        </w:rPr>
        <w:t xml:space="preserve">sensitivity </w:t>
      </w:r>
      <w:r w:rsidR="003B260B" w:rsidRPr="008E5B32">
        <w:rPr>
          <w:lang w:val="en-GB"/>
        </w:rPr>
        <w:t xml:space="preserve">of </w:t>
      </w:r>
      <w:r w:rsidR="00333591" w:rsidRPr="008E5B32">
        <w:rPr>
          <w:lang w:val="en-GB"/>
        </w:rPr>
        <w:t xml:space="preserve">the </w:t>
      </w:r>
      <w:r w:rsidR="003B260B" w:rsidRPr="008E5B32">
        <w:rPr>
          <w:i/>
          <w:lang w:val="en-GB"/>
        </w:rPr>
        <w:t xml:space="preserve">in silico </w:t>
      </w:r>
      <w:r w:rsidR="003B260B" w:rsidRPr="008E5B32">
        <w:rPr>
          <w:lang w:val="en-GB"/>
        </w:rPr>
        <w:t xml:space="preserve">models </w:t>
      </w:r>
      <w:r w:rsidR="0026626E" w:rsidRPr="008E5B32">
        <w:rPr>
          <w:lang w:val="en-GB"/>
        </w:rPr>
        <w:t>are often not evaluated</w:t>
      </w:r>
      <w:r w:rsidR="00277673" w:rsidRPr="008E5B32">
        <w:rPr>
          <w:lang w:val="en-GB"/>
        </w:rPr>
        <w:t xml:space="preserve"> or reported</w:t>
      </w:r>
      <w:r w:rsidR="00624992" w:rsidRPr="008E5B32">
        <w:rPr>
          <w:lang w:val="en-GB"/>
        </w:rPr>
        <w:t xml:space="preserve">, </w:t>
      </w:r>
      <w:r w:rsidR="0026626E" w:rsidRPr="008E5B32">
        <w:rPr>
          <w:lang w:val="en-GB"/>
        </w:rPr>
        <w:t>while this is essential for interpreting the reliability of results</w:t>
      </w:r>
      <w:r w:rsidR="00624992" w:rsidRPr="008E5B32">
        <w:rPr>
          <w:lang w:val="en-GB"/>
        </w:rPr>
        <w:t xml:space="preserve">, </w:t>
      </w:r>
      <w:r w:rsidR="00440606" w:rsidRPr="008E5B32">
        <w:rPr>
          <w:lang w:val="en-GB"/>
        </w:rPr>
        <w:t>(vi</w:t>
      </w:r>
      <w:r w:rsidR="00333591" w:rsidRPr="008E5B32">
        <w:rPr>
          <w:lang w:val="en-GB"/>
        </w:rPr>
        <w:t>i</w:t>
      </w:r>
      <w:r w:rsidR="00440606" w:rsidRPr="008E5B32">
        <w:rPr>
          <w:lang w:val="en-GB"/>
        </w:rPr>
        <w:t xml:space="preserve">) future research should explore advanced </w:t>
      </w:r>
      <w:r w:rsidR="00C844C6" w:rsidRPr="008E5B32">
        <w:rPr>
          <w:lang w:val="en-GB"/>
        </w:rPr>
        <w:t>M</w:t>
      </w:r>
      <w:r w:rsidR="002F4539" w:rsidRPr="008E5B32">
        <w:rPr>
          <w:lang w:val="en-GB"/>
        </w:rPr>
        <w:t>L</w:t>
      </w:r>
      <w:r w:rsidR="00440606" w:rsidRPr="008E5B32">
        <w:rPr>
          <w:lang w:val="en-GB"/>
        </w:rPr>
        <w:t xml:space="preserve"> techniques, </w:t>
      </w:r>
      <w:r w:rsidR="0089062F" w:rsidRPr="008E5B32">
        <w:rPr>
          <w:lang w:val="en-GB"/>
        </w:rPr>
        <w:t>such as Transfer Learnin</w:t>
      </w:r>
      <w:r w:rsidR="00B33B19" w:rsidRPr="008E5B32">
        <w:rPr>
          <w:lang w:val="en-GB"/>
        </w:rPr>
        <w:t>g</w:t>
      </w:r>
      <w:r w:rsidR="00522EEB" w:rsidRPr="008E5B32">
        <w:rPr>
          <w:lang w:val="en-GB"/>
        </w:rPr>
        <w:t xml:space="preserve"> and Deep Learning</w:t>
      </w:r>
      <w:r w:rsidR="0089062F" w:rsidRPr="008E5B32">
        <w:rPr>
          <w:lang w:val="en-GB"/>
        </w:rPr>
        <w:t>, to improve the current state of the art and to face the limitations of currently adopted approaches.</w:t>
      </w:r>
      <w:r w:rsidR="008E5B34" w:rsidRPr="008E5B32">
        <w:rPr>
          <w:lang w:val="en-GB"/>
        </w:rPr>
        <w:t xml:space="preserve"> </w:t>
      </w:r>
    </w:p>
    <w:p w14:paraId="631A8815" w14:textId="38908734" w:rsidR="001A1DFA" w:rsidRPr="008E5B32" w:rsidRDefault="00E07814" w:rsidP="002813ED">
      <w:pPr>
        <w:pStyle w:val="Heading1"/>
        <w:spacing w:line="312" w:lineRule="auto"/>
        <w:rPr>
          <w:lang w:val="en-GB"/>
        </w:rPr>
      </w:pPr>
      <w:bookmarkStart w:id="16" w:name="_Toc506370842"/>
      <w:bookmarkEnd w:id="15"/>
      <w:r w:rsidRPr="008E5B32">
        <w:rPr>
          <w:lang w:val="en-GB"/>
        </w:rPr>
        <w:t>Conflict of interest statement</w:t>
      </w:r>
      <w:bookmarkEnd w:id="16"/>
    </w:p>
    <w:p w14:paraId="0BE37389" w14:textId="77777777" w:rsidR="001A1DFA" w:rsidRPr="008E5B32" w:rsidRDefault="00E07814" w:rsidP="002813ED">
      <w:pPr>
        <w:rPr>
          <w:lang w:val="en-GB"/>
        </w:rPr>
      </w:pPr>
      <w:r w:rsidRPr="008E5B32">
        <w:rPr>
          <w:lang w:val="en-GB"/>
        </w:rPr>
        <w:t>We declare that we have no financial and personal relationships with other people or organizations that can inappropriately influence our work, there is no professional or other personal interest of any nature or kind in any product, service or company that could be construed as influencing the position presented in, or the review of, the manuscript entitled.</w:t>
      </w:r>
    </w:p>
    <w:p w14:paraId="2FD40372" w14:textId="77777777" w:rsidR="001A1DFA" w:rsidRPr="008E5B32" w:rsidRDefault="00E07814" w:rsidP="002813ED">
      <w:pPr>
        <w:pStyle w:val="Heading1"/>
        <w:spacing w:line="312" w:lineRule="auto"/>
        <w:rPr>
          <w:lang w:val="en-GB"/>
        </w:rPr>
      </w:pPr>
      <w:bookmarkStart w:id="17" w:name="_Toc506370843"/>
      <w:r w:rsidRPr="008E5B32">
        <w:rPr>
          <w:lang w:val="en-GB"/>
        </w:rPr>
        <w:t>Acknowledgments</w:t>
      </w:r>
      <w:bookmarkEnd w:id="17"/>
    </w:p>
    <w:p w14:paraId="7394FA7D" w14:textId="77777777" w:rsidR="005D1ADE" w:rsidRPr="008E5B32" w:rsidRDefault="00DA7F76">
      <w:pPr>
        <w:rPr>
          <w:lang w:val="en-GB"/>
        </w:rPr>
      </w:pPr>
      <w:r w:rsidRPr="008E5B32">
        <w:rPr>
          <w:lang w:val="en-GB"/>
        </w:rPr>
        <w:t xml:space="preserve">This study was funded in part </w:t>
      </w:r>
      <w:r w:rsidR="004F7099" w:rsidRPr="008E5B32">
        <w:rPr>
          <w:lang w:val="en-GB"/>
        </w:rPr>
        <w:t xml:space="preserve">through the PhD programme of University Ca’ Foscari of Venice and </w:t>
      </w:r>
      <w:r w:rsidR="005D1ADE" w:rsidRPr="008E5B32">
        <w:rPr>
          <w:lang w:val="en-GB"/>
        </w:rPr>
        <w:t xml:space="preserve">the </w:t>
      </w:r>
      <w:r w:rsidR="004F7099" w:rsidRPr="008E5B32">
        <w:rPr>
          <w:lang w:val="en-GB"/>
        </w:rPr>
        <w:t xml:space="preserve">European Union's Horizon 2020 research project </w:t>
      </w:r>
      <w:r w:rsidR="005D1ADE" w:rsidRPr="008E5B32">
        <w:rPr>
          <w:lang w:val="en-GB"/>
        </w:rPr>
        <w:t xml:space="preserve">GRACIOUS </w:t>
      </w:r>
      <w:r w:rsidR="00F54467" w:rsidRPr="008E5B32">
        <w:rPr>
          <w:lang w:val="en-GB"/>
        </w:rPr>
        <w:t>(G</w:t>
      </w:r>
      <w:r w:rsidR="005D1ADE" w:rsidRPr="008E5B32">
        <w:rPr>
          <w:lang w:val="en-GB"/>
        </w:rPr>
        <w:t xml:space="preserve">rant </w:t>
      </w:r>
      <w:r w:rsidR="00F54467" w:rsidRPr="008E5B32">
        <w:rPr>
          <w:lang w:val="en-GB"/>
        </w:rPr>
        <w:t>A</w:t>
      </w:r>
      <w:r w:rsidR="005D1ADE" w:rsidRPr="008E5B32">
        <w:rPr>
          <w:lang w:val="en-GB"/>
        </w:rPr>
        <w:t>greement No</w:t>
      </w:r>
      <w:r w:rsidR="004F7099" w:rsidRPr="008E5B32">
        <w:rPr>
          <w:lang w:val="en-GB"/>
        </w:rPr>
        <w:t>.</w:t>
      </w:r>
      <w:r w:rsidR="005D1ADE" w:rsidRPr="008E5B32">
        <w:rPr>
          <w:lang w:val="en-GB"/>
        </w:rPr>
        <w:t xml:space="preserve"> 760840</w:t>
      </w:r>
      <w:r w:rsidR="00F54467" w:rsidRPr="008E5B32">
        <w:rPr>
          <w:lang w:val="en-GB"/>
        </w:rPr>
        <w:t>)</w:t>
      </w:r>
      <w:r w:rsidR="005D1ADE" w:rsidRPr="008E5B32">
        <w:rPr>
          <w:lang w:val="en-GB"/>
        </w:rPr>
        <w:t>.</w:t>
      </w:r>
    </w:p>
    <w:p w14:paraId="355A7197" w14:textId="77777777" w:rsidR="001A1DFA" w:rsidRPr="008E5B32" w:rsidRDefault="00E07814" w:rsidP="002813ED">
      <w:pPr>
        <w:pStyle w:val="Heading1"/>
        <w:spacing w:line="312" w:lineRule="auto"/>
        <w:rPr>
          <w:sz w:val="22"/>
          <w:szCs w:val="22"/>
          <w:lang w:val="en-GB"/>
        </w:rPr>
      </w:pPr>
      <w:bookmarkStart w:id="18" w:name="_Toc506370844"/>
      <w:r w:rsidRPr="008E5B32">
        <w:rPr>
          <w:sz w:val="22"/>
          <w:szCs w:val="22"/>
          <w:lang w:val="en-GB"/>
        </w:rPr>
        <w:t>References</w:t>
      </w:r>
      <w:bookmarkEnd w:id="18"/>
    </w:p>
    <w:bookmarkStart w:id="19" w:name="_GoBack"/>
    <w:p w14:paraId="0CC19A63" w14:textId="4F4502B5" w:rsidR="00793E15" w:rsidRPr="00793E15" w:rsidRDefault="001D45DD" w:rsidP="00793E15">
      <w:pPr>
        <w:widowControl w:val="0"/>
        <w:autoSpaceDE w:val="0"/>
        <w:autoSpaceDN w:val="0"/>
        <w:adjustRightInd w:val="0"/>
        <w:spacing w:line="240" w:lineRule="auto"/>
        <w:ind w:left="640" w:hanging="640"/>
        <w:rPr>
          <w:noProof/>
          <w:szCs w:val="24"/>
        </w:rPr>
      </w:pPr>
      <w:r w:rsidRPr="008E5B32">
        <w:fldChar w:fldCharType="begin" w:fldLock="1"/>
      </w:r>
      <w:r w:rsidRPr="008E5B32">
        <w:rPr>
          <w:lang w:val="en-GB"/>
        </w:rPr>
        <w:instrText xml:space="preserve">ADDIN Mendeley Bibliography CSL_BIBLIOGRAPHY </w:instrText>
      </w:r>
      <w:r w:rsidRPr="008E5B32">
        <w:fldChar w:fldCharType="separate"/>
      </w:r>
      <w:r w:rsidR="00793E15" w:rsidRPr="00793E15">
        <w:rPr>
          <w:noProof/>
          <w:szCs w:val="24"/>
        </w:rPr>
        <w:t>1.</w:t>
      </w:r>
      <w:r w:rsidR="00793E15" w:rsidRPr="00793E15">
        <w:rPr>
          <w:noProof/>
          <w:szCs w:val="24"/>
        </w:rPr>
        <w:tab/>
        <w:t xml:space="preserve">European Comission. Regulation (EC) 1907/2006 of the European Parliament and of teh Council of 18 December 2006 - REACH. </w:t>
      </w:r>
      <w:r w:rsidR="00793E15" w:rsidRPr="00793E15">
        <w:rPr>
          <w:i/>
          <w:iCs/>
          <w:noProof/>
          <w:szCs w:val="24"/>
        </w:rPr>
        <w:t>Off. J. Eur. Union</w:t>
      </w:r>
      <w:r w:rsidR="00793E15" w:rsidRPr="00793E15">
        <w:rPr>
          <w:noProof/>
          <w:szCs w:val="24"/>
        </w:rPr>
        <w:t xml:space="preserve"> (2006). doi:http://eur-lex.europa.eu/LexUriServ/LexUriServ.do?uri=OJ:L:2006:396:0001:0849:EN:PDF</w:t>
      </w:r>
    </w:p>
    <w:p w14:paraId="7A4C7BA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w:t>
      </w:r>
      <w:r w:rsidRPr="00793E15">
        <w:rPr>
          <w:noProof/>
          <w:szCs w:val="24"/>
        </w:rPr>
        <w:tab/>
        <w:t xml:space="preserve">OECD. Important Issues on Risk Assessment of Manufactured Nanomaterials. </w:t>
      </w:r>
      <w:r w:rsidRPr="00793E15">
        <w:rPr>
          <w:i/>
          <w:iCs/>
          <w:noProof/>
          <w:szCs w:val="24"/>
        </w:rPr>
        <w:t>OECD Environ. Heal. Saf. Publ. Ser. Saf. Manuf. Nanomater. ENV/JM/MONO(2012)/8</w:t>
      </w:r>
      <w:r w:rsidRPr="00793E15">
        <w:rPr>
          <w:noProof/>
          <w:szCs w:val="24"/>
        </w:rPr>
        <w:t xml:space="preserve"> (2012).</w:t>
      </w:r>
    </w:p>
    <w:p w14:paraId="63310F5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w:t>
      </w:r>
      <w:r w:rsidRPr="00793E15">
        <w:rPr>
          <w:noProof/>
          <w:szCs w:val="24"/>
        </w:rPr>
        <w:tab/>
        <w:t xml:space="preserve">ECHA. </w:t>
      </w:r>
      <w:r w:rsidRPr="00793E15">
        <w:rPr>
          <w:i/>
          <w:iCs/>
          <w:noProof/>
          <w:szCs w:val="24"/>
        </w:rPr>
        <w:t>Appendix R . 6-1 : Recommendations for nanomaterials applicable to the Guidance on QSARs and Grouping</w:t>
      </w:r>
      <w:r w:rsidRPr="00793E15">
        <w:rPr>
          <w:noProof/>
          <w:szCs w:val="24"/>
        </w:rPr>
        <w:t>. (2017). doi:10.2823/884050</w:t>
      </w:r>
    </w:p>
    <w:p w14:paraId="6C26235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w:t>
      </w:r>
      <w:r w:rsidRPr="00793E15">
        <w:rPr>
          <w:noProof/>
          <w:szCs w:val="24"/>
        </w:rPr>
        <w:tab/>
        <w:t>EC. Amendments of the Annexes to REACH for registration of nanomaterials | European Commission. (2017).</w:t>
      </w:r>
    </w:p>
    <w:p w14:paraId="0E26BD4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w:t>
      </w:r>
      <w:r w:rsidRPr="00793E15">
        <w:rPr>
          <w:noProof/>
          <w:szCs w:val="24"/>
        </w:rPr>
        <w:tab/>
        <w:t xml:space="preserve">Burden, N. </w:t>
      </w:r>
      <w:r w:rsidRPr="00793E15">
        <w:rPr>
          <w:i/>
          <w:iCs/>
          <w:noProof/>
          <w:szCs w:val="24"/>
        </w:rPr>
        <w:t>et al.</w:t>
      </w:r>
      <w:r w:rsidRPr="00793E15">
        <w:rPr>
          <w:noProof/>
          <w:szCs w:val="24"/>
        </w:rPr>
        <w:t xml:space="preserve"> The 3Rs as a framework to support a 21st century approach for nanosafety assessment. </w:t>
      </w:r>
      <w:r w:rsidRPr="00793E15">
        <w:rPr>
          <w:i/>
          <w:iCs/>
          <w:noProof/>
          <w:szCs w:val="24"/>
        </w:rPr>
        <w:t>Nano Today</w:t>
      </w:r>
      <w:r w:rsidRPr="00793E15">
        <w:rPr>
          <w:noProof/>
          <w:szCs w:val="24"/>
        </w:rPr>
        <w:t xml:space="preserve"> </w:t>
      </w:r>
      <w:r w:rsidRPr="00793E15">
        <w:rPr>
          <w:b/>
          <w:bCs/>
          <w:noProof/>
          <w:szCs w:val="24"/>
        </w:rPr>
        <w:t>12,</w:t>
      </w:r>
      <w:r w:rsidRPr="00793E15">
        <w:rPr>
          <w:noProof/>
          <w:szCs w:val="24"/>
        </w:rPr>
        <w:t xml:space="preserve"> 10–13 (2017).</w:t>
      </w:r>
    </w:p>
    <w:p w14:paraId="7F387CF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w:t>
      </w:r>
      <w:r w:rsidRPr="00793E15">
        <w:rPr>
          <w:noProof/>
          <w:szCs w:val="24"/>
        </w:rPr>
        <w:tab/>
        <w:t xml:space="preserve">Hristozov, D. </w:t>
      </w:r>
      <w:r w:rsidRPr="00793E15">
        <w:rPr>
          <w:i/>
          <w:iCs/>
          <w:noProof/>
          <w:szCs w:val="24"/>
        </w:rPr>
        <w:t>et al.</w:t>
      </w:r>
      <w:r w:rsidRPr="00793E15">
        <w:rPr>
          <w:noProof/>
          <w:szCs w:val="24"/>
        </w:rPr>
        <w:t xml:space="preserve"> Frameworks and tools for risk assessment of manufactured nanomaterials. </w:t>
      </w:r>
      <w:r w:rsidRPr="00793E15">
        <w:rPr>
          <w:i/>
          <w:iCs/>
          <w:noProof/>
          <w:szCs w:val="24"/>
        </w:rPr>
        <w:t>Environment International</w:t>
      </w:r>
      <w:r w:rsidRPr="00793E15">
        <w:rPr>
          <w:noProof/>
          <w:szCs w:val="24"/>
        </w:rPr>
        <w:t xml:space="preserve"> </w:t>
      </w:r>
      <w:r w:rsidRPr="00793E15">
        <w:rPr>
          <w:b/>
          <w:bCs/>
          <w:noProof/>
          <w:szCs w:val="24"/>
        </w:rPr>
        <w:t>95,</w:t>
      </w:r>
      <w:r w:rsidRPr="00793E15">
        <w:rPr>
          <w:noProof/>
          <w:szCs w:val="24"/>
        </w:rPr>
        <w:t xml:space="preserve"> 36–53 (2016).</w:t>
      </w:r>
    </w:p>
    <w:p w14:paraId="351E518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w:t>
      </w:r>
      <w:r w:rsidRPr="00793E15">
        <w:rPr>
          <w:noProof/>
          <w:szCs w:val="24"/>
        </w:rPr>
        <w:tab/>
        <w:t xml:space="preserve">OECD. </w:t>
      </w:r>
      <w:r w:rsidRPr="00793E15">
        <w:rPr>
          <w:i/>
          <w:iCs/>
          <w:noProof/>
          <w:szCs w:val="24"/>
        </w:rPr>
        <w:t>Guidance Document on the Validation of (Quantitative) Structure-Activity Relationship [(Q)SAR] Models</w:t>
      </w:r>
      <w:r w:rsidRPr="00793E15">
        <w:rPr>
          <w:noProof/>
          <w:szCs w:val="24"/>
        </w:rPr>
        <w:t xml:space="preserve">. </w:t>
      </w:r>
      <w:r w:rsidRPr="00793E15">
        <w:rPr>
          <w:i/>
          <w:iCs/>
          <w:noProof/>
          <w:szCs w:val="24"/>
        </w:rPr>
        <w:t>ENV/JM/MONO(2007)2</w:t>
      </w:r>
      <w:r w:rsidRPr="00793E15">
        <w:rPr>
          <w:noProof/>
          <w:szCs w:val="24"/>
        </w:rPr>
        <w:t xml:space="preserve"> </w:t>
      </w:r>
      <w:r w:rsidRPr="00793E15">
        <w:rPr>
          <w:b/>
          <w:bCs/>
          <w:noProof/>
          <w:szCs w:val="24"/>
        </w:rPr>
        <w:t>2,</w:t>
      </w:r>
      <w:r w:rsidRPr="00793E15">
        <w:rPr>
          <w:noProof/>
          <w:szCs w:val="24"/>
        </w:rPr>
        <w:t xml:space="preserve"> (OECD Publishing, 2007).</w:t>
      </w:r>
    </w:p>
    <w:p w14:paraId="672AFE4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w:t>
      </w:r>
      <w:r w:rsidRPr="00793E15">
        <w:rPr>
          <w:noProof/>
          <w:szCs w:val="24"/>
        </w:rPr>
        <w:tab/>
        <w:t>RCC. Nanotechnology Initiative Work Element 2 , Priority Setting : Development of a Joint Nanomaterials Classification Scheme. 18 (2013).</w:t>
      </w:r>
    </w:p>
    <w:p w14:paraId="7769361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w:t>
      </w:r>
      <w:r w:rsidRPr="00793E15">
        <w:rPr>
          <w:noProof/>
          <w:szCs w:val="24"/>
        </w:rPr>
        <w:tab/>
        <w:t>RCC. Nanotechnology Initiative Work Element 3 : Risk Assessment / Risk Management. 42 (2013).</w:t>
      </w:r>
    </w:p>
    <w:p w14:paraId="1A4D03D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w:t>
      </w:r>
      <w:r w:rsidRPr="00793E15">
        <w:rPr>
          <w:noProof/>
          <w:szCs w:val="24"/>
        </w:rPr>
        <w:tab/>
        <w:t xml:space="preserve">Lynch, I., Weiss, C. &amp; Valsami-Jones, E. A strategy for grouping of nanomaterials based on key physico-chemical descriptors as a basis for safer-by-design NMs. </w:t>
      </w:r>
      <w:r w:rsidRPr="00793E15">
        <w:rPr>
          <w:i/>
          <w:iCs/>
          <w:noProof/>
          <w:szCs w:val="24"/>
        </w:rPr>
        <w:t>Nano Today</w:t>
      </w:r>
      <w:r w:rsidRPr="00793E15">
        <w:rPr>
          <w:noProof/>
          <w:szCs w:val="24"/>
        </w:rPr>
        <w:t xml:space="preserve"> </w:t>
      </w:r>
      <w:r w:rsidRPr="00793E15">
        <w:rPr>
          <w:b/>
          <w:bCs/>
          <w:noProof/>
          <w:szCs w:val="24"/>
        </w:rPr>
        <w:t>9,</w:t>
      </w:r>
      <w:r w:rsidRPr="00793E15">
        <w:rPr>
          <w:noProof/>
          <w:szCs w:val="24"/>
        </w:rPr>
        <w:t xml:space="preserve"> 266–270 (2014).</w:t>
      </w:r>
    </w:p>
    <w:p w14:paraId="179865A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w:t>
      </w:r>
      <w:r w:rsidRPr="00793E15">
        <w:rPr>
          <w:noProof/>
          <w:szCs w:val="24"/>
        </w:rPr>
        <w:tab/>
        <w:t>ECHA. Read-Across Assessment Framework (RAAF). (2017). doi:10.2823/619212</w:t>
      </w:r>
    </w:p>
    <w:p w14:paraId="4C81AE9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w:t>
      </w:r>
      <w:r w:rsidRPr="00793E15">
        <w:rPr>
          <w:noProof/>
          <w:szCs w:val="24"/>
        </w:rPr>
        <w:tab/>
        <w:t xml:space="preserve">Mech, A. </w:t>
      </w:r>
      <w:r w:rsidRPr="00793E15">
        <w:rPr>
          <w:i/>
          <w:iCs/>
          <w:noProof/>
          <w:szCs w:val="24"/>
        </w:rPr>
        <w:t>et al.</w:t>
      </w:r>
      <w:r w:rsidRPr="00793E15">
        <w:rPr>
          <w:noProof/>
          <w:szCs w:val="24"/>
        </w:rPr>
        <w:t xml:space="preserve"> Insights into possibilities for grouping and read-across for nanomaterials in EU chemicals legislation. </w:t>
      </w:r>
      <w:r w:rsidRPr="00793E15">
        <w:rPr>
          <w:i/>
          <w:iCs/>
          <w:noProof/>
          <w:szCs w:val="24"/>
        </w:rPr>
        <w:t>Nanotoxicology</w:t>
      </w:r>
      <w:r w:rsidRPr="00793E15">
        <w:rPr>
          <w:noProof/>
          <w:szCs w:val="24"/>
        </w:rPr>
        <w:t xml:space="preserve"> 1–23 (2018). doi:10.1080/17435390.2018.1513092</w:t>
      </w:r>
    </w:p>
    <w:p w14:paraId="26146DD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w:t>
      </w:r>
      <w:r w:rsidRPr="00793E15">
        <w:rPr>
          <w:noProof/>
          <w:szCs w:val="24"/>
        </w:rPr>
        <w:tab/>
        <w:t xml:space="preserve">Hardy, A. </w:t>
      </w:r>
      <w:r w:rsidRPr="00793E15">
        <w:rPr>
          <w:i/>
          <w:iCs/>
          <w:noProof/>
          <w:szCs w:val="24"/>
        </w:rPr>
        <w:t>et al.</w:t>
      </w:r>
      <w:r w:rsidRPr="00793E15">
        <w:rPr>
          <w:noProof/>
          <w:szCs w:val="24"/>
        </w:rPr>
        <w:t xml:space="preserve"> </w:t>
      </w:r>
      <w:r w:rsidRPr="00793E15">
        <w:rPr>
          <w:i/>
          <w:iCs/>
          <w:noProof/>
          <w:szCs w:val="24"/>
        </w:rPr>
        <w:t>Guidance on risk assessment of the application of nanoscience and nanotechnologies in the food and feed chain: Part 1, human and animal health</w:t>
      </w:r>
      <w:r w:rsidRPr="00793E15">
        <w:rPr>
          <w:noProof/>
          <w:szCs w:val="24"/>
        </w:rPr>
        <w:t xml:space="preserve">. </w:t>
      </w:r>
      <w:r w:rsidRPr="00793E15">
        <w:rPr>
          <w:i/>
          <w:iCs/>
          <w:noProof/>
          <w:szCs w:val="24"/>
        </w:rPr>
        <w:t>EFSA Journal</w:t>
      </w:r>
      <w:r w:rsidRPr="00793E15">
        <w:rPr>
          <w:noProof/>
          <w:szCs w:val="24"/>
        </w:rPr>
        <w:t xml:space="preserve"> </w:t>
      </w:r>
      <w:r w:rsidRPr="00793E15">
        <w:rPr>
          <w:b/>
          <w:bCs/>
          <w:noProof/>
          <w:szCs w:val="24"/>
        </w:rPr>
        <w:t>16,</w:t>
      </w:r>
      <w:r w:rsidRPr="00793E15">
        <w:rPr>
          <w:noProof/>
          <w:szCs w:val="24"/>
        </w:rPr>
        <w:t xml:space="preserve"> (2018).</w:t>
      </w:r>
    </w:p>
    <w:p w14:paraId="78C5A7E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w:t>
      </w:r>
      <w:r w:rsidRPr="00793E15">
        <w:rPr>
          <w:noProof/>
          <w:szCs w:val="24"/>
        </w:rPr>
        <w:tab/>
        <w:t xml:space="preserve">Oomen, A. G. </w:t>
      </w:r>
      <w:r w:rsidRPr="00793E15">
        <w:rPr>
          <w:i/>
          <w:iCs/>
          <w:noProof/>
          <w:szCs w:val="24"/>
        </w:rPr>
        <w:t>et al.</w:t>
      </w:r>
      <w:r w:rsidRPr="00793E15">
        <w:rPr>
          <w:noProof/>
          <w:szCs w:val="24"/>
        </w:rPr>
        <w:t xml:space="preserve"> Risk assessment frameworks for nanomaterials: Scope, link to regulations, applicability, and outline for future directions in view of needed increase in efficiency. </w:t>
      </w:r>
      <w:r w:rsidRPr="00793E15">
        <w:rPr>
          <w:i/>
          <w:iCs/>
          <w:noProof/>
          <w:szCs w:val="24"/>
        </w:rPr>
        <w:t>NanoImpact</w:t>
      </w:r>
      <w:r w:rsidRPr="00793E15">
        <w:rPr>
          <w:noProof/>
          <w:szCs w:val="24"/>
        </w:rPr>
        <w:t xml:space="preserve"> </w:t>
      </w:r>
      <w:r w:rsidRPr="00793E15">
        <w:rPr>
          <w:b/>
          <w:bCs/>
          <w:noProof/>
          <w:szCs w:val="24"/>
        </w:rPr>
        <w:t>9,</w:t>
      </w:r>
      <w:r w:rsidRPr="00793E15">
        <w:rPr>
          <w:noProof/>
          <w:szCs w:val="24"/>
        </w:rPr>
        <w:t xml:space="preserve"> 1–13 (2018).</w:t>
      </w:r>
    </w:p>
    <w:p w14:paraId="51C7B6A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w:t>
      </w:r>
      <w:r w:rsidRPr="00793E15">
        <w:rPr>
          <w:noProof/>
          <w:szCs w:val="24"/>
        </w:rPr>
        <w:tab/>
        <w:t xml:space="preserve">Lamon, L., Aschberger, K., Asturiol, D., Richarz, A.-N. &amp; Worth, A. Grouping of nanomaterials to read-across hazard endpoints: a review. </w:t>
      </w:r>
      <w:r w:rsidRPr="00793E15">
        <w:rPr>
          <w:i/>
          <w:iCs/>
          <w:noProof/>
          <w:szCs w:val="24"/>
        </w:rPr>
        <w:t>Nanotoxicology</w:t>
      </w:r>
      <w:r w:rsidRPr="00793E15">
        <w:rPr>
          <w:noProof/>
          <w:szCs w:val="24"/>
        </w:rPr>
        <w:t xml:space="preserve"> doi:10.1080/17435390.2018.1506060</w:t>
      </w:r>
    </w:p>
    <w:p w14:paraId="75B77EE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w:t>
      </w:r>
      <w:r w:rsidRPr="00793E15">
        <w:rPr>
          <w:noProof/>
          <w:szCs w:val="24"/>
        </w:rPr>
        <w:tab/>
        <w:t xml:space="preserve">Arts, J. H. E. </w:t>
      </w:r>
      <w:r w:rsidRPr="00793E15">
        <w:rPr>
          <w:i/>
          <w:iCs/>
          <w:noProof/>
          <w:szCs w:val="24"/>
        </w:rPr>
        <w:t>et al.</w:t>
      </w:r>
      <w:r w:rsidRPr="00793E15">
        <w:rPr>
          <w:noProof/>
          <w:szCs w:val="24"/>
        </w:rPr>
        <w:t xml:space="preserve"> A critical appraisal of existing concepts for the grouping of nanomaterials. </w:t>
      </w:r>
      <w:r w:rsidRPr="00793E15">
        <w:rPr>
          <w:i/>
          <w:iCs/>
          <w:noProof/>
          <w:szCs w:val="24"/>
        </w:rPr>
        <w:t>Regul. Toxicol. Pharmacol.</w:t>
      </w:r>
      <w:r w:rsidRPr="00793E15">
        <w:rPr>
          <w:noProof/>
          <w:szCs w:val="24"/>
        </w:rPr>
        <w:t xml:space="preserve"> </w:t>
      </w:r>
      <w:r w:rsidRPr="00793E15">
        <w:rPr>
          <w:b/>
          <w:bCs/>
          <w:noProof/>
          <w:szCs w:val="24"/>
        </w:rPr>
        <w:t>70,</w:t>
      </w:r>
      <w:r w:rsidRPr="00793E15">
        <w:rPr>
          <w:noProof/>
          <w:szCs w:val="24"/>
        </w:rPr>
        <w:t xml:space="preserve"> 492–506 (2015).</w:t>
      </w:r>
    </w:p>
    <w:p w14:paraId="1B8D753D"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w:t>
      </w:r>
      <w:r w:rsidRPr="00793E15">
        <w:rPr>
          <w:noProof/>
          <w:szCs w:val="24"/>
        </w:rPr>
        <w:tab/>
        <w:t xml:space="preserve">Arts, J. H. E. </w:t>
      </w:r>
      <w:r w:rsidRPr="00793E15">
        <w:rPr>
          <w:i/>
          <w:iCs/>
          <w:noProof/>
          <w:szCs w:val="24"/>
        </w:rPr>
        <w:t>et al.</w:t>
      </w:r>
      <w:r w:rsidRPr="00793E15">
        <w:rPr>
          <w:noProof/>
          <w:szCs w:val="24"/>
        </w:rPr>
        <w:t xml:space="preserve"> A decision-making framework for the grouping and testing of nanomaterials (DF4nanoGrouping). </w:t>
      </w:r>
      <w:r w:rsidRPr="00793E15">
        <w:rPr>
          <w:i/>
          <w:iCs/>
          <w:noProof/>
          <w:szCs w:val="24"/>
        </w:rPr>
        <w:t>Regul. Toxicol. Pharmacol.</w:t>
      </w:r>
      <w:r w:rsidRPr="00793E15">
        <w:rPr>
          <w:noProof/>
          <w:szCs w:val="24"/>
        </w:rPr>
        <w:t xml:space="preserve"> </w:t>
      </w:r>
      <w:r w:rsidRPr="00793E15">
        <w:rPr>
          <w:b/>
          <w:bCs/>
          <w:noProof/>
          <w:szCs w:val="24"/>
        </w:rPr>
        <w:t>71,</w:t>
      </w:r>
      <w:r w:rsidRPr="00793E15">
        <w:rPr>
          <w:noProof/>
          <w:szCs w:val="24"/>
        </w:rPr>
        <w:t xml:space="preserve"> S1–S27 (2015).</w:t>
      </w:r>
    </w:p>
    <w:p w14:paraId="1CD7538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18.</w:t>
      </w:r>
      <w:r w:rsidRPr="00793E15">
        <w:rPr>
          <w:noProof/>
          <w:szCs w:val="24"/>
        </w:rPr>
        <w:tab/>
        <w:t xml:space="preserve">Lamon, L., Aschberger, K., Asturiol, D., Richarz, A.-N. &amp; Worth, A. Grouping of nanomaterials to read-across hazard endpoints: a review. </w:t>
      </w:r>
      <w:r w:rsidRPr="00793E15">
        <w:rPr>
          <w:i/>
          <w:iCs/>
          <w:noProof/>
          <w:szCs w:val="24"/>
        </w:rPr>
        <w:t>Accept. by Nanotoxicology</w:t>
      </w:r>
    </w:p>
    <w:p w14:paraId="0BACBFA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19.</w:t>
      </w:r>
      <w:r w:rsidRPr="00793E15">
        <w:rPr>
          <w:noProof/>
          <w:szCs w:val="24"/>
        </w:rPr>
        <w:tab/>
        <w:t xml:space="preserve">Oberdörster, G. &amp; Kuhlbusch, T. A. J. In vivo effects: Methodologies and biokinetics of inhaled nanomaterials. </w:t>
      </w:r>
      <w:r w:rsidRPr="00793E15">
        <w:rPr>
          <w:i/>
          <w:iCs/>
          <w:noProof/>
          <w:szCs w:val="24"/>
        </w:rPr>
        <w:t>NanoImpact</w:t>
      </w:r>
      <w:r w:rsidRPr="00793E15">
        <w:rPr>
          <w:noProof/>
          <w:szCs w:val="24"/>
        </w:rPr>
        <w:t xml:space="preserve"> </w:t>
      </w:r>
      <w:r w:rsidRPr="00793E15">
        <w:rPr>
          <w:b/>
          <w:bCs/>
          <w:noProof/>
          <w:szCs w:val="24"/>
        </w:rPr>
        <w:t>10,</w:t>
      </w:r>
      <w:r w:rsidRPr="00793E15">
        <w:rPr>
          <w:noProof/>
          <w:szCs w:val="24"/>
        </w:rPr>
        <w:t xml:space="preserve"> 38–60 (2018).</w:t>
      </w:r>
    </w:p>
    <w:p w14:paraId="7D425B4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20.</w:t>
      </w:r>
      <w:r w:rsidRPr="00793E15">
        <w:rPr>
          <w:noProof/>
          <w:szCs w:val="24"/>
        </w:rPr>
        <w:tab/>
        <w:t xml:space="preserve">Rasmussen, K. </w:t>
      </w:r>
      <w:r w:rsidRPr="00793E15">
        <w:rPr>
          <w:i/>
          <w:iCs/>
          <w:noProof/>
          <w:szCs w:val="24"/>
        </w:rPr>
        <w:t>et al.</w:t>
      </w:r>
      <w:r w:rsidRPr="00793E15">
        <w:rPr>
          <w:noProof/>
          <w:szCs w:val="24"/>
        </w:rPr>
        <w:t xml:space="preserve"> Physico-chemical properties of manufactured nanomaterials - Characterisation and relevant methods. An outlook based on the OECD Testing Programme. </w:t>
      </w:r>
      <w:r w:rsidRPr="00793E15">
        <w:rPr>
          <w:i/>
          <w:iCs/>
          <w:noProof/>
          <w:szCs w:val="24"/>
        </w:rPr>
        <w:t>Regul. Toxicol. Pharmacol.</w:t>
      </w:r>
      <w:r w:rsidRPr="00793E15">
        <w:rPr>
          <w:noProof/>
          <w:szCs w:val="24"/>
        </w:rPr>
        <w:t xml:space="preserve"> </w:t>
      </w:r>
      <w:r w:rsidRPr="00793E15">
        <w:rPr>
          <w:b/>
          <w:bCs/>
          <w:noProof/>
          <w:szCs w:val="24"/>
        </w:rPr>
        <w:t>92,</w:t>
      </w:r>
      <w:r w:rsidRPr="00793E15">
        <w:rPr>
          <w:noProof/>
          <w:szCs w:val="24"/>
        </w:rPr>
        <w:t xml:space="preserve"> 8–28 (2018).</w:t>
      </w:r>
    </w:p>
    <w:p w14:paraId="75B500F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21.</w:t>
      </w:r>
      <w:r w:rsidRPr="00793E15">
        <w:rPr>
          <w:noProof/>
          <w:szCs w:val="24"/>
        </w:rPr>
        <w:tab/>
        <w:t xml:space="preserve">Stone, V. </w:t>
      </w:r>
      <w:r w:rsidRPr="00793E15">
        <w:rPr>
          <w:i/>
          <w:iCs/>
          <w:noProof/>
          <w:szCs w:val="24"/>
        </w:rPr>
        <w:t>et al.</w:t>
      </w:r>
      <w:r w:rsidRPr="00793E15">
        <w:rPr>
          <w:noProof/>
          <w:szCs w:val="24"/>
        </w:rPr>
        <w:t xml:space="preserve"> ITS-NANO - Prioritising nanosafety research to develop a stakeholder driven intelligent testing strategy. </w:t>
      </w:r>
      <w:r w:rsidRPr="00793E15">
        <w:rPr>
          <w:i/>
          <w:iCs/>
          <w:noProof/>
          <w:szCs w:val="24"/>
        </w:rPr>
        <w:t>Part. Fibre Toxicol.</w:t>
      </w:r>
      <w:r w:rsidRPr="00793E15">
        <w:rPr>
          <w:noProof/>
          <w:szCs w:val="24"/>
        </w:rPr>
        <w:t xml:space="preserve"> </w:t>
      </w:r>
      <w:r w:rsidRPr="00793E15">
        <w:rPr>
          <w:b/>
          <w:bCs/>
          <w:noProof/>
          <w:szCs w:val="24"/>
        </w:rPr>
        <w:t>11,</w:t>
      </w:r>
      <w:r w:rsidRPr="00793E15">
        <w:rPr>
          <w:noProof/>
          <w:szCs w:val="24"/>
        </w:rPr>
        <w:t xml:space="preserve"> 9 (2014).</w:t>
      </w:r>
    </w:p>
    <w:p w14:paraId="3BF40BA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22.</w:t>
      </w:r>
      <w:r w:rsidRPr="00793E15">
        <w:rPr>
          <w:noProof/>
          <w:szCs w:val="24"/>
        </w:rPr>
        <w:tab/>
        <w:t xml:space="preserve">Fourches, D. </w:t>
      </w:r>
      <w:r w:rsidRPr="00793E15">
        <w:rPr>
          <w:i/>
          <w:iCs/>
          <w:noProof/>
          <w:szCs w:val="24"/>
        </w:rPr>
        <w:t>et al.</w:t>
      </w:r>
      <w:r w:rsidRPr="00793E15">
        <w:rPr>
          <w:noProof/>
          <w:szCs w:val="24"/>
        </w:rPr>
        <w:t xml:space="preserve"> Computer-aided design of carbon nanotubes with the desired bioactivity and safety profiles. </w:t>
      </w:r>
      <w:r w:rsidRPr="00793E15">
        <w:rPr>
          <w:i/>
          <w:iCs/>
          <w:noProof/>
          <w:szCs w:val="24"/>
        </w:rPr>
        <w:t>Nanotoxicology</w:t>
      </w:r>
      <w:r w:rsidRPr="00793E15">
        <w:rPr>
          <w:noProof/>
          <w:szCs w:val="24"/>
        </w:rPr>
        <w:t xml:space="preserve"> </w:t>
      </w:r>
      <w:r w:rsidRPr="00793E15">
        <w:rPr>
          <w:b/>
          <w:bCs/>
          <w:noProof/>
          <w:szCs w:val="24"/>
        </w:rPr>
        <w:t>10,</w:t>
      </w:r>
      <w:r w:rsidRPr="00793E15">
        <w:rPr>
          <w:noProof/>
          <w:szCs w:val="24"/>
        </w:rPr>
        <w:t xml:space="preserve"> 374–383 (2016).</w:t>
      </w:r>
    </w:p>
    <w:p w14:paraId="1C70F25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23.</w:t>
      </w:r>
      <w:r w:rsidRPr="00793E15">
        <w:rPr>
          <w:noProof/>
          <w:szCs w:val="24"/>
        </w:rPr>
        <w:tab/>
        <w:t xml:space="preserve">Puzyn, T. </w:t>
      </w:r>
      <w:r w:rsidRPr="00793E15">
        <w:rPr>
          <w:i/>
          <w:iCs/>
          <w:noProof/>
          <w:szCs w:val="24"/>
        </w:rPr>
        <w:t>et al.</w:t>
      </w:r>
      <w:r w:rsidRPr="00793E15">
        <w:rPr>
          <w:noProof/>
          <w:szCs w:val="24"/>
        </w:rPr>
        <w:t xml:space="preserve"> Using nano-QSAR to predict the cytotoxicity of metal oxide nanoparticles. </w:t>
      </w:r>
      <w:r w:rsidRPr="00793E15">
        <w:rPr>
          <w:i/>
          <w:iCs/>
          <w:noProof/>
          <w:szCs w:val="24"/>
        </w:rPr>
        <w:t>Nat. Nanotechnol.</w:t>
      </w:r>
      <w:r w:rsidRPr="00793E15">
        <w:rPr>
          <w:noProof/>
          <w:szCs w:val="24"/>
        </w:rPr>
        <w:t xml:space="preserve"> </w:t>
      </w:r>
      <w:r w:rsidRPr="00793E15">
        <w:rPr>
          <w:b/>
          <w:bCs/>
          <w:noProof/>
          <w:szCs w:val="24"/>
        </w:rPr>
        <w:t>6,</w:t>
      </w:r>
      <w:r w:rsidRPr="00793E15">
        <w:rPr>
          <w:noProof/>
          <w:szCs w:val="24"/>
        </w:rPr>
        <w:t xml:space="preserve"> 175–178 (2011).</w:t>
      </w:r>
    </w:p>
    <w:p w14:paraId="340DF58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24.</w:t>
      </w:r>
      <w:r w:rsidRPr="00793E15">
        <w:rPr>
          <w:noProof/>
          <w:szCs w:val="24"/>
        </w:rPr>
        <w:tab/>
        <w:t xml:space="preserve">Winkler, D. A. </w:t>
      </w:r>
      <w:r w:rsidRPr="00793E15">
        <w:rPr>
          <w:i/>
          <w:iCs/>
          <w:noProof/>
          <w:szCs w:val="24"/>
        </w:rPr>
        <w:t>et al.</w:t>
      </w:r>
      <w:r w:rsidRPr="00793E15">
        <w:rPr>
          <w:noProof/>
          <w:szCs w:val="24"/>
        </w:rPr>
        <w:t xml:space="preserve"> Applying quantitative structure-activity relationship approaches to nanotoxicology: Current status and future potential. </w:t>
      </w:r>
      <w:r w:rsidRPr="00793E15">
        <w:rPr>
          <w:i/>
          <w:iCs/>
          <w:noProof/>
          <w:szCs w:val="24"/>
        </w:rPr>
        <w:t>Toxicology</w:t>
      </w:r>
      <w:r w:rsidRPr="00793E15">
        <w:rPr>
          <w:noProof/>
          <w:szCs w:val="24"/>
        </w:rPr>
        <w:t xml:space="preserve"> </w:t>
      </w:r>
      <w:r w:rsidRPr="00793E15">
        <w:rPr>
          <w:b/>
          <w:bCs/>
          <w:noProof/>
          <w:szCs w:val="24"/>
        </w:rPr>
        <w:t>313,</w:t>
      </w:r>
      <w:r w:rsidRPr="00793E15">
        <w:rPr>
          <w:noProof/>
          <w:szCs w:val="24"/>
        </w:rPr>
        <w:t xml:space="preserve"> 15–23 (2013).</w:t>
      </w:r>
    </w:p>
    <w:p w14:paraId="16913AE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25.</w:t>
      </w:r>
      <w:r w:rsidRPr="00793E15">
        <w:rPr>
          <w:noProof/>
          <w:szCs w:val="24"/>
        </w:rPr>
        <w:tab/>
        <w:t xml:space="preserve">Oksel, C., Ma, C. Y., Liu, J. J., Wilkins, T. &amp; Wang, X. Z. (Q)SAR modelling of nanomaterial toxicity: A critical review. </w:t>
      </w:r>
      <w:r w:rsidRPr="00793E15">
        <w:rPr>
          <w:i/>
          <w:iCs/>
          <w:noProof/>
          <w:szCs w:val="24"/>
        </w:rPr>
        <w:t>Particuology</w:t>
      </w:r>
      <w:r w:rsidRPr="00793E15">
        <w:rPr>
          <w:noProof/>
          <w:szCs w:val="24"/>
        </w:rPr>
        <w:t xml:space="preserve"> </w:t>
      </w:r>
      <w:r w:rsidRPr="00793E15">
        <w:rPr>
          <w:b/>
          <w:bCs/>
          <w:noProof/>
          <w:szCs w:val="24"/>
        </w:rPr>
        <w:t>21,</w:t>
      </w:r>
      <w:r w:rsidRPr="00793E15">
        <w:rPr>
          <w:noProof/>
          <w:szCs w:val="24"/>
        </w:rPr>
        <w:t xml:space="preserve"> 1–19 (2015).</w:t>
      </w:r>
    </w:p>
    <w:p w14:paraId="5C8D50E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26.</w:t>
      </w:r>
      <w:r w:rsidRPr="00793E15">
        <w:rPr>
          <w:noProof/>
          <w:szCs w:val="24"/>
        </w:rPr>
        <w:tab/>
        <w:t xml:space="preserve">Cedervall, T. </w:t>
      </w:r>
      <w:r w:rsidRPr="00793E15">
        <w:rPr>
          <w:i/>
          <w:iCs/>
          <w:noProof/>
          <w:szCs w:val="24"/>
        </w:rPr>
        <w:t>et al.</w:t>
      </w:r>
      <w:r w:rsidRPr="00793E15">
        <w:rPr>
          <w:noProof/>
          <w:szCs w:val="24"/>
        </w:rPr>
        <w:t xml:space="preserve"> Understanding the nanoparticle-protein corona using methods to quantify exchange rates and affinities of proteins for nanoparticles. </w:t>
      </w:r>
      <w:r w:rsidRPr="00793E15">
        <w:rPr>
          <w:i/>
          <w:iCs/>
          <w:noProof/>
          <w:szCs w:val="24"/>
        </w:rPr>
        <w:t>Proc. Natl. Acad. Sci.</w:t>
      </w:r>
      <w:r w:rsidRPr="00793E15">
        <w:rPr>
          <w:noProof/>
          <w:szCs w:val="24"/>
        </w:rPr>
        <w:t xml:space="preserve"> </w:t>
      </w:r>
      <w:r w:rsidRPr="00793E15">
        <w:rPr>
          <w:b/>
          <w:bCs/>
          <w:noProof/>
          <w:szCs w:val="24"/>
        </w:rPr>
        <w:t>104,</w:t>
      </w:r>
      <w:r w:rsidRPr="00793E15">
        <w:rPr>
          <w:noProof/>
          <w:szCs w:val="24"/>
        </w:rPr>
        <w:t xml:space="preserve"> 2050–2055 (2007).</w:t>
      </w:r>
    </w:p>
    <w:p w14:paraId="3464EB4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27.</w:t>
      </w:r>
      <w:r w:rsidRPr="00793E15">
        <w:rPr>
          <w:noProof/>
          <w:szCs w:val="24"/>
        </w:rPr>
        <w:tab/>
        <w:t xml:space="preserve">Lynch, I. &amp; Dawson, K. A. Protein-nanoparticle interactions. </w:t>
      </w:r>
      <w:r w:rsidRPr="00793E15">
        <w:rPr>
          <w:i/>
          <w:iCs/>
          <w:noProof/>
          <w:szCs w:val="24"/>
        </w:rPr>
        <w:t>Nano Today</w:t>
      </w:r>
      <w:r w:rsidRPr="00793E15">
        <w:rPr>
          <w:noProof/>
          <w:szCs w:val="24"/>
        </w:rPr>
        <w:t xml:space="preserve"> </w:t>
      </w:r>
      <w:r w:rsidRPr="00793E15">
        <w:rPr>
          <w:b/>
          <w:bCs/>
          <w:noProof/>
          <w:szCs w:val="24"/>
        </w:rPr>
        <w:t>3,</w:t>
      </w:r>
      <w:r w:rsidRPr="00793E15">
        <w:rPr>
          <w:noProof/>
          <w:szCs w:val="24"/>
        </w:rPr>
        <w:t xml:space="preserve"> 40–47 (2008).</w:t>
      </w:r>
    </w:p>
    <w:p w14:paraId="1EA3FD2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28.</w:t>
      </w:r>
      <w:r w:rsidRPr="00793E15">
        <w:rPr>
          <w:noProof/>
          <w:szCs w:val="24"/>
        </w:rPr>
        <w:tab/>
        <w:t xml:space="preserve">Monopoli, M. P., Åberg, C., Salvati, A. &amp; Dawson, K. A. Biomolecular coronas provide the biological identity of nanosized materials. </w:t>
      </w:r>
      <w:r w:rsidRPr="00793E15">
        <w:rPr>
          <w:i/>
          <w:iCs/>
          <w:noProof/>
          <w:szCs w:val="24"/>
        </w:rPr>
        <w:t>Nat. Nanotechnol.</w:t>
      </w:r>
      <w:r w:rsidRPr="00793E15">
        <w:rPr>
          <w:noProof/>
          <w:szCs w:val="24"/>
        </w:rPr>
        <w:t xml:space="preserve"> </w:t>
      </w:r>
      <w:r w:rsidRPr="00793E15">
        <w:rPr>
          <w:b/>
          <w:bCs/>
          <w:noProof/>
          <w:szCs w:val="24"/>
        </w:rPr>
        <w:t>7,</w:t>
      </w:r>
      <w:r w:rsidRPr="00793E15">
        <w:rPr>
          <w:noProof/>
          <w:szCs w:val="24"/>
        </w:rPr>
        <w:t xml:space="preserve"> 779–786 (2012).</w:t>
      </w:r>
    </w:p>
    <w:p w14:paraId="1434B27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29.</w:t>
      </w:r>
      <w:r w:rsidRPr="00793E15">
        <w:rPr>
          <w:noProof/>
          <w:szCs w:val="24"/>
        </w:rPr>
        <w:tab/>
        <w:t xml:space="preserve">Tsiliki, G., Nymark, P., Kohonen, P., Grafström, R. &amp; Sarimveis, H. Enriching Nanomaterials Omics Data: An Integration Technique to Generate Biological Descriptors. </w:t>
      </w:r>
      <w:r w:rsidRPr="00793E15">
        <w:rPr>
          <w:i/>
          <w:iCs/>
          <w:noProof/>
          <w:szCs w:val="24"/>
        </w:rPr>
        <w:t>Small Methods</w:t>
      </w:r>
      <w:r w:rsidRPr="00793E15">
        <w:rPr>
          <w:noProof/>
          <w:szCs w:val="24"/>
        </w:rPr>
        <w:t xml:space="preserve"> </w:t>
      </w:r>
      <w:r w:rsidRPr="00793E15">
        <w:rPr>
          <w:b/>
          <w:bCs/>
          <w:noProof/>
          <w:szCs w:val="24"/>
        </w:rPr>
        <w:t>1,</w:t>
      </w:r>
      <w:r w:rsidRPr="00793E15">
        <w:rPr>
          <w:noProof/>
          <w:szCs w:val="24"/>
        </w:rPr>
        <w:t xml:space="preserve"> 1700139 (2017).</w:t>
      </w:r>
    </w:p>
    <w:p w14:paraId="44B04B0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30.</w:t>
      </w:r>
      <w:r w:rsidRPr="00793E15">
        <w:rPr>
          <w:noProof/>
          <w:szCs w:val="24"/>
        </w:rPr>
        <w:tab/>
        <w:t xml:space="preserve">Lubinski, L. </w:t>
      </w:r>
      <w:r w:rsidRPr="00793E15">
        <w:rPr>
          <w:i/>
          <w:iCs/>
          <w:noProof/>
          <w:szCs w:val="24"/>
        </w:rPr>
        <w:t>et al.</w:t>
      </w:r>
      <w:r w:rsidRPr="00793E15">
        <w:rPr>
          <w:noProof/>
          <w:szCs w:val="24"/>
        </w:rPr>
        <w:t xml:space="preserve"> Evaluation criteria for the quality of published experimental data on nanomaterials and their usefulness for QSAR modelling. </w:t>
      </w:r>
      <w:r w:rsidRPr="00793E15">
        <w:rPr>
          <w:i/>
          <w:iCs/>
          <w:noProof/>
          <w:szCs w:val="24"/>
        </w:rPr>
        <w:t>SAR QSAR Environ. Res.</w:t>
      </w:r>
      <w:r w:rsidRPr="00793E15">
        <w:rPr>
          <w:noProof/>
          <w:szCs w:val="24"/>
        </w:rPr>
        <w:t xml:space="preserve"> (2013). doi:10.1080/1062936X.2013.840679</w:t>
      </w:r>
    </w:p>
    <w:p w14:paraId="3A3A979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31.</w:t>
      </w:r>
      <w:r w:rsidRPr="00793E15">
        <w:rPr>
          <w:noProof/>
          <w:szCs w:val="24"/>
        </w:rPr>
        <w:tab/>
        <w:t xml:space="preserve">Gajewicz, A., Jagiello, K., Cronin, M. T. D., Leszczynski, J. &amp; Puzyn, T. Addressing a bottle neck for regulation of nanomaterials: quantitative read-across (Nano-QRA) algorithm for cases when only limited data is available. </w:t>
      </w:r>
      <w:r w:rsidRPr="00793E15">
        <w:rPr>
          <w:i/>
          <w:iCs/>
          <w:noProof/>
          <w:szCs w:val="24"/>
        </w:rPr>
        <w:t>Environ. Sci. Nano</w:t>
      </w:r>
      <w:r w:rsidRPr="00793E15">
        <w:rPr>
          <w:noProof/>
          <w:szCs w:val="24"/>
        </w:rPr>
        <w:t xml:space="preserve"> (2017). doi:10.1039/c6en00399k</w:t>
      </w:r>
    </w:p>
    <w:p w14:paraId="74D766F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32.</w:t>
      </w:r>
      <w:r w:rsidRPr="00793E15">
        <w:rPr>
          <w:noProof/>
          <w:szCs w:val="24"/>
        </w:rPr>
        <w:tab/>
        <w:t xml:space="preserve">Gajewicz, A., Cronin, M. T. D., Rasulev, B., Leszczynski, J. &amp; Puzyn, T. Novel approach for efficient predictions properties of large pool of nanomaterials based on limited set of species: Nano-read-across. </w:t>
      </w:r>
      <w:r w:rsidRPr="00793E15">
        <w:rPr>
          <w:i/>
          <w:iCs/>
          <w:noProof/>
          <w:szCs w:val="24"/>
        </w:rPr>
        <w:t>Nanotechnology</w:t>
      </w:r>
      <w:r w:rsidRPr="00793E15">
        <w:rPr>
          <w:noProof/>
          <w:szCs w:val="24"/>
        </w:rPr>
        <w:t xml:space="preserve"> </w:t>
      </w:r>
      <w:r w:rsidRPr="00793E15">
        <w:rPr>
          <w:b/>
          <w:bCs/>
          <w:noProof/>
          <w:szCs w:val="24"/>
        </w:rPr>
        <w:t>26,</w:t>
      </w:r>
      <w:r w:rsidRPr="00793E15">
        <w:rPr>
          <w:noProof/>
          <w:szCs w:val="24"/>
        </w:rPr>
        <w:t xml:space="preserve"> (2015).</w:t>
      </w:r>
    </w:p>
    <w:p w14:paraId="0695A7B0"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33.</w:t>
      </w:r>
      <w:r w:rsidRPr="00793E15">
        <w:rPr>
          <w:noProof/>
          <w:szCs w:val="24"/>
        </w:rPr>
        <w:tab/>
        <w:t xml:space="preserve">Puzyn, T., Leszczynska, D. &amp; Leszczynski, J. Toward the development of “Nano-QSARs”: Advances and challenges. </w:t>
      </w:r>
      <w:r w:rsidRPr="00793E15">
        <w:rPr>
          <w:i/>
          <w:iCs/>
          <w:noProof/>
          <w:szCs w:val="24"/>
        </w:rPr>
        <w:t>Small</w:t>
      </w:r>
      <w:r w:rsidRPr="00793E15">
        <w:rPr>
          <w:noProof/>
          <w:szCs w:val="24"/>
        </w:rPr>
        <w:t xml:space="preserve"> </w:t>
      </w:r>
      <w:r w:rsidRPr="00793E15">
        <w:rPr>
          <w:b/>
          <w:bCs/>
          <w:noProof/>
          <w:szCs w:val="24"/>
        </w:rPr>
        <w:t>5,</w:t>
      </w:r>
      <w:r w:rsidRPr="00793E15">
        <w:rPr>
          <w:noProof/>
          <w:szCs w:val="24"/>
        </w:rPr>
        <w:t xml:space="preserve"> 2494–2509 (2009).</w:t>
      </w:r>
    </w:p>
    <w:p w14:paraId="364EC6F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34.</w:t>
      </w:r>
      <w:r w:rsidRPr="00793E15">
        <w:rPr>
          <w:noProof/>
          <w:szCs w:val="24"/>
        </w:rPr>
        <w:tab/>
        <w:t xml:space="preserve">Tantra, R. </w:t>
      </w:r>
      <w:r w:rsidRPr="00793E15">
        <w:rPr>
          <w:i/>
          <w:iCs/>
          <w:noProof/>
          <w:szCs w:val="24"/>
        </w:rPr>
        <w:t>et al.</w:t>
      </w:r>
      <w:r w:rsidRPr="00793E15">
        <w:rPr>
          <w:noProof/>
          <w:szCs w:val="24"/>
        </w:rPr>
        <w:t xml:space="preserve"> Nano(Q)SAR: Challenges, pitfalls and perspectives. </w:t>
      </w:r>
      <w:r w:rsidRPr="00793E15">
        <w:rPr>
          <w:i/>
          <w:iCs/>
          <w:noProof/>
          <w:szCs w:val="24"/>
        </w:rPr>
        <w:t>Nanotoxicology</w:t>
      </w:r>
      <w:r w:rsidRPr="00793E15">
        <w:rPr>
          <w:noProof/>
          <w:szCs w:val="24"/>
        </w:rPr>
        <w:t xml:space="preserve"> </w:t>
      </w:r>
      <w:r w:rsidRPr="00793E15">
        <w:rPr>
          <w:b/>
          <w:bCs/>
          <w:noProof/>
          <w:szCs w:val="24"/>
        </w:rPr>
        <w:t>9,</w:t>
      </w:r>
      <w:r w:rsidRPr="00793E15">
        <w:rPr>
          <w:noProof/>
          <w:szCs w:val="24"/>
        </w:rPr>
        <w:t xml:space="preserve"> 636–642 (2015).</w:t>
      </w:r>
    </w:p>
    <w:p w14:paraId="07336B7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35.</w:t>
      </w:r>
      <w:r w:rsidRPr="00793E15">
        <w:rPr>
          <w:noProof/>
          <w:szCs w:val="24"/>
        </w:rPr>
        <w:tab/>
        <w:t xml:space="preserve">Oksel, C., Ma, C. Y., Liu, J. J., Wilkins, T. &amp; Wang, X. Z. Literature review of (Q)SAR modelling of nanomaterial toxicity. in </w:t>
      </w:r>
      <w:r w:rsidRPr="00793E15">
        <w:rPr>
          <w:i/>
          <w:iCs/>
          <w:noProof/>
          <w:szCs w:val="24"/>
        </w:rPr>
        <w:t>Advances in Experimental Medicine and Biology</w:t>
      </w:r>
      <w:r w:rsidRPr="00793E15">
        <w:rPr>
          <w:noProof/>
          <w:szCs w:val="24"/>
        </w:rPr>
        <w:t xml:space="preserve"> </w:t>
      </w:r>
      <w:r w:rsidRPr="00793E15">
        <w:rPr>
          <w:b/>
          <w:bCs/>
          <w:noProof/>
          <w:szCs w:val="24"/>
        </w:rPr>
        <w:t>947,</w:t>
      </w:r>
      <w:r w:rsidRPr="00793E15">
        <w:rPr>
          <w:noProof/>
          <w:szCs w:val="24"/>
        </w:rPr>
        <w:t xml:space="preserve"> 103–142 (2017).</w:t>
      </w:r>
    </w:p>
    <w:p w14:paraId="5AAD77A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36.</w:t>
      </w:r>
      <w:r w:rsidRPr="00793E15">
        <w:rPr>
          <w:noProof/>
          <w:szCs w:val="24"/>
        </w:rPr>
        <w:tab/>
        <w:t xml:space="preserve">Jones, D. E., Ghandehari, H. &amp; Facelli, J. C. A review of the applications of data mining and machine learning for the prediction of biomedical properties of nanoparticles. </w:t>
      </w:r>
      <w:r w:rsidRPr="00793E15">
        <w:rPr>
          <w:i/>
          <w:iCs/>
          <w:noProof/>
          <w:szCs w:val="24"/>
        </w:rPr>
        <w:t>Computer Methods and Programs in Biomedicine</w:t>
      </w:r>
      <w:r w:rsidRPr="00793E15">
        <w:rPr>
          <w:noProof/>
          <w:szCs w:val="24"/>
        </w:rPr>
        <w:t xml:space="preserve"> </w:t>
      </w:r>
      <w:r w:rsidRPr="00793E15">
        <w:rPr>
          <w:b/>
          <w:bCs/>
          <w:noProof/>
          <w:szCs w:val="24"/>
        </w:rPr>
        <w:t>132,</w:t>
      </w:r>
      <w:r w:rsidRPr="00793E15">
        <w:rPr>
          <w:noProof/>
          <w:szCs w:val="24"/>
        </w:rPr>
        <w:t xml:space="preserve"> 93–103 (2016).</w:t>
      </w:r>
    </w:p>
    <w:p w14:paraId="4BD37AC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37.</w:t>
      </w:r>
      <w:r w:rsidRPr="00793E15">
        <w:rPr>
          <w:noProof/>
          <w:szCs w:val="24"/>
        </w:rPr>
        <w:tab/>
        <w:t xml:space="preserve">Sizochenko, N. &amp; Leszczynski, J. Review of Current and Emerging Approaches for Quantitative Nanostructure-Activity Relationship Modeling. </w:t>
      </w:r>
      <w:r w:rsidRPr="00793E15">
        <w:rPr>
          <w:i/>
          <w:iCs/>
          <w:noProof/>
          <w:szCs w:val="24"/>
        </w:rPr>
        <w:t>J. Nanotoxicology Nanomedicine</w:t>
      </w:r>
      <w:r w:rsidRPr="00793E15">
        <w:rPr>
          <w:noProof/>
          <w:szCs w:val="24"/>
        </w:rPr>
        <w:t xml:space="preserve"> </w:t>
      </w:r>
      <w:r w:rsidRPr="00793E15">
        <w:rPr>
          <w:b/>
          <w:bCs/>
          <w:noProof/>
          <w:szCs w:val="24"/>
        </w:rPr>
        <w:t>1,</w:t>
      </w:r>
      <w:r w:rsidRPr="00793E15">
        <w:rPr>
          <w:noProof/>
          <w:szCs w:val="24"/>
        </w:rPr>
        <w:t xml:space="preserve"> 1–16 (2016).</w:t>
      </w:r>
    </w:p>
    <w:p w14:paraId="0B1A514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38.</w:t>
      </w:r>
      <w:r w:rsidRPr="00793E15">
        <w:rPr>
          <w:noProof/>
          <w:szCs w:val="24"/>
        </w:rPr>
        <w:tab/>
        <w:t xml:space="preserve">Chen, G., Vijver, M. G., Xiao, Y. &amp; Peijnenburg, W. J. G. M. A review of recent advances towards the development of (quantitative) structure-activity relationships for metallic nanomaterials. </w:t>
      </w:r>
      <w:r w:rsidRPr="00793E15">
        <w:rPr>
          <w:i/>
          <w:iCs/>
          <w:noProof/>
          <w:szCs w:val="24"/>
        </w:rPr>
        <w:t>Materials</w:t>
      </w:r>
      <w:r w:rsidRPr="00793E15">
        <w:rPr>
          <w:noProof/>
          <w:szCs w:val="24"/>
        </w:rPr>
        <w:t xml:space="preserve"> (2017). doi:10.3390/ma10091013</w:t>
      </w:r>
    </w:p>
    <w:p w14:paraId="0BADE07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39.</w:t>
      </w:r>
      <w:r w:rsidRPr="00793E15">
        <w:rPr>
          <w:noProof/>
          <w:szCs w:val="24"/>
        </w:rPr>
        <w:tab/>
        <w:t xml:space="preserve">Chen, G., Peijnenburg, W., Xiao, Y. &amp; Vijver, M. Current Knowledge on the Use of Computational Toxicology in Hazard Assessment of Metallic Engineered Nanomaterials. </w:t>
      </w:r>
      <w:r w:rsidRPr="00793E15">
        <w:rPr>
          <w:i/>
          <w:iCs/>
          <w:noProof/>
          <w:szCs w:val="24"/>
        </w:rPr>
        <w:t>Int. J. Mol. Sci.</w:t>
      </w:r>
      <w:r w:rsidRPr="00793E15">
        <w:rPr>
          <w:noProof/>
          <w:szCs w:val="24"/>
        </w:rPr>
        <w:t xml:space="preserve"> </w:t>
      </w:r>
      <w:r w:rsidRPr="00793E15">
        <w:rPr>
          <w:b/>
          <w:bCs/>
          <w:noProof/>
          <w:szCs w:val="24"/>
        </w:rPr>
        <w:t>18,</w:t>
      </w:r>
      <w:r w:rsidRPr="00793E15">
        <w:rPr>
          <w:noProof/>
          <w:szCs w:val="24"/>
        </w:rPr>
        <w:t xml:space="preserve"> 1504 (2017).</w:t>
      </w:r>
    </w:p>
    <w:p w14:paraId="2889523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40.</w:t>
      </w:r>
      <w:r w:rsidRPr="00793E15">
        <w:rPr>
          <w:noProof/>
          <w:szCs w:val="24"/>
        </w:rPr>
        <w:tab/>
        <w:t xml:space="preserve">Quik, J. T. K. </w:t>
      </w:r>
      <w:r w:rsidRPr="00793E15">
        <w:rPr>
          <w:i/>
          <w:iCs/>
          <w:noProof/>
          <w:szCs w:val="24"/>
        </w:rPr>
        <w:t>et al.</w:t>
      </w:r>
      <w:r w:rsidRPr="00793E15">
        <w:rPr>
          <w:noProof/>
          <w:szCs w:val="24"/>
        </w:rPr>
        <w:t xml:space="preserve"> Directions in QPPR development to complement the predictive models used in risk assessment of nanomaterials. </w:t>
      </w:r>
      <w:r w:rsidRPr="00793E15">
        <w:rPr>
          <w:i/>
          <w:iCs/>
          <w:noProof/>
          <w:szCs w:val="24"/>
        </w:rPr>
        <w:t>NanoImpact</w:t>
      </w:r>
      <w:r w:rsidRPr="00793E15">
        <w:rPr>
          <w:noProof/>
          <w:szCs w:val="24"/>
        </w:rPr>
        <w:t xml:space="preserve"> (2018). doi:10.1016/j.impact.2018.02.003</w:t>
      </w:r>
    </w:p>
    <w:p w14:paraId="3723835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41.</w:t>
      </w:r>
      <w:r w:rsidRPr="00793E15">
        <w:rPr>
          <w:noProof/>
          <w:szCs w:val="24"/>
        </w:rPr>
        <w:tab/>
        <w:t xml:space="preserve">Lamon, L. </w:t>
      </w:r>
      <w:r w:rsidRPr="00793E15">
        <w:rPr>
          <w:i/>
          <w:iCs/>
          <w:noProof/>
          <w:szCs w:val="24"/>
        </w:rPr>
        <w:t>et al.</w:t>
      </w:r>
      <w:r w:rsidRPr="00793E15">
        <w:rPr>
          <w:noProof/>
          <w:szCs w:val="24"/>
        </w:rPr>
        <w:t xml:space="preserve"> Physiologically based mathematical models of nanomaterials for regulatory toxicology: a review. </w:t>
      </w:r>
      <w:r w:rsidRPr="00793E15">
        <w:rPr>
          <w:i/>
          <w:iCs/>
          <w:noProof/>
          <w:szCs w:val="24"/>
        </w:rPr>
        <w:t>Comput. Toxicol. (In Press.</w:t>
      </w:r>
    </w:p>
    <w:p w14:paraId="68724A0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42.</w:t>
      </w:r>
      <w:r w:rsidRPr="00793E15">
        <w:rPr>
          <w:noProof/>
          <w:szCs w:val="24"/>
        </w:rPr>
        <w:tab/>
        <w:t xml:space="preserve">Steinhäuser, K. G. &amp; Sayre, P. G. Reliability of methods and data for regulatory assessment of nanomaterial risks. </w:t>
      </w:r>
      <w:r w:rsidRPr="00793E15">
        <w:rPr>
          <w:i/>
          <w:iCs/>
          <w:noProof/>
          <w:szCs w:val="24"/>
        </w:rPr>
        <w:t>NanoImpact</w:t>
      </w:r>
      <w:r w:rsidRPr="00793E15">
        <w:rPr>
          <w:noProof/>
          <w:szCs w:val="24"/>
        </w:rPr>
        <w:t xml:space="preserve"> </w:t>
      </w:r>
      <w:r w:rsidRPr="00793E15">
        <w:rPr>
          <w:b/>
          <w:bCs/>
          <w:noProof/>
          <w:szCs w:val="24"/>
        </w:rPr>
        <w:t>7,</w:t>
      </w:r>
      <w:r w:rsidRPr="00793E15">
        <w:rPr>
          <w:noProof/>
          <w:szCs w:val="24"/>
        </w:rPr>
        <w:t xml:space="preserve"> 66–74 (2017).</w:t>
      </w:r>
    </w:p>
    <w:p w14:paraId="038F4CA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43.</w:t>
      </w:r>
      <w:r w:rsidRPr="00793E15">
        <w:rPr>
          <w:noProof/>
          <w:szCs w:val="24"/>
        </w:rPr>
        <w:tab/>
        <w:t xml:space="preserve">Jones, D. E., Igo, S., Hurdle, J. &amp; Facelli, J. C. Automatic Extraction of NanoParticle properties using natural language processing: NanoSifter an application to acquire pamam dendrimer properties. </w:t>
      </w:r>
      <w:r w:rsidRPr="00793E15">
        <w:rPr>
          <w:i/>
          <w:iCs/>
          <w:noProof/>
          <w:szCs w:val="24"/>
        </w:rPr>
        <w:t>PLoS One</w:t>
      </w:r>
      <w:r w:rsidRPr="00793E15">
        <w:rPr>
          <w:noProof/>
          <w:szCs w:val="24"/>
        </w:rPr>
        <w:t xml:space="preserve"> </w:t>
      </w:r>
      <w:r w:rsidRPr="00793E15">
        <w:rPr>
          <w:b/>
          <w:bCs/>
          <w:noProof/>
          <w:szCs w:val="24"/>
        </w:rPr>
        <w:t>9,</w:t>
      </w:r>
      <w:r w:rsidRPr="00793E15">
        <w:rPr>
          <w:noProof/>
          <w:szCs w:val="24"/>
        </w:rPr>
        <w:t xml:space="preserve"> (2014).</w:t>
      </w:r>
    </w:p>
    <w:p w14:paraId="2B7BA50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44.</w:t>
      </w:r>
      <w:r w:rsidRPr="00793E15">
        <w:rPr>
          <w:noProof/>
          <w:szCs w:val="24"/>
        </w:rPr>
        <w:tab/>
        <w:t xml:space="preserve">Lewinski, N. A. &amp; McInnes, B. T. Using natural language processing techniques to inform research on nanotechnology. </w:t>
      </w:r>
      <w:r w:rsidRPr="00793E15">
        <w:rPr>
          <w:i/>
          <w:iCs/>
          <w:noProof/>
          <w:szCs w:val="24"/>
        </w:rPr>
        <w:t>Beilstein J. Nanotechnol.</w:t>
      </w:r>
      <w:r w:rsidRPr="00793E15">
        <w:rPr>
          <w:noProof/>
          <w:szCs w:val="24"/>
        </w:rPr>
        <w:t xml:space="preserve"> (2015). doi:10.3762/bjnano.6.149</w:t>
      </w:r>
    </w:p>
    <w:p w14:paraId="41764CD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45.</w:t>
      </w:r>
      <w:r w:rsidRPr="00793E15">
        <w:rPr>
          <w:noProof/>
          <w:szCs w:val="24"/>
        </w:rPr>
        <w:tab/>
        <w:t xml:space="preserve">Maojo, V. </w:t>
      </w:r>
      <w:r w:rsidRPr="00793E15">
        <w:rPr>
          <w:i/>
          <w:iCs/>
          <w:noProof/>
          <w:szCs w:val="24"/>
        </w:rPr>
        <w:t>et al.</w:t>
      </w:r>
      <w:r w:rsidRPr="00793E15">
        <w:rPr>
          <w:noProof/>
          <w:szCs w:val="24"/>
        </w:rPr>
        <w:t xml:space="preserve"> Nanoinformatics: A new area of research in nanomedicine. </w:t>
      </w:r>
      <w:r w:rsidRPr="00793E15">
        <w:rPr>
          <w:i/>
          <w:iCs/>
          <w:noProof/>
          <w:szCs w:val="24"/>
        </w:rPr>
        <w:t>International Journal of Nanomedicine</w:t>
      </w:r>
      <w:r w:rsidRPr="00793E15">
        <w:rPr>
          <w:noProof/>
          <w:szCs w:val="24"/>
        </w:rPr>
        <w:t xml:space="preserve"> (2012). doi:10.2147/IJN.S24582</w:t>
      </w:r>
    </w:p>
    <w:p w14:paraId="726EAB6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46.</w:t>
      </w:r>
      <w:r w:rsidRPr="00793E15">
        <w:rPr>
          <w:noProof/>
          <w:szCs w:val="24"/>
        </w:rPr>
        <w:tab/>
        <w:t xml:space="preserve">Smith-Unna, R. &amp; Murray-Rust, P. The ContentMine scraping stack: Literature-scale content mining with community-maintained collections of declarative scrapers. </w:t>
      </w:r>
      <w:r w:rsidRPr="00793E15">
        <w:rPr>
          <w:i/>
          <w:iCs/>
          <w:noProof/>
          <w:szCs w:val="24"/>
        </w:rPr>
        <w:t>D-Lib Mag.</w:t>
      </w:r>
      <w:r w:rsidRPr="00793E15">
        <w:rPr>
          <w:noProof/>
          <w:szCs w:val="24"/>
        </w:rPr>
        <w:t xml:space="preserve"> (2014). doi:10.1045/november14-smith-unna</w:t>
      </w:r>
    </w:p>
    <w:p w14:paraId="1AB232F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47.</w:t>
      </w:r>
      <w:r w:rsidRPr="00793E15">
        <w:rPr>
          <w:noProof/>
          <w:szCs w:val="24"/>
        </w:rPr>
        <w:tab/>
        <w:t xml:space="preserve">Jeliazkova, N. </w:t>
      </w:r>
      <w:r w:rsidRPr="00793E15">
        <w:rPr>
          <w:i/>
          <w:iCs/>
          <w:noProof/>
          <w:szCs w:val="24"/>
        </w:rPr>
        <w:t>et al.</w:t>
      </w:r>
      <w:r w:rsidRPr="00793E15">
        <w:rPr>
          <w:noProof/>
          <w:szCs w:val="24"/>
        </w:rPr>
        <w:t xml:space="preserve"> The eNanoMapper database for nanomaterial safety information. </w:t>
      </w:r>
      <w:r w:rsidRPr="00793E15">
        <w:rPr>
          <w:i/>
          <w:iCs/>
          <w:noProof/>
          <w:szCs w:val="24"/>
        </w:rPr>
        <w:t>Beilstein J. Nanotechnol.</w:t>
      </w:r>
      <w:r w:rsidRPr="00793E15">
        <w:rPr>
          <w:noProof/>
          <w:szCs w:val="24"/>
        </w:rPr>
        <w:t xml:space="preserve"> </w:t>
      </w:r>
      <w:r w:rsidRPr="00793E15">
        <w:rPr>
          <w:b/>
          <w:bCs/>
          <w:noProof/>
          <w:szCs w:val="24"/>
        </w:rPr>
        <w:t>6,</w:t>
      </w:r>
      <w:r w:rsidRPr="00793E15">
        <w:rPr>
          <w:noProof/>
          <w:szCs w:val="24"/>
        </w:rPr>
        <w:t xml:space="preserve"> 1609–1634 (2015).</w:t>
      </w:r>
    </w:p>
    <w:p w14:paraId="415AB99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48.</w:t>
      </w:r>
      <w:r w:rsidRPr="00793E15">
        <w:rPr>
          <w:noProof/>
          <w:szCs w:val="24"/>
        </w:rPr>
        <w:tab/>
        <w:t xml:space="preserve">Chomenidis, C. </w:t>
      </w:r>
      <w:r w:rsidRPr="00793E15">
        <w:rPr>
          <w:i/>
          <w:iCs/>
          <w:noProof/>
          <w:szCs w:val="24"/>
        </w:rPr>
        <w:t>et al.</w:t>
      </w:r>
      <w:r w:rsidRPr="00793E15">
        <w:rPr>
          <w:noProof/>
          <w:szCs w:val="24"/>
        </w:rPr>
        <w:t xml:space="preserve"> Jaqpot Quattro: A Novel Computational Web Platform for Modeling and Analysis in Nanoinformatics. </w:t>
      </w:r>
      <w:r w:rsidRPr="00793E15">
        <w:rPr>
          <w:i/>
          <w:iCs/>
          <w:noProof/>
          <w:szCs w:val="24"/>
        </w:rPr>
        <w:t>J. Chem. Inf. Model.</w:t>
      </w:r>
      <w:r w:rsidRPr="00793E15">
        <w:rPr>
          <w:noProof/>
          <w:szCs w:val="24"/>
        </w:rPr>
        <w:t xml:space="preserve"> (2017). doi:10.1021/acs.jcim.7b00223</w:t>
      </w:r>
    </w:p>
    <w:p w14:paraId="508F0A6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49.</w:t>
      </w:r>
      <w:r w:rsidRPr="00793E15">
        <w:rPr>
          <w:noProof/>
          <w:szCs w:val="24"/>
        </w:rPr>
        <w:tab/>
        <w:t xml:space="preserve">Oecd. OECD principles for the validation, for regulatory purposes, of (quantitative) structure-activity relationships models. </w:t>
      </w:r>
      <w:r w:rsidRPr="00793E15">
        <w:rPr>
          <w:i/>
          <w:iCs/>
          <w:noProof/>
          <w:szCs w:val="24"/>
        </w:rPr>
        <w:t>Biotechnology</w:t>
      </w:r>
      <w:r w:rsidRPr="00793E15">
        <w:rPr>
          <w:noProof/>
          <w:szCs w:val="24"/>
        </w:rPr>
        <w:t xml:space="preserve"> 1–2 (2004).</w:t>
      </w:r>
    </w:p>
    <w:p w14:paraId="1A9014B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50.</w:t>
      </w:r>
      <w:r w:rsidRPr="00793E15">
        <w:rPr>
          <w:noProof/>
          <w:szCs w:val="24"/>
        </w:rPr>
        <w:tab/>
        <w:t xml:space="preserve">Dearden, J. C., Cronin, M. T. D. &amp; Kaiser, K. L. E. How not to develop a quantitative structure-activity or structure-property relationship (QSAR/QSPR). </w:t>
      </w:r>
      <w:r w:rsidRPr="00793E15">
        <w:rPr>
          <w:i/>
          <w:iCs/>
          <w:noProof/>
          <w:szCs w:val="24"/>
        </w:rPr>
        <w:t>SAR QSAR Environ. Res.</w:t>
      </w:r>
      <w:r w:rsidRPr="00793E15">
        <w:rPr>
          <w:noProof/>
          <w:szCs w:val="24"/>
        </w:rPr>
        <w:t xml:space="preserve"> </w:t>
      </w:r>
      <w:r w:rsidRPr="00793E15">
        <w:rPr>
          <w:b/>
          <w:bCs/>
          <w:noProof/>
          <w:szCs w:val="24"/>
        </w:rPr>
        <w:t>20,</w:t>
      </w:r>
      <w:r w:rsidRPr="00793E15">
        <w:rPr>
          <w:noProof/>
          <w:szCs w:val="24"/>
        </w:rPr>
        <w:t xml:space="preserve"> 241–266 (2009).</w:t>
      </w:r>
    </w:p>
    <w:p w14:paraId="2477D33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51.</w:t>
      </w:r>
      <w:r w:rsidRPr="00793E15">
        <w:rPr>
          <w:noProof/>
          <w:szCs w:val="24"/>
        </w:rPr>
        <w:tab/>
        <w:t xml:space="preserve">Beleites, C., Neugebauer, U., Bocklitz, T., Krafft, C. &amp; Popp, J. Sample size planning for classification models. </w:t>
      </w:r>
      <w:r w:rsidRPr="00793E15">
        <w:rPr>
          <w:i/>
          <w:iCs/>
          <w:noProof/>
          <w:szCs w:val="24"/>
        </w:rPr>
        <w:t>Anal. Chim. Acta</w:t>
      </w:r>
      <w:r w:rsidRPr="00793E15">
        <w:rPr>
          <w:noProof/>
          <w:szCs w:val="24"/>
        </w:rPr>
        <w:t xml:space="preserve"> </w:t>
      </w:r>
      <w:r w:rsidRPr="00793E15">
        <w:rPr>
          <w:b/>
          <w:bCs/>
          <w:noProof/>
          <w:szCs w:val="24"/>
        </w:rPr>
        <w:t>760,</w:t>
      </w:r>
      <w:r w:rsidRPr="00793E15">
        <w:rPr>
          <w:noProof/>
          <w:szCs w:val="24"/>
        </w:rPr>
        <w:t xml:space="preserve"> 25–33 (2013).</w:t>
      </w:r>
    </w:p>
    <w:p w14:paraId="23EF1FA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52.</w:t>
      </w:r>
      <w:r w:rsidRPr="00793E15">
        <w:rPr>
          <w:noProof/>
          <w:szCs w:val="24"/>
        </w:rPr>
        <w:tab/>
        <w:t xml:space="preserve">Eriksson, L. </w:t>
      </w:r>
      <w:r w:rsidRPr="00793E15">
        <w:rPr>
          <w:i/>
          <w:iCs/>
          <w:noProof/>
          <w:szCs w:val="24"/>
        </w:rPr>
        <w:t>et al.</w:t>
      </w:r>
      <w:r w:rsidRPr="00793E15">
        <w:rPr>
          <w:noProof/>
          <w:szCs w:val="24"/>
        </w:rPr>
        <w:t xml:space="preserve"> Methods for reliability and uncertainty assessment and for applicability evaluations of classification- and regression-based QSARs. </w:t>
      </w:r>
      <w:r w:rsidRPr="00793E15">
        <w:rPr>
          <w:i/>
          <w:iCs/>
          <w:noProof/>
          <w:szCs w:val="24"/>
        </w:rPr>
        <w:t>Environmental Health Perspectives</w:t>
      </w:r>
      <w:r w:rsidRPr="00793E15">
        <w:rPr>
          <w:noProof/>
          <w:szCs w:val="24"/>
        </w:rPr>
        <w:t xml:space="preserve"> </w:t>
      </w:r>
      <w:r w:rsidRPr="00793E15">
        <w:rPr>
          <w:b/>
          <w:bCs/>
          <w:noProof/>
          <w:szCs w:val="24"/>
        </w:rPr>
        <w:t>111,</w:t>
      </w:r>
      <w:r w:rsidRPr="00793E15">
        <w:rPr>
          <w:noProof/>
          <w:szCs w:val="24"/>
        </w:rPr>
        <w:t xml:space="preserve"> 1361–1375 (2003).</w:t>
      </w:r>
    </w:p>
    <w:p w14:paraId="279D28E0"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53.</w:t>
      </w:r>
      <w:r w:rsidRPr="00793E15">
        <w:rPr>
          <w:noProof/>
          <w:szCs w:val="24"/>
        </w:rPr>
        <w:tab/>
        <w:t xml:space="preserve">Dudek, A. Z., Arodz, T. &amp; Gálvez, J. Computational methods in developing quantitative structure-activity relationships (QSAR): a review. </w:t>
      </w:r>
      <w:r w:rsidRPr="00793E15">
        <w:rPr>
          <w:i/>
          <w:iCs/>
          <w:noProof/>
          <w:szCs w:val="24"/>
        </w:rPr>
        <w:t>Comb. Chem. High Throughput Screen.</w:t>
      </w:r>
      <w:r w:rsidRPr="00793E15">
        <w:rPr>
          <w:noProof/>
          <w:szCs w:val="24"/>
        </w:rPr>
        <w:t xml:space="preserve"> </w:t>
      </w:r>
      <w:r w:rsidRPr="00793E15">
        <w:rPr>
          <w:b/>
          <w:bCs/>
          <w:noProof/>
          <w:szCs w:val="24"/>
        </w:rPr>
        <w:t>9,</w:t>
      </w:r>
      <w:r w:rsidRPr="00793E15">
        <w:rPr>
          <w:noProof/>
          <w:szCs w:val="24"/>
        </w:rPr>
        <w:t xml:space="preserve"> 213–28 (2006).</w:t>
      </w:r>
    </w:p>
    <w:p w14:paraId="5335D47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54.</w:t>
      </w:r>
      <w:r w:rsidRPr="00793E15">
        <w:rPr>
          <w:noProof/>
          <w:szCs w:val="24"/>
        </w:rPr>
        <w:tab/>
        <w:t xml:space="preserve">Golbraikh, A. &amp; Tropsha, A. Beware of q2! in </w:t>
      </w:r>
      <w:r w:rsidRPr="00793E15">
        <w:rPr>
          <w:i/>
          <w:iCs/>
          <w:noProof/>
          <w:szCs w:val="24"/>
        </w:rPr>
        <w:t>Journal of Molecular Graphics and Modelling</w:t>
      </w:r>
      <w:r w:rsidRPr="00793E15">
        <w:rPr>
          <w:noProof/>
          <w:szCs w:val="24"/>
        </w:rPr>
        <w:t xml:space="preserve"> </w:t>
      </w:r>
      <w:r w:rsidRPr="00793E15">
        <w:rPr>
          <w:b/>
          <w:bCs/>
          <w:noProof/>
          <w:szCs w:val="24"/>
        </w:rPr>
        <w:t>20,</w:t>
      </w:r>
      <w:r w:rsidRPr="00793E15">
        <w:rPr>
          <w:noProof/>
          <w:szCs w:val="24"/>
        </w:rPr>
        <w:t xml:space="preserve"> 269–276 (2002).</w:t>
      </w:r>
    </w:p>
    <w:p w14:paraId="5325CBAD"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55.</w:t>
      </w:r>
      <w:r w:rsidRPr="00793E15">
        <w:rPr>
          <w:noProof/>
          <w:szCs w:val="24"/>
        </w:rPr>
        <w:tab/>
        <w:t xml:space="preserve">Gramatica, P. &amp; Sangion, A. A Historical Excursus on the Statistical Validation Parameters for QSAR Models: A Clarification Concerning Metrics and Terminology. </w:t>
      </w:r>
      <w:r w:rsidRPr="00793E15">
        <w:rPr>
          <w:i/>
          <w:iCs/>
          <w:noProof/>
          <w:szCs w:val="24"/>
        </w:rPr>
        <w:t>Journal of Chemical Information and Modeling</w:t>
      </w:r>
      <w:r w:rsidRPr="00793E15">
        <w:rPr>
          <w:noProof/>
          <w:szCs w:val="24"/>
        </w:rPr>
        <w:t xml:space="preserve"> </w:t>
      </w:r>
      <w:r w:rsidRPr="00793E15">
        <w:rPr>
          <w:b/>
          <w:bCs/>
          <w:noProof/>
          <w:szCs w:val="24"/>
        </w:rPr>
        <w:t>56,</w:t>
      </w:r>
      <w:r w:rsidRPr="00793E15">
        <w:rPr>
          <w:noProof/>
          <w:szCs w:val="24"/>
        </w:rPr>
        <w:t xml:space="preserve"> 1127–1131 (2016).</w:t>
      </w:r>
    </w:p>
    <w:p w14:paraId="6C0386E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56.</w:t>
      </w:r>
      <w:r w:rsidRPr="00793E15">
        <w:rPr>
          <w:noProof/>
          <w:szCs w:val="24"/>
        </w:rPr>
        <w:tab/>
        <w:t xml:space="preserve">Gramatica, P. Principles of QSAR models validation: Internal and external. </w:t>
      </w:r>
      <w:r w:rsidRPr="00793E15">
        <w:rPr>
          <w:i/>
          <w:iCs/>
          <w:noProof/>
          <w:szCs w:val="24"/>
        </w:rPr>
        <w:t>QSAR and Combinatorial Science</w:t>
      </w:r>
      <w:r w:rsidRPr="00793E15">
        <w:rPr>
          <w:noProof/>
          <w:szCs w:val="24"/>
        </w:rPr>
        <w:t xml:space="preserve"> </w:t>
      </w:r>
      <w:r w:rsidRPr="00793E15">
        <w:rPr>
          <w:b/>
          <w:bCs/>
          <w:noProof/>
          <w:szCs w:val="24"/>
        </w:rPr>
        <w:t>26,</w:t>
      </w:r>
      <w:r w:rsidRPr="00793E15">
        <w:rPr>
          <w:noProof/>
          <w:szCs w:val="24"/>
        </w:rPr>
        <w:t xml:space="preserve"> 694–701 (2007).</w:t>
      </w:r>
    </w:p>
    <w:p w14:paraId="5E5A808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57.</w:t>
      </w:r>
      <w:r w:rsidRPr="00793E15">
        <w:rPr>
          <w:noProof/>
          <w:szCs w:val="24"/>
        </w:rPr>
        <w:tab/>
        <w:t xml:space="preserve">Tropsha, A., Gramatica, P. &amp; Gombar, V. The Importance of Being Earnest: Validation is the Absolute Essential for Successful Application and Interpretation of QSPR Models. </w:t>
      </w:r>
      <w:r w:rsidRPr="00793E15">
        <w:rPr>
          <w:i/>
          <w:iCs/>
          <w:noProof/>
          <w:szCs w:val="24"/>
        </w:rPr>
        <w:t>QSAR Comb. Sci.</w:t>
      </w:r>
      <w:r w:rsidRPr="00793E15">
        <w:rPr>
          <w:noProof/>
          <w:szCs w:val="24"/>
        </w:rPr>
        <w:t xml:space="preserve"> </w:t>
      </w:r>
      <w:r w:rsidRPr="00793E15">
        <w:rPr>
          <w:b/>
          <w:bCs/>
          <w:noProof/>
          <w:szCs w:val="24"/>
        </w:rPr>
        <w:t>22,</w:t>
      </w:r>
      <w:r w:rsidRPr="00793E15">
        <w:rPr>
          <w:noProof/>
          <w:szCs w:val="24"/>
        </w:rPr>
        <w:t xml:space="preserve"> 69–77 (2003).</w:t>
      </w:r>
    </w:p>
    <w:p w14:paraId="5102127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58.</w:t>
      </w:r>
      <w:r w:rsidRPr="00793E15">
        <w:rPr>
          <w:noProof/>
          <w:szCs w:val="24"/>
        </w:rPr>
        <w:tab/>
        <w:t xml:space="preserve">Roy, P. P. &amp; Roy, K. On Some Aspects of Variable Selection for Partial Least Squares Regression Models. </w:t>
      </w:r>
      <w:r w:rsidRPr="00793E15">
        <w:rPr>
          <w:i/>
          <w:iCs/>
          <w:noProof/>
          <w:szCs w:val="24"/>
        </w:rPr>
        <w:t>QSAR Comb. Sci.</w:t>
      </w:r>
      <w:r w:rsidRPr="00793E15">
        <w:rPr>
          <w:noProof/>
          <w:szCs w:val="24"/>
        </w:rPr>
        <w:t xml:space="preserve"> </w:t>
      </w:r>
      <w:r w:rsidRPr="00793E15">
        <w:rPr>
          <w:b/>
          <w:bCs/>
          <w:noProof/>
          <w:szCs w:val="24"/>
        </w:rPr>
        <w:t>27,</w:t>
      </w:r>
      <w:r w:rsidRPr="00793E15">
        <w:rPr>
          <w:noProof/>
          <w:szCs w:val="24"/>
        </w:rPr>
        <w:t xml:space="preserve"> 302–313 (2008).</w:t>
      </w:r>
    </w:p>
    <w:p w14:paraId="578B1B0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59.</w:t>
      </w:r>
      <w:r w:rsidRPr="00793E15">
        <w:rPr>
          <w:noProof/>
          <w:szCs w:val="24"/>
        </w:rPr>
        <w:tab/>
        <w:t xml:space="preserve">Chirico, N. &amp; Gramatica, P. Real external predictivity of QSAR models: How to evaluate It? Comparison of different validation criteria and proposal of using the concordance correlation coefficient. </w:t>
      </w:r>
      <w:r w:rsidRPr="00793E15">
        <w:rPr>
          <w:i/>
          <w:iCs/>
          <w:noProof/>
          <w:szCs w:val="24"/>
        </w:rPr>
        <w:t>J. Chem. Inf. Model.</w:t>
      </w:r>
      <w:r w:rsidRPr="00793E15">
        <w:rPr>
          <w:noProof/>
          <w:szCs w:val="24"/>
        </w:rPr>
        <w:t xml:space="preserve"> </w:t>
      </w:r>
      <w:r w:rsidRPr="00793E15">
        <w:rPr>
          <w:b/>
          <w:bCs/>
          <w:noProof/>
          <w:szCs w:val="24"/>
        </w:rPr>
        <w:t>51,</w:t>
      </w:r>
      <w:r w:rsidRPr="00793E15">
        <w:rPr>
          <w:noProof/>
          <w:szCs w:val="24"/>
        </w:rPr>
        <w:t xml:space="preserve"> 2320–2335 (2011).</w:t>
      </w:r>
    </w:p>
    <w:p w14:paraId="0E988D1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60.</w:t>
      </w:r>
      <w:r w:rsidRPr="00793E15">
        <w:rPr>
          <w:noProof/>
          <w:szCs w:val="24"/>
        </w:rPr>
        <w:tab/>
        <w:t xml:space="preserve">Chirico, N. &amp; Gramatica, P. Real external predictivity of QSAR models. Part 2. New intercomparable thresholds for different validation criteria and the need for scatter plot inspection. </w:t>
      </w:r>
      <w:r w:rsidRPr="00793E15">
        <w:rPr>
          <w:i/>
          <w:iCs/>
          <w:noProof/>
          <w:szCs w:val="24"/>
        </w:rPr>
        <w:t>J. Chem. Inf. Model.</w:t>
      </w:r>
      <w:r w:rsidRPr="00793E15">
        <w:rPr>
          <w:noProof/>
          <w:szCs w:val="24"/>
        </w:rPr>
        <w:t xml:space="preserve"> </w:t>
      </w:r>
      <w:r w:rsidRPr="00793E15">
        <w:rPr>
          <w:b/>
          <w:bCs/>
          <w:noProof/>
          <w:szCs w:val="24"/>
        </w:rPr>
        <w:t>52,</w:t>
      </w:r>
      <w:r w:rsidRPr="00793E15">
        <w:rPr>
          <w:noProof/>
          <w:szCs w:val="24"/>
        </w:rPr>
        <w:t xml:space="preserve"> 2044–2058 (2012).</w:t>
      </w:r>
    </w:p>
    <w:p w14:paraId="0D68C7D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61.</w:t>
      </w:r>
      <w:r w:rsidRPr="00793E15">
        <w:rPr>
          <w:noProof/>
          <w:szCs w:val="24"/>
        </w:rPr>
        <w:tab/>
        <w:t>Alexander, D. L. J., Tropsha, A. &amp; Winkler, D. A. Beware of R</w:t>
      </w:r>
      <w:r w:rsidRPr="00793E15">
        <w:rPr>
          <w:noProof/>
          <w:szCs w:val="24"/>
          <w:vertAlign w:val="superscript"/>
        </w:rPr>
        <w:t>2</w:t>
      </w:r>
      <w:r w:rsidRPr="00793E15">
        <w:rPr>
          <w:noProof/>
          <w:szCs w:val="24"/>
        </w:rPr>
        <w:t xml:space="preserve">: Simple, Unambiguous Assessment of the Prediction Accuracy of QSAR and QSPR Models. </w:t>
      </w:r>
      <w:r w:rsidRPr="00793E15">
        <w:rPr>
          <w:i/>
          <w:iCs/>
          <w:noProof/>
          <w:szCs w:val="24"/>
        </w:rPr>
        <w:t>J. Chem. Inf. Model.</w:t>
      </w:r>
      <w:r w:rsidRPr="00793E15">
        <w:rPr>
          <w:noProof/>
          <w:szCs w:val="24"/>
        </w:rPr>
        <w:t xml:space="preserve"> </w:t>
      </w:r>
      <w:r w:rsidRPr="00793E15">
        <w:rPr>
          <w:b/>
          <w:bCs/>
          <w:noProof/>
          <w:szCs w:val="24"/>
        </w:rPr>
        <w:t>55,</w:t>
      </w:r>
      <w:r w:rsidRPr="00793E15">
        <w:rPr>
          <w:noProof/>
          <w:szCs w:val="24"/>
        </w:rPr>
        <w:t xml:space="preserve"> 1316–1322 (2015).</w:t>
      </w:r>
    </w:p>
    <w:p w14:paraId="07C7C7A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62.</w:t>
      </w:r>
      <w:r w:rsidRPr="00793E15">
        <w:rPr>
          <w:noProof/>
          <w:szCs w:val="24"/>
        </w:rPr>
        <w:tab/>
        <w:t xml:space="preserve">Jaworska, J., Nikolova-Jeliazkova, N. &amp; Aldenberg, T. QSAR applicability domain estimation by projection of the training set in descriptor space: A review. </w:t>
      </w:r>
      <w:r w:rsidRPr="00793E15">
        <w:rPr>
          <w:i/>
          <w:iCs/>
          <w:noProof/>
          <w:szCs w:val="24"/>
        </w:rPr>
        <w:t>ATLA Alternatives to Laboratory Animals</w:t>
      </w:r>
      <w:r w:rsidRPr="00793E15">
        <w:rPr>
          <w:noProof/>
          <w:szCs w:val="24"/>
        </w:rPr>
        <w:t xml:space="preserve"> </w:t>
      </w:r>
      <w:r w:rsidRPr="00793E15">
        <w:rPr>
          <w:b/>
          <w:bCs/>
          <w:noProof/>
          <w:szCs w:val="24"/>
        </w:rPr>
        <w:t>33,</w:t>
      </w:r>
      <w:r w:rsidRPr="00793E15">
        <w:rPr>
          <w:noProof/>
          <w:szCs w:val="24"/>
        </w:rPr>
        <w:t xml:space="preserve"> 445–459 (2005).</w:t>
      </w:r>
    </w:p>
    <w:p w14:paraId="1642C96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63.</w:t>
      </w:r>
      <w:r w:rsidRPr="00793E15">
        <w:rPr>
          <w:noProof/>
          <w:szCs w:val="24"/>
        </w:rPr>
        <w:tab/>
        <w:t xml:space="preserve">Hristozov, D. </w:t>
      </w:r>
      <w:r w:rsidRPr="00793E15">
        <w:rPr>
          <w:i/>
          <w:iCs/>
          <w:noProof/>
          <w:szCs w:val="24"/>
        </w:rPr>
        <w:t>et al.</w:t>
      </w:r>
      <w:r w:rsidRPr="00793E15">
        <w:rPr>
          <w:noProof/>
          <w:szCs w:val="24"/>
        </w:rPr>
        <w:t xml:space="preserve"> Demonstration of a modelling-based multi-criteria decision analysis procedure for prioritisation of occupational risks from manufactured nanomaterials. </w:t>
      </w:r>
      <w:r w:rsidRPr="00793E15">
        <w:rPr>
          <w:i/>
          <w:iCs/>
          <w:noProof/>
          <w:szCs w:val="24"/>
        </w:rPr>
        <w:t>Nanotoxicology</w:t>
      </w:r>
      <w:r w:rsidRPr="00793E15">
        <w:rPr>
          <w:noProof/>
          <w:szCs w:val="24"/>
        </w:rPr>
        <w:t xml:space="preserve"> </w:t>
      </w:r>
      <w:r w:rsidRPr="00793E15">
        <w:rPr>
          <w:b/>
          <w:bCs/>
          <w:noProof/>
          <w:szCs w:val="24"/>
        </w:rPr>
        <w:t>10,</w:t>
      </w:r>
      <w:r w:rsidRPr="00793E15">
        <w:rPr>
          <w:noProof/>
          <w:szCs w:val="24"/>
        </w:rPr>
        <w:t xml:space="preserve"> 1215–1228 (2016).</w:t>
      </w:r>
    </w:p>
    <w:p w14:paraId="1B363530"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64.</w:t>
      </w:r>
      <w:r w:rsidRPr="00793E15">
        <w:rPr>
          <w:noProof/>
          <w:szCs w:val="24"/>
        </w:rPr>
        <w:tab/>
        <w:t xml:space="preserve">Sizochenko, N., Gajewicz, A., Leszczynski, J. &amp; Puzyn, T. Causation or only correlation? Application of causal inference graphs for evaluating causality in nano-QSAR models. </w:t>
      </w:r>
      <w:r w:rsidRPr="00793E15">
        <w:rPr>
          <w:i/>
          <w:iCs/>
          <w:noProof/>
          <w:szCs w:val="24"/>
        </w:rPr>
        <w:t>Nanoscale</w:t>
      </w:r>
      <w:r w:rsidRPr="00793E15">
        <w:rPr>
          <w:noProof/>
          <w:szCs w:val="24"/>
        </w:rPr>
        <w:t xml:space="preserve"> </w:t>
      </w:r>
      <w:r w:rsidRPr="00793E15">
        <w:rPr>
          <w:b/>
          <w:bCs/>
          <w:noProof/>
          <w:szCs w:val="24"/>
        </w:rPr>
        <w:t>8,</w:t>
      </w:r>
      <w:r w:rsidRPr="00793E15">
        <w:rPr>
          <w:noProof/>
          <w:szCs w:val="24"/>
        </w:rPr>
        <w:t xml:space="preserve"> 7203–7208 (2016).</w:t>
      </w:r>
    </w:p>
    <w:p w14:paraId="09A33D1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65.</w:t>
      </w:r>
      <w:r w:rsidRPr="00793E15">
        <w:rPr>
          <w:noProof/>
          <w:szCs w:val="24"/>
        </w:rPr>
        <w:tab/>
        <w:t xml:space="preserve">Sizochenko, N. </w:t>
      </w:r>
      <w:r w:rsidRPr="00793E15">
        <w:rPr>
          <w:i/>
          <w:iCs/>
          <w:noProof/>
          <w:szCs w:val="24"/>
        </w:rPr>
        <w:t>et al.</w:t>
      </w:r>
      <w:r w:rsidRPr="00793E15">
        <w:rPr>
          <w:noProof/>
          <w:szCs w:val="24"/>
        </w:rPr>
        <w:t xml:space="preserve"> Causal inference methods to assist in mechanistic interpretation of classification nano-SAR models. </w:t>
      </w:r>
      <w:r w:rsidRPr="00793E15">
        <w:rPr>
          <w:i/>
          <w:iCs/>
          <w:noProof/>
          <w:szCs w:val="24"/>
        </w:rPr>
        <w:t>RSC Adv.</w:t>
      </w:r>
      <w:r w:rsidRPr="00793E15">
        <w:rPr>
          <w:noProof/>
          <w:szCs w:val="24"/>
        </w:rPr>
        <w:t xml:space="preserve"> </w:t>
      </w:r>
      <w:r w:rsidRPr="00793E15">
        <w:rPr>
          <w:b/>
          <w:bCs/>
          <w:noProof/>
          <w:szCs w:val="24"/>
        </w:rPr>
        <w:t>5,</w:t>
      </w:r>
      <w:r w:rsidRPr="00793E15">
        <w:rPr>
          <w:noProof/>
          <w:szCs w:val="24"/>
        </w:rPr>
        <w:t xml:space="preserve"> 77739–77745 (2015).</w:t>
      </w:r>
    </w:p>
    <w:p w14:paraId="566A8BB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66.</w:t>
      </w:r>
      <w:r w:rsidRPr="00793E15">
        <w:rPr>
          <w:noProof/>
          <w:szCs w:val="24"/>
        </w:rPr>
        <w:tab/>
        <w:t xml:space="preserve">Panneerselvam, S. &amp; Choi, S. Nanoinformatics: Emerging databases and available tools. </w:t>
      </w:r>
      <w:r w:rsidRPr="00793E15">
        <w:rPr>
          <w:i/>
          <w:iCs/>
          <w:noProof/>
          <w:szCs w:val="24"/>
        </w:rPr>
        <w:t>Int. J. Mol. Sci.</w:t>
      </w:r>
      <w:r w:rsidRPr="00793E15">
        <w:rPr>
          <w:noProof/>
          <w:szCs w:val="24"/>
        </w:rPr>
        <w:t xml:space="preserve"> </w:t>
      </w:r>
      <w:r w:rsidRPr="00793E15">
        <w:rPr>
          <w:b/>
          <w:bCs/>
          <w:noProof/>
          <w:szCs w:val="24"/>
        </w:rPr>
        <w:t>15,</w:t>
      </w:r>
      <w:r w:rsidRPr="00793E15">
        <w:rPr>
          <w:noProof/>
          <w:szCs w:val="24"/>
        </w:rPr>
        <w:t xml:space="preserve"> 7158–7182 (2014).</w:t>
      </w:r>
    </w:p>
    <w:p w14:paraId="507EE3D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67.</w:t>
      </w:r>
      <w:r w:rsidRPr="00793E15">
        <w:rPr>
          <w:noProof/>
          <w:szCs w:val="24"/>
        </w:rPr>
        <w:tab/>
        <w:t xml:space="preserve">Kohonen, P. </w:t>
      </w:r>
      <w:r w:rsidRPr="00793E15">
        <w:rPr>
          <w:i/>
          <w:iCs/>
          <w:noProof/>
          <w:szCs w:val="24"/>
        </w:rPr>
        <w:t>et al.</w:t>
      </w:r>
      <w:r w:rsidRPr="00793E15">
        <w:rPr>
          <w:noProof/>
          <w:szCs w:val="24"/>
        </w:rPr>
        <w:t xml:space="preserve"> Cancer biology, toxicology and alternative methods development go hand-in-hand. </w:t>
      </w:r>
      <w:r w:rsidRPr="00793E15">
        <w:rPr>
          <w:i/>
          <w:iCs/>
          <w:noProof/>
          <w:szCs w:val="24"/>
        </w:rPr>
        <w:t>Basic Clin. Pharmacol. Toxicol.</w:t>
      </w:r>
      <w:r w:rsidRPr="00793E15">
        <w:rPr>
          <w:noProof/>
          <w:szCs w:val="24"/>
        </w:rPr>
        <w:t xml:space="preserve"> </w:t>
      </w:r>
      <w:r w:rsidRPr="00793E15">
        <w:rPr>
          <w:b/>
          <w:bCs/>
          <w:noProof/>
          <w:szCs w:val="24"/>
        </w:rPr>
        <w:t>115,</w:t>
      </w:r>
      <w:r w:rsidRPr="00793E15">
        <w:rPr>
          <w:noProof/>
          <w:szCs w:val="24"/>
        </w:rPr>
        <w:t xml:space="preserve"> 50–58 (2014).</w:t>
      </w:r>
    </w:p>
    <w:p w14:paraId="2EF697D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68.</w:t>
      </w:r>
      <w:r w:rsidRPr="00793E15">
        <w:rPr>
          <w:noProof/>
          <w:szCs w:val="24"/>
        </w:rPr>
        <w:tab/>
        <w:t xml:space="preserve">Jeliazkova, N. </w:t>
      </w:r>
      <w:r w:rsidRPr="00793E15">
        <w:rPr>
          <w:i/>
          <w:iCs/>
          <w:noProof/>
          <w:szCs w:val="24"/>
        </w:rPr>
        <w:t>et al.</w:t>
      </w:r>
      <w:r w:rsidRPr="00793E15">
        <w:rPr>
          <w:noProof/>
          <w:szCs w:val="24"/>
        </w:rPr>
        <w:t xml:space="preserve"> The first eNanoMapper prototype: A substance database to support safe-by-design. in </w:t>
      </w:r>
      <w:r w:rsidRPr="00793E15">
        <w:rPr>
          <w:i/>
          <w:iCs/>
          <w:noProof/>
          <w:szCs w:val="24"/>
        </w:rPr>
        <w:t>Proceedings - 2014 IEEE International Conference on Bioinformatics and Biomedicine, IEEE BIBM 2014</w:t>
      </w:r>
      <w:r w:rsidRPr="00793E15">
        <w:rPr>
          <w:noProof/>
          <w:szCs w:val="24"/>
        </w:rPr>
        <w:t xml:space="preserve"> 1–9 (2014). doi:10.1109/BIBM.2014.6999367</w:t>
      </w:r>
    </w:p>
    <w:p w14:paraId="452B5DC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69.</w:t>
      </w:r>
      <w:r w:rsidRPr="00793E15">
        <w:rPr>
          <w:noProof/>
          <w:szCs w:val="24"/>
        </w:rPr>
        <w:tab/>
        <w:t xml:space="preserve">Oksel, C., Ma, C. Y. &amp; Wang, X. Z. Current situation on the availability of nanostructure–biological activity data. </w:t>
      </w:r>
      <w:r w:rsidRPr="00793E15">
        <w:rPr>
          <w:i/>
          <w:iCs/>
          <w:noProof/>
          <w:szCs w:val="24"/>
        </w:rPr>
        <w:t>SAR QSAR Environ. Res.</w:t>
      </w:r>
      <w:r w:rsidRPr="00793E15">
        <w:rPr>
          <w:noProof/>
          <w:szCs w:val="24"/>
        </w:rPr>
        <w:t xml:space="preserve"> </w:t>
      </w:r>
      <w:r w:rsidRPr="00793E15">
        <w:rPr>
          <w:b/>
          <w:bCs/>
          <w:noProof/>
          <w:szCs w:val="24"/>
        </w:rPr>
        <w:t>26,</w:t>
      </w:r>
      <w:r w:rsidRPr="00793E15">
        <w:rPr>
          <w:noProof/>
          <w:szCs w:val="24"/>
        </w:rPr>
        <w:t xml:space="preserve"> 79–94 (2015).</w:t>
      </w:r>
    </w:p>
    <w:p w14:paraId="2BB8A8B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70.</w:t>
      </w:r>
      <w:r w:rsidRPr="00793E15">
        <w:rPr>
          <w:noProof/>
          <w:szCs w:val="24"/>
        </w:rPr>
        <w:tab/>
        <w:t xml:space="preserve">Hendren, C. O., Powers, C. M., Hoover, M. D. &amp; Harper, S. L. The Nanomaterial Data Curation Initiative: A collaborative approach to assessing, evaluating, and advancing the state of the field. </w:t>
      </w:r>
      <w:r w:rsidRPr="00793E15">
        <w:rPr>
          <w:i/>
          <w:iCs/>
          <w:noProof/>
          <w:szCs w:val="24"/>
        </w:rPr>
        <w:t>Beilstein J. Nanotechnol.</w:t>
      </w:r>
      <w:r w:rsidRPr="00793E15">
        <w:rPr>
          <w:noProof/>
          <w:szCs w:val="24"/>
        </w:rPr>
        <w:t xml:space="preserve"> </w:t>
      </w:r>
      <w:r w:rsidRPr="00793E15">
        <w:rPr>
          <w:b/>
          <w:bCs/>
          <w:noProof/>
          <w:szCs w:val="24"/>
        </w:rPr>
        <w:t>6,</w:t>
      </w:r>
      <w:r w:rsidRPr="00793E15">
        <w:rPr>
          <w:noProof/>
          <w:szCs w:val="24"/>
        </w:rPr>
        <w:t xml:space="preserve"> 1752–1762 (2015).</w:t>
      </w:r>
    </w:p>
    <w:p w14:paraId="662DCBD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71.</w:t>
      </w:r>
      <w:r w:rsidRPr="00793E15">
        <w:rPr>
          <w:noProof/>
          <w:szCs w:val="24"/>
        </w:rPr>
        <w:tab/>
        <w:t xml:space="preserve">Powers, C. M. </w:t>
      </w:r>
      <w:r w:rsidRPr="00793E15">
        <w:rPr>
          <w:i/>
          <w:iCs/>
          <w:noProof/>
          <w:szCs w:val="24"/>
        </w:rPr>
        <w:t>et al.</w:t>
      </w:r>
      <w:r w:rsidRPr="00793E15">
        <w:rPr>
          <w:noProof/>
          <w:szCs w:val="24"/>
        </w:rPr>
        <w:t xml:space="preserve"> Nanocuration workflows: Establishing best practices for identifying, inputting, and sharing data to inform decisions on nanomaterials. </w:t>
      </w:r>
      <w:r w:rsidRPr="00793E15">
        <w:rPr>
          <w:i/>
          <w:iCs/>
          <w:noProof/>
          <w:szCs w:val="24"/>
        </w:rPr>
        <w:t>Beilstein J. Nanotechnol.</w:t>
      </w:r>
      <w:r w:rsidRPr="00793E15">
        <w:rPr>
          <w:noProof/>
          <w:szCs w:val="24"/>
        </w:rPr>
        <w:t xml:space="preserve"> </w:t>
      </w:r>
      <w:r w:rsidRPr="00793E15">
        <w:rPr>
          <w:b/>
          <w:bCs/>
          <w:noProof/>
          <w:szCs w:val="24"/>
        </w:rPr>
        <w:t>6,</w:t>
      </w:r>
      <w:r w:rsidRPr="00793E15">
        <w:rPr>
          <w:noProof/>
          <w:szCs w:val="24"/>
        </w:rPr>
        <w:t xml:space="preserve"> 1860–1871 (2015).</w:t>
      </w:r>
    </w:p>
    <w:p w14:paraId="05F138D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72.</w:t>
      </w:r>
      <w:r w:rsidRPr="00793E15">
        <w:rPr>
          <w:noProof/>
          <w:szCs w:val="24"/>
        </w:rPr>
        <w:tab/>
        <w:t xml:space="preserve">Marchese Robinson, R. L. </w:t>
      </w:r>
      <w:r w:rsidRPr="00793E15">
        <w:rPr>
          <w:i/>
          <w:iCs/>
          <w:noProof/>
          <w:szCs w:val="24"/>
        </w:rPr>
        <w:t>et al.</w:t>
      </w:r>
      <w:r w:rsidRPr="00793E15">
        <w:rPr>
          <w:noProof/>
          <w:szCs w:val="24"/>
        </w:rPr>
        <w:t xml:space="preserve"> How should the completeness and quality of curated nanomaterial data be evaluated? </w:t>
      </w:r>
      <w:r w:rsidRPr="00793E15">
        <w:rPr>
          <w:i/>
          <w:iCs/>
          <w:noProof/>
          <w:szCs w:val="24"/>
        </w:rPr>
        <w:t>Nanoscale</w:t>
      </w:r>
      <w:r w:rsidRPr="00793E15">
        <w:rPr>
          <w:noProof/>
          <w:szCs w:val="24"/>
        </w:rPr>
        <w:t xml:space="preserve"> </w:t>
      </w:r>
      <w:r w:rsidRPr="00793E15">
        <w:rPr>
          <w:b/>
          <w:bCs/>
          <w:noProof/>
          <w:szCs w:val="24"/>
        </w:rPr>
        <w:t>8,</w:t>
      </w:r>
      <w:r w:rsidRPr="00793E15">
        <w:rPr>
          <w:noProof/>
          <w:szCs w:val="24"/>
        </w:rPr>
        <w:t xml:space="preserve"> 9919–9943 (2016).</w:t>
      </w:r>
    </w:p>
    <w:p w14:paraId="121E6C1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73.</w:t>
      </w:r>
      <w:r w:rsidRPr="00793E15">
        <w:rPr>
          <w:noProof/>
          <w:szCs w:val="24"/>
        </w:rPr>
        <w:tab/>
        <w:t xml:space="preserve">Thomas, D. G. </w:t>
      </w:r>
      <w:r w:rsidRPr="00793E15">
        <w:rPr>
          <w:i/>
          <w:iCs/>
          <w:noProof/>
          <w:szCs w:val="24"/>
        </w:rPr>
        <w:t>et al.</w:t>
      </w:r>
      <w:r w:rsidRPr="00793E15">
        <w:rPr>
          <w:noProof/>
          <w:szCs w:val="24"/>
        </w:rPr>
        <w:t xml:space="preserve"> ISA-TAB-Nano: A Specification for Sharing Nanomaterial Research Data in Spreadsheet-based Format. </w:t>
      </w:r>
      <w:r w:rsidRPr="00793E15">
        <w:rPr>
          <w:i/>
          <w:iCs/>
          <w:noProof/>
          <w:szCs w:val="24"/>
        </w:rPr>
        <w:t>BMC Biotechnol.</w:t>
      </w:r>
      <w:r w:rsidRPr="00793E15">
        <w:rPr>
          <w:noProof/>
          <w:szCs w:val="24"/>
        </w:rPr>
        <w:t xml:space="preserve"> </w:t>
      </w:r>
      <w:r w:rsidRPr="00793E15">
        <w:rPr>
          <w:b/>
          <w:bCs/>
          <w:noProof/>
          <w:szCs w:val="24"/>
        </w:rPr>
        <w:t>13,</w:t>
      </w:r>
      <w:r w:rsidRPr="00793E15">
        <w:rPr>
          <w:noProof/>
          <w:szCs w:val="24"/>
        </w:rPr>
        <w:t xml:space="preserve"> 2 (2013).</w:t>
      </w:r>
    </w:p>
    <w:p w14:paraId="342696D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74.</w:t>
      </w:r>
      <w:r w:rsidRPr="00793E15">
        <w:rPr>
          <w:noProof/>
          <w:szCs w:val="24"/>
        </w:rPr>
        <w:tab/>
        <w:t xml:space="preserve">Thomas, D. G., Pappu, R. V. &amp; Baker, N. A. NanoParticle Ontology for cancer nanotechnology research. </w:t>
      </w:r>
      <w:r w:rsidRPr="00793E15">
        <w:rPr>
          <w:i/>
          <w:iCs/>
          <w:noProof/>
          <w:szCs w:val="24"/>
        </w:rPr>
        <w:t>J. Biomed. Inform.</w:t>
      </w:r>
      <w:r w:rsidRPr="00793E15">
        <w:rPr>
          <w:noProof/>
          <w:szCs w:val="24"/>
        </w:rPr>
        <w:t xml:space="preserve"> (2011). doi:10.1016/j.jbi.2010.03.001</w:t>
      </w:r>
    </w:p>
    <w:p w14:paraId="477564B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75.</w:t>
      </w:r>
      <w:r w:rsidRPr="00793E15">
        <w:rPr>
          <w:noProof/>
          <w:szCs w:val="24"/>
        </w:rPr>
        <w:tab/>
        <w:t xml:space="preserve">Karcher, S. </w:t>
      </w:r>
      <w:r w:rsidRPr="00793E15">
        <w:rPr>
          <w:i/>
          <w:iCs/>
          <w:noProof/>
          <w:szCs w:val="24"/>
        </w:rPr>
        <w:t>et al.</w:t>
      </w:r>
      <w:r w:rsidRPr="00793E15">
        <w:rPr>
          <w:noProof/>
          <w:szCs w:val="24"/>
        </w:rPr>
        <w:t xml:space="preserve"> Integration among databases and data sets to support productive nanotechnology: Challenges and recommendations. </w:t>
      </w:r>
      <w:r w:rsidRPr="00793E15">
        <w:rPr>
          <w:i/>
          <w:iCs/>
          <w:noProof/>
          <w:szCs w:val="24"/>
        </w:rPr>
        <w:t>NanoImpact</w:t>
      </w:r>
      <w:r w:rsidRPr="00793E15">
        <w:rPr>
          <w:noProof/>
          <w:szCs w:val="24"/>
        </w:rPr>
        <w:t xml:space="preserve"> (2018). doi:10.1016/j.impact.2017.11.002</w:t>
      </w:r>
    </w:p>
    <w:p w14:paraId="7DA5733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76.</w:t>
      </w:r>
      <w:r w:rsidRPr="00793E15">
        <w:rPr>
          <w:noProof/>
          <w:szCs w:val="24"/>
        </w:rPr>
        <w:tab/>
        <w:t xml:space="preserve">Mills, K. C., Murry, D., Guzan, K. A. &amp; Ostraat, M. L. Nanomaterial registry: Database that captures the minimal information about nanomaterial physico-chemical characteristics. </w:t>
      </w:r>
      <w:r w:rsidRPr="00793E15">
        <w:rPr>
          <w:i/>
          <w:iCs/>
          <w:noProof/>
          <w:szCs w:val="24"/>
        </w:rPr>
        <w:t>J. Nanoparticle Res.</w:t>
      </w:r>
      <w:r w:rsidRPr="00793E15">
        <w:rPr>
          <w:noProof/>
          <w:szCs w:val="24"/>
        </w:rPr>
        <w:t xml:space="preserve"> (2014). doi:10.1007/s11051-013-2219-8</w:t>
      </w:r>
    </w:p>
    <w:p w14:paraId="4F4190F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77.</w:t>
      </w:r>
      <w:r w:rsidRPr="00793E15">
        <w:rPr>
          <w:noProof/>
          <w:szCs w:val="24"/>
        </w:rPr>
        <w:tab/>
        <w:t xml:space="preserve">George, S. </w:t>
      </w:r>
      <w:r w:rsidRPr="00793E15">
        <w:rPr>
          <w:i/>
          <w:iCs/>
          <w:noProof/>
          <w:szCs w:val="24"/>
        </w:rPr>
        <w:t>et al.</w:t>
      </w:r>
      <w:r w:rsidRPr="00793E15">
        <w:rPr>
          <w:noProof/>
          <w:szCs w:val="24"/>
        </w:rPr>
        <w:t xml:space="preserve"> Use of a high-throughput screening approach coupled with in vivo zebrafish embryo screening to develop hazard ranking for engineered nanomaterials. </w:t>
      </w:r>
      <w:r w:rsidRPr="00793E15">
        <w:rPr>
          <w:i/>
          <w:iCs/>
          <w:noProof/>
          <w:szCs w:val="24"/>
        </w:rPr>
        <w:t>ACS Nano</w:t>
      </w:r>
      <w:r w:rsidRPr="00793E15">
        <w:rPr>
          <w:noProof/>
          <w:szCs w:val="24"/>
        </w:rPr>
        <w:t xml:space="preserve"> </w:t>
      </w:r>
      <w:r w:rsidRPr="00793E15">
        <w:rPr>
          <w:b/>
          <w:bCs/>
          <w:noProof/>
          <w:szCs w:val="24"/>
        </w:rPr>
        <w:t>5,</w:t>
      </w:r>
      <w:r w:rsidRPr="00793E15">
        <w:rPr>
          <w:noProof/>
          <w:szCs w:val="24"/>
        </w:rPr>
        <w:t xml:space="preserve"> 1805–1817 (2011).</w:t>
      </w:r>
    </w:p>
    <w:p w14:paraId="2163565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78.</w:t>
      </w:r>
      <w:r w:rsidRPr="00793E15">
        <w:rPr>
          <w:noProof/>
          <w:szCs w:val="24"/>
        </w:rPr>
        <w:tab/>
        <w:t xml:space="preserve">George, S. </w:t>
      </w:r>
      <w:r w:rsidRPr="00793E15">
        <w:rPr>
          <w:i/>
          <w:iCs/>
          <w:noProof/>
          <w:szCs w:val="24"/>
        </w:rPr>
        <w:t>et al.</w:t>
      </w:r>
      <w:r w:rsidRPr="00793E15">
        <w:rPr>
          <w:noProof/>
          <w:szCs w:val="24"/>
        </w:rPr>
        <w:t xml:space="preserve"> Use of a rapid cytotoxicity screening approach to engineer a safer zinc oxide nanoparticle through iron doping. </w:t>
      </w:r>
      <w:r w:rsidRPr="00793E15">
        <w:rPr>
          <w:i/>
          <w:iCs/>
          <w:noProof/>
          <w:szCs w:val="24"/>
        </w:rPr>
        <w:t>ACS Nano</w:t>
      </w:r>
      <w:r w:rsidRPr="00793E15">
        <w:rPr>
          <w:noProof/>
          <w:szCs w:val="24"/>
        </w:rPr>
        <w:t xml:space="preserve"> (2010). doi:10.1021/nn901503q</w:t>
      </w:r>
    </w:p>
    <w:p w14:paraId="7AF3C55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79.</w:t>
      </w:r>
      <w:r w:rsidRPr="00793E15">
        <w:rPr>
          <w:noProof/>
          <w:szCs w:val="24"/>
        </w:rPr>
        <w:tab/>
        <w:t xml:space="preserve">Zhang, H. </w:t>
      </w:r>
      <w:r w:rsidRPr="00793E15">
        <w:rPr>
          <w:i/>
          <w:iCs/>
          <w:noProof/>
          <w:szCs w:val="24"/>
        </w:rPr>
        <w:t>et al.</w:t>
      </w:r>
      <w:r w:rsidRPr="00793E15">
        <w:rPr>
          <w:noProof/>
          <w:szCs w:val="24"/>
        </w:rPr>
        <w:t xml:space="preserve"> Use of metal oxide nanoparticle band gap to develop a predictive paradigm for oxidative stress and acute pulmonary inflammation. </w:t>
      </w:r>
      <w:r w:rsidRPr="00793E15">
        <w:rPr>
          <w:i/>
          <w:iCs/>
          <w:noProof/>
          <w:szCs w:val="24"/>
        </w:rPr>
        <w:t>ACS Nano</w:t>
      </w:r>
      <w:r w:rsidRPr="00793E15">
        <w:rPr>
          <w:noProof/>
          <w:szCs w:val="24"/>
        </w:rPr>
        <w:t xml:space="preserve"> </w:t>
      </w:r>
      <w:r w:rsidRPr="00793E15">
        <w:rPr>
          <w:b/>
          <w:bCs/>
          <w:noProof/>
          <w:szCs w:val="24"/>
        </w:rPr>
        <w:t>6,</w:t>
      </w:r>
      <w:r w:rsidRPr="00793E15">
        <w:rPr>
          <w:noProof/>
          <w:szCs w:val="24"/>
        </w:rPr>
        <w:t xml:space="preserve"> 4349–4368 (2012).</w:t>
      </w:r>
    </w:p>
    <w:p w14:paraId="74E7230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80.</w:t>
      </w:r>
      <w:r w:rsidRPr="00793E15">
        <w:rPr>
          <w:noProof/>
          <w:szCs w:val="24"/>
        </w:rPr>
        <w:tab/>
        <w:t xml:space="preserve">Chen, R. </w:t>
      </w:r>
      <w:r w:rsidRPr="00793E15">
        <w:rPr>
          <w:i/>
          <w:iCs/>
          <w:noProof/>
          <w:szCs w:val="24"/>
        </w:rPr>
        <w:t>et al.</w:t>
      </w:r>
      <w:r w:rsidRPr="00793E15">
        <w:rPr>
          <w:noProof/>
          <w:szCs w:val="24"/>
        </w:rPr>
        <w:t xml:space="preserve"> Nanoparticle surface characterization and clustering through concentration-dependent surface adsorption modeling. </w:t>
      </w:r>
      <w:r w:rsidRPr="00793E15">
        <w:rPr>
          <w:i/>
          <w:iCs/>
          <w:noProof/>
          <w:szCs w:val="24"/>
        </w:rPr>
        <w:t>ACS Nano</w:t>
      </w:r>
      <w:r w:rsidRPr="00793E15">
        <w:rPr>
          <w:noProof/>
          <w:szCs w:val="24"/>
        </w:rPr>
        <w:t xml:space="preserve"> </w:t>
      </w:r>
      <w:r w:rsidRPr="00793E15">
        <w:rPr>
          <w:b/>
          <w:bCs/>
          <w:noProof/>
          <w:szCs w:val="24"/>
        </w:rPr>
        <w:t>8,</w:t>
      </w:r>
      <w:r w:rsidRPr="00793E15">
        <w:rPr>
          <w:noProof/>
          <w:szCs w:val="24"/>
        </w:rPr>
        <w:t xml:space="preserve"> 9446–56 (2014).</w:t>
      </w:r>
    </w:p>
    <w:p w14:paraId="62379DD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81.</w:t>
      </w:r>
      <w:r w:rsidRPr="00793E15">
        <w:rPr>
          <w:noProof/>
          <w:szCs w:val="24"/>
        </w:rPr>
        <w:tab/>
        <w:t xml:space="preserve">Xia, X. R., Monteiro-Riviere, N. A. &amp; Riviere, J. E. An index for characterization of nanomaterials in biological systems. </w:t>
      </w:r>
      <w:r w:rsidRPr="00793E15">
        <w:rPr>
          <w:i/>
          <w:iCs/>
          <w:noProof/>
          <w:szCs w:val="24"/>
        </w:rPr>
        <w:t>Nat. Nanotechnol.</w:t>
      </w:r>
      <w:r w:rsidRPr="00793E15">
        <w:rPr>
          <w:noProof/>
          <w:szCs w:val="24"/>
        </w:rPr>
        <w:t xml:space="preserve"> (2010). doi:10.1038/nnano.2010.164</w:t>
      </w:r>
    </w:p>
    <w:p w14:paraId="0AAEC99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82.</w:t>
      </w:r>
      <w:r w:rsidRPr="00793E15">
        <w:rPr>
          <w:noProof/>
          <w:szCs w:val="24"/>
        </w:rPr>
        <w:tab/>
        <w:t xml:space="preserve">Liu, R. </w:t>
      </w:r>
      <w:r w:rsidRPr="00793E15">
        <w:rPr>
          <w:i/>
          <w:iCs/>
          <w:noProof/>
          <w:szCs w:val="24"/>
        </w:rPr>
        <w:t>et al.</w:t>
      </w:r>
      <w:r w:rsidRPr="00793E15">
        <w:rPr>
          <w:noProof/>
          <w:szCs w:val="24"/>
        </w:rPr>
        <w:t xml:space="preserve"> Evaluation of Toxicity Ranking for Metal Oxide Nanoparticles via an in Vitro Dosimetry Model. </w:t>
      </w:r>
      <w:r w:rsidRPr="00793E15">
        <w:rPr>
          <w:i/>
          <w:iCs/>
          <w:noProof/>
          <w:szCs w:val="24"/>
        </w:rPr>
        <w:t>ACS Nano</w:t>
      </w:r>
      <w:r w:rsidRPr="00793E15">
        <w:rPr>
          <w:noProof/>
          <w:szCs w:val="24"/>
        </w:rPr>
        <w:t xml:space="preserve"> </w:t>
      </w:r>
      <w:r w:rsidRPr="00793E15">
        <w:rPr>
          <w:b/>
          <w:bCs/>
          <w:noProof/>
          <w:szCs w:val="24"/>
        </w:rPr>
        <w:t>9,</w:t>
      </w:r>
      <w:r w:rsidRPr="00793E15">
        <w:rPr>
          <w:noProof/>
          <w:szCs w:val="24"/>
        </w:rPr>
        <w:t xml:space="preserve"> 9303–13 (2015).</w:t>
      </w:r>
    </w:p>
    <w:p w14:paraId="6E77D40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83.</w:t>
      </w:r>
      <w:r w:rsidRPr="00793E15">
        <w:rPr>
          <w:noProof/>
          <w:szCs w:val="24"/>
        </w:rPr>
        <w:tab/>
        <w:t xml:space="preserve">Gajewicz, A. </w:t>
      </w:r>
      <w:r w:rsidRPr="00793E15">
        <w:rPr>
          <w:i/>
          <w:iCs/>
          <w:noProof/>
          <w:szCs w:val="24"/>
        </w:rPr>
        <w:t>et al.</w:t>
      </w:r>
      <w:r w:rsidRPr="00793E15">
        <w:rPr>
          <w:noProof/>
          <w:szCs w:val="24"/>
        </w:rPr>
        <w:t xml:space="preserve"> Towards understanding mechanisms governing cytotoxicity of metal oxides nanoparticles: Hints from nano-QSAR studies. </w:t>
      </w:r>
      <w:r w:rsidRPr="00793E15">
        <w:rPr>
          <w:i/>
          <w:iCs/>
          <w:noProof/>
          <w:szCs w:val="24"/>
        </w:rPr>
        <w:t>Nanotoxicology</w:t>
      </w:r>
      <w:r w:rsidRPr="00793E15">
        <w:rPr>
          <w:noProof/>
          <w:szCs w:val="24"/>
        </w:rPr>
        <w:t xml:space="preserve"> </w:t>
      </w:r>
      <w:r w:rsidRPr="00793E15">
        <w:rPr>
          <w:b/>
          <w:bCs/>
          <w:noProof/>
          <w:szCs w:val="24"/>
        </w:rPr>
        <w:t>9,</w:t>
      </w:r>
      <w:r w:rsidRPr="00793E15">
        <w:rPr>
          <w:noProof/>
          <w:szCs w:val="24"/>
        </w:rPr>
        <w:t xml:space="preserve"> 313–325 (2015).</w:t>
      </w:r>
    </w:p>
    <w:p w14:paraId="060E29A0"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84.</w:t>
      </w:r>
      <w:r w:rsidRPr="00793E15">
        <w:rPr>
          <w:noProof/>
          <w:szCs w:val="24"/>
        </w:rPr>
        <w:tab/>
        <w:t xml:space="preserve">Helma, C., Rautenberg, M. &amp; Gebele, D. Nano-Lazar: Read across predictions for nanoparticle toxicities with calculated and measured properties. </w:t>
      </w:r>
      <w:r w:rsidRPr="00793E15">
        <w:rPr>
          <w:i/>
          <w:iCs/>
          <w:noProof/>
          <w:szCs w:val="24"/>
        </w:rPr>
        <w:t>Front. Pharmacol.</w:t>
      </w:r>
      <w:r w:rsidRPr="00793E15">
        <w:rPr>
          <w:noProof/>
          <w:szCs w:val="24"/>
        </w:rPr>
        <w:t xml:space="preserve"> (2017). doi:10.3389/fphar.2017.00377</w:t>
      </w:r>
    </w:p>
    <w:p w14:paraId="685F963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85.</w:t>
      </w:r>
      <w:r w:rsidRPr="00793E15">
        <w:rPr>
          <w:noProof/>
          <w:szCs w:val="24"/>
        </w:rPr>
        <w:tab/>
        <w:t xml:space="preserve">Walkey, C. D. </w:t>
      </w:r>
      <w:r w:rsidRPr="00793E15">
        <w:rPr>
          <w:i/>
          <w:iCs/>
          <w:noProof/>
          <w:szCs w:val="24"/>
        </w:rPr>
        <w:t>et al.</w:t>
      </w:r>
      <w:r w:rsidRPr="00793E15">
        <w:rPr>
          <w:noProof/>
          <w:szCs w:val="24"/>
        </w:rPr>
        <w:t xml:space="preserve"> Protein corona fingerprinting predicts the cellular interaction of gold and silver nanoparticles. </w:t>
      </w:r>
      <w:r w:rsidRPr="00793E15">
        <w:rPr>
          <w:i/>
          <w:iCs/>
          <w:noProof/>
          <w:szCs w:val="24"/>
        </w:rPr>
        <w:t>ACS Nano</w:t>
      </w:r>
      <w:r w:rsidRPr="00793E15">
        <w:rPr>
          <w:noProof/>
          <w:szCs w:val="24"/>
        </w:rPr>
        <w:t xml:space="preserve"> </w:t>
      </w:r>
      <w:r w:rsidRPr="00793E15">
        <w:rPr>
          <w:b/>
          <w:bCs/>
          <w:noProof/>
          <w:szCs w:val="24"/>
        </w:rPr>
        <w:t>8,</w:t>
      </w:r>
      <w:r w:rsidRPr="00793E15">
        <w:rPr>
          <w:noProof/>
          <w:szCs w:val="24"/>
        </w:rPr>
        <w:t xml:space="preserve"> 2439–2455 (2014).</w:t>
      </w:r>
    </w:p>
    <w:p w14:paraId="3611E96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86.</w:t>
      </w:r>
      <w:r w:rsidRPr="00793E15">
        <w:rPr>
          <w:noProof/>
          <w:szCs w:val="24"/>
        </w:rPr>
        <w:tab/>
        <w:t xml:space="preserve">Varsou, D. D. </w:t>
      </w:r>
      <w:r w:rsidRPr="00793E15">
        <w:rPr>
          <w:i/>
          <w:iCs/>
          <w:noProof/>
          <w:szCs w:val="24"/>
        </w:rPr>
        <w:t>et al.</w:t>
      </w:r>
      <w:r w:rsidRPr="00793E15">
        <w:rPr>
          <w:noProof/>
          <w:szCs w:val="24"/>
        </w:rPr>
        <w:t xml:space="preserve"> ToxFlow: A Web-Based Application for Read-Across Toxicity Prediction Using Omics and Physicochemical Data. </w:t>
      </w:r>
      <w:r w:rsidRPr="00793E15">
        <w:rPr>
          <w:i/>
          <w:iCs/>
          <w:noProof/>
          <w:szCs w:val="24"/>
        </w:rPr>
        <w:t>J. Chem. Inf. Model.</w:t>
      </w:r>
      <w:r w:rsidRPr="00793E15">
        <w:rPr>
          <w:noProof/>
          <w:szCs w:val="24"/>
        </w:rPr>
        <w:t xml:space="preserve"> (2018). doi:10.1021/acs.jcim.7b00160</w:t>
      </w:r>
    </w:p>
    <w:p w14:paraId="6834348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87.</w:t>
      </w:r>
      <w:r w:rsidRPr="00793E15">
        <w:rPr>
          <w:noProof/>
          <w:szCs w:val="24"/>
        </w:rPr>
        <w:tab/>
        <w:t xml:space="preserve">Sizochenko, N. </w:t>
      </w:r>
      <w:r w:rsidRPr="00793E15">
        <w:rPr>
          <w:i/>
          <w:iCs/>
          <w:noProof/>
          <w:szCs w:val="24"/>
        </w:rPr>
        <w:t>et al.</w:t>
      </w:r>
      <w:r w:rsidRPr="00793E15">
        <w:rPr>
          <w:noProof/>
          <w:szCs w:val="24"/>
        </w:rPr>
        <w:t xml:space="preserve"> How the toxicity of nanomaterials towards different species could be simultaneously evaluated: A novel multi-nano-read-across approach. </w:t>
      </w:r>
      <w:r w:rsidRPr="00793E15">
        <w:rPr>
          <w:i/>
          <w:iCs/>
          <w:noProof/>
          <w:szCs w:val="24"/>
        </w:rPr>
        <w:t>Nanoscale</w:t>
      </w:r>
      <w:r w:rsidRPr="00793E15">
        <w:rPr>
          <w:noProof/>
          <w:szCs w:val="24"/>
        </w:rPr>
        <w:t xml:space="preserve"> </w:t>
      </w:r>
      <w:r w:rsidRPr="00793E15">
        <w:rPr>
          <w:b/>
          <w:bCs/>
          <w:noProof/>
          <w:szCs w:val="24"/>
        </w:rPr>
        <w:t>10,</w:t>
      </w:r>
      <w:r w:rsidRPr="00793E15">
        <w:rPr>
          <w:noProof/>
          <w:szCs w:val="24"/>
        </w:rPr>
        <w:t xml:space="preserve"> 582–591 (2018).</w:t>
      </w:r>
    </w:p>
    <w:p w14:paraId="35D0725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88.</w:t>
      </w:r>
      <w:r w:rsidRPr="00793E15">
        <w:rPr>
          <w:noProof/>
          <w:szCs w:val="24"/>
        </w:rPr>
        <w:tab/>
        <w:t xml:space="preserve">Pathakoti, K., Huang, M. J., Watts, J. D., He, X. &amp; Hwang, H. M. Using experimental data of Escherichia coli to develop a QSAR model for predicting the photo-induced cytotoxicity of metal oxide nanoparticles. </w:t>
      </w:r>
      <w:r w:rsidRPr="00793E15">
        <w:rPr>
          <w:i/>
          <w:iCs/>
          <w:noProof/>
          <w:szCs w:val="24"/>
        </w:rPr>
        <w:t>J. Photochem. Photobiol. B Biol.</w:t>
      </w:r>
      <w:r w:rsidRPr="00793E15">
        <w:rPr>
          <w:noProof/>
          <w:szCs w:val="24"/>
        </w:rPr>
        <w:t xml:space="preserve"> </w:t>
      </w:r>
      <w:r w:rsidRPr="00793E15">
        <w:rPr>
          <w:b/>
          <w:bCs/>
          <w:noProof/>
          <w:szCs w:val="24"/>
        </w:rPr>
        <w:t>130,</w:t>
      </w:r>
      <w:r w:rsidRPr="00793E15">
        <w:rPr>
          <w:noProof/>
          <w:szCs w:val="24"/>
        </w:rPr>
        <w:t xml:space="preserve"> 234–240 (2014).</w:t>
      </w:r>
    </w:p>
    <w:p w14:paraId="18BF562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89.</w:t>
      </w:r>
      <w:r w:rsidRPr="00793E15">
        <w:rPr>
          <w:noProof/>
          <w:szCs w:val="24"/>
        </w:rPr>
        <w:tab/>
        <w:t xml:space="preserve">Wang, D., Gao, Y., Lin, Z., Yao, Z. &amp; Zhang, W. The joint effects on Photobacterium phosphoreum of metal oxide nanoparticles and their most likely coexisting chemicals in the environment. </w:t>
      </w:r>
      <w:r w:rsidRPr="00793E15">
        <w:rPr>
          <w:i/>
          <w:iCs/>
          <w:noProof/>
          <w:szCs w:val="24"/>
        </w:rPr>
        <w:t>Aquat. Toxicol.</w:t>
      </w:r>
      <w:r w:rsidRPr="00793E15">
        <w:rPr>
          <w:noProof/>
          <w:szCs w:val="24"/>
        </w:rPr>
        <w:t xml:space="preserve"> (2014). doi:10.1016/j.aquatox.2014.05.023</w:t>
      </w:r>
    </w:p>
    <w:p w14:paraId="7F58511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90.</w:t>
      </w:r>
      <w:r w:rsidRPr="00793E15">
        <w:rPr>
          <w:noProof/>
          <w:szCs w:val="24"/>
        </w:rPr>
        <w:tab/>
        <w:t xml:space="preserve">Kaweeteerawat, C. </w:t>
      </w:r>
      <w:r w:rsidRPr="00793E15">
        <w:rPr>
          <w:i/>
          <w:iCs/>
          <w:noProof/>
          <w:szCs w:val="24"/>
        </w:rPr>
        <w:t>et al.</w:t>
      </w:r>
      <w:r w:rsidRPr="00793E15">
        <w:rPr>
          <w:noProof/>
          <w:szCs w:val="24"/>
        </w:rPr>
        <w:t xml:space="preserve"> Toxicity of metal oxide nanoparticles in Escherichia coli correlates with conduction band and hydration energies. </w:t>
      </w:r>
      <w:r w:rsidRPr="00793E15">
        <w:rPr>
          <w:i/>
          <w:iCs/>
          <w:noProof/>
          <w:szCs w:val="24"/>
        </w:rPr>
        <w:t>Environ. Sci. Technol.</w:t>
      </w:r>
      <w:r w:rsidRPr="00793E15">
        <w:rPr>
          <w:noProof/>
          <w:szCs w:val="24"/>
        </w:rPr>
        <w:t xml:space="preserve"> (2015). doi:10.1021/es504259s</w:t>
      </w:r>
    </w:p>
    <w:p w14:paraId="7A2B80B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91.</w:t>
      </w:r>
      <w:r w:rsidRPr="00793E15">
        <w:rPr>
          <w:noProof/>
          <w:szCs w:val="24"/>
        </w:rPr>
        <w:tab/>
        <w:t xml:space="preserve">Aruoja, V. </w:t>
      </w:r>
      <w:r w:rsidRPr="00793E15">
        <w:rPr>
          <w:i/>
          <w:iCs/>
          <w:noProof/>
          <w:szCs w:val="24"/>
        </w:rPr>
        <w:t>et al.</w:t>
      </w:r>
      <w:r w:rsidRPr="00793E15">
        <w:rPr>
          <w:noProof/>
          <w:szCs w:val="24"/>
        </w:rPr>
        <w:t xml:space="preserve"> Toxicity of 12 metal-based nanoparticles to algae, bacteria and protozoa. </w:t>
      </w:r>
      <w:r w:rsidRPr="00793E15">
        <w:rPr>
          <w:i/>
          <w:iCs/>
          <w:noProof/>
          <w:szCs w:val="24"/>
        </w:rPr>
        <w:t>Environ. Sci. Nano</w:t>
      </w:r>
      <w:r w:rsidRPr="00793E15">
        <w:rPr>
          <w:noProof/>
          <w:szCs w:val="24"/>
        </w:rPr>
        <w:t xml:space="preserve"> (2015). doi:10.1039/c5en00057b</w:t>
      </w:r>
    </w:p>
    <w:p w14:paraId="71F5266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92.</w:t>
      </w:r>
      <w:r w:rsidRPr="00793E15">
        <w:rPr>
          <w:noProof/>
          <w:szCs w:val="24"/>
        </w:rPr>
        <w:tab/>
        <w:t xml:space="preserve">Titma, T., Shimmo, R., Siigur, J. &amp; Kahru, A. Toxicity of antimony, copper, cobalt, manganese, titanium and zinc oxide nanoparticles for the alveolar and intestinal epithelial barrier cells in vitro. </w:t>
      </w:r>
      <w:r w:rsidRPr="00793E15">
        <w:rPr>
          <w:i/>
          <w:iCs/>
          <w:noProof/>
          <w:szCs w:val="24"/>
        </w:rPr>
        <w:t>Cytotechnology</w:t>
      </w:r>
      <w:r w:rsidRPr="00793E15">
        <w:rPr>
          <w:noProof/>
          <w:szCs w:val="24"/>
        </w:rPr>
        <w:t xml:space="preserve"> (2016). doi:10.1007/s10616-016-0032-9</w:t>
      </w:r>
    </w:p>
    <w:p w14:paraId="64CFDD8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93.</w:t>
      </w:r>
      <w:r w:rsidRPr="00793E15">
        <w:rPr>
          <w:noProof/>
          <w:szCs w:val="24"/>
        </w:rPr>
        <w:tab/>
        <w:t xml:space="preserve">Lamon, L. </w:t>
      </w:r>
      <w:r w:rsidRPr="00793E15">
        <w:rPr>
          <w:i/>
          <w:iCs/>
          <w:noProof/>
          <w:szCs w:val="24"/>
        </w:rPr>
        <w:t>et al.</w:t>
      </w:r>
      <w:r w:rsidRPr="00793E15">
        <w:rPr>
          <w:noProof/>
          <w:szCs w:val="24"/>
        </w:rPr>
        <w:t xml:space="preserve"> Grouping of nanomaterials to read-across hazard endpoints: from data collection to assessment of the grouping hypothesis by application of chemoinformatic techniques. </w:t>
      </w:r>
      <w:r w:rsidRPr="00793E15">
        <w:rPr>
          <w:i/>
          <w:iCs/>
          <w:noProof/>
          <w:szCs w:val="24"/>
        </w:rPr>
        <w:t>Part. Fibre Toxicol.</w:t>
      </w:r>
      <w:r w:rsidRPr="00793E15">
        <w:rPr>
          <w:noProof/>
          <w:szCs w:val="24"/>
        </w:rPr>
        <w:t xml:space="preserve"> </w:t>
      </w:r>
      <w:r w:rsidRPr="00793E15">
        <w:rPr>
          <w:b/>
          <w:bCs/>
          <w:noProof/>
          <w:szCs w:val="24"/>
        </w:rPr>
        <w:t>15,</w:t>
      </w:r>
      <w:r w:rsidRPr="00793E15">
        <w:rPr>
          <w:noProof/>
          <w:szCs w:val="24"/>
        </w:rPr>
        <w:t xml:space="preserve"> 37 (2018).</w:t>
      </w:r>
    </w:p>
    <w:p w14:paraId="1571FA8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94.</w:t>
      </w:r>
      <w:r w:rsidRPr="00793E15">
        <w:rPr>
          <w:noProof/>
          <w:szCs w:val="24"/>
        </w:rPr>
        <w:tab/>
        <w:t xml:space="preserve">OECD. </w:t>
      </w:r>
      <w:r w:rsidRPr="00793E15">
        <w:rPr>
          <w:i/>
          <w:iCs/>
          <w:noProof/>
          <w:szCs w:val="24"/>
        </w:rPr>
        <w:t>Titanium dioxide dossier (NM100-NM105)</w:t>
      </w:r>
      <w:r w:rsidRPr="00793E15">
        <w:rPr>
          <w:noProof/>
          <w:szCs w:val="24"/>
        </w:rPr>
        <w:t>. (2015).</w:t>
      </w:r>
    </w:p>
    <w:p w14:paraId="50A4E44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95.</w:t>
      </w:r>
      <w:r w:rsidRPr="00793E15">
        <w:rPr>
          <w:noProof/>
          <w:szCs w:val="24"/>
        </w:rPr>
        <w:tab/>
        <w:t xml:space="preserve">Guichard, Y. </w:t>
      </w:r>
      <w:r w:rsidRPr="00793E15">
        <w:rPr>
          <w:i/>
          <w:iCs/>
          <w:noProof/>
          <w:szCs w:val="24"/>
        </w:rPr>
        <w:t>et al.</w:t>
      </w:r>
      <w:r w:rsidRPr="00793E15">
        <w:rPr>
          <w:noProof/>
          <w:szCs w:val="24"/>
        </w:rPr>
        <w:t xml:space="preserve"> Cytotoxicity and Genotoxicity of Nanosized and Microsized Titanium Dioxide and Iron Oxide Particles in Syrian Hamster Embryo Cells. </w:t>
      </w:r>
      <w:r w:rsidRPr="00793E15">
        <w:rPr>
          <w:i/>
          <w:iCs/>
          <w:noProof/>
          <w:szCs w:val="24"/>
        </w:rPr>
        <w:t>Ann. Occup. Hyg.</w:t>
      </w:r>
      <w:r w:rsidRPr="00793E15">
        <w:rPr>
          <w:noProof/>
          <w:szCs w:val="24"/>
        </w:rPr>
        <w:t xml:space="preserve"> </w:t>
      </w:r>
      <w:r w:rsidRPr="00793E15">
        <w:rPr>
          <w:b/>
          <w:bCs/>
          <w:noProof/>
          <w:szCs w:val="24"/>
        </w:rPr>
        <w:t>56,</w:t>
      </w:r>
      <w:r w:rsidRPr="00793E15">
        <w:rPr>
          <w:noProof/>
          <w:szCs w:val="24"/>
        </w:rPr>
        <w:t xml:space="preserve"> 631–644 (2012).</w:t>
      </w:r>
    </w:p>
    <w:p w14:paraId="60D5A24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96.</w:t>
      </w:r>
      <w:r w:rsidRPr="00793E15">
        <w:rPr>
          <w:noProof/>
          <w:szCs w:val="24"/>
        </w:rPr>
        <w:tab/>
        <w:t xml:space="preserve">NanoGenoTox Joint Action. </w:t>
      </w:r>
      <w:r w:rsidRPr="00793E15">
        <w:rPr>
          <w:i/>
          <w:iCs/>
          <w:noProof/>
          <w:szCs w:val="24"/>
        </w:rPr>
        <w:t>NANOGENOTOX Final report. Facilitating the safety evaluation of manufactured nanomaterials by characterising their potential genotoxic hazard</w:t>
      </w:r>
      <w:r w:rsidRPr="00793E15">
        <w:rPr>
          <w:noProof/>
          <w:szCs w:val="24"/>
        </w:rPr>
        <w:t>. (2013).</w:t>
      </w:r>
    </w:p>
    <w:p w14:paraId="7EC0342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97.</w:t>
      </w:r>
      <w:r w:rsidRPr="00793E15">
        <w:rPr>
          <w:noProof/>
          <w:szCs w:val="24"/>
        </w:rPr>
        <w:tab/>
        <w:t xml:space="preserve">Aschberger, K. </w:t>
      </w:r>
      <w:r w:rsidRPr="00793E15">
        <w:rPr>
          <w:i/>
          <w:iCs/>
          <w:noProof/>
          <w:szCs w:val="24"/>
        </w:rPr>
        <w:t>et al.</w:t>
      </w:r>
      <w:r w:rsidRPr="00793E15">
        <w:rPr>
          <w:noProof/>
          <w:szCs w:val="24"/>
        </w:rPr>
        <w:t xml:space="preserve"> Grouping of multi-walled carbon nanotubes to read-across genotoxicity: A case study to evaluate the applicability of regulatory guidance. </w:t>
      </w:r>
      <w:r w:rsidRPr="00793E15">
        <w:rPr>
          <w:i/>
          <w:iCs/>
          <w:noProof/>
          <w:szCs w:val="24"/>
        </w:rPr>
        <w:t>Comput. Toxicol.</w:t>
      </w:r>
      <w:r w:rsidRPr="00793E15">
        <w:rPr>
          <w:noProof/>
          <w:szCs w:val="24"/>
        </w:rPr>
        <w:t xml:space="preserve"> </w:t>
      </w:r>
      <w:r w:rsidRPr="00793E15">
        <w:rPr>
          <w:b/>
          <w:bCs/>
          <w:noProof/>
          <w:szCs w:val="24"/>
        </w:rPr>
        <w:t>9,</w:t>
      </w:r>
      <w:r w:rsidRPr="00793E15">
        <w:rPr>
          <w:noProof/>
          <w:szCs w:val="24"/>
        </w:rPr>
        <w:t xml:space="preserve"> 22–35 (2019).</w:t>
      </w:r>
    </w:p>
    <w:p w14:paraId="2E9D56E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98.</w:t>
      </w:r>
      <w:r w:rsidRPr="00793E15">
        <w:rPr>
          <w:noProof/>
          <w:szCs w:val="24"/>
        </w:rPr>
        <w:tab/>
        <w:t xml:space="preserve">Nantasenamat, C., Isarankura-Na-Ayudhya, C., Naenna, T. &amp; Prachayasittikul, V. A practical overview of quantitative structure-activity relationship. </w:t>
      </w:r>
      <w:r w:rsidRPr="00793E15">
        <w:rPr>
          <w:i/>
          <w:iCs/>
          <w:noProof/>
          <w:szCs w:val="24"/>
        </w:rPr>
        <w:t>EXCLI Journal</w:t>
      </w:r>
      <w:r w:rsidRPr="00793E15">
        <w:rPr>
          <w:noProof/>
          <w:szCs w:val="24"/>
        </w:rPr>
        <w:t xml:space="preserve"> </w:t>
      </w:r>
      <w:r w:rsidRPr="00793E15">
        <w:rPr>
          <w:b/>
          <w:bCs/>
          <w:noProof/>
          <w:szCs w:val="24"/>
        </w:rPr>
        <w:t>8,</w:t>
      </w:r>
      <w:r w:rsidRPr="00793E15">
        <w:rPr>
          <w:noProof/>
          <w:szCs w:val="24"/>
        </w:rPr>
        <w:t xml:space="preserve"> 74–88 (2009).</w:t>
      </w:r>
    </w:p>
    <w:p w14:paraId="651C495D"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99.</w:t>
      </w:r>
      <w:r w:rsidRPr="00793E15">
        <w:rPr>
          <w:noProof/>
          <w:szCs w:val="24"/>
        </w:rPr>
        <w:tab/>
        <w:t xml:space="preserve">Verma, J., Khedkar, V. M. &amp; Coutinho, E. C. 3D-QSAR in drug design--a review. </w:t>
      </w:r>
      <w:r w:rsidRPr="00793E15">
        <w:rPr>
          <w:i/>
          <w:iCs/>
          <w:noProof/>
          <w:szCs w:val="24"/>
        </w:rPr>
        <w:t>Curr. Top. Med. Chem.</w:t>
      </w:r>
      <w:r w:rsidRPr="00793E15">
        <w:rPr>
          <w:noProof/>
          <w:szCs w:val="24"/>
        </w:rPr>
        <w:t xml:space="preserve"> </w:t>
      </w:r>
      <w:r w:rsidRPr="00793E15">
        <w:rPr>
          <w:b/>
          <w:bCs/>
          <w:noProof/>
          <w:szCs w:val="24"/>
        </w:rPr>
        <w:t>10,</w:t>
      </w:r>
      <w:r w:rsidRPr="00793E15">
        <w:rPr>
          <w:noProof/>
          <w:szCs w:val="24"/>
        </w:rPr>
        <w:t xml:space="preserve"> 95–115 (2010).</w:t>
      </w:r>
    </w:p>
    <w:p w14:paraId="0937666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100.</w:t>
      </w:r>
      <w:r w:rsidRPr="00793E15">
        <w:rPr>
          <w:noProof/>
          <w:szCs w:val="24"/>
        </w:rPr>
        <w:tab/>
        <w:t xml:space="preserve">Fourches, D. </w:t>
      </w:r>
      <w:r w:rsidRPr="00793E15">
        <w:rPr>
          <w:i/>
          <w:iCs/>
          <w:noProof/>
          <w:szCs w:val="24"/>
        </w:rPr>
        <w:t>et al.</w:t>
      </w:r>
      <w:r w:rsidRPr="00793E15">
        <w:rPr>
          <w:noProof/>
          <w:szCs w:val="24"/>
        </w:rPr>
        <w:t xml:space="preserve"> Quantitative Nanostructure−Activity Relationship Modeling. </w:t>
      </w:r>
      <w:r w:rsidRPr="00793E15">
        <w:rPr>
          <w:i/>
          <w:iCs/>
          <w:noProof/>
          <w:szCs w:val="24"/>
        </w:rPr>
        <w:t>ACS Nano</w:t>
      </w:r>
      <w:r w:rsidRPr="00793E15">
        <w:rPr>
          <w:noProof/>
          <w:szCs w:val="24"/>
        </w:rPr>
        <w:t xml:space="preserve"> </w:t>
      </w:r>
      <w:r w:rsidRPr="00793E15">
        <w:rPr>
          <w:b/>
          <w:bCs/>
          <w:noProof/>
          <w:szCs w:val="24"/>
        </w:rPr>
        <w:t>4,</w:t>
      </w:r>
      <w:r w:rsidRPr="00793E15">
        <w:rPr>
          <w:noProof/>
          <w:szCs w:val="24"/>
        </w:rPr>
        <w:t xml:space="preserve"> 5703–5712 (2010).</w:t>
      </w:r>
    </w:p>
    <w:p w14:paraId="2D5F58CD"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101.</w:t>
      </w:r>
      <w:r w:rsidRPr="00793E15">
        <w:rPr>
          <w:noProof/>
          <w:szCs w:val="24"/>
        </w:rPr>
        <w:tab/>
        <w:t xml:space="preserve">Shaw, S. Y. </w:t>
      </w:r>
      <w:r w:rsidRPr="00793E15">
        <w:rPr>
          <w:i/>
          <w:iCs/>
          <w:noProof/>
          <w:szCs w:val="24"/>
        </w:rPr>
        <w:t>et al.</w:t>
      </w:r>
      <w:r w:rsidRPr="00793E15">
        <w:rPr>
          <w:noProof/>
          <w:szCs w:val="24"/>
        </w:rPr>
        <w:t xml:space="preserve"> Perturbational profiling of nanomaterial biologic activity. </w:t>
      </w:r>
      <w:r w:rsidRPr="00793E15">
        <w:rPr>
          <w:i/>
          <w:iCs/>
          <w:noProof/>
          <w:szCs w:val="24"/>
        </w:rPr>
        <w:t>Proc. Natl. Acad. Sci.</w:t>
      </w:r>
      <w:r w:rsidRPr="00793E15">
        <w:rPr>
          <w:noProof/>
          <w:szCs w:val="24"/>
        </w:rPr>
        <w:t xml:space="preserve"> </w:t>
      </w:r>
      <w:r w:rsidRPr="00793E15">
        <w:rPr>
          <w:b/>
          <w:bCs/>
          <w:noProof/>
          <w:szCs w:val="24"/>
        </w:rPr>
        <w:t>105,</w:t>
      </w:r>
      <w:r w:rsidRPr="00793E15">
        <w:rPr>
          <w:noProof/>
          <w:szCs w:val="24"/>
        </w:rPr>
        <w:t xml:space="preserve"> 7387–7392 (2008).</w:t>
      </w:r>
    </w:p>
    <w:p w14:paraId="3DDE87D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102.</w:t>
      </w:r>
      <w:r w:rsidRPr="00793E15">
        <w:rPr>
          <w:noProof/>
          <w:szCs w:val="24"/>
        </w:rPr>
        <w:tab/>
        <w:t xml:space="preserve">Weissleder, R., Kelly, K., Sun, E. Y., Shtatland, T. &amp; Josephson, L. Cell-specific targeting of nanoparticles by multivalent attachment of small molecules. </w:t>
      </w:r>
      <w:r w:rsidRPr="00793E15">
        <w:rPr>
          <w:i/>
          <w:iCs/>
          <w:noProof/>
          <w:szCs w:val="24"/>
        </w:rPr>
        <w:t>Nat. Biotechnol.</w:t>
      </w:r>
      <w:r w:rsidRPr="00793E15">
        <w:rPr>
          <w:noProof/>
          <w:szCs w:val="24"/>
        </w:rPr>
        <w:t xml:space="preserve"> </w:t>
      </w:r>
      <w:r w:rsidRPr="00793E15">
        <w:rPr>
          <w:b/>
          <w:bCs/>
          <w:noProof/>
          <w:szCs w:val="24"/>
        </w:rPr>
        <w:t>23,</w:t>
      </w:r>
      <w:r w:rsidRPr="00793E15">
        <w:rPr>
          <w:noProof/>
          <w:szCs w:val="24"/>
        </w:rPr>
        <w:t xml:space="preserve"> 1418–1423 (2005).</w:t>
      </w:r>
    </w:p>
    <w:p w14:paraId="1D0E150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103.</w:t>
      </w:r>
      <w:r w:rsidRPr="00793E15">
        <w:rPr>
          <w:noProof/>
          <w:szCs w:val="24"/>
        </w:rPr>
        <w:tab/>
        <w:t xml:space="preserve">Burello, E. &amp; Worth, A. P. A theoretical framework for predicting the oxidative stress potential of oxide nanoparticles. </w:t>
      </w:r>
      <w:r w:rsidRPr="00793E15">
        <w:rPr>
          <w:i/>
          <w:iCs/>
          <w:noProof/>
          <w:szCs w:val="24"/>
        </w:rPr>
        <w:t>Nanotoxicology</w:t>
      </w:r>
      <w:r w:rsidRPr="00793E15">
        <w:rPr>
          <w:noProof/>
          <w:szCs w:val="24"/>
        </w:rPr>
        <w:t xml:space="preserve"> (2011). doi:10.3109/17435390.2010.502980</w:t>
      </w:r>
    </w:p>
    <w:p w14:paraId="40488F4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104.</w:t>
      </w:r>
      <w:r w:rsidRPr="00793E15">
        <w:rPr>
          <w:noProof/>
          <w:szCs w:val="24"/>
        </w:rPr>
        <w:tab/>
        <w:t xml:space="preserve">Sayes, C. &amp; Ivanov, I. Comparative Study of Predictive Computational Models for Nanoparticle-Induced Cytotoxicity. </w:t>
      </w:r>
      <w:r w:rsidRPr="00793E15">
        <w:rPr>
          <w:i/>
          <w:iCs/>
          <w:noProof/>
          <w:szCs w:val="24"/>
        </w:rPr>
        <w:t>Risk Anal.</w:t>
      </w:r>
      <w:r w:rsidRPr="00793E15">
        <w:rPr>
          <w:noProof/>
          <w:szCs w:val="24"/>
        </w:rPr>
        <w:t xml:space="preserve"> </w:t>
      </w:r>
      <w:r w:rsidRPr="00793E15">
        <w:rPr>
          <w:b/>
          <w:bCs/>
          <w:noProof/>
          <w:szCs w:val="24"/>
        </w:rPr>
        <w:t>30,</w:t>
      </w:r>
      <w:r w:rsidRPr="00793E15">
        <w:rPr>
          <w:noProof/>
          <w:szCs w:val="24"/>
        </w:rPr>
        <w:t xml:space="preserve"> 1723–1734 (2010).</w:t>
      </w:r>
    </w:p>
    <w:p w14:paraId="3AAE187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105.</w:t>
      </w:r>
      <w:r w:rsidRPr="00793E15">
        <w:rPr>
          <w:noProof/>
          <w:szCs w:val="24"/>
        </w:rPr>
        <w:tab/>
        <w:t xml:space="preserve">Liu, R. </w:t>
      </w:r>
      <w:r w:rsidRPr="00793E15">
        <w:rPr>
          <w:i/>
          <w:iCs/>
          <w:noProof/>
          <w:szCs w:val="24"/>
        </w:rPr>
        <w:t>et al.</w:t>
      </w:r>
      <w:r w:rsidRPr="00793E15">
        <w:rPr>
          <w:noProof/>
          <w:szCs w:val="24"/>
        </w:rPr>
        <w:t xml:space="preserve"> Classification NanoSAR development for cytotoxicity of metal oxide nanoparticles. </w:t>
      </w:r>
      <w:r w:rsidRPr="00793E15">
        <w:rPr>
          <w:i/>
          <w:iCs/>
          <w:noProof/>
          <w:szCs w:val="24"/>
        </w:rPr>
        <w:t>Small</w:t>
      </w:r>
      <w:r w:rsidRPr="00793E15">
        <w:rPr>
          <w:noProof/>
          <w:szCs w:val="24"/>
        </w:rPr>
        <w:t xml:space="preserve"> </w:t>
      </w:r>
      <w:r w:rsidRPr="00793E15">
        <w:rPr>
          <w:b/>
          <w:bCs/>
          <w:noProof/>
          <w:szCs w:val="24"/>
        </w:rPr>
        <w:t>7,</w:t>
      </w:r>
      <w:r w:rsidRPr="00793E15">
        <w:rPr>
          <w:noProof/>
          <w:szCs w:val="24"/>
        </w:rPr>
        <w:t xml:space="preserve"> 1118–1126 (2011).</w:t>
      </w:r>
    </w:p>
    <w:p w14:paraId="43EDA6D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106.</w:t>
      </w:r>
      <w:r w:rsidRPr="00793E15">
        <w:rPr>
          <w:noProof/>
          <w:szCs w:val="24"/>
        </w:rPr>
        <w:tab/>
        <w:t xml:space="preserve">Epa, V. C. </w:t>
      </w:r>
      <w:r w:rsidRPr="00793E15">
        <w:rPr>
          <w:i/>
          <w:iCs/>
          <w:noProof/>
          <w:szCs w:val="24"/>
        </w:rPr>
        <w:t>et al.</w:t>
      </w:r>
      <w:r w:rsidRPr="00793E15">
        <w:rPr>
          <w:noProof/>
          <w:szCs w:val="24"/>
        </w:rPr>
        <w:t xml:space="preserve"> Modeling biological activities of nanoparticles. </w:t>
      </w:r>
      <w:r w:rsidRPr="00793E15">
        <w:rPr>
          <w:i/>
          <w:iCs/>
          <w:noProof/>
          <w:szCs w:val="24"/>
        </w:rPr>
        <w:t>Nano Lett.</w:t>
      </w:r>
      <w:r w:rsidRPr="00793E15">
        <w:rPr>
          <w:noProof/>
          <w:szCs w:val="24"/>
        </w:rPr>
        <w:t xml:space="preserve"> </w:t>
      </w:r>
      <w:r w:rsidRPr="00793E15">
        <w:rPr>
          <w:b/>
          <w:bCs/>
          <w:noProof/>
          <w:szCs w:val="24"/>
        </w:rPr>
        <w:t>12,</w:t>
      </w:r>
      <w:r w:rsidRPr="00793E15">
        <w:rPr>
          <w:noProof/>
          <w:szCs w:val="24"/>
        </w:rPr>
        <w:t xml:space="preserve"> 5808–5812 (2012).</w:t>
      </w:r>
    </w:p>
    <w:p w14:paraId="0F26212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107.</w:t>
      </w:r>
      <w:r w:rsidRPr="00793E15">
        <w:rPr>
          <w:noProof/>
          <w:szCs w:val="24"/>
        </w:rPr>
        <w:tab/>
        <w:t xml:space="preserve">Toropov, A. A. </w:t>
      </w:r>
      <w:r w:rsidRPr="00793E15">
        <w:rPr>
          <w:i/>
          <w:iCs/>
          <w:noProof/>
          <w:szCs w:val="24"/>
        </w:rPr>
        <w:t>et al.</w:t>
      </w:r>
      <w:r w:rsidRPr="00793E15">
        <w:rPr>
          <w:noProof/>
          <w:szCs w:val="24"/>
        </w:rPr>
        <w:t xml:space="preserve"> Novel application of the CORAL software to model cytotoxicity of metal oxide nanoparticles to bacteria Escherichia coli. </w:t>
      </w:r>
      <w:r w:rsidRPr="00793E15">
        <w:rPr>
          <w:i/>
          <w:iCs/>
          <w:noProof/>
          <w:szCs w:val="24"/>
        </w:rPr>
        <w:t>Chemosphere</w:t>
      </w:r>
      <w:r w:rsidRPr="00793E15">
        <w:rPr>
          <w:noProof/>
          <w:szCs w:val="24"/>
        </w:rPr>
        <w:t xml:space="preserve"> </w:t>
      </w:r>
      <w:r w:rsidRPr="00793E15">
        <w:rPr>
          <w:b/>
          <w:bCs/>
          <w:noProof/>
          <w:szCs w:val="24"/>
        </w:rPr>
        <w:t>89,</w:t>
      </w:r>
      <w:r w:rsidRPr="00793E15">
        <w:rPr>
          <w:noProof/>
          <w:szCs w:val="24"/>
        </w:rPr>
        <w:t xml:space="preserve"> 1098–1102 (2012).</w:t>
      </w:r>
    </w:p>
    <w:p w14:paraId="44D2C4F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108.</w:t>
      </w:r>
      <w:r w:rsidRPr="00793E15">
        <w:rPr>
          <w:noProof/>
          <w:szCs w:val="24"/>
        </w:rPr>
        <w:tab/>
        <w:t xml:space="preserve">Toropov, A. A., Toropova, A. P., Benfenati, E., Leszczynska, D. &amp; Leszczynski, J. SMILES-based optimal descriptors: QSAR analysis of fullerene-based HIV-1 PR inhibitors by means of balance of correlations. </w:t>
      </w:r>
      <w:r w:rsidRPr="00793E15">
        <w:rPr>
          <w:i/>
          <w:iCs/>
          <w:noProof/>
          <w:szCs w:val="24"/>
        </w:rPr>
        <w:t>J. Comput. Chem.</w:t>
      </w:r>
      <w:r w:rsidRPr="00793E15">
        <w:rPr>
          <w:noProof/>
          <w:szCs w:val="24"/>
        </w:rPr>
        <w:t xml:space="preserve"> </w:t>
      </w:r>
      <w:r w:rsidRPr="00793E15">
        <w:rPr>
          <w:b/>
          <w:bCs/>
          <w:noProof/>
          <w:szCs w:val="24"/>
        </w:rPr>
        <w:t>31,</w:t>
      </w:r>
      <w:r w:rsidRPr="00793E15">
        <w:rPr>
          <w:noProof/>
          <w:szCs w:val="24"/>
        </w:rPr>
        <w:t xml:space="preserve"> 381–392 (2010).</w:t>
      </w:r>
    </w:p>
    <w:p w14:paraId="64DAEB8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109.</w:t>
      </w:r>
      <w:r w:rsidRPr="00793E15">
        <w:rPr>
          <w:noProof/>
          <w:szCs w:val="24"/>
        </w:rPr>
        <w:tab/>
        <w:t xml:space="preserve">Chau, Y. T. &amp; Yap, C. W. Quantitative Nanostructure-Activity Relationship modelling of nanoparticles. </w:t>
      </w:r>
      <w:r w:rsidRPr="00793E15">
        <w:rPr>
          <w:i/>
          <w:iCs/>
          <w:noProof/>
          <w:szCs w:val="24"/>
        </w:rPr>
        <w:t>RSC Adv.</w:t>
      </w:r>
      <w:r w:rsidRPr="00793E15">
        <w:rPr>
          <w:noProof/>
          <w:szCs w:val="24"/>
        </w:rPr>
        <w:t xml:space="preserve"> (2012). doi:10.1039/c2ra21489j</w:t>
      </w:r>
    </w:p>
    <w:p w14:paraId="3D89A16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110.</w:t>
      </w:r>
      <w:r w:rsidRPr="00793E15">
        <w:rPr>
          <w:noProof/>
          <w:szCs w:val="24"/>
        </w:rPr>
        <w:tab/>
        <w:t xml:space="preserve">Ghorbanzadeh, M., Fatemi, M. H. &amp; Karimpour, M. Modeling the Cellular Uptake of Magnetofluorescent Nanoparticles in Pancreatic Cancer Cells: A Quantitative Structure Activity Relationship Study. </w:t>
      </w:r>
      <w:r w:rsidRPr="00793E15">
        <w:rPr>
          <w:i/>
          <w:iCs/>
          <w:noProof/>
          <w:szCs w:val="24"/>
        </w:rPr>
        <w:t>Ind. Eng. Chem. Res.</w:t>
      </w:r>
      <w:r w:rsidRPr="00793E15">
        <w:rPr>
          <w:noProof/>
          <w:szCs w:val="24"/>
        </w:rPr>
        <w:t xml:space="preserve"> (2012). doi:10.1021/ie3006947</w:t>
      </w:r>
    </w:p>
    <w:p w14:paraId="6402020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111.</w:t>
      </w:r>
      <w:r w:rsidRPr="00793E15">
        <w:rPr>
          <w:noProof/>
          <w:szCs w:val="24"/>
        </w:rPr>
        <w:tab/>
        <w:t xml:space="preserve">Shao, C. Y. </w:t>
      </w:r>
      <w:r w:rsidRPr="00793E15">
        <w:rPr>
          <w:i/>
          <w:iCs/>
          <w:noProof/>
          <w:szCs w:val="24"/>
        </w:rPr>
        <w:t>et al.</w:t>
      </w:r>
      <w:r w:rsidRPr="00793E15">
        <w:rPr>
          <w:noProof/>
          <w:szCs w:val="24"/>
        </w:rPr>
        <w:t xml:space="preserve"> Dependence of QSAR models on the selection of trial descriptor sets: A demonstration using nanotoxicity endpoints of decorated nanotubes. </w:t>
      </w:r>
      <w:r w:rsidRPr="00793E15">
        <w:rPr>
          <w:i/>
          <w:iCs/>
          <w:noProof/>
          <w:szCs w:val="24"/>
        </w:rPr>
        <w:t>J. Chem. Inf. Model.</w:t>
      </w:r>
      <w:r w:rsidRPr="00793E15">
        <w:rPr>
          <w:noProof/>
          <w:szCs w:val="24"/>
        </w:rPr>
        <w:t xml:space="preserve"> (2013). doi:10.1021/ci3005308</w:t>
      </w:r>
    </w:p>
    <w:p w14:paraId="3C157C7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112.</w:t>
      </w:r>
      <w:r w:rsidRPr="00793E15">
        <w:rPr>
          <w:noProof/>
          <w:szCs w:val="24"/>
        </w:rPr>
        <w:tab/>
        <w:t xml:space="preserve">Zhou, H. </w:t>
      </w:r>
      <w:r w:rsidRPr="00793E15">
        <w:rPr>
          <w:i/>
          <w:iCs/>
          <w:noProof/>
          <w:szCs w:val="24"/>
        </w:rPr>
        <w:t>et al.</w:t>
      </w:r>
      <w:r w:rsidRPr="00793E15">
        <w:rPr>
          <w:noProof/>
          <w:szCs w:val="24"/>
        </w:rPr>
        <w:t xml:space="preserve"> A nano-combinatorial library strategy for the discovery of nanotubes with reduced protein-binding, cytotoxicity, and immune response. </w:t>
      </w:r>
      <w:r w:rsidRPr="00793E15">
        <w:rPr>
          <w:i/>
          <w:iCs/>
          <w:noProof/>
          <w:szCs w:val="24"/>
        </w:rPr>
        <w:t>Nano Lett.</w:t>
      </w:r>
      <w:r w:rsidRPr="00793E15">
        <w:rPr>
          <w:noProof/>
          <w:szCs w:val="24"/>
        </w:rPr>
        <w:t xml:space="preserve"> </w:t>
      </w:r>
      <w:r w:rsidRPr="00793E15">
        <w:rPr>
          <w:b/>
          <w:bCs/>
          <w:noProof/>
          <w:szCs w:val="24"/>
        </w:rPr>
        <w:t>8,</w:t>
      </w:r>
      <w:r w:rsidRPr="00793E15">
        <w:rPr>
          <w:noProof/>
          <w:szCs w:val="24"/>
        </w:rPr>
        <w:t xml:space="preserve"> 859–865 (2008).</w:t>
      </w:r>
    </w:p>
    <w:p w14:paraId="1F54057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113.</w:t>
      </w:r>
      <w:r w:rsidRPr="00793E15">
        <w:rPr>
          <w:noProof/>
          <w:szCs w:val="24"/>
        </w:rPr>
        <w:tab/>
        <w:t xml:space="preserve">Liu, R. </w:t>
      </w:r>
      <w:r w:rsidRPr="00793E15">
        <w:rPr>
          <w:i/>
          <w:iCs/>
          <w:noProof/>
          <w:szCs w:val="24"/>
        </w:rPr>
        <w:t>et al.</w:t>
      </w:r>
      <w:r w:rsidRPr="00793E15">
        <w:rPr>
          <w:noProof/>
          <w:szCs w:val="24"/>
        </w:rPr>
        <w:t xml:space="preserve"> Development of structure-activity relationship for metal oxide nanoparticles. </w:t>
      </w:r>
      <w:r w:rsidRPr="00793E15">
        <w:rPr>
          <w:i/>
          <w:iCs/>
          <w:noProof/>
          <w:szCs w:val="24"/>
        </w:rPr>
        <w:t>Nanoscale</w:t>
      </w:r>
      <w:r w:rsidRPr="00793E15">
        <w:rPr>
          <w:noProof/>
          <w:szCs w:val="24"/>
        </w:rPr>
        <w:t xml:space="preserve"> (2013). doi:10.1039/c3nr01533e</w:t>
      </w:r>
    </w:p>
    <w:p w14:paraId="7561ACB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114.</w:t>
      </w:r>
      <w:r w:rsidRPr="00793E15">
        <w:rPr>
          <w:noProof/>
          <w:szCs w:val="24"/>
        </w:rPr>
        <w:tab/>
        <w:t xml:space="preserve">Zhang, H. </w:t>
      </w:r>
      <w:r w:rsidRPr="00793E15">
        <w:rPr>
          <w:i/>
          <w:iCs/>
          <w:noProof/>
          <w:szCs w:val="24"/>
        </w:rPr>
        <w:t>et al.</w:t>
      </w:r>
      <w:r w:rsidRPr="00793E15">
        <w:rPr>
          <w:noProof/>
          <w:szCs w:val="24"/>
        </w:rPr>
        <w:t xml:space="preserve"> Use of metal oxide nanoparticle band gap to develop a predictive paradigm for oxidative stress and acute pulmonary inflammation. </w:t>
      </w:r>
      <w:r w:rsidRPr="00793E15">
        <w:rPr>
          <w:i/>
          <w:iCs/>
          <w:noProof/>
          <w:szCs w:val="24"/>
        </w:rPr>
        <w:t>ACS Nano</w:t>
      </w:r>
      <w:r w:rsidRPr="00793E15">
        <w:rPr>
          <w:noProof/>
          <w:szCs w:val="24"/>
        </w:rPr>
        <w:t xml:space="preserve"> </w:t>
      </w:r>
      <w:r w:rsidRPr="00793E15">
        <w:rPr>
          <w:b/>
          <w:bCs/>
          <w:noProof/>
          <w:szCs w:val="24"/>
        </w:rPr>
        <w:t>6,</w:t>
      </w:r>
      <w:r w:rsidRPr="00793E15">
        <w:rPr>
          <w:noProof/>
          <w:szCs w:val="24"/>
        </w:rPr>
        <w:t xml:space="preserve"> 4349–4368 (2012).</w:t>
      </w:r>
    </w:p>
    <w:p w14:paraId="3F2B110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115.</w:t>
      </w:r>
      <w:r w:rsidRPr="00793E15">
        <w:rPr>
          <w:noProof/>
          <w:szCs w:val="24"/>
        </w:rPr>
        <w:tab/>
        <w:t xml:space="preserve">Liu, R. </w:t>
      </w:r>
      <w:r w:rsidRPr="00793E15">
        <w:rPr>
          <w:i/>
          <w:iCs/>
          <w:noProof/>
          <w:szCs w:val="24"/>
        </w:rPr>
        <w:t>et al.</w:t>
      </w:r>
      <w:r w:rsidRPr="00793E15">
        <w:rPr>
          <w:noProof/>
          <w:szCs w:val="24"/>
        </w:rPr>
        <w:t xml:space="preserve"> Nano-SAR development for bioactivity of nanoparticles with considerations of decision boundaries. </w:t>
      </w:r>
      <w:r w:rsidRPr="00793E15">
        <w:rPr>
          <w:i/>
          <w:iCs/>
          <w:noProof/>
          <w:szCs w:val="24"/>
        </w:rPr>
        <w:t>Small</w:t>
      </w:r>
      <w:r w:rsidRPr="00793E15">
        <w:rPr>
          <w:noProof/>
          <w:szCs w:val="24"/>
        </w:rPr>
        <w:t xml:space="preserve"> </w:t>
      </w:r>
      <w:r w:rsidRPr="00793E15">
        <w:rPr>
          <w:b/>
          <w:bCs/>
          <w:noProof/>
          <w:szCs w:val="24"/>
        </w:rPr>
        <w:t>9,</w:t>
      </w:r>
      <w:r w:rsidRPr="00793E15">
        <w:rPr>
          <w:noProof/>
          <w:szCs w:val="24"/>
        </w:rPr>
        <w:t xml:space="preserve"> 1842–1852 (2013).</w:t>
      </w:r>
    </w:p>
    <w:p w14:paraId="7239878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116.</w:t>
      </w:r>
      <w:r w:rsidRPr="00793E15">
        <w:rPr>
          <w:noProof/>
          <w:szCs w:val="24"/>
        </w:rPr>
        <w:tab/>
        <w:t xml:space="preserve">Horev-Azaria, L. </w:t>
      </w:r>
      <w:r w:rsidRPr="00793E15">
        <w:rPr>
          <w:i/>
          <w:iCs/>
          <w:noProof/>
          <w:szCs w:val="24"/>
        </w:rPr>
        <w:t>et al.</w:t>
      </w:r>
      <w:r w:rsidRPr="00793E15">
        <w:rPr>
          <w:noProof/>
          <w:szCs w:val="24"/>
        </w:rPr>
        <w:t xml:space="preserve"> Predictive Toxicology of cobalt ferrite nanoparticles: comparative in-vitro study of different cellular models using methods of knowledge discovery from data. </w:t>
      </w:r>
      <w:r w:rsidRPr="00793E15">
        <w:rPr>
          <w:i/>
          <w:iCs/>
          <w:noProof/>
          <w:szCs w:val="24"/>
        </w:rPr>
        <w:t>Part. Fibre Toxicol.</w:t>
      </w:r>
      <w:r w:rsidRPr="00793E15">
        <w:rPr>
          <w:noProof/>
          <w:szCs w:val="24"/>
        </w:rPr>
        <w:t xml:space="preserve"> </w:t>
      </w:r>
      <w:r w:rsidRPr="00793E15">
        <w:rPr>
          <w:b/>
          <w:bCs/>
          <w:noProof/>
          <w:szCs w:val="24"/>
        </w:rPr>
        <w:t>10,</w:t>
      </w:r>
      <w:r w:rsidRPr="00793E15">
        <w:rPr>
          <w:noProof/>
          <w:szCs w:val="24"/>
        </w:rPr>
        <w:t xml:space="preserve"> 32 (2013).</w:t>
      </w:r>
    </w:p>
    <w:p w14:paraId="2410DFD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117.</w:t>
      </w:r>
      <w:r w:rsidRPr="00793E15">
        <w:rPr>
          <w:noProof/>
          <w:szCs w:val="24"/>
        </w:rPr>
        <w:tab/>
        <w:t xml:space="preserve">Toropov, A. A. </w:t>
      </w:r>
      <w:r w:rsidRPr="00793E15">
        <w:rPr>
          <w:i/>
          <w:iCs/>
          <w:noProof/>
          <w:szCs w:val="24"/>
        </w:rPr>
        <w:t>et al.</w:t>
      </w:r>
      <w:r w:rsidRPr="00793E15">
        <w:rPr>
          <w:noProof/>
          <w:szCs w:val="24"/>
        </w:rPr>
        <w:t xml:space="preserve"> QSAR as a random event: Modeling of nanoparticles uptake in PaCa2 cancer cells. </w:t>
      </w:r>
      <w:r w:rsidRPr="00793E15">
        <w:rPr>
          <w:i/>
          <w:iCs/>
          <w:noProof/>
          <w:szCs w:val="24"/>
        </w:rPr>
        <w:t>Chemosphere</w:t>
      </w:r>
      <w:r w:rsidRPr="00793E15">
        <w:rPr>
          <w:noProof/>
          <w:szCs w:val="24"/>
        </w:rPr>
        <w:t xml:space="preserve"> (2013). doi:10.1016/j.chemosphere.2013.03.012</w:t>
      </w:r>
    </w:p>
    <w:p w14:paraId="3667415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118.</w:t>
      </w:r>
      <w:r w:rsidRPr="00793E15">
        <w:rPr>
          <w:noProof/>
          <w:szCs w:val="24"/>
        </w:rPr>
        <w:tab/>
        <w:t xml:space="preserve">Kar, S., Gajewicz, A., Puzyn, T. &amp; Roy, K. Nano-quantitative structure-activity relationship modeling using easily computable and interpretable descriptors for uptake of magnetofluorescent engineered nanoparticles in pancreatic cancer cells. </w:t>
      </w:r>
      <w:r w:rsidRPr="00793E15">
        <w:rPr>
          <w:i/>
          <w:iCs/>
          <w:noProof/>
          <w:szCs w:val="24"/>
        </w:rPr>
        <w:t>Toxicol. Vitr.</w:t>
      </w:r>
      <w:r w:rsidRPr="00793E15">
        <w:rPr>
          <w:noProof/>
          <w:szCs w:val="24"/>
        </w:rPr>
        <w:t xml:space="preserve"> </w:t>
      </w:r>
      <w:r w:rsidRPr="00793E15">
        <w:rPr>
          <w:b/>
          <w:bCs/>
          <w:noProof/>
          <w:szCs w:val="24"/>
        </w:rPr>
        <w:t>28,</w:t>
      </w:r>
      <w:r w:rsidRPr="00793E15">
        <w:rPr>
          <w:noProof/>
          <w:szCs w:val="24"/>
        </w:rPr>
        <w:t xml:space="preserve"> 600–606 (2014).</w:t>
      </w:r>
    </w:p>
    <w:p w14:paraId="3242C6C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119.</w:t>
      </w:r>
      <w:r w:rsidRPr="00793E15">
        <w:rPr>
          <w:noProof/>
          <w:szCs w:val="24"/>
        </w:rPr>
        <w:tab/>
        <w:t xml:space="preserve">Rogers, D. &amp; Hopfinger, A. J. Application of Genetic Function Approximation to Quantitative Structure-Activity Relationships and Quantitative Structure-Property Relationships. </w:t>
      </w:r>
      <w:r w:rsidRPr="00793E15">
        <w:rPr>
          <w:i/>
          <w:iCs/>
          <w:noProof/>
          <w:szCs w:val="24"/>
        </w:rPr>
        <w:t>J. Chem. Inf. Comput. Sci.</w:t>
      </w:r>
      <w:r w:rsidRPr="00793E15">
        <w:rPr>
          <w:noProof/>
          <w:szCs w:val="24"/>
        </w:rPr>
        <w:t xml:space="preserve"> </w:t>
      </w:r>
      <w:r w:rsidRPr="00793E15">
        <w:rPr>
          <w:b/>
          <w:bCs/>
          <w:noProof/>
          <w:szCs w:val="24"/>
        </w:rPr>
        <w:t>34,</w:t>
      </w:r>
      <w:r w:rsidRPr="00793E15">
        <w:rPr>
          <w:noProof/>
          <w:szCs w:val="24"/>
        </w:rPr>
        <w:t xml:space="preserve"> 854–866 (1994).</w:t>
      </w:r>
    </w:p>
    <w:p w14:paraId="46D18DA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120.</w:t>
      </w:r>
      <w:r w:rsidRPr="00793E15">
        <w:rPr>
          <w:noProof/>
          <w:szCs w:val="24"/>
        </w:rPr>
        <w:tab/>
        <w:t xml:space="preserve">Singh, K. P. &amp; Gupta, S. Nano-QSAR modeling for predicting biological activity of diverse nanomaterials. </w:t>
      </w:r>
      <w:r w:rsidRPr="00793E15">
        <w:rPr>
          <w:i/>
          <w:iCs/>
          <w:noProof/>
          <w:szCs w:val="24"/>
        </w:rPr>
        <w:t>RSC Adv.</w:t>
      </w:r>
      <w:r w:rsidRPr="00793E15">
        <w:rPr>
          <w:noProof/>
          <w:szCs w:val="24"/>
        </w:rPr>
        <w:t xml:space="preserve"> </w:t>
      </w:r>
      <w:r w:rsidRPr="00793E15">
        <w:rPr>
          <w:b/>
          <w:bCs/>
          <w:noProof/>
          <w:szCs w:val="24"/>
        </w:rPr>
        <w:t>4,</w:t>
      </w:r>
      <w:r w:rsidRPr="00793E15">
        <w:rPr>
          <w:noProof/>
          <w:szCs w:val="24"/>
        </w:rPr>
        <w:t xml:space="preserve"> 13215–13230 (2014).</w:t>
      </w:r>
    </w:p>
    <w:p w14:paraId="7033F7B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121.</w:t>
      </w:r>
      <w:r w:rsidRPr="00793E15">
        <w:rPr>
          <w:noProof/>
          <w:szCs w:val="24"/>
        </w:rPr>
        <w:tab/>
        <w:t xml:space="preserve">Durdagi, S., Mavromoustakos, T., Chronakis, N. &amp; Papadopoulos, M. G. Computational design of novel fullerene analogues as potential HIV-1 PR inhibitors: Analysis of the binding interactions between fullerene inhibitors and HIV-1 PR residues using 3D QSAR, molecular docking and molecular dynamics simulations. </w:t>
      </w:r>
      <w:r w:rsidRPr="00793E15">
        <w:rPr>
          <w:i/>
          <w:iCs/>
          <w:noProof/>
          <w:szCs w:val="24"/>
        </w:rPr>
        <w:t>Bioorganic Med. Chem.</w:t>
      </w:r>
      <w:r w:rsidRPr="00793E15">
        <w:rPr>
          <w:noProof/>
          <w:szCs w:val="24"/>
        </w:rPr>
        <w:t xml:space="preserve"> </w:t>
      </w:r>
      <w:r w:rsidRPr="00793E15">
        <w:rPr>
          <w:b/>
          <w:bCs/>
          <w:noProof/>
          <w:szCs w:val="24"/>
        </w:rPr>
        <w:t>16,</w:t>
      </w:r>
      <w:r w:rsidRPr="00793E15">
        <w:rPr>
          <w:noProof/>
          <w:szCs w:val="24"/>
        </w:rPr>
        <w:t xml:space="preserve"> 9957–9974 (2008).</w:t>
      </w:r>
    </w:p>
    <w:p w14:paraId="14B2FC3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122.</w:t>
      </w:r>
      <w:r w:rsidRPr="00793E15">
        <w:rPr>
          <w:noProof/>
          <w:szCs w:val="24"/>
        </w:rPr>
        <w:tab/>
        <w:t xml:space="preserve">Kleandrova, V. V. </w:t>
      </w:r>
      <w:r w:rsidRPr="00793E15">
        <w:rPr>
          <w:i/>
          <w:iCs/>
          <w:noProof/>
          <w:szCs w:val="24"/>
        </w:rPr>
        <w:t>et al.</w:t>
      </w:r>
      <w:r w:rsidRPr="00793E15">
        <w:rPr>
          <w:noProof/>
          <w:szCs w:val="24"/>
        </w:rPr>
        <w:t xml:space="preserve"> Computational tool for risk assessment of nanomaterials: Novel QSTR-perturbation model for simultaneous prediction of ecotoxicity and cytotoxicity of uncoated and coated nanoparticles under multiple experimental conditions. </w:t>
      </w:r>
      <w:r w:rsidRPr="00793E15">
        <w:rPr>
          <w:i/>
          <w:iCs/>
          <w:noProof/>
          <w:szCs w:val="24"/>
        </w:rPr>
        <w:t>Environ. Sci. Technol.</w:t>
      </w:r>
      <w:r w:rsidRPr="00793E15">
        <w:rPr>
          <w:noProof/>
          <w:szCs w:val="24"/>
        </w:rPr>
        <w:t xml:space="preserve"> (2014). doi:10.1021/es503861x</w:t>
      </w:r>
    </w:p>
    <w:p w14:paraId="3183015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123.</w:t>
      </w:r>
      <w:r w:rsidRPr="00793E15">
        <w:rPr>
          <w:noProof/>
          <w:szCs w:val="24"/>
        </w:rPr>
        <w:tab/>
        <w:t xml:space="preserve">Luan, F. </w:t>
      </w:r>
      <w:r w:rsidRPr="00793E15">
        <w:rPr>
          <w:i/>
          <w:iCs/>
          <w:noProof/>
          <w:szCs w:val="24"/>
        </w:rPr>
        <w:t>et al.</w:t>
      </w:r>
      <w:r w:rsidRPr="00793E15">
        <w:rPr>
          <w:noProof/>
          <w:szCs w:val="24"/>
        </w:rPr>
        <w:t xml:space="preserve"> Computer-aided nanotoxicology: Assessing cytotoxicity of nanoparticles under diverse experimental conditions by using a novel QSTR-perturbation approach. </w:t>
      </w:r>
      <w:r w:rsidRPr="00793E15">
        <w:rPr>
          <w:i/>
          <w:iCs/>
          <w:noProof/>
          <w:szCs w:val="24"/>
        </w:rPr>
        <w:t>Nanoscale</w:t>
      </w:r>
      <w:r w:rsidRPr="00793E15">
        <w:rPr>
          <w:noProof/>
          <w:szCs w:val="24"/>
        </w:rPr>
        <w:t xml:space="preserve"> (2014). doi:10.1039/c4nr01285b</w:t>
      </w:r>
    </w:p>
    <w:p w14:paraId="09D6DF9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124.</w:t>
      </w:r>
      <w:r w:rsidRPr="00793E15">
        <w:rPr>
          <w:noProof/>
          <w:szCs w:val="24"/>
        </w:rPr>
        <w:tab/>
        <w:t xml:space="preserve">Kar, S., Gajewicz, A., Puzyn, T., Roy, K. &amp; Leszczynski, J. Periodic table-based descriptors to encode cytotoxicity profile of metal oxide nanoparticles: A mechanistic QSTR approach. </w:t>
      </w:r>
      <w:r w:rsidRPr="00793E15">
        <w:rPr>
          <w:i/>
          <w:iCs/>
          <w:noProof/>
          <w:szCs w:val="24"/>
        </w:rPr>
        <w:t>Ecotoxicol. Environ. Saf.</w:t>
      </w:r>
      <w:r w:rsidRPr="00793E15">
        <w:rPr>
          <w:noProof/>
          <w:szCs w:val="24"/>
        </w:rPr>
        <w:t xml:space="preserve"> </w:t>
      </w:r>
      <w:r w:rsidRPr="00793E15">
        <w:rPr>
          <w:b/>
          <w:bCs/>
          <w:noProof/>
          <w:szCs w:val="24"/>
        </w:rPr>
        <w:t>107,</w:t>
      </w:r>
      <w:r w:rsidRPr="00793E15">
        <w:rPr>
          <w:noProof/>
          <w:szCs w:val="24"/>
        </w:rPr>
        <w:t xml:space="preserve"> 162–169 (2014).</w:t>
      </w:r>
    </w:p>
    <w:p w14:paraId="134B6E4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125.</w:t>
      </w:r>
      <w:r w:rsidRPr="00793E15">
        <w:rPr>
          <w:noProof/>
          <w:szCs w:val="24"/>
        </w:rPr>
        <w:tab/>
        <w:t xml:space="preserve">Toropova, A. P. </w:t>
      </w:r>
      <w:r w:rsidRPr="00793E15">
        <w:rPr>
          <w:i/>
          <w:iCs/>
          <w:noProof/>
          <w:szCs w:val="24"/>
        </w:rPr>
        <w:t>et al.</w:t>
      </w:r>
      <w:r w:rsidRPr="00793E15">
        <w:rPr>
          <w:noProof/>
          <w:szCs w:val="24"/>
        </w:rPr>
        <w:t xml:space="preserve"> Optimal descriptor as a translator of eclectic information into the prediction of membrane damage: The case of a group of ZnO and TiO2nanoparticles. </w:t>
      </w:r>
      <w:r w:rsidRPr="00793E15">
        <w:rPr>
          <w:i/>
          <w:iCs/>
          <w:noProof/>
          <w:szCs w:val="24"/>
        </w:rPr>
        <w:t>Ecotoxicol. Environ. Saf.</w:t>
      </w:r>
      <w:r w:rsidRPr="00793E15">
        <w:rPr>
          <w:noProof/>
          <w:szCs w:val="24"/>
        </w:rPr>
        <w:t xml:space="preserve"> </w:t>
      </w:r>
      <w:r w:rsidRPr="00793E15">
        <w:rPr>
          <w:b/>
          <w:bCs/>
          <w:noProof/>
          <w:szCs w:val="24"/>
        </w:rPr>
        <w:t>108,</w:t>
      </w:r>
      <w:r w:rsidRPr="00793E15">
        <w:rPr>
          <w:noProof/>
          <w:szCs w:val="24"/>
        </w:rPr>
        <w:t xml:space="preserve"> 203–209 (2014).</w:t>
      </w:r>
    </w:p>
    <w:p w14:paraId="4FD37BC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126.</w:t>
      </w:r>
      <w:r w:rsidRPr="00793E15">
        <w:rPr>
          <w:noProof/>
          <w:szCs w:val="24"/>
        </w:rPr>
        <w:tab/>
        <w:t xml:space="preserve">Winkler, D. A. </w:t>
      </w:r>
      <w:r w:rsidRPr="00793E15">
        <w:rPr>
          <w:i/>
          <w:iCs/>
          <w:noProof/>
          <w:szCs w:val="24"/>
        </w:rPr>
        <w:t>et al.</w:t>
      </w:r>
      <w:r w:rsidRPr="00793E15">
        <w:rPr>
          <w:noProof/>
          <w:szCs w:val="24"/>
        </w:rPr>
        <w:t xml:space="preserve"> Modelling and predicting the biological effects of nanomaterials. </w:t>
      </w:r>
      <w:r w:rsidRPr="00793E15">
        <w:rPr>
          <w:i/>
          <w:iCs/>
          <w:noProof/>
          <w:szCs w:val="24"/>
        </w:rPr>
        <w:t>SAR QSAR Environ. Res.</w:t>
      </w:r>
      <w:r w:rsidRPr="00793E15">
        <w:rPr>
          <w:noProof/>
          <w:szCs w:val="24"/>
        </w:rPr>
        <w:t xml:space="preserve"> (2014). doi:10.1080/1062936X.2013.874367</w:t>
      </w:r>
    </w:p>
    <w:p w14:paraId="7F3F77A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127.</w:t>
      </w:r>
      <w:r w:rsidRPr="00793E15">
        <w:rPr>
          <w:noProof/>
          <w:szCs w:val="24"/>
        </w:rPr>
        <w:tab/>
        <w:t xml:space="preserve">Toropova, A. P., Toropov, A. A., Benfenati, E. &amp; Korenstein, R. QSAR model for cytotoxicity of SiO2 nanoparticles on human lung fibroblasts. </w:t>
      </w:r>
      <w:r w:rsidRPr="00793E15">
        <w:rPr>
          <w:i/>
          <w:iCs/>
          <w:noProof/>
          <w:szCs w:val="24"/>
        </w:rPr>
        <w:t>J. Nanoparticle Res.</w:t>
      </w:r>
      <w:r w:rsidRPr="00793E15">
        <w:rPr>
          <w:noProof/>
          <w:szCs w:val="24"/>
        </w:rPr>
        <w:t xml:space="preserve"> (2014). doi:10.1007/s11051-014-2282-9</w:t>
      </w:r>
    </w:p>
    <w:p w14:paraId="40DE01A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128.</w:t>
      </w:r>
      <w:r w:rsidRPr="00793E15">
        <w:rPr>
          <w:noProof/>
          <w:szCs w:val="24"/>
        </w:rPr>
        <w:tab/>
        <w:t xml:space="preserve">Xu, Z., Chou, L. &amp; Sun, J. Effects of SiO2nanoparticles on HFL-I activating ROS-mediated apoptosis via p53 pathway. </w:t>
      </w:r>
      <w:r w:rsidRPr="00793E15">
        <w:rPr>
          <w:i/>
          <w:iCs/>
          <w:noProof/>
          <w:szCs w:val="24"/>
        </w:rPr>
        <w:t>J. Appl. Toxicol.</w:t>
      </w:r>
      <w:r w:rsidRPr="00793E15">
        <w:rPr>
          <w:noProof/>
          <w:szCs w:val="24"/>
        </w:rPr>
        <w:t xml:space="preserve"> (2012). doi:10.1002/jat.1710</w:t>
      </w:r>
    </w:p>
    <w:p w14:paraId="1FF268A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129.</w:t>
      </w:r>
      <w:r w:rsidRPr="00793E15">
        <w:rPr>
          <w:noProof/>
          <w:szCs w:val="24"/>
        </w:rPr>
        <w:tab/>
        <w:t xml:space="preserve">Sizochenko, N. </w:t>
      </w:r>
      <w:r w:rsidRPr="00793E15">
        <w:rPr>
          <w:i/>
          <w:iCs/>
          <w:noProof/>
          <w:szCs w:val="24"/>
        </w:rPr>
        <w:t>et al.</w:t>
      </w:r>
      <w:r w:rsidRPr="00793E15">
        <w:rPr>
          <w:noProof/>
          <w:szCs w:val="24"/>
        </w:rPr>
        <w:t xml:space="preserve"> From basic physics to mechanisms of toxicity: the “liquid drop” approach applied to develop predictive classification models for toxicity of metal oxide nanoparticles. </w:t>
      </w:r>
      <w:r w:rsidRPr="00793E15">
        <w:rPr>
          <w:i/>
          <w:iCs/>
          <w:noProof/>
          <w:szCs w:val="24"/>
        </w:rPr>
        <w:t>Nanoscale</w:t>
      </w:r>
      <w:r w:rsidRPr="00793E15">
        <w:rPr>
          <w:noProof/>
          <w:szCs w:val="24"/>
        </w:rPr>
        <w:t xml:space="preserve"> </w:t>
      </w:r>
      <w:r w:rsidRPr="00793E15">
        <w:rPr>
          <w:b/>
          <w:bCs/>
          <w:noProof/>
          <w:szCs w:val="24"/>
        </w:rPr>
        <w:t>6,</w:t>
      </w:r>
      <w:r w:rsidRPr="00793E15">
        <w:rPr>
          <w:noProof/>
          <w:szCs w:val="24"/>
        </w:rPr>
        <w:t xml:space="preserve"> 13986–13993 (2014).</w:t>
      </w:r>
    </w:p>
    <w:p w14:paraId="31A62B6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130.</w:t>
      </w:r>
      <w:r w:rsidRPr="00793E15">
        <w:rPr>
          <w:noProof/>
          <w:szCs w:val="24"/>
        </w:rPr>
        <w:tab/>
        <w:t xml:space="preserve">Melagraki, G. &amp; Afantitis, A. Enalos InSilicoNano platform: An online decision support tool for the design and virtual screening of nanoparticles. </w:t>
      </w:r>
      <w:r w:rsidRPr="00793E15">
        <w:rPr>
          <w:i/>
          <w:iCs/>
          <w:noProof/>
          <w:szCs w:val="24"/>
        </w:rPr>
        <w:t>RSC Adv.</w:t>
      </w:r>
      <w:r w:rsidRPr="00793E15">
        <w:rPr>
          <w:noProof/>
          <w:szCs w:val="24"/>
        </w:rPr>
        <w:t xml:space="preserve"> (2014). doi:10.1039/c4ra07756c</w:t>
      </w:r>
    </w:p>
    <w:p w14:paraId="4EDC12F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131.</w:t>
      </w:r>
      <w:r w:rsidRPr="00793E15">
        <w:rPr>
          <w:noProof/>
          <w:szCs w:val="24"/>
        </w:rPr>
        <w:tab/>
        <w:t xml:space="preserve">Bigdeli, A., Hormozi-Nezhad, M. R. &amp; Parastar, H. Using nano-QSAR to determine the most responsible factor(s) in gold nanoparticle exocytosis. </w:t>
      </w:r>
      <w:r w:rsidRPr="00793E15">
        <w:rPr>
          <w:i/>
          <w:iCs/>
          <w:noProof/>
          <w:szCs w:val="24"/>
        </w:rPr>
        <w:t>RSC Adv.</w:t>
      </w:r>
      <w:r w:rsidRPr="00793E15">
        <w:rPr>
          <w:noProof/>
          <w:szCs w:val="24"/>
        </w:rPr>
        <w:t xml:space="preserve"> </w:t>
      </w:r>
      <w:r w:rsidRPr="00793E15">
        <w:rPr>
          <w:b/>
          <w:bCs/>
          <w:noProof/>
          <w:szCs w:val="24"/>
        </w:rPr>
        <w:t>5,</w:t>
      </w:r>
      <w:r w:rsidRPr="00793E15">
        <w:rPr>
          <w:noProof/>
          <w:szCs w:val="24"/>
        </w:rPr>
        <w:t xml:space="preserve"> 57030–57037 (2015).</w:t>
      </w:r>
    </w:p>
    <w:p w14:paraId="6BD073E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132.</w:t>
      </w:r>
      <w:r w:rsidRPr="00793E15">
        <w:rPr>
          <w:noProof/>
          <w:szCs w:val="24"/>
        </w:rPr>
        <w:tab/>
        <w:t xml:space="preserve">Oh, N. &amp; Park, J. H. Surface chemistry of gold nanoparticles mediates their exocytosis in macrophages. </w:t>
      </w:r>
      <w:r w:rsidRPr="00793E15">
        <w:rPr>
          <w:i/>
          <w:iCs/>
          <w:noProof/>
          <w:szCs w:val="24"/>
        </w:rPr>
        <w:t>ACS Nano</w:t>
      </w:r>
      <w:r w:rsidRPr="00793E15">
        <w:rPr>
          <w:noProof/>
          <w:szCs w:val="24"/>
        </w:rPr>
        <w:t xml:space="preserve"> </w:t>
      </w:r>
      <w:r w:rsidRPr="00793E15">
        <w:rPr>
          <w:b/>
          <w:bCs/>
          <w:noProof/>
          <w:szCs w:val="24"/>
        </w:rPr>
        <w:t>8,</w:t>
      </w:r>
      <w:r w:rsidRPr="00793E15">
        <w:rPr>
          <w:noProof/>
          <w:szCs w:val="24"/>
        </w:rPr>
        <w:t xml:space="preserve"> 6232–6241 (2014).</w:t>
      </w:r>
    </w:p>
    <w:p w14:paraId="36FC685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133.</w:t>
      </w:r>
      <w:r w:rsidRPr="00793E15">
        <w:rPr>
          <w:noProof/>
          <w:szCs w:val="24"/>
        </w:rPr>
        <w:tab/>
        <w:t xml:space="preserve">Jones, D. E., Ghandehari, H. &amp; Facelli, J. C. Predicting cytotoxicity of PAMAM dendrimers using molecular descriptors. </w:t>
      </w:r>
      <w:r w:rsidRPr="00793E15">
        <w:rPr>
          <w:i/>
          <w:iCs/>
          <w:noProof/>
          <w:szCs w:val="24"/>
        </w:rPr>
        <w:t>Beilstein J. Nanotechnol.</w:t>
      </w:r>
      <w:r w:rsidRPr="00793E15">
        <w:rPr>
          <w:noProof/>
          <w:szCs w:val="24"/>
        </w:rPr>
        <w:t xml:space="preserve"> </w:t>
      </w:r>
      <w:r w:rsidRPr="00793E15">
        <w:rPr>
          <w:b/>
          <w:bCs/>
          <w:noProof/>
          <w:szCs w:val="24"/>
        </w:rPr>
        <w:t>6,</w:t>
      </w:r>
      <w:r w:rsidRPr="00793E15">
        <w:rPr>
          <w:noProof/>
          <w:szCs w:val="24"/>
        </w:rPr>
        <w:t xml:space="preserve"> 1886–1896 (2015).</w:t>
      </w:r>
    </w:p>
    <w:p w14:paraId="0C3CE88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134.</w:t>
      </w:r>
      <w:r w:rsidRPr="00793E15">
        <w:rPr>
          <w:noProof/>
          <w:szCs w:val="24"/>
        </w:rPr>
        <w:tab/>
        <w:t xml:space="preserve">Papa, E., Doucet, J. P. &amp; Doucet-Panaye, A. Linear and non-linear modelling of the cytotoxicity of TiO2 and ZnO nanoparticles by empirical descriptors. </w:t>
      </w:r>
      <w:r w:rsidRPr="00793E15">
        <w:rPr>
          <w:i/>
          <w:iCs/>
          <w:noProof/>
          <w:szCs w:val="24"/>
        </w:rPr>
        <w:t>SAR QSAR Environ. Res.</w:t>
      </w:r>
      <w:r w:rsidRPr="00793E15">
        <w:rPr>
          <w:noProof/>
          <w:szCs w:val="24"/>
        </w:rPr>
        <w:t xml:space="preserve"> (2015). doi:10.1080/1062936X.2015.1080186</w:t>
      </w:r>
    </w:p>
    <w:p w14:paraId="17B1E2C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135.</w:t>
      </w:r>
      <w:r w:rsidRPr="00793E15">
        <w:rPr>
          <w:noProof/>
          <w:szCs w:val="24"/>
        </w:rPr>
        <w:tab/>
        <w:t xml:space="preserve">Oksel, C., Ma, C. Y. &amp; Wang, X. Z. Structure-activity relationship models for hazard assessment and risk management of engineered nanomaterials. in </w:t>
      </w:r>
      <w:r w:rsidRPr="00793E15">
        <w:rPr>
          <w:i/>
          <w:iCs/>
          <w:noProof/>
          <w:szCs w:val="24"/>
        </w:rPr>
        <w:t>Procedia Engineering</w:t>
      </w:r>
      <w:r w:rsidRPr="00793E15">
        <w:rPr>
          <w:noProof/>
          <w:szCs w:val="24"/>
        </w:rPr>
        <w:t xml:space="preserve"> </w:t>
      </w:r>
      <w:r w:rsidRPr="00793E15">
        <w:rPr>
          <w:b/>
          <w:bCs/>
          <w:noProof/>
          <w:szCs w:val="24"/>
        </w:rPr>
        <w:t>102,</w:t>
      </w:r>
      <w:r w:rsidRPr="00793E15">
        <w:rPr>
          <w:noProof/>
          <w:szCs w:val="24"/>
        </w:rPr>
        <w:t xml:space="preserve"> 1500–1510 (2015).</w:t>
      </w:r>
    </w:p>
    <w:p w14:paraId="1E55D4A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136.</w:t>
      </w:r>
      <w:r w:rsidRPr="00793E15">
        <w:rPr>
          <w:noProof/>
          <w:szCs w:val="24"/>
        </w:rPr>
        <w:tab/>
        <w:t xml:space="preserve">Wang, X. Z. </w:t>
      </w:r>
      <w:r w:rsidRPr="00793E15">
        <w:rPr>
          <w:i/>
          <w:iCs/>
          <w:noProof/>
          <w:szCs w:val="24"/>
        </w:rPr>
        <w:t>et al.</w:t>
      </w:r>
      <w:r w:rsidRPr="00793E15">
        <w:rPr>
          <w:noProof/>
          <w:szCs w:val="24"/>
        </w:rPr>
        <w:t xml:space="preserve"> Principal component and causal analysis of structural and acute in vitro toxicity data for nanoparticles. </w:t>
      </w:r>
      <w:r w:rsidRPr="00793E15">
        <w:rPr>
          <w:i/>
          <w:iCs/>
          <w:noProof/>
          <w:szCs w:val="24"/>
        </w:rPr>
        <w:t>Nanotoxicology</w:t>
      </w:r>
      <w:r w:rsidRPr="00793E15">
        <w:rPr>
          <w:noProof/>
          <w:szCs w:val="24"/>
        </w:rPr>
        <w:t xml:space="preserve"> </w:t>
      </w:r>
      <w:r w:rsidRPr="00793E15">
        <w:rPr>
          <w:b/>
          <w:bCs/>
          <w:noProof/>
          <w:szCs w:val="24"/>
        </w:rPr>
        <w:t>8,</w:t>
      </w:r>
      <w:r w:rsidRPr="00793E15">
        <w:rPr>
          <w:noProof/>
          <w:szCs w:val="24"/>
        </w:rPr>
        <w:t xml:space="preserve"> 465–476 (2014).</w:t>
      </w:r>
    </w:p>
    <w:p w14:paraId="5DCC7EE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137.</w:t>
      </w:r>
      <w:r w:rsidRPr="00793E15">
        <w:rPr>
          <w:noProof/>
          <w:szCs w:val="24"/>
        </w:rPr>
        <w:tab/>
        <w:t xml:space="preserve">Liu, R., Jiang, W., Walkey, C. D., Chan, W. C. W. &amp; Cohen, Y. Prediction of nanoparticles-cell association based on corona proteins and physicochemical properties. </w:t>
      </w:r>
      <w:r w:rsidRPr="00793E15">
        <w:rPr>
          <w:i/>
          <w:iCs/>
          <w:noProof/>
          <w:szCs w:val="24"/>
        </w:rPr>
        <w:t>Nanoscale</w:t>
      </w:r>
      <w:r w:rsidRPr="00793E15">
        <w:rPr>
          <w:noProof/>
          <w:szCs w:val="24"/>
        </w:rPr>
        <w:t xml:space="preserve"> (2015). doi:10.1039/c5nr01537e</w:t>
      </w:r>
    </w:p>
    <w:p w14:paraId="092E765D"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138.</w:t>
      </w:r>
      <w:r w:rsidRPr="00793E15">
        <w:rPr>
          <w:noProof/>
          <w:szCs w:val="24"/>
        </w:rPr>
        <w:tab/>
        <w:t xml:space="preserve">Tsiliki, G. </w:t>
      </w:r>
      <w:r w:rsidRPr="00793E15">
        <w:rPr>
          <w:i/>
          <w:iCs/>
          <w:noProof/>
          <w:szCs w:val="24"/>
        </w:rPr>
        <w:t>et al.</w:t>
      </w:r>
      <w:r w:rsidRPr="00793E15">
        <w:rPr>
          <w:noProof/>
          <w:szCs w:val="24"/>
        </w:rPr>
        <w:t xml:space="preserve"> RRegrs: An R package for computer-aided model selection with multiple regression models. </w:t>
      </w:r>
      <w:r w:rsidRPr="00793E15">
        <w:rPr>
          <w:i/>
          <w:iCs/>
          <w:noProof/>
          <w:szCs w:val="24"/>
        </w:rPr>
        <w:t>J. Cheminform.</w:t>
      </w:r>
      <w:r w:rsidRPr="00793E15">
        <w:rPr>
          <w:noProof/>
          <w:szCs w:val="24"/>
        </w:rPr>
        <w:t xml:space="preserve"> (2015). doi:10.1186/s13321-015-0094-2</w:t>
      </w:r>
    </w:p>
    <w:p w14:paraId="567F719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139.</w:t>
      </w:r>
      <w:r w:rsidRPr="00793E15">
        <w:rPr>
          <w:noProof/>
          <w:szCs w:val="24"/>
        </w:rPr>
        <w:tab/>
        <w:t xml:space="preserve">Oksel, C., Winkler, D. A., Ma, C. Y., Wilkins, T. &amp; Wang, X. Z. Accurate and interpretable nanoSAR models from genetic programming-based decision tree construction approaches. </w:t>
      </w:r>
      <w:r w:rsidRPr="00793E15">
        <w:rPr>
          <w:i/>
          <w:iCs/>
          <w:noProof/>
          <w:szCs w:val="24"/>
        </w:rPr>
        <w:t>Nanotoxicology</w:t>
      </w:r>
      <w:r w:rsidRPr="00793E15">
        <w:rPr>
          <w:noProof/>
          <w:szCs w:val="24"/>
        </w:rPr>
        <w:t xml:space="preserve"> </w:t>
      </w:r>
      <w:r w:rsidRPr="00793E15">
        <w:rPr>
          <w:b/>
          <w:bCs/>
          <w:noProof/>
          <w:szCs w:val="24"/>
        </w:rPr>
        <w:t>10,</w:t>
      </w:r>
      <w:r w:rsidRPr="00793E15">
        <w:rPr>
          <w:noProof/>
          <w:szCs w:val="24"/>
        </w:rPr>
        <w:t xml:space="preserve"> 1001–1012 (2016).</w:t>
      </w:r>
    </w:p>
    <w:p w14:paraId="7235F40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140.</w:t>
      </w:r>
      <w:r w:rsidRPr="00793E15">
        <w:rPr>
          <w:noProof/>
          <w:szCs w:val="24"/>
        </w:rPr>
        <w:tab/>
        <w:t xml:space="preserve">Zhang, H. </w:t>
      </w:r>
      <w:r w:rsidRPr="00793E15">
        <w:rPr>
          <w:i/>
          <w:iCs/>
          <w:noProof/>
          <w:szCs w:val="24"/>
        </w:rPr>
        <w:t>et al.</w:t>
      </w:r>
      <w:r w:rsidRPr="00793E15">
        <w:rPr>
          <w:noProof/>
          <w:szCs w:val="24"/>
        </w:rPr>
        <w:t xml:space="preserve"> Use of metal oxide nanoparticle band gap to develop a predictive paradigm for oxidative stress and acute pulmonary inflammation. </w:t>
      </w:r>
      <w:r w:rsidRPr="00793E15">
        <w:rPr>
          <w:i/>
          <w:iCs/>
          <w:noProof/>
          <w:szCs w:val="24"/>
        </w:rPr>
        <w:t>ACS Nano</w:t>
      </w:r>
      <w:r w:rsidRPr="00793E15">
        <w:rPr>
          <w:noProof/>
          <w:szCs w:val="24"/>
        </w:rPr>
        <w:t xml:space="preserve"> (2012). doi:10.1021/nn3010087</w:t>
      </w:r>
    </w:p>
    <w:p w14:paraId="1AE00E55"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141.</w:t>
      </w:r>
      <w:r w:rsidRPr="00793E15">
        <w:rPr>
          <w:noProof/>
          <w:szCs w:val="24"/>
        </w:rPr>
        <w:tab/>
        <w:t xml:space="preserve">Mu, Y. </w:t>
      </w:r>
      <w:r w:rsidRPr="00793E15">
        <w:rPr>
          <w:i/>
          <w:iCs/>
          <w:noProof/>
          <w:szCs w:val="24"/>
        </w:rPr>
        <w:t>et al.</w:t>
      </w:r>
      <w:r w:rsidRPr="00793E15">
        <w:rPr>
          <w:noProof/>
          <w:szCs w:val="24"/>
        </w:rPr>
        <w:t xml:space="preserve"> Predicting toxic potencies of metal oxide nanoparticles by means of nano-QSARs. </w:t>
      </w:r>
      <w:r w:rsidRPr="00793E15">
        <w:rPr>
          <w:i/>
          <w:iCs/>
          <w:noProof/>
          <w:szCs w:val="24"/>
        </w:rPr>
        <w:t>Nanotoxicology</w:t>
      </w:r>
      <w:r w:rsidRPr="00793E15">
        <w:rPr>
          <w:noProof/>
          <w:szCs w:val="24"/>
        </w:rPr>
        <w:t xml:space="preserve"> </w:t>
      </w:r>
      <w:r w:rsidRPr="00793E15">
        <w:rPr>
          <w:b/>
          <w:bCs/>
          <w:noProof/>
          <w:szCs w:val="24"/>
        </w:rPr>
        <w:t>10,</w:t>
      </w:r>
      <w:r w:rsidRPr="00793E15">
        <w:rPr>
          <w:noProof/>
          <w:szCs w:val="24"/>
        </w:rPr>
        <w:t xml:space="preserve"> 1207–1214 (2016).</w:t>
      </w:r>
    </w:p>
    <w:p w14:paraId="20929F8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142.</w:t>
      </w:r>
      <w:r w:rsidRPr="00793E15">
        <w:rPr>
          <w:noProof/>
          <w:szCs w:val="24"/>
        </w:rPr>
        <w:tab/>
        <w:t xml:space="preserve">Kar, S., Gajewicz, A., Roy, K., Leszczynski, J. &amp; Puzyn, T. Extrapolating between toxicity endpoints of metal oxide nanoparticles: Predicting toxicity to Escherichia coli and human keratinocyte cell line (HaCaT) with Nano-QTTR. </w:t>
      </w:r>
      <w:r w:rsidRPr="00793E15">
        <w:rPr>
          <w:i/>
          <w:iCs/>
          <w:noProof/>
          <w:szCs w:val="24"/>
        </w:rPr>
        <w:t>Ecotoxicol. Environ. Saf.</w:t>
      </w:r>
      <w:r w:rsidRPr="00793E15">
        <w:rPr>
          <w:noProof/>
          <w:szCs w:val="24"/>
        </w:rPr>
        <w:t xml:space="preserve"> (2016). doi:10.1016/j.ecoenv.2015.12.033</w:t>
      </w:r>
    </w:p>
    <w:p w14:paraId="33FEF74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143.</w:t>
      </w:r>
      <w:r w:rsidRPr="00793E15">
        <w:rPr>
          <w:noProof/>
          <w:szCs w:val="24"/>
        </w:rPr>
        <w:tab/>
        <w:t xml:space="preserve">Papa, E., Doucet, J. P., Sangion, A. &amp; Doucet-Panaye, A. Investigation of the influence of protein corona composition on gold nanoparticle bioactivity using machine learning approaches. </w:t>
      </w:r>
      <w:r w:rsidRPr="00793E15">
        <w:rPr>
          <w:i/>
          <w:iCs/>
          <w:noProof/>
          <w:szCs w:val="24"/>
        </w:rPr>
        <w:t>SAR QSAR Environ. Res.</w:t>
      </w:r>
      <w:r w:rsidRPr="00793E15">
        <w:rPr>
          <w:noProof/>
          <w:szCs w:val="24"/>
        </w:rPr>
        <w:t xml:space="preserve"> (2016). doi:10.1080/1062936X.2016.1197310</w:t>
      </w:r>
    </w:p>
    <w:p w14:paraId="5761349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144.</w:t>
      </w:r>
      <w:r w:rsidRPr="00793E15">
        <w:rPr>
          <w:noProof/>
          <w:szCs w:val="24"/>
        </w:rPr>
        <w:tab/>
        <w:t xml:space="preserve">Pan, Y. </w:t>
      </w:r>
      <w:r w:rsidRPr="00793E15">
        <w:rPr>
          <w:i/>
          <w:iCs/>
          <w:noProof/>
          <w:szCs w:val="24"/>
        </w:rPr>
        <w:t>et al.</w:t>
      </w:r>
      <w:r w:rsidRPr="00793E15">
        <w:rPr>
          <w:noProof/>
          <w:szCs w:val="24"/>
        </w:rPr>
        <w:t xml:space="preserve"> Nano-QSAR modeling for predicting the cytotoxicity of metal oxide nanoparticles using novel descriptors. </w:t>
      </w:r>
      <w:r w:rsidRPr="00793E15">
        <w:rPr>
          <w:i/>
          <w:iCs/>
          <w:noProof/>
          <w:szCs w:val="24"/>
        </w:rPr>
        <w:t>RSC Adv.</w:t>
      </w:r>
      <w:r w:rsidRPr="00793E15">
        <w:rPr>
          <w:noProof/>
          <w:szCs w:val="24"/>
        </w:rPr>
        <w:t xml:space="preserve"> (2016). doi:10.1039/C6RA01298A</w:t>
      </w:r>
    </w:p>
    <w:p w14:paraId="472B378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145.</w:t>
      </w:r>
      <w:r w:rsidRPr="00793E15">
        <w:rPr>
          <w:noProof/>
          <w:szCs w:val="24"/>
        </w:rPr>
        <w:tab/>
        <w:t xml:space="preserve">Basant, N. &amp; Gupta, S. Multi-target QSTR modeling for simultaneous prediction of multiple toxicity endpoints of nano-metal oxides. </w:t>
      </w:r>
      <w:r w:rsidRPr="00793E15">
        <w:rPr>
          <w:i/>
          <w:iCs/>
          <w:noProof/>
          <w:szCs w:val="24"/>
        </w:rPr>
        <w:t>Nanotoxicology</w:t>
      </w:r>
      <w:r w:rsidRPr="00793E15">
        <w:rPr>
          <w:noProof/>
          <w:szCs w:val="24"/>
        </w:rPr>
        <w:t xml:space="preserve"> (2017). doi:10.1080/17435390.2017.1302612</w:t>
      </w:r>
    </w:p>
    <w:p w14:paraId="5FFD47F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146.</w:t>
      </w:r>
      <w:r w:rsidRPr="00793E15">
        <w:rPr>
          <w:noProof/>
          <w:szCs w:val="24"/>
        </w:rPr>
        <w:tab/>
        <w:t xml:space="preserve">Gajewicz, A. </w:t>
      </w:r>
      <w:r w:rsidRPr="00793E15">
        <w:rPr>
          <w:i/>
          <w:iCs/>
          <w:noProof/>
          <w:szCs w:val="24"/>
        </w:rPr>
        <w:t>et al.</w:t>
      </w:r>
      <w:r w:rsidRPr="00793E15">
        <w:rPr>
          <w:noProof/>
          <w:szCs w:val="24"/>
        </w:rPr>
        <w:t xml:space="preserve"> Decision tree models to classify nanomaterials according to the DF4nanoGrouping scheme. </w:t>
      </w:r>
      <w:r w:rsidRPr="00793E15">
        <w:rPr>
          <w:i/>
          <w:iCs/>
          <w:noProof/>
          <w:szCs w:val="24"/>
        </w:rPr>
        <w:t>Nanotoxicology</w:t>
      </w:r>
      <w:r w:rsidRPr="00793E15">
        <w:rPr>
          <w:noProof/>
          <w:szCs w:val="24"/>
        </w:rPr>
        <w:t xml:space="preserve"> (2018). doi:10.1080/17435390.2017.1415388</w:t>
      </w:r>
    </w:p>
    <w:p w14:paraId="12BEFBD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147.</w:t>
      </w:r>
      <w:r w:rsidRPr="00793E15">
        <w:rPr>
          <w:noProof/>
          <w:szCs w:val="24"/>
        </w:rPr>
        <w:tab/>
        <w:t xml:space="preserve">Driessen, M. D. </w:t>
      </w:r>
      <w:r w:rsidRPr="00793E15">
        <w:rPr>
          <w:i/>
          <w:iCs/>
          <w:noProof/>
          <w:szCs w:val="24"/>
        </w:rPr>
        <w:t>et al.</w:t>
      </w:r>
      <w:r w:rsidRPr="00793E15">
        <w:rPr>
          <w:noProof/>
          <w:szCs w:val="24"/>
        </w:rPr>
        <w:t xml:space="preserve"> Proteomic analysis of protein carbonylation: A useful tool to unravel nanoparticle toxicity mechanisms. </w:t>
      </w:r>
      <w:r w:rsidRPr="00793E15">
        <w:rPr>
          <w:i/>
          <w:iCs/>
          <w:noProof/>
          <w:szCs w:val="24"/>
        </w:rPr>
        <w:t>Part. Fibre Toxicol.</w:t>
      </w:r>
      <w:r w:rsidRPr="00793E15">
        <w:rPr>
          <w:noProof/>
          <w:szCs w:val="24"/>
        </w:rPr>
        <w:t xml:space="preserve"> (2015). doi:10.1186/s12989-015-0108-2</w:t>
      </w:r>
    </w:p>
    <w:p w14:paraId="43CF4B08"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148.</w:t>
      </w:r>
      <w:r w:rsidRPr="00793E15">
        <w:rPr>
          <w:noProof/>
          <w:szCs w:val="24"/>
        </w:rPr>
        <w:tab/>
        <w:t xml:space="preserve">Roy, K., Kar, S. &amp; Ambure, P. On a simple approach for determining applicability domain of QSAR models. </w:t>
      </w:r>
      <w:r w:rsidRPr="00793E15">
        <w:rPr>
          <w:i/>
          <w:iCs/>
          <w:noProof/>
          <w:szCs w:val="24"/>
        </w:rPr>
        <w:t>Chemom. Intell. Lab. Syst.</w:t>
      </w:r>
      <w:r w:rsidRPr="00793E15">
        <w:rPr>
          <w:noProof/>
          <w:szCs w:val="24"/>
        </w:rPr>
        <w:t xml:space="preserve"> (2015). doi:10.1016/j.chemolab.2015.04.013</w:t>
      </w:r>
    </w:p>
    <w:p w14:paraId="027E3E0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149.</w:t>
      </w:r>
      <w:r w:rsidRPr="00793E15">
        <w:rPr>
          <w:noProof/>
          <w:szCs w:val="24"/>
        </w:rPr>
        <w:tab/>
        <w:t xml:space="preserve">Cherkasov, A. </w:t>
      </w:r>
      <w:r w:rsidRPr="00793E15">
        <w:rPr>
          <w:i/>
          <w:iCs/>
          <w:noProof/>
          <w:szCs w:val="24"/>
        </w:rPr>
        <w:t>et al.</w:t>
      </w:r>
      <w:r w:rsidRPr="00793E15">
        <w:rPr>
          <w:noProof/>
          <w:szCs w:val="24"/>
        </w:rPr>
        <w:t xml:space="preserve"> QSAR modeling: Where have you been? Where are you going to? </w:t>
      </w:r>
      <w:r w:rsidRPr="00793E15">
        <w:rPr>
          <w:i/>
          <w:iCs/>
          <w:noProof/>
          <w:szCs w:val="24"/>
        </w:rPr>
        <w:t>Journal of Medicinal Chemistry</w:t>
      </w:r>
      <w:r w:rsidRPr="00793E15">
        <w:rPr>
          <w:noProof/>
          <w:szCs w:val="24"/>
        </w:rPr>
        <w:t xml:space="preserve"> (2014). doi:10.1021/jm4004285</w:t>
      </w:r>
    </w:p>
    <w:p w14:paraId="401EA7B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150.</w:t>
      </w:r>
      <w:r w:rsidRPr="00793E15">
        <w:rPr>
          <w:noProof/>
          <w:szCs w:val="24"/>
        </w:rPr>
        <w:tab/>
        <w:t xml:space="preserve">Lamon, L. </w:t>
      </w:r>
      <w:r w:rsidRPr="00793E15">
        <w:rPr>
          <w:i/>
          <w:iCs/>
          <w:noProof/>
          <w:szCs w:val="24"/>
        </w:rPr>
        <w:t>et al.</w:t>
      </w:r>
      <w:r w:rsidRPr="00793E15">
        <w:rPr>
          <w:noProof/>
          <w:szCs w:val="24"/>
        </w:rPr>
        <w:t xml:space="preserve"> Computational models in manufactured nanomaterials risk assessment: development of model reporting standards and mapping of the model landscape. </w:t>
      </w:r>
      <w:r w:rsidRPr="00793E15">
        <w:rPr>
          <w:i/>
          <w:iCs/>
          <w:noProof/>
          <w:szCs w:val="24"/>
        </w:rPr>
        <w:t>Submitt. to Comput. Toxicol.</w:t>
      </w:r>
    </w:p>
    <w:p w14:paraId="731556D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151.</w:t>
      </w:r>
      <w:r w:rsidRPr="00793E15">
        <w:rPr>
          <w:noProof/>
          <w:szCs w:val="24"/>
        </w:rPr>
        <w:tab/>
        <w:t xml:space="preserve">Rücker, C., Rücker, G. &amp; Meringer, M. Y-randomization and its variants in QSPR/QSAR. </w:t>
      </w:r>
      <w:r w:rsidRPr="00793E15">
        <w:rPr>
          <w:i/>
          <w:iCs/>
          <w:noProof/>
          <w:szCs w:val="24"/>
        </w:rPr>
        <w:t>J. Chem. Inf. Model.</w:t>
      </w:r>
      <w:r w:rsidRPr="00793E15">
        <w:rPr>
          <w:noProof/>
          <w:szCs w:val="24"/>
        </w:rPr>
        <w:t xml:space="preserve"> (2007). doi:10.1021/ci700157b</w:t>
      </w:r>
    </w:p>
    <w:p w14:paraId="14B1B03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152.</w:t>
      </w:r>
      <w:r w:rsidRPr="00793E15">
        <w:rPr>
          <w:noProof/>
          <w:szCs w:val="24"/>
        </w:rPr>
        <w:tab/>
        <w:t xml:space="preserve">De Jong, M. </w:t>
      </w:r>
      <w:r w:rsidRPr="00793E15">
        <w:rPr>
          <w:i/>
          <w:iCs/>
          <w:noProof/>
          <w:szCs w:val="24"/>
        </w:rPr>
        <w:t>et al.</w:t>
      </w:r>
      <w:r w:rsidRPr="00793E15">
        <w:rPr>
          <w:noProof/>
          <w:szCs w:val="24"/>
        </w:rPr>
        <w:t xml:space="preserve"> A Statistical Learning Framework for Materials Science: Application to Elastic Moduli of k-nary Inorganic Polycrystalline Compounds. </w:t>
      </w:r>
      <w:r w:rsidRPr="00793E15">
        <w:rPr>
          <w:i/>
          <w:iCs/>
          <w:noProof/>
          <w:szCs w:val="24"/>
        </w:rPr>
        <w:t>Sci. Rep.</w:t>
      </w:r>
      <w:r w:rsidRPr="00793E15">
        <w:rPr>
          <w:noProof/>
          <w:szCs w:val="24"/>
        </w:rPr>
        <w:t xml:space="preserve"> (2016). doi:10.1038/srep34256</w:t>
      </w:r>
    </w:p>
    <w:p w14:paraId="7FC2826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153.</w:t>
      </w:r>
      <w:r w:rsidRPr="00793E15">
        <w:rPr>
          <w:noProof/>
          <w:szCs w:val="24"/>
        </w:rPr>
        <w:tab/>
        <w:t xml:space="preserve">Zhang, Y. &amp; Ling, C. A strategy to apply machine learning to small datasets in materials science. </w:t>
      </w:r>
      <w:r w:rsidRPr="00793E15">
        <w:rPr>
          <w:i/>
          <w:iCs/>
          <w:noProof/>
          <w:szCs w:val="24"/>
        </w:rPr>
        <w:t>npj Comput. Mater.</w:t>
      </w:r>
      <w:r w:rsidRPr="00793E15">
        <w:rPr>
          <w:noProof/>
          <w:szCs w:val="24"/>
        </w:rPr>
        <w:t xml:space="preserve"> (2018). doi:10.1038/s41524-018-0081-z</w:t>
      </w:r>
    </w:p>
    <w:p w14:paraId="6411816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154.</w:t>
      </w:r>
      <w:r w:rsidRPr="00793E15">
        <w:rPr>
          <w:noProof/>
          <w:szCs w:val="24"/>
        </w:rPr>
        <w:tab/>
        <w:t xml:space="preserve">Gajewicz, A. </w:t>
      </w:r>
      <w:r w:rsidRPr="00793E15">
        <w:rPr>
          <w:i/>
          <w:iCs/>
          <w:noProof/>
          <w:szCs w:val="24"/>
        </w:rPr>
        <w:t>et al.</w:t>
      </w:r>
      <w:r w:rsidRPr="00793E15">
        <w:rPr>
          <w:noProof/>
          <w:szCs w:val="24"/>
        </w:rPr>
        <w:t xml:space="preserve"> Decision tree models to classify nanomaterials according to the </w:t>
      </w:r>
      <w:r w:rsidRPr="00793E15">
        <w:rPr>
          <w:i/>
          <w:iCs/>
          <w:noProof/>
          <w:szCs w:val="24"/>
        </w:rPr>
        <w:t>DF4nanoGrouping</w:t>
      </w:r>
      <w:r w:rsidRPr="00793E15">
        <w:rPr>
          <w:noProof/>
          <w:szCs w:val="24"/>
        </w:rPr>
        <w:t xml:space="preserve"> scheme. </w:t>
      </w:r>
      <w:r w:rsidRPr="00793E15">
        <w:rPr>
          <w:i/>
          <w:iCs/>
          <w:noProof/>
          <w:szCs w:val="24"/>
        </w:rPr>
        <w:t>Nanotoxicology</w:t>
      </w:r>
      <w:r w:rsidRPr="00793E15">
        <w:rPr>
          <w:noProof/>
          <w:szCs w:val="24"/>
        </w:rPr>
        <w:t xml:space="preserve"> </w:t>
      </w:r>
      <w:r w:rsidRPr="00793E15">
        <w:rPr>
          <w:b/>
          <w:bCs/>
          <w:noProof/>
          <w:szCs w:val="24"/>
        </w:rPr>
        <w:t>12,</w:t>
      </w:r>
      <w:r w:rsidRPr="00793E15">
        <w:rPr>
          <w:noProof/>
          <w:szCs w:val="24"/>
        </w:rPr>
        <w:t xml:space="preserve"> 1–17 (2018).</w:t>
      </w:r>
    </w:p>
    <w:p w14:paraId="0E9D700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155.</w:t>
      </w:r>
      <w:r w:rsidRPr="00793E15">
        <w:rPr>
          <w:noProof/>
          <w:szCs w:val="24"/>
        </w:rPr>
        <w:tab/>
        <w:t xml:space="preserve">Mooney, R. J. &amp; Bunescu, R. Mining knowledge from text using information extraction. </w:t>
      </w:r>
      <w:r w:rsidRPr="00793E15">
        <w:rPr>
          <w:i/>
          <w:iCs/>
          <w:noProof/>
          <w:szCs w:val="24"/>
        </w:rPr>
        <w:t>ACM SIGKDD Explor. Newsl.</w:t>
      </w:r>
      <w:r w:rsidRPr="00793E15">
        <w:rPr>
          <w:noProof/>
          <w:szCs w:val="24"/>
        </w:rPr>
        <w:t xml:space="preserve"> (2005). doi:10.1145/1089815.1089817</w:t>
      </w:r>
    </w:p>
    <w:p w14:paraId="48DFBE2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156.</w:t>
      </w:r>
      <w:r w:rsidRPr="00793E15">
        <w:rPr>
          <w:noProof/>
          <w:szCs w:val="24"/>
        </w:rPr>
        <w:tab/>
        <w:t xml:space="preserve">Liu, X. </w:t>
      </w:r>
      <w:r w:rsidRPr="00793E15">
        <w:rPr>
          <w:i/>
          <w:iCs/>
          <w:noProof/>
          <w:szCs w:val="24"/>
        </w:rPr>
        <w:t>et al.</w:t>
      </w:r>
      <w:r w:rsidRPr="00793E15">
        <w:rPr>
          <w:noProof/>
          <w:szCs w:val="24"/>
        </w:rPr>
        <w:t xml:space="preserve"> Predictive modeling of nanomaterial exposure effects in biological systems. </w:t>
      </w:r>
      <w:r w:rsidRPr="00793E15">
        <w:rPr>
          <w:i/>
          <w:iCs/>
          <w:noProof/>
          <w:szCs w:val="24"/>
        </w:rPr>
        <w:t>Int. J. Nanomedicine</w:t>
      </w:r>
      <w:r w:rsidRPr="00793E15">
        <w:rPr>
          <w:noProof/>
          <w:szCs w:val="24"/>
        </w:rPr>
        <w:t xml:space="preserve"> (2013). doi:10.2147/IJN.S40742</w:t>
      </w:r>
    </w:p>
    <w:p w14:paraId="4A8F5A9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157.</w:t>
      </w:r>
      <w:r w:rsidRPr="00793E15">
        <w:rPr>
          <w:noProof/>
          <w:szCs w:val="24"/>
        </w:rPr>
        <w:tab/>
        <w:t xml:space="preserve">Kovalishyn, V. </w:t>
      </w:r>
      <w:r w:rsidRPr="00793E15">
        <w:rPr>
          <w:i/>
          <w:iCs/>
          <w:noProof/>
          <w:szCs w:val="24"/>
        </w:rPr>
        <w:t>et al.</w:t>
      </w:r>
      <w:r w:rsidRPr="00793E15">
        <w:rPr>
          <w:noProof/>
          <w:szCs w:val="24"/>
        </w:rPr>
        <w:t xml:space="preserve"> Modelling the toxicity of a large set of metal and metal oxide nanoparticles using the OCHEM platform. </w:t>
      </w:r>
      <w:r w:rsidRPr="00793E15">
        <w:rPr>
          <w:i/>
          <w:iCs/>
          <w:noProof/>
          <w:szCs w:val="24"/>
        </w:rPr>
        <w:t>Food Chem. Toxicol.</w:t>
      </w:r>
      <w:r w:rsidRPr="00793E15">
        <w:rPr>
          <w:noProof/>
          <w:szCs w:val="24"/>
        </w:rPr>
        <w:t xml:space="preserve"> (2018). doi:10.1016/j.fct.2017.08.008</w:t>
      </w:r>
    </w:p>
    <w:p w14:paraId="78939DC2"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158.</w:t>
      </w:r>
      <w:r w:rsidRPr="00793E15">
        <w:rPr>
          <w:noProof/>
          <w:szCs w:val="24"/>
        </w:rPr>
        <w:tab/>
        <w:t xml:space="preserve">Chen, G., Peijnenburg, W. J. G. M., Kovalishyn, V. &amp; Vijver, M. G. Development of nanostructure-activity relationships assisting the nanomaterial hazard categorization for risk assessment and regulatory decision-making. </w:t>
      </w:r>
      <w:r w:rsidRPr="00793E15">
        <w:rPr>
          <w:i/>
          <w:iCs/>
          <w:noProof/>
          <w:szCs w:val="24"/>
        </w:rPr>
        <w:t>RSC Adv.</w:t>
      </w:r>
      <w:r w:rsidRPr="00793E15">
        <w:rPr>
          <w:noProof/>
          <w:szCs w:val="24"/>
        </w:rPr>
        <w:t xml:space="preserve"> (2016). doi:10.1039/c6ra06159a</w:t>
      </w:r>
    </w:p>
    <w:p w14:paraId="5218172F"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159.</w:t>
      </w:r>
      <w:r w:rsidRPr="00793E15">
        <w:rPr>
          <w:noProof/>
          <w:szCs w:val="24"/>
        </w:rPr>
        <w:tab/>
        <w:t xml:space="preserve">Aggarwal, C. C., Hinneburg, A. &amp; Keim, D. A. On the Surprising Behavior of Distance Metrics in High Dimensional Space BT  - Database theory. in </w:t>
      </w:r>
      <w:r w:rsidRPr="00793E15">
        <w:rPr>
          <w:i/>
          <w:iCs/>
          <w:noProof/>
          <w:szCs w:val="24"/>
        </w:rPr>
        <w:t>Database theory</w:t>
      </w:r>
      <w:r w:rsidRPr="00793E15">
        <w:rPr>
          <w:noProof/>
          <w:szCs w:val="24"/>
        </w:rPr>
        <w:t xml:space="preserve"> (2001).</w:t>
      </w:r>
    </w:p>
    <w:p w14:paraId="013E3BB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160.</w:t>
      </w:r>
      <w:r w:rsidRPr="00793E15">
        <w:rPr>
          <w:noProof/>
          <w:szCs w:val="24"/>
        </w:rPr>
        <w:tab/>
        <w:t xml:space="preserve">Verleysen, M. &amp; François, D. The Curse of Dimensionality in Data Mining. </w:t>
      </w:r>
      <w:r w:rsidRPr="00793E15">
        <w:rPr>
          <w:i/>
          <w:iCs/>
          <w:noProof/>
          <w:szCs w:val="24"/>
        </w:rPr>
        <w:t>Analysis</w:t>
      </w:r>
      <w:r w:rsidRPr="00793E15">
        <w:rPr>
          <w:noProof/>
          <w:szCs w:val="24"/>
        </w:rPr>
        <w:t xml:space="preserve"> (2005). doi:10.1007/11494669_93</w:t>
      </w:r>
    </w:p>
    <w:p w14:paraId="4B85CCE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161.</w:t>
      </w:r>
      <w:r w:rsidRPr="00793E15">
        <w:rPr>
          <w:noProof/>
          <w:szCs w:val="24"/>
        </w:rPr>
        <w:tab/>
        <w:t xml:space="preserve">Donoho, D. L. Aide-Memoire. High-Dimensional Data Analysis: The Curses and Blessings of Dimensionality. </w:t>
      </w:r>
      <w:r w:rsidRPr="00793E15">
        <w:rPr>
          <w:i/>
          <w:iCs/>
          <w:noProof/>
          <w:szCs w:val="24"/>
        </w:rPr>
        <w:t>Am. Math. Soc. Lect. Challenges 21st Century</w:t>
      </w:r>
      <w:r w:rsidRPr="00793E15">
        <w:rPr>
          <w:noProof/>
          <w:szCs w:val="24"/>
        </w:rPr>
        <w:t xml:space="preserve"> (2000). doi:10.1.1.329.3392</w:t>
      </w:r>
    </w:p>
    <w:p w14:paraId="671353B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162.</w:t>
      </w:r>
      <w:r w:rsidRPr="00793E15">
        <w:rPr>
          <w:noProof/>
          <w:szCs w:val="24"/>
        </w:rPr>
        <w:tab/>
        <w:t xml:space="preserve">Peduzzi, P., Concato, J., Kemper, E., Holford, T. R. &amp; Feinstem, A. R. A simulation study of the number of events per variable in logistic regression analysis. </w:t>
      </w:r>
      <w:r w:rsidRPr="00793E15">
        <w:rPr>
          <w:i/>
          <w:iCs/>
          <w:noProof/>
          <w:szCs w:val="24"/>
        </w:rPr>
        <w:t>J. Clin. Epidemiol.</w:t>
      </w:r>
      <w:r w:rsidRPr="00793E15">
        <w:rPr>
          <w:noProof/>
          <w:szCs w:val="24"/>
        </w:rPr>
        <w:t xml:space="preserve"> (1996). doi:10.1016/S0895-4356(96)00236-3</w:t>
      </w:r>
    </w:p>
    <w:p w14:paraId="6B7FCB47"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163.</w:t>
      </w:r>
      <w:r w:rsidRPr="00793E15">
        <w:rPr>
          <w:noProof/>
          <w:szCs w:val="24"/>
        </w:rPr>
        <w:tab/>
        <w:t xml:space="preserve">Dolnicar, S. </w:t>
      </w:r>
      <w:r w:rsidRPr="00793E15">
        <w:rPr>
          <w:i/>
          <w:iCs/>
          <w:noProof/>
          <w:szCs w:val="24"/>
        </w:rPr>
        <w:t>A review of unquestioned standards in using cluster analysis for data-driven market segmentation</w:t>
      </w:r>
      <w:r w:rsidRPr="00793E15">
        <w:rPr>
          <w:noProof/>
          <w:szCs w:val="24"/>
        </w:rPr>
        <w:t xml:space="preserve">. </w:t>
      </w:r>
      <w:r w:rsidRPr="00793E15">
        <w:rPr>
          <w:i/>
          <w:iCs/>
          <w:noProof/>
          <w:szCs w:val="24"/>
        </w:rPr>
        <w:t>Faculty of Commerce-Papers</w:t>
      </w:r>
      <w:r w:rsidRPr="00793E15">
        <w:rPr>
          <w:noProof/>
          <w:szCs w:val="24"/>
        </w:rPr>
        <w:t xml:space="preserve"> (2002).</w:t>
      </w:r>
    </w:p>
    <w:p w14:paraId="20A6524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164.</w:t>
      </w:r>
      <w:r w:rsidRPr="00793E15">
        <w:rPr>
          <w:noProof/>
          <w:szCs w:val="24"/>
        </w:rPr>
        <w:tab/>
        <w:t xml:space="preserve">Kaplan, R. M., Chambers, D. A. &amp; Glasgow, R. E. Big data and large sample size: A cautionary note on the potential for bias. </w:t>
      </w:r>
      <w:r w:rsidRPr="00793E15">
        <w:rPr>
          <w:i/>
          <w:iCs/>
          <w:noProof/>
          <w:szCs w:val="24"/>
        </w:rPr>
        <w:t>Clinical and Translational Science</w:t>
      </w:r>
      <w:r w:rsidRPr="00793E15">
        <w:rPr>
          <w:noProof/>
          <w:szCs w:val="24"/>
        </w:rPr>
        <w:t xml:space="preserve"> </w:t>
      </w:r>
      <w:r w:rsidRPr="00793E15">
        <w:rPr>
          <w:b/>
          <w:bCs/>
          <w:noProof/>
          <w:szCs w:val="24"/>
        </w:rPr>
        <w:t>7,</w:t>
      </w:r>
      <w:r w:rsidRPr="00793E15">
        <w:rPr>
          <w:noProof/>
          <w:szCs w:val="24"/>
        </w:rPr>
        <w:t xml:space="preserve"> 342–346 (2014).</w:t>
      </w:r>
    </w:p>
    <w:p w14:paraId="27AF9F2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165.</w:t>
      </w:r>
      <w:r w:rsidRPr="00793E15">
        <w:rPr>
          <w:noProof/>
          <w:szCs w:val="24"/>
        </w:rPr>
        <w:tab/>
        <w:t xml:space="preserve">Heckman, J. J. Sample Selection Bias as a Specification Error. </w:t>
      </w:r>
      <w:r w:rsidRPr="00793E15">
        <w:rPr>
          <w:i/>
          <w:iCs/>
          <w:noProof/>
          <w:szCs w:val="24"/>
        </w:rPr>
        <w:t>Econometrica</w:t>
      </w:r>
      <w:r w:rsidRPr="00793E15">
        <w:rPr>
          <w:noProof/>
          <w:szCs w:val="24"/>
        </w:rPr>
        <w:t xml:space="preserve"> </w:t>
      </w:r>
      <w:r w:rsidRPr="00793E15">
        <w:rPr>
          <w:b/>
          <w:bCs/>
          <w:noProof/>
          <w:szCs w:val="24"/>
        </w:rPr>
        <w:t>47,</w:t>
      </w:r>
      <w:r w:rsidRPr="00793E15">
        <w:rPr>
          <w:noProof/>
          <w:szCs w:val="24"/>
        </w:rPr>
        <w:t xml:space="preserve"> 153 (1979).</w:t>
      </w:r>
    </w:p>
    <w:p w14:paraId="17794C7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166.</w:t>
      </w:r>
      <w:r w:rsidRPr="00793E15">
        <w:rPr>
          <w:noProof/>
          <w:szCs w:val="24"/>
        </w:rPr>
        <w:tab/>
        <w:t xml:space="preserve">Toomet, O. &amp; Henningsen, A. Sample Selection Models in R: Package sampleSelection. </w:t>
      </w:r>
      <w:r w:rsidRPr="00793E15">
        <w:rPr>
          <w:i/>
          <w:iCs/>
          <w:noProof/>
          <w:szCs w:val="24"/>
        </w:rPr>
        <w:t>J. Stat. Softw.</w:t>
      </w:r>
      <w:r w:rsidRPr="00793E15">
        <w:rPr>
          <w:noProof/>
          <w:szCs w:val="24"/>
        </w:rPr>
        <w:t xml:space="preserve"> </w:t>
      </w:r>
      <w:r w:rsidRPr="00793E15">
        <w:rPr>
          <w:b/>
          <w:bCs/>
          <w:noProof/>
          <w:szCs w:val="24"/>
        </w:rPr>
        <w:t>27,</w:t>
      </w:r>
      <w:r w:rsidRPr="00793E15">
        <w:rPr>
          <w:noProof/>
          <w:szCs w:val="24"/>
        </w:rPr>
        <w:t xml:space="preserve"> 1–23 (2008).</w:t>
      </w:r>
    </w:p>
    <w:p w14:paraId="2377855E"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167.</w:t>
      </w:r>
      <w:r w:rsidRPr="00793E15">
        <w:rPr>
          <w:noProof/>
          <w:szCs w:val="24"/>
        </w:rPr>
        <w:tab/>
        <w:t xml:space="preserve">Zadrozny, B. Learning and evaluating classifiers under sample selection bias. in </w:t>
      </w:r>
      <w:r w:rsidRPr="00793E15">
        <w:rPr>
          <w:i/>
          <w:iCs/>
          <w:noProof/>
          <w:szCs w:val="24"/>
        </w:rPr>
        <w:t>Twenty-first international conference on Machine learning  - ICML ’04</w:t>
      </w:r>
      <w:r w:rsidRPr="00793E15">
        <w:rPr>
          <w:noProof/>
          <w:szCs w:val="24"/>
        </w:rPr>
        <w:t xml:space="preserve"> 114 (2004). doi:10.1145/1015330.1015425</w:t>
      </w:r>
    </w:p>
    <w:p w14:paraId="3B441E9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168.</w:t>
      </w:r>
      <w:r w:rsidRPr="00793E15">
        <w:rPr>
          <w:noProof/>
          <w:szCs w:val="24"/>
        </w:rPr>
        <w:tab/>
        <w:t xml:space="preserve">Pan, S. J. &amp; Yang, Q. A survey on transfer learning. </w:t>
      </w:r>
      <w:r w:rsidRPr="00793E15">
        <w:rPr>
          <w:i/>
          <w:iCs/>
          <w:noProof/>
          <w:szCs w:val="24"/>
        </w:rPr>
        <w:t>IEEE Transactions on Knowledge and Data Engineering</w:t>
      </w:r>
      <w:r w:rsidRPr="00793E15">
        <w:rPr>
          <w:noProof/>
          <w:szCs w:val="24"/>
        </w:rPr>
        <w:t xml:space="preserve"> </w:t>
      </w:r>
      <w:r w:rsidRPr="00793E15">
        <w:rPr>
          <w:b/>
          <w:bCs/>
          <w:noProof/>
          <w:szCs w:val="24"/>
        </w:rPr>
        <w:t>22,</w:t>
      </w:r>
      <w:r w:rsidRPr="00793E15">
        <w:rPr>
          <w:noProof/>
          <w:szCs w:val="24"/>
        </w:rPr>
        <w:t xml:space="preserve"> 1345–1359 (2010).</w:t>
      </w:r>
    </w:p>
    <w:p w14:paraId="3F5696F1"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169.</w:t>
      </w:r>
      <w:r w:rsidRPr="00793E15">
        <w:rPr>
          <w:noProof/>
          <w:szCs w:val="24"/>
        </w:rPr>
        <w:tab/>
        <w:t xml:space="preserve">Weiss, K., Khoshgoftaar, T. M. &amp; Wang, D. D. A survey of transfer learning. </w:t>
      </w:r>
      <w:r w:rsidRPr="00793E15">
        <w:rPr>
          <w:i/>
          <w:iCs/>
          <w:noProof/>
          <w:szCs w:val="24"/>
        </w:rPr>
        <w:t>J. Big Data</w:t>
      </w:r>
      <w:r w:rsidRPr="00793E15">
        <w:rPr>
          <w:noProof/>
          <w:szCs w:val="24"/>
        </w:rPr>
        <w:t xml:space="preserve"> </w:t>
      </w:r>
      <w:r w:rsidRPr="00793E15">
        <w:rPr>
          <w:b/>
          <w:bCs/>
          <w:noProof/>
          <w:szCs w:val="24"/>
        </w:rPr>
        <w:t>3,</w:t>
      </w:r>
      <w:r w:rsidRPr="00793E15">
        <w:rPr>
          <w:noProof/>
          <w:szCs w:val="24"/>
        </w:rPr>
        <w:t xml:space="preserve"> (2016).</w:t>
      </w:r>
    </w:p>
    <w:p w14:paraId="77E980B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170.</w:t>
      </w:r>
      <w:r w:rsidRPr="00793E15">
        <w:rPr>
          <w:noProof/>
          <w:szCs w:val="24"/>
        </w:rPr>
        <w:tab/>
        <w:t xml:space="preserve">Lecun, Y., Bengio, Y. &amp; Hinton, G. Deep learning. </w:t>
      </w:r>
      <w:r w:rsidRPr="00793E15">
        <w:rPr>
          <w:i/>
          <w:iCs/>
          <w:noProof/>
          <w:szCs w:val="24"/>
        </w:rPr>
        <w:t>Nature</w:t>
      </w:r>
      <w:r w:rsidRPr="00793E15">
        <w:rPr>
          <w:noProof/>
          <w:szCs w:val="24"/>
        </w:rPr>
        <w:t xml:space="preserve"> (2015). doi:10.1038/nature14539</w:t>
      </w:r>
    </w:p>
    <w:p w14:paraId="53FB5B79"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171.</w:t>
      </w:r>
      <w:r w:rsidRPr="00793E15">
        <w:rPr>
          <w:noProof/>
          <w:szCs w:val="24"/>
        </w:rPr>
        <w:tab/>
        <w:t xml:space="preserve">Liu, B., Wei, Y., Zhang, Y. &amp; Yang, Q. Deep neural networks for high dimension, low sample size data. in </w:t>
      </w:r>
      <w:r w:rsidRPr="00793E15">
        <w:rPr>
          <w:i/>
          <w:iCs/>
          <w:noProof/>
          <w:szCs w:val="24"/>
        </w:rPr>
        <w:t>IJCAI International Joint Conference on Artificial Intelligence</w:t>
      </w:r>
      <w:r w:rsidRPr="00793E15">
        <w:rPr>
          <w:noProof/>
          <w:szCs w:val="24"/>
        </w:rPr>
        <w:t xml:space="preserve"> (2017). doi:10.24963/ijcai.2017/318</w:t>
      </w:r>
    </w:p>
    <w:p w14:paraId="6CF101F4"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172.</w:t>
      </w:r>
      <w:r w:rsidRPr="00793E15">
        <w:rPr>
          <w:noProof/>
          <w:szCs w:val="24"/>
        </w:rPr>
        <w:tab/>
        <w:t xml:space="preserve">Razavian, A. S., Azizpour, H., Sullivan, J. &amp; Carlsson, S. CNN features off-the-shelf: An astounding baseline for recognition. in </w:t>
      </w:r>
      <w:r w:rsidRPr="00793E15">
        <w:rPr>
          <w:i/>
          <w:iCs/>
          <w:noProof/>
          <w:szCs w:val="24"/>
        </w:rPr>
        <w:t>IEEE Computer Society Conference on Computer Vision and Pattern Recognition Workshops</w:t>
      </w:r>
      <w:r w:rsidRPr="00793E15">
        <w:rPr>
          <w:noProof/>
          <w:szCs w:val="24"/>
        </w:rPr>
        <w:t xml:space="preserve"> (2014). doi:10.1109/CVPRW.2014.131</w:t>
      </w:r>
    </w:p>
    <w:p w14:paraId="74E4D50A"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173.</w:t>
      </w:r>
      <w:r w:rsidRPr="00793E15">
        <w:rPr>
          <w:noProof/>
          <w:szCs w:val="24"/>
        </w:rPr>
        <w:tab/>
        <w:t xml:space="preserve">Oquab, M., Bottou, L., Laptev, I. &amp; Sivic, J. Learning and transferring mid-level image representations using convolutional neural networks. in </w:t>
      </w:r>
      <w:r w:rsidRPr="00793E15">
        <w:rPr>
          <w:i/>
          <w:iCs/>
          <w:noProof/>
          <w:szCs w:val="24"/>
        </w:rPr>
        <w:t>Proceedings of the IEEE Computer Society Conference on Computer Vision and Pattern Recognition</w:t>
      </w:r>
      <w:r w:rsidRPr="00793E15">
        <w:rPr>
          <w:noProof/>
          <w:szCs w:val="24"/>
        </w:rPr>
        <w:t xml:space="preserve"> (2014). doi:10.1109/CVPR.2014.222</w:t>
      </w:r>
    </w:p>
    <w:p w14:paraId="09CDD3F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174.</w:t>
      </w:r>
      <w:r w:rsidRPr="00793E15">
        <w:rPr>
          <w:noProof/>
          <w:szCs w:val="24"/>
        </w:rPr>
        <w:tab/>
        <w:t xml:space="preserve">Shin, H. C. </w:t>
      </w:r>
      <w:r w:rsidRPr="00793E15">
        <w:rPr>
          <w:i/>
          <w:iCs/>
          <w:noProof/>
          <w:szCs w:val="24"/>
        </w:rPr>
        <w:t>et al.</w:t>
      </w:r>
      <w:r w:rsidRPr="00793E15">
        <w:rPr>
          <w:noProof/>
          <w:szCs w:val="24"/>
        </w:rPr>
        <w:t xml:space="preserve"> Deep Convolutional Neural Networks for Computer-Aided Detection: CNN Architectures, Dataset Characteristics and Transfer Learning. </w:t>
      </w:r>
      <w:r w:rsidRPr="00793E15">
        <w:rPr>
          <w:i/>
          <w:iCs/>
          <w:noProof/>
          <w:szCs w:val="24"/>
        </w:rPr>
        <w:t>IEEE Trans. Med. Imaging</w:t>
      </w:r>
      <w:r w:rsidRPr="00793E15">
        <w:rPr>
          <w:noProof/>
          <w:szCs w:val="24"/>
        </w:rPr>
        <w:t xml:space="preserve"> (2016). doi:10.1109/TMI.2016.2528162</w:t>
      </w:r>
    </w:p>
    <w:p w14:paraId="3848D9B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175.</w:t>
      </w:r>
      <w:r w:rsidRPr="00793E15">
        <w:rPr>
          <w:noProof/>
          <w:szCs w:val="24"/>
        </w:rPr>
        <w:tab/>
        <w:t xml:space="preserve">Japkowicz, N. &amp; Stephen, S. The class imbalance problem: A systematic study. </w:t>
      </w:r>
      <w:r w:rsidRPr="00793E15">
        <w:rPr>
          <w:i/>
          <w:iCs/>
          <w:noProof/>
          <w:szCs w:val="24"/>
        </w:rPr>
        <w:t>Intell. Data Anal.</w:t>
      </w:r>
      <w:r w:rsidRPr="00793E15">
        <w:rPr>
          <w:noProof/>
          <w:szCs w:val="24"/>
        </w:rPr>
        <w:t xml:space="preserve"> (2002). doi:10.1.1.711.8214</w:t>
      </w:r>
    </w:p>
    <w:p w14:paraId="5DD5CD93"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176.</w:t>
      </w:r>
      <w:r w:rsidRPr="00793E15">
        <w:rPr>
          <w:noProof/>
          <w:szCs w:val="24"/>
        </w:rPr>
        <w:tab/>
        <w:t xml:space="preserve">Longadge, R., Dongre, S. S. &amp; Malik, L. Class imbalance problem in data mining: review. </w:t>
      </w:r>
      <w:r w:rsidRPr="00793E15">
        <w:rPr>
          <w:i/>
          <w:iCs/>
          <w:noProof/>
          <w:szCs w:val="24"/>
        </w:rPr>
        <w:t>Int. J. Comput. Sci. Netw.</w:t>
      </w:r>
      <w:r w:rsidRPr="00793E15">
        <w:rPr>
          <w:noProof/>
          <w:szCs w:val="24"/>
        </w:rPr>
        <w:t xml:space="preserve"> (2013). doi:10.1109/SIU.2013.6531574</w:t>
      </w:r>
    </w:p>
    <w:p w14:paraId="6E3C56CB"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177.</w:t>
      </w:r>
      <w:r w:rsidRPr="00793E15">
        <w:rPr>
          <w:noProof/>
          <w:szCs w:val="24"/>
        </w:rPr>
        <w:tab/>
        <w:t xml:space="preserve">Sayes, C. M., Alex Smith, P. &amp; Ivanov, I. V. A framework for grouping nanoparticles based on their measurable characteristics. </w:t>
      </w:r>
      <w:r w:rsidRPr="00793E15">
        <w:rPr>
          <w:i/>
          <w:iCs/>
          <w:noProof/>
          <w:szCs w:val="24"/>
        </w:rPr>
        <w:t>Int. J. Nanomedicine</w:t>
      </w:r>
      <w:r w:rsidRPr="00793E15">
        <w:rPr>
          <w:noProof/>
          <w:szCs w:val="24"/>
        </w:rPr>
        <w:t xml:space="preserve"> </w:t>
      </w:r>
      <w:r w:rsidRPr="00793E15">
        <w:rPr>
          <w:b/>
          <w:bCs/>
          <w:noProof/>
          <w:szCs w:val="24"/>
        </w:rPr>
        <w:t>8,</w:t>
      </w:r>
      <w:r w:rsidRPr="00793E15">
        <w:rPr>
          <w:noProof/>
          <w:szCs w:val="24"/>
        </w:rPr>
        <w:t xml:space="preserve"> 45–56 (2013).</w:t>
      </w:r>
    </w:p>
    <w:p w14:paraId="1BDA942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178.</w:t>
      </w:r>
      <w:r w:rsidRPr="00793E15">
        <w:rPr>
          <w:noProof/>
          <w:szCs w:val="24"/>
        </w:rPr>
        <w:tab/>
        <w:t xml:space="preserve">Wang, X. Z. </w:t>
      </w:r>
      <w:r w:rsidRPr="00793E15">
        <w:rPr>
          <w:i/>
          <w:iCs/>
          <w:noProof/>
          <w:szCs w:val="24"/>
        </w:rPr>
        <w:t>et al.</w:t>
      </w:r>
      <w:r w:rsidRPr="00793E15">
        <w:rPr>
          <w:noProof/>
          <w:szCs w:val="24"/>
        </w:rPr>
        <w:t xml:space="preserve"> Principal component and causal analysis of structural and acute in vitro toxicity data for nanoparticles. </w:t>
      </w:r>
      <w:r w:rsidRPr="00793E15">
        <w:rPr>
          <w:i/>
          <w:iCs/>
          <w:noProof/>
          <w:szCs w:val="24"/>
        </w:rPr>
        <w:t>Nanotoxicology</w:t>
      </w:r>
      <w:r w:rsidRPr="00793E15">
        <w:rPr>
          <w:noProof/>
          <w:szCs w:val="24"/>
        </w:rPr>
        <w:t xml:space="preserve"> </w:t>
      </w:r>
      <w:r w:rsidRPr="00793E15">
        <w:rPr>
          <w:b/>
          <w:bCs/>
          <w:noProof/>
          <w:szCs w:val="24"/>
        </w:rPr>
        <w:t>8,</w:t>
      </w:r>
      <w:r w:rsidRPr="00793E15">
        <w:rPr>
          <w:noProof/>
          <w:szCs w:val="24"/>
        </w:rPr>
        <w:t xml:space="preserve"> 465–476 (2014).</w:t>
      </w:r>
    </w:p>
    <w:p w14:paraId="2B722696"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179.</w:t>
      </w:r>
      <w:r w:rsidRPr="00793E15">
        <w:rPr>
          <w:noProof/>
          <w:szCs w:val="24"/>
        </w:rPr>
        <w:tab/>
        <w:t xml:space="preserve">Tantra, R. </w:t>
      </w:r>
      <w:r w:rsidRPr="00793E15">
        <w:rPr>
          <w:i/>
          <w:iCs/>
          <w:noProof/>
          <w:szCs w:val="24"/>
        </w:rPr>
        <w:t>et al.</w:t>
      </w:r>
      <w:r w:rsidRPr="00793E15">
        <w:rPr>
          <w:noProof/>
          <w:szCs w:val="24"/>
        </w:rPr>
        <w:t xml:space="preserve"> A method for assessing nanomaterial dispersion quality based on principal component analysis of particle size distribution data. </w:t>
      </w:r>
      <w:r w:rsidRPr="00793E15">
        <w:rPr>
          <w:i/>
          <w:iCs/>
          <w:noProof/>
          <w:szCs w:val="24"/>
        </w:rPr>
        <w:t>Particuology</w:t>
      </w:r>
      <w:r w:rsidRPr="00793E15">
        <w:rPr>
          <w:noProof/>
          <w:szCs w:val="24"/>
        </w:rPr>
        <w:t xml:space="preserve"> (2015). doi:10.1016/j.partic.2014.10.004</w:t>
      </w:r>
    </w:p>
    <w:p w14:paraId="553F057C" w14:textId="77777777" w:rsidR="00793E15" w:rsidRPr="00793E15" w:rsidRDefault="00793E15" w:rsidP="00793E15">
      <w:pPr>
        <w:widowControl w:val="0"/>
        <w:autoSpaceDE w:val="0"/>
        <w:autoSpaceDN w:val="0"/>
        <w:adjustRightInd w:val="0"/>
        <w:spacing w:line="240" w:lineRule="auto"/>
        <w:ind w:left="640" w:hanging="640"/>
        <w:rPr>
          <w:noProof/>
          <w:szCs w:val="24"/>
        </w:rPr>
      </w:pPr>
      <w:r w:rsidRPr="00793E15">
        <w:rPr>
          <w:noProof/>
          <w:szCs w:val="24"/>
        </w:rPr>
        <w:t>180.</w:t>
      </w:r>
      <w:r w:rsidRPr="00793E15">
        <w:rPr>
          <w:noProof/>
          <w:szCs w:val="24"/>
        </w:rPr>
        <w:tab/>
        <w:t xml:space="preserve">Brunelli, A. </w:t>
      </w:r>
      <w:r w:rsidRPr="00793E15">
        <w:rPr>
          <w:i/>
          <w:iCs/>
          <w:noProof/>
          <w:szCs w:val="24"/>
        </w:rPr>
        <w:t>et al.</w:t>
      </w:r>
      <w:r w:rsidRPr="00793E15">
        <w:rPr>
          <w:noProof/>
          <w:szCs w:val="24"/>
        </w:rPr>
        <w:t xml:space="preserve"> Effects of organic modifiers on the colloidal stability of TiO2nanoparticles. A methodological approach for NPs categorization by multivariate statistical analysis. </w:t>
      </w:r>
      <w:r w:rsidRPr="00793E15">
        <w:rPr>
          <w:i/>
          <w:iCs/>
          <w:noProof/>
          <w:szCs w:val="24"/>
        </w:rPr>
        <w:t>NanoImpact</w:t>
      </w:r>
      <w:r w:rsidRPr="00793E15">
        <w:rPr>
          <w:noProof/>
          <w:szCs w:val="24"/>
        </w:rPr>
        <w:t xml:space="preserve"> (2018). doi:10.1016/j.impact.2018.03.001</w:t>
      </w:r>
    </w:p>
    <w:p w14:paraId="6DC23A57" w14:textId="77777777" w:rsidR="00793E15" w:rsidRPr="00793E15" w:rsidRDefault="00793E15" w:rsidP="00793E15">
      <w:pPr>
        <w:widowControl w:val="0"/>
        <w:autoSpaceDE w:val="0"/>
        <w:autoSpaceDN w:val="0"/>
        <w:adjustRightInd w:val="0"/>
        <w:spacing w:line="240" w:lineRule="auto"/>
        <w:ind w:left="640" w:hanging="640"/>
        <w:rPr>
          <w:noProof/>
        </w:rPr>
      </w:pPr>
      <w:r w:rsidRPr="00793E15">
        <w:rPr>
          <w:noProof/>
          <w:szCs w:val="24"/>
        </w:rPr>
        <w:t>181.</w:t>
      </w:r>
      <w:r w:rsidRPr="00793E15">
        <w:rPr>
          <w:noProof/>
          <w:szCs w:val="24"/>
        </w:rPr>
        <w:tab/>
        <w:t xml:space="preserve">Patlewicz, G. </w:t>
      </w:r>
      <w:r w:rsidRPr="00793E15">
        <w:rPr>
          <w:i/>
          <w:iCs/>
          <w:noProof/>
          <w:szCs w:val="24"/>
        </w:rPr>
        <w:t>et al.</w:t>
      </w:r>
      <w:r w:rsidRPr="00793E15">
        <w:rPr>
          <w:noProof/>
          <w:szCs w:val="24"/>
        </w:rPr>
        <w:t xml:space="preserve"> Read-across approaches - Misconceptions, promises and challenges ahead. </w:t>
      </w:r>
      <w:r w:rsidRPr="00793E15">
        <w:rPr>
          <w:i/>
          <w:iCs/>
          <w:noProof/>
          <w:szCs w:val="24"/>
        </w:rPr>
        <w:t>Arch. Med. Vet.</w:t>
      </w:r>
      <w:r w:rsidRPr="00793E15">
        <w:rPr>
          <w:noProof/>
          <w:szCs w:val="24"/>
        </w:rPr>
        <w:t xml:space="preserve"> </w:t>
      </w:r>
      <w:r w:rsidRPr="00793E15">
        <w:rPr>
          <w:b/>
          <w:bCs/>
          <w:noProof/>
          <w:szCs w:val="24"/>
        </w:rPr>
        <w:t>46,</w:t>
      </w:r>
      <w:r w:rsidRPr="00793E15">
        <w:rPr>
          <w:noProof/>
          <w:szCs w:val="24"/>
        </w:rPr>
        <w:t xml:space="preserve"> 387–396 (2014).</w:t>
      </w:r>
    </w:p>
    <w:p w14:paraId="44610168" w14:textId="77777777" w:rsidR="000B1587" w:rsidRPr="006F17EE" w:rsidRDefault="001D45DD" w:rsidP="002813ED">
      <w:r w:rsidRPr="008E5B32">
        <w:fldChar w:fldCharType="end"/>
      </w:r>
      <w:bookmarkEnd w:id="19"/>
    </w:p>
    <w:sectPr w:rsidR="000B1587" w:rsidRPr="006F17EE" w:rsidSect="00D83E7F">
      <w:footerReference w:type="default" r:id="rId10"/>
      <w:footnotePr>
        <w:numFmt w:val="lowerLetter"/>
      </w:footnotePr>
      <w:pgSz w:w="11909" w:h="16834"/>
      <w:pgMar w:top="1440" w:right="1440" w:bottom="1440" w:left="1440" w:header="0" w:footer="720" w:gutter="0"/>
      <w:lnNumType w:countBy="1" w:restart="continuou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E3EA9F" w14:textId="77777777" w:rsidR="001809F0" w:rsidRDefault="001809F0">
      <w:pPr>
        <w:spacing w:line="240" w:lineRule="auto"/>
      </w:pPr>
      <w:r>
        <w:separator/>
      </w:r>
    </w:p>
  </w:endnote>
  <w:endnote w:type="continuationSeparator" w:id="0">
    <w:p w14:paraId="021ECC8A" w14:textId="77777777" w:rsidR="001809F0" w:rsidRDefault="001809F0">
      <w:pPr>
        <w:spacing w:line="240" w:lineRule="auto"/>
      </w:pPr>
      <w:r>
        <w:continuationSeparator/>
      </w:r>
    </w:p>
  </w:endnote>
  <w:endnote w:type="continuationNotice" w:id="1">
    <w:p w14:paraId="02C2BA63" w14:textId="77777777" w:rsidR="001809F0" w:rsidRDefault="001809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1"/>
    <w:family w:val="roman"/>
    <w:pitch w:val="variable"/>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museo-sans">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B663F" w14:textId="77777777" w:rsidR="001809F0" w:rsidRPr="006F17EE" w:rsidRDefault="001809F0">
    <w:pPr>
      <w:jc w:val="right"/>
    </w:pPr>
    <w:r w:rsidRPr="006F17EE">
      <w:fldChar w:fldCharType="begin"/>
    </w:r>
    <w:r w:rsidRPr="006F17EE">
      <w:instrText>PAGE</w:instrText>
    </w:r>
    <w:r w:rsidRPr="006F17EE">
      <w:fldChar w:fldCharType="separate"/>
    </w:r>
    <w:r>
      <w:rPr>
        <w:noProof/>
      </w:rPr>
      <w:t>1</w:t>
    </w:r>
    <w:r w:rsidRPr="006F17EE">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811D9" w14:textId="77777777" w:rsidR="001809F0" w:rsidRPr="006F17EE" w:rsidRDefault="001809F0">
    <w:pPr>
      <w:jc w:val="right"/>
    </w:pPr>
    <w:r w:rsidRPr="006F17EE">
      <w:fldChar w:fldCharType="begin"/>
    </w:r>
    <w:r w:rsidRPr="006F17EE">
      <w:instrText>PAGE</w:instrText>
    </w:r>
    <w:r w:rsidRPr="006F17EE">
      <w:fldChar w:fldCharType="separate"/>
    </w:r>
    <w:r>
      <w:rPr>
        <w:noProof/>
      </w:rPr>
      <w:t>20</w:t>
    </w:r>
    <w:r w:rsidRPr="006F17EE">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59E7A3" w14:textId="77777777" w:rsidR="001809F0" w:rsidRPr="006F17EE" w:rsidRDefault="001809F0">
    <w:pPr>
      <w:jc w:val="right"/>
    </w:pPr>
    <w:r w:rsidRPr="006F17EE">
      <w:fldChar w:fldCharType="begin"/>
    </w:r>
    <w:r w:rsidRPr="006F17EE">
      <w:instrText>PAGE</w:instrText>
    </w:r>
    <w:r w:rsidRPr="006F17EE">
      <w:fldChar w:fldCharType="separate"/>
    </w:r>
    <w:r>
      <w:rPr>
        <w:noProof/>
      </w:rPr>
      <w:t>24</w:t>
    </w:r>
    <w:r w:rsidRPr="006F17EE">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49F4A7" w14:textId="77777777" w:rsidR="001809F0" w:rsidRDefault="001809F0">
      <w:pPr>
        <w:spacing w:line="240" w:lineRule="auto"/>
      </w:pPr>
      <w:r>
        <w:separator/>
      </w:r>
    </w:p>
  </w:footnote>
  <w:footnote w:type="continuationSeparator" w:id="0">
    <w:p w14:paraId="0D263797" w14:textId="77777777" w:rsidR="001809F0" w:rsidRDefault="001809F0">
      <w:pPr>
        <w:spacing w:line="240" w:lineRule="auto"/>
      </w:pPr>
      <w:r>
        <w:continuationSeparator/>
      </w:r>
    </w:p>
  </w:footnote>
  <w:footnote w:type="continuationNotice" w:id="1">
    <w:p w14:paraId="4978F0BD" w14:textId="77777777" w:rsidR="001809F0" w:rsidRDefault="001809F0">
      <w:pPr>
        <w:spacing w:after="0" w:line="240" w:lineRule="auto"/>
      </w:pPr>
    </w:p>
  </w:footnote>
  <w:footnote w:id="2">
    <w:p w14:paraId="383131DB" w14:textId="21FCB67F" w:rsidR="001809F0" w:rsidRPr="00123621" w:rsidRDefault="001809F0" w:rsidP="00012A66">
      <w:pPr>
        <w:spacing w:line="240" w:lineRule="auto"/>
        <w:rPr>
          <w:sz w:val="20"/>
          <w:szCs w:val="20"/>
          <w:lang w:val="en-US"/>
        </w:rPr>
      </w:pPr>
      <w:r w:rsidRPr="00123621">
        <w:rPr>
          <w:sz w:val="20"/>
          <w:szCs w:val="20"/>
          <w:vertAlign w:val="superscript"/>
        </w:rPr>
        <w:footnoteRef/>
      </w:r>
      <w:r w:rsidRPr="00123621">
        <w:rPr>
          <w:sz w:val="20"/>
          <w:szCs w:val="20"/>
          <w:lang w:val="en-US"/>
        </w:rPr>
        <w:t xml:space="preserve"> </w:t>
      </w:r>
      <w:r w:rsidRPr="007F5344">
        <w:rPr>
          <w:sz w:val="20"/>
          <w:szCs w:val="20"/>
          <w:lang w:val="en-GB"/>
        </w:rPr>
        <w:t xml:space="preserve">Under REACH, a nanoform (NF) is a form of a substance, which fulfils the EC recommended definition of nanomaterial. In addition to size, NFs are characterised by shape and surface chemistry </w:t>
      </w:r>
      <w:r w:rsidRPr="00123621">
        <w:rPr>
          <w:sz w:val="20"/>
          <w:szCs w:val="20"/>
        </w:rPr>
        <w:fldChar w:fldCharType="begin" w:fldLock="1"/>
      </w:r>
      <w:r>
        <w:rPr>
          <w:sz w:val="20"/>
          <w:szCs w:val="20"/>
          <w:lang w:val="en-GB"/>
        </w:rPr>
        <w:instrText>ADDIN CSL_CITATION {"citationItems":[{"id":"ITEM-1","itemData":{"author":[{"dropping-particle":"","family":"EC","given":"","non-dropping-particle":"","parse-names":false,"suffix":""}],"id":"ITEM-1","issued":{"date-parts":[["2017"]]},"title":"Amendments of the Annexes to REACH for registration of nanomaterials | European Commission","type":"webpage"},"uris":["http://www.mendeley.com/documents/?uuid=b5e8448d-9ef1-41de-a797-8aa58347cbab"]}],"mendeley":{"formattedCitation":"&lt;sup&gt;4&lt;/sup&gt;","plainTextFormattedCitation":"4","previouslyFormattedCitation":"&lt;sup&gt;4&lt;/sup&gt;"},"properties":{"noteIndex":0},"schema":"https://github.com/citation-style-language/schema/raw/master/csl-citation.json"}</w:instrText>
      </w:r>
      <w:r w:rsidRPr="00123621">
        <w:rPr>
          <w:sz w:val="20"/>
          <w:szCs w:val="20"/>
        </w:rPr>
        <w:fldChar w:fldCharType="separate"/>
      </w:r>
      <w:r w:rsidRPr="007F5344">
        <w:rPr>
          <w:noProof/>
          <w:sz w:val="20"/>
          <w:szCs w:val="20"/>
          <w:vertAlign w:val="superscript"/>
          <w:lang w:val="en-GB"/>
        </w:rPr>
        <w:t>4</w:t>
      </w:r>
      <w:r w:rsidRPr="00123621">
        <w:rPr>
          <w:sz w:val="20"/>
          <w:szCs w:val="20"/>
        </w:rPr>
        <w:fldChar w:fldCharType="end"/>
      </w:r>
      <w:r w:rsidRPr="007F5344">
        <w:rPr>
          <w:sz w:val="20"/>
          <w:szCs w:val="20"/>
          <w:lang w:val="en-GB"/>
        </w:rPr>
        <w:t>.</w:t>
      </w:r>
    </w:p>
  </w:footnote>
  <w:footnote w:id="3">
    <w:p w14:paraId="63B673F6" w14:textId="5FF5F78E" w:rsidR="001809F0" w:rsidRPr="007F5344" w:rsidRDefault="001809F0">
      <w:pPr>
        <w:pStyle w:val="FootnoteText"/>
        <w:rPr>
          <w:lang w:val="en-GB"/>
        </w:rPr>
      </w:pPr>
      <w:r>
        <w:rPr>
          <w:rStyle w:val="FootnoteReference"/>
        </w:rPr>
        <w:footnoteRef/>
      </w:r>
      <w:r w:rsidRPr="007F5344">
        <w:rPr>
          <w:lang w:val="en-GB"/>
        </w:rPr>
        <w:t xml:space="preserve"> https://www.h2020gracious.eu/ (</w:t>
      </w:r>
      <w:r w:rsidRPr="00C60A8A">
        <w:rPr>
          <w:lang w:val="en-US"/>
        </w:rPr>
        <w:t xml:space="preserve">web </w:t>
      </w:r>
      <w:r>
        <w:rPr>
          <w:lang w:val="en-US"/>
        </w:rPr>
        <w:t>address accessed in summer 2018).</w:t>
      </w:r>
    </w:p>
  </w:footnote>
  <w:footnote w:id="4">
    <w:p w14:paraId="5632785F" w14:textId="7F1E71FD" w:rsidR="001809F0" w:rsidRPr="00587D37" w:rsidRDefault="001809F0">
      <w:pPr>
        <w:pStyle w:val="FootnoteText"/>
        <w:rPr>
          <w:lang w:val="en-US"/>
        </w:rPr>
      </w:pPr>
      <w:r>
        <w:rPr>
          <w:rStyle w:val="FootnoteReference"/>
        </w:rPr>
        <w:footnoteRef/>
      </w:r>
      <w:r w:rsidRPr="00587D37">
        <w:rPr>
          <w:lang w:val="en-US"/>
        </w:rPr>
        <w:t xml:space="preserve"> http://www.nanofase.eu/</w:t>
      </w:r>
      <w:r>
        <w:rPr>
          <w:lang w:val="en-US"/>
        </w:rPr>
        <w:t xml:space="preserve"> </w:t>
      </w:r>
      <w:r w:rsidRPr="007F5344">
        <w:rPr>
          <w:lang w:val="en-GB"/>
        </w:rPr>
        <w:t>(</w:t>
      </w:r>
      <w:r w:rsidRPr="00C60A8A">
        <w:rPr>
          <w:lang w:val="en-US"/>
        </w:rPr>
        <w:t xml:space="preserve">web </w:t>
      </w:r>
      <w:r>
        <w:rPr>
          <w:lang w:val="en-US"/>
        </w:rPr>
        <w:t>address accessed in summer 2018).</w:t>
      </w:r>
    </w:p>
  </w:footnote>
  <w:footnote w:id="5">
    <w:p w14:paraId="38A5C2F4" w14:textId="437807C0" w:rsidR="001809F0" w:rsidRPr="000D399B" w:rsidRDefault="001809F0">
      <w:pPr>
        <w:pStyle w:val="FootnoteText"/>
        <w:rPr>
          <w:lang w:val="en-US"/>
        </w:rPr>
      </w:pPr>
      <w:r>
        <w:rPr>
          <w:rStyle w:val="FootnoteReference"/>
        </w:rPr>
        <w:footnoteRef/>
      </w:r>
      <w:r w:rsidRPr="000D399B">
        <w:rPr>
          <w:lang w:val="en-US"/>
        </w:rPr>
        <w:t xml:space="preserve"> https://www.nanocommons.eu/</w:t>
      </w:r>
      <w:r>
        <w:rPr>
          <w:lang w:val="en-US"/>
        </w:rPr>
        <w:t xml:space="preserve"> </w:t>
      </w:r>
      <w:r w:rsidRPr="007F5344">
        <w:rPr>
          <w:lang w:val="en-GB"/>
        </w:rPr>
        <w:t>(</w:t>
      </w:r>
      <w:r w:rsidRPr="00C60A8A">
        <w:rPr>
          <w:lang w:val="en-US"/>
        </w:rPr>
        <w:t xml:space="preserve">web </w:t>
      </w:r>
      <w:r>
        <w:rPr>
          <w:lang w:val="en-US"/>
        </w:rPr>
        <w:t>address accessed in summer 2018).</w:t>
      </w:r>
    </w:p>
  </w:footnote>
  <w:footnote w:id="6">
    <w:p w14:paraId="657BA948" w14:textId="2F49C06B" w:rsidR="001809F0" w:rsidRPr="000D399B" w:rsidRDefault="001809F0">
      <w:pPr>
        <w:pStyle w:val="FootnoteText"/>
        <w:rPr>
          <w:lang w:val="en-US"/>
        </w:rPr>
      </w:pPr>
      <w:r>
        <w:rPr>
          <w:rStyle w:val="FootnoteReference"/>
        </w:rPr>
        <w:footnoteRef/>
      </w:r>
      <w:r w:rsidRPr="000D399B">
        <w:rPr>
          <w:lang w:val="en-US"/>
        </w:rPr>
        <w:t xml:space="preserve"> http://www.acenano-project.eu/</w:t>
      </w:r>
      <w:r>
        <w:rPr>
          <w:lang w:val="en-US"/>
        </w:rPr>
        <w:t xml:space="preserve"> </w:t>
      </w:r>
      <w:r w:rsidRPr="007F5344">
        <w:rPr>
          <w:lang w:val="en-GB"/>
        </w:rPr>
        <w:t>(</w:t>
      </w:r>
      <w:r w:rsidRPr="00C60A8A">
        <w:rPr>
          <w:lang w:val="en-US"/>
        </w:rPr>
        <w:t xml:space="preserve">web </w:t>
      </w:r>
      <w:r>
        <w:rPr>
          <w:lang w:val="en-US"/>
        </w:rPr>
        <w:t>address accessed in summer 2018).</w:t>
      </w:r>
    </w:p>
  </w:footnote>
  <w:footnote w:id="7">
    <w:p w14:paraId="52526BF5" w14:textId="7B7D48A9" w:rsidR="001809F0" w:rsidRPr="009A4910" w:rsidRDefault="001809F0" w:rsidP="00EF2607">
      <w:pPr>
        <w:pStyle w:val="FootnoteText"/>
        <w:rPr>
          <w:lang w:val="en-US"/>
        </w:rPr>
      </w:pPr>
      <w:r>
        <w:rPr>
          <w:rStyle w:val="FootnoteReference"/>
        </w:rPr>
        <w:footnoteRef/>
      </w:r>
      <w:r w:rsidRPr="007F5344">
        <w:rPr>
          <w:lang w:val="en-GB"/>
        </w:rPr>
        <w:t xml:space="preserve"> </w:t>
      </w:r>
      <w:r w:rsidRPr="009A4910">
        <w:rPr>
          <w:lang w:val="en-US"/>
        </w:rPr>
        <w:t>http://www.insilico.eu/CORAL</w:t>
      </w:r>
      <w:r>
        <w:rPr>
          <w:lang w:val="en-US"/>
        </w:rPr>
        <w:t xml:space="preserve"> </w:t>
      </w:r>
      <w:r w:rsidRPr="00C60A8A">
        <w:rPr>
          <w:lang w:val="en-US"/>
        </w:rPr>
        <w:t xml:space="preserve">(web </w:t>
      </w:r>
      <w:r>
        <w:rPr>
          <w:lang w:val="en-US"/>
        </w:rPr>
        <w:t>address accessed in summer 2018).</w:t>
      </w:r>
    </w:p>
  </w:footnote>
  <w:footnote w:id="8">
    <w:p w14:paraId="3F048832" w14:textId="77777777" w:rsidR="001809F0" w:rsidRPr="00C60A8A" w:rsidRDefault="001809F0" w:rsidP="001801DA">
      <w:pPr>
        <w:pStyle w:val="FootnoteText"/>
        <w:rPr>
          <w:lang w:val="en-US"/>
        </w:rPr>
      </w:pPr>
      <w:r>
        <w:rPr>
          <w:rStyle w:val="FootnoteReference"/>
        </w:rPr>
        <w:footnoteRef/>
      </w:r>
      <w:r w:rsidRPr="00C60A8A">
        <w:rPr>
          <w:lang w:val="en-US"/>
        </w:rPr>
        <w:t xml:space="preserve"> http://enalos.insilicotox.com/QNAR_PaCa2 (web </w:t>
      </w:r>
      <w:r>
        <w:rPr>
          <w:lang w:val="en-US"/>
        </w:rPr>
        <w:t>address accessed in summer 2018)</w:t>
      </w:r>
    </w:p>
  </w:footnote>
  <w:footnote w:id="9">
    <w:p w14:paraId="2BE9B91C" w14:textId="77777777" w:rsidR="001809F0" w:rsidRPr="007F5344" w:rsidRDefault="001809F0" w:rsidP="001801DA">
      <w:pPr>
        <w:pStyle w:val="FootnoteText"/>
        <w:rPr>
          <w:lang w:val="en-GB"/>
        </w:rPr>
      </w:pPr>
      <w:r>
        <w:rPr>
          <w:rStyle w:val="FootnoteReference"/>
        </w:rPr>
        <w:footnoteRef/>
      </w:r>
      <w:r w:rsidRPr="007F5344">
        <w:rPr>
          <w:lang w:val="en-GB"/>
        </w:rPr>
        <w:t xml:space="preserve"> A mechanistic interpretation of the model was provided only for the models resulting by the application of the J48 Decision Tree classifier.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003227"/>
    <w:multiLevelType w:val="hybridMultilevel"/>
    <w:tmpl w:val="6608A4BA"/>
    <w:lvl w:ilvl="0" w:tplc="6B760CDC">
      <w:start w:val="1"/>
      <w:numFmt w:val="decimal"/>
      <w:lvlText w:val="%1."/>
      <w:lvlJc w:val="left"/>
      <w:pPr>
        <w:ind w:left="720" w:hanging="360"/>
      </w:pPr>
      <w:rPr>
        <w:rFonts w:hint="default"/>
        <w:b w:val="0"/>
      </w:rPr>
    </w:lvl>
    <w:lvl w:ilvl="1" w:tplc="1AC08470">
      <w:start w:val="1"/>
      <w:numFmt w:val="bullet"/>
      <w:lvlText w:val="o"/>
      <w:lvlJc w:val="left"/>
      <w:pPr>
        <w:ind w:left="284" w:hanging="284"/>
      </w:pPr>
      <w:rPr>
        <w:rFonts w:ascii="Courier New" w:hAnsi="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81B1F2E"/>
    <w:multiLevelType w:val="hybridMultilevel"/>
    <w:tmpl w:val="0B760C2E"/>
    <w:lvl w:ilvl="0" w:tplc="04100001">
      <w:start w:val="4"/>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89D26CF"/>
    <w:multiLevelType w:val="hybridMultilevel"/>
    <w:tmpl w:val="AD008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defaultTabStop w:val="720"/>
  <w:hyphenationZone w:val="283"/>
  <w:defaultTableStyle w:val="PlainTable21"/>
  <w:characterSpacingControl w:val="doNotCompress"/>
  <w:hdrShapeDefaults>
    <o:shapedefaults v:ext="edit" spidmax="6145"/>
  </w:hdrShapeDefaults>
  <w:footnotePr>
    <w:numFmt w:val="low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1DFA"/>
    <w:rsid w:val="0000006F"/>
    <w:rsid w:val="000007FB"/>
    <w:rsid w:val="00000B8A"/>
    <w:rsid w:val="00000F09"/>
    <w:rsid w:val="00001AB6"/>
    <w:rsid w:val="0000271C"/>
    <w:rsid w:val="000031F0"/>
    <w:rsid w:val="00003381"/>
    <w:rsid w:val="00004DED"/>
    <w:rsid w:val="000050C5"/>
    <w:rsid w:val="00005941"/>
    <w:rsid w:val="00005A70"/>
    <w:rsid w:val="00011409"/>
    <w:rsid w:val="000117C9"/>
    <w:rsid w:val="00012306"/>
    <w:rsid w:val="00012A66"/>
    <w:rsid w:val="00012C2F"/>
    <w:rsid w:val="00012C6E"/>
    <w:rsid w:val="00013BDE"/>
    <w:rsid w:val="00014D0A"/>
    <w:rsid w:val="00015C16"/>
    <w:rsid w:val="00015CFB"/>
    <w:rsid w:val="00015E99"/>
    <w:rsid w:val="000160A9"/>
    <w:rsid w:val="0001678D"/>
    <w:rsid w:val="00016875"/>
    <w:rsid w:val="00016951"/>
    <w:rsid w:val="00016E84"/>
    <w:rsid w:val="000171BB"/>
    <w:rsid w:val="00017E83"/>
    <w:rsid w:val="00020B2F"/>
    <w:rsid w:val="0002148D"/>
    <w:rsid w:val="00021E90"/>
    <w:rsid w:val="000223FC"/>
    <w:rsid w:val="00022B3D"/>
    <w:rsid w:val="00022F29"/>
    <w:rsid w:val="00023718"/>
    <w:rsid w:val="000245A0"/>
    <w:rsid w:val="00024B21"/>
    <w:rsid w:val="000250EC"/>
    <w:rsid w:val="00025535"/>
    <w:rsid w:val="00026661"/>
    <w:rsid w:val="000277A6"/>
    <w:rsid w:val="0002789F"/>
    <w:rsid w:val="00027A9F"/>
    <w:rsid w:val="000300F0"/>
    <w:rsid w:val="0003120D"/>
    <w:rsid w:val="00031F3C"/>
    <w:rsid w:val="00032793"/>
    <w:rsid w:val="000331DE"/>
    <w:rsid w:val="000336E3"/>
    <w:rsid w:val="000337DF"/>
    <w:rsid w:val="00033DF3"/>
    <w:rsid w:val="000350D8"/>
    <w:rsid w:val="00035797"/>
    <w:rsid w:val="000359BE"/>
    <w:rsid w:val="00040B2B"/>
    <w:rsid w:val="00040FBE"/>
    <w:rsid w:val="00041673"/>
    <w:rsid w:val="00043431"/>
    <w:rsid w:val="00043AE6"/>
    <w:rsid w:val="00044AC8"/>
    <w:rsid w:val="000454D1"/>
    <w:rsid w:val="00045D22"/>
    <w:rsid w:val="00046423"/>
    <w:rsid w:val="00046F2C"/>
    <w:rsid w:val="00047BF5"/>
    <w:rsid w:val="00047C7F"/>
    <w:rsid w:val="00047E2E"/>
    <w:rsid w:val="00050B55"/>
    <w:rsid w:val="000519AA"/>
    <w:rsid w:val="00051B7D"/>
    <w:rsid w:val="000520E3"/>
    <w:rsid w:val="00052655"/>
    <w:rsid w:val="00053690"/>
    <w:rsid w:val="00054223"/>
    <w:rsid w:val="000548C4"/>
    <w:rsid w:val="000550EE"/>
    <w:rsid w:val="00055145"/>
    <w:rsid w:val="0005547F"/>
    <w:rsid w:val="00055F6F"/>
    <w:rsid w:val="0005750D"/>
    <w:rsid w:val="00060528"/>
    <w:rsid w:val="00060C8F"/>
    <w:rsid w:val="00060D4D"/>
    <w:rsid w:val="00060DEC"/>
    <w:rsid w:val="00064DBB"/>
    <w:rsid w:val="0006514D"/>
    <w:rsid w:val="00065BA9"/>
    <w:rsid w:val="00065F40"/>
    <w:rsid w:val="00066C3C"/>
    <w:rsid w:val="00067559"/>
    <w:rsid w:val="000708F6"/>
    <w:rsid w:val="00072433"/>
    <w:rsid w:val="00072897"/>
    <w:rsid w:val="00072B36"/>
    <w:rsid w:val="00072B63"/>
    <w:rsid w:val="00073460"/>
    <w:rsid w:val="00074002"/>
    <w:rsid w:val="00075C11"/>
    <w:rsid w:val="00076815"/>
    <w:rsid w:val="000777BE"/>
    <w:rsid w:val="0007781D"/>
    <w:rsid w:val="000778E8"/>
    <w:rsid w:val="00077A5D"/>
    <w:rsid w:val="00077E56"/>
    <w:rsid w:val="00077EE4"/>
    <w:rsid w:val="0008041E"/>
    <w:rsid w:val="00080B3F"/>
    <w:rsid w:val="00080CD7"/>
    <w:rsid w:val="00081533"/>
    <w:rsid w:val="00084B3B"/>
    <w:rsid w:val="00084E26"/>
    <w:rsid w:val="00085274"/>
    <w:rsid w:val="0008708A"/>
    <w:rsid w:val="00087A8A"/>
    <w:rsid w:val="00087DEA"/>
    <w:rsid w:val="0009010A"/>
    <w:rsid w:val="00090339"/>
    <w:rsid w:val="00090888"/>
    <w:rsid w:val="00091859"/>
    <w:rsid w:val="00091C9C"/>
    <w:rsid w:val="00093192"/>
    <w:rsid w:val="00093424"/>
    <w:rsid w:val="0009354D"/>
    <w:rsid w:val="00094824"/>
    <w:rsid w:val="00096D9C"/>
    <w:rsid w:val="00096DBB"/>
    <w:rsid w:val="000A1580"/>
    <w:rsid w:val="000A219A"/>
    <w:rsid w:val="000A24D8"/>
    <w:rsid w:val="000A2F73"/>
    <w:rsid w:val="000A3480"/>
    <w:rsid w:val="000A3A86"/>
    <w:rsid w:val="000A4073"/>
    <w:rsid w:val="000A4132"/>
    <w:rsid w:val="000A4376"/>
    <w:rsid w:val="000A4CEB"/>
    <w:rsid w:val="000A65F0"/>
    <w:rsid w:val="000A6806"/>
    <w:rsid w:val="000A6F3F"/>
    <w:rsid w:val="000A7714"/>
    <w:rsid w:val="000A7777"/>
    <w:rsid w:val="000B01B6"/>
    <w:rsid w:val="000B1587"/>
    <w:rsid w:val="000B21DD"/>
    <w:rsid w:val="000B34BB"/>
    <w:rsid w:val="000B3E2B"/>
    <w:rsid w:val="000B4E6C"/>
    <w:rsid w:val="000B5457"/>
    <w:rsid w:val="000B5659"/>
    <w:rsid w:val="000B6AF2"/>
    <w:rsid w:val="000B74B5"/>
    <w:rsid w:val="000B75DD"/>
    <w:rsid w:val="000B78E4"/>
    <w:rsid w:val="000B7A4E"/>
    <w:rsid w:val="000B7AC2"/>
    <w:rsid w:val="000B7B83"/>
    <w:rsid w:val="000C0370"/>
    <w:rsid w:val="000C0421"/>
    <w:rsid w:val="000C04C2"/>
    <w:rsid w:val="000C0A88"/>
    <w:rsid w:val="000C0EDA"/>
    <w:rsid w:val="000C19C6"/>
    <w:rsid w:val="000C43BC"/>
    <w:rsid w:val="000C5339"/>
    <w:rsid w:val="000C6966"/>
    <w:rsid w:val="000C6A53"/>
    <w:rsid w:val="000C72FB"/>
    <w:rsid w:val="000C7883"/>
    <w:rsid w:val="000C7F97"/>
    <w:rsid w:val="000D059E"/>
    <w:rsid w:val="000D1FCB"/>
    <w:rsid w:val="000D2186"/>
    <w:rsid w:val="000D2E9E"/>
    <w:rsid w:val="000D32A5"/>
    <w:rsid w:val="000D38DD"/>
    <w:rsid w:val="000D399B"/>
    <w:rsid w:val="000D4A0C"/>
    <w:rsid w:val="000D51D5"/>
    <w:rsid w:val="000D56DF"/>
    <w:rsid w:val="000D597B"/>
    <w:rsid w:val="000D5A3A"/>
    <w:rsid w:val="000D61EF"/>
    <w:rsid w:val="000D6C8E"/>
    <w:rsid w:val="000D7527"/>
    <w:rsid w:val="000D7981"/>
    <w:rsid w:val="000D7CD9"/>
    <w:rsid w:val="000E000D"/>
    <w:rsid w:val="000E0DBC"/>
    <w:rsid w:val="000E2D4A"/>
    <w:rsid w:val="000E30E2"/>
    <w:rsid w:val="000E375B"/>
    <w:rsid w:val="000E37F5"/>
    <w:rsid w:val="000E41E2"/>
    <w:rsid w:val="000E7299"/>
    <w:rsid w:val="000F0888"/>
    <w:rsid w:val="000F08BC"/>
    <w:rsid w:val="000F0C73"/>
    <w:rsid w:val="000F13AC"/>
    <w:rsid w:val="000F344A"/>
    <w:rsid w:val="000F3DC4"/>
    <w:rsid w:val="000F4877"/>
    <w:rsid w:val="000F4E32"/>
    <w:rsid w:val="000F6EE5"/>
    <w:rsid w:val="000F751D"/>
    <w:rsid w:val="000F75F3"/>
    <w:rsid w:val="000F797F"/>
    <w:rsid w:val="000F7999"/>
    <w:rsid w:val="000F7C49"/>
    <w:rsid w:val="000F7E94"/>
    <w:rsid w:val="001008FC"/>
    <w:rsid w:val="0010181D"/>
    <w:rsid w:val="00102A3E"/>
    <w:rsid w:val="0010584B"/>
    <w:rsid w:val="00106332"/>
    <w:rsid w:val="0010653F"/>
    <w:rsid w:val="00106B5A"/>
    <w:rsid w:val="00106FF4"/>
    <w:rsid w:val="00110501"/>
    <w:rsid w:val="0011152B"/>
    <w:rsid w:val="00111917"/>
    <w:rsid w:val="001135EE"/>
    <w:rsid w:val="001137E7"/>
    <w:rsid w:val="00114251"/>
    <w:rsid w:val="00114358"/>
    <w:rsid w:val="00114A7F"/>
    <w:rsid w:val="0011542D"/>
    <w:rsid w:val="001160C1"/>
    <w:rsid w:val="0011622D"/>
    <w:rsid w:val="00117ECD"/>
    <w:rsid w:val="0012193E"/>
    <w:rsid w:val="00121D62"/>
    <w:rsid w:val="001225AC"/>
    <w:rsid w:val="00123621"/>
    <w:rsid w:val="0012372C"/>
    <w:rsid w:val="00123BC2"/>
    <w:rsid w:val="00124F9F"/>
    <w:rsid w:val="00125973"/>
    <w:rsid w:val="00125A4E"/>
    <w:rsid w:val="00125D9C"/>
    <w:rsid w:val="00126247"/>
    <w:rsid w:val="00126DF8"/>
    <w:rsid w:val="00126E00"/>
    <w:rsid w:val="00127F0C"/>
    <w:rsid w:val="0013043E"/>
    <w:rsid w:val="00130936"/>
    <w:rsid w:val="00130DC2"/>
    <w:rsid w:val="00131B1B"/>
    <w:rsid w:val="00131DD5"/>
    <w:rsid w:val="00132FC4"/>
    <w:rsid w:val="001330B3"/>
    <w:rsid w:val="0013424B"/>
    <w:rsid w:val="00135F09"/>
    <w:rsid w:val="00136629"/>
    <w:rsid w:val="00136808"/>
    <w:rsid w:val="00137C3D"/>
    <w:rsid w:val="0014002E"/>
    <w:rsid w:val="0014006A"/>
    <w:rsid w:val="001400EF"/>
    <w:rsid w:val="00141FEF"/>
    <w:rsid w:val="00142A9D"/>
    <w:rsid w:val="001430F8"/>
    <w:rsid w:val="00143A66"/>
    <w:rsid w:val="00144B11"/>
    <w:rsid w:val="00146523"/>
    <w:rsid w:val="001465D8"/>
    <w:rsid w:val="00147925"/>
    <w:rsid w:val="00147B8E"/>
    <w:rsid w:val="001500E8"/>
    <w:rsid w:val="00150587"/>
    <w:rsid w:val="0015064B"/>
    <w:rsid w:val="00150907"/>
    <w:rsid w:val="0015122F"/>
    <w:rsid w:val="00151998"/>
    <w:rsid w:val="00154932"/>
    <w:rsid w:val="00154DEF"/>
    <w:rsid w:val="001551BD"/>
    <w:rsid w:val="00155A3D"/>
    <w:rsid w:val="00156047"/>
    <w:rsid w:val="001569E7"/>
    <w:rsid w:val="00156E16"/>
    <w:rsid w:val="0015798B"/>
    <w:rsid w:val="00157AA1"/>
    <w:rsid w:val="00157F68"/>
    <w:rsid w:val="001601A8"/>
    <w:rsid w:val="00160268"/>
    <w:rsid w:val="00162667"/>
    <w:rsid w:val="00163999"/>
    <w:rsid w:val="0016440B"/>
    <w:rsid w:val="0016493C"/>
    <w:rsid w:val="00164CF4"/>
    <w:rsid w:val="00165649"/>
    <w:rsid w:val="00167766"/>
    <w:rsid w:val="00167B9D"/>
    <w:rsid w:val="0017092B"/>
    <w:rsid w:val="00172B18"/>
    <w:rsid w:val="00173C6A"/>
    <w:rsid w:val="001742F2"/>
    <w:rsid w:val="00174EA9"/>
    <w:rsid w:val="00175B96"/>
    <w:rsid w:val="001766C1"/>
    <w:rsid w:val="00177693"/>
    <w:rsid w:val="001776A6"/>
    <w:rsid w:val="00177C8C"/>
    <w:rsid w:val="001801DA"/>
    <w:rsid w:val="00180743"/>
    <w:rsid w:val="0018089A"/>
    <w:rsid w:val="001809F0"/>
    <w:rsid w:val="00180A95"/>
    <w:rsid w:val="00180DB5"/>
    <w:rsid w:val="0018109C"/>
    <w:rsid w:val="00181DDD"/>
    <w:rsid w:val="0018302D"/>
    <w:rsid w:val="00183B4A"/>
    <w:rsid w:val="00183F7F"/>
    <w:rsid w:val="0018453D"/>
    <w:rsid w:val="0018501D"/>
    <w:rsid w:val="00185039"/>
    <w:rsid w:val="001858FF"/>
    <w:rsid w:val="0018602E"/>
    <w:rsid w:val="001860FF"/>
    <w:rsid w:val="001869EF"/>
    <w:rsid w:val="00186F3F"/>
    <w:rsid w:val="001874FB"/>
    <w:rsid w:val="00187960"/>
    <w:rsid w:val="00187B3B"/>
    <w:rsid w:val="00187F36"/>
    <w:rsid w:val="001905F1"/>
    <w:rsid w:val="001917FA"/>
    <w:rsid w:val="00191FDD"/>
    <w:rsid w:val="0019221B"/>
    <w:rsid w:val="00192320"/>
    <w:rsid w:val="00192FE8"/>
    <w:rsid w:val="001932B9"/>
    <w:rsid w:val="00193558"/>
    <w:rsid w:val="00193E9D"/>
    <w:rsid w:val="001949EB"/>
    <w:rsid w:val="00194C6A"/>
    <w:rsid w:val="00195A71"/>
    <w:rsid w:val="001960DB"/>
    <w:rsid w:val="0019651B"/>
    <w:rsid w:val="00196C3C"/>
    <w:rsid w:val="00196E2C"/>
    <w:rsid w:val="001A1ADF"/>
    <w:rsid w:val="001A1DFA"/>
    <w:rsid w:val="001A1E76"/>
    <w:rsid w:val="001A29C5"/>
    <w:rsid w:val="001A2F5D"/>
    <w:rsid w:val="001A3383"/>
    <w:rsid w:val="001A3432"/>
    <w:rsid w:val="001A34B9"/>
    <w:rsid w:val="001A396B"/>
    <w:rsid w:val="001A3AA5"/>
    <w:rsid w:val="001A4651"/>
    <w:rsid w:val="001A5546"/>
    <w:rsid w:val="001A7244"/>
    <w:rsid w:val="001A7C19"/>
    <w:rsid w:val="001B0B00"/>
    <w:rsid w:val="001B0E6F"/>
    <w:rsid w:val="001B1F4C"/>
    <w:rsid w:val="001B22F6"/>
    <w:rsid w:val="001B3C5E"/>
    <w:rsid w:val="001B44C1"/>
    <w:rsid w:val="001B4800"/>
    <w:rsid w:val="001B486E"/>
    <w:rsid w:val="001B5141"/>
    <w:rsid w:val="001B5442"/>
    <w:rsid w:val="001B5A6D"/>
    <w:rsid w:val="001B5D0B"/>
    <w:rsid w:val="001B6E32"/>
    <w:rsid w:val="001B71C6"/>
    <w:rsid w:val="001B766A"/>
    <w:rsid w:val="001B76EE"/>
    <w:rsid w:val="001C1F6F"/>
    <w:rsid w:val="001C2993"/>
    <w:rsid w:val="001C2997"/>
    <w:rsid w:val="001C3B69"/>
    <w:rsid w:val="001C3BB3"/>
    <w:rsid w:val="001C4466"/>
    <w:rsid w:val="001C4F6D"/>
    <w:rsid w:val="001C6302"/>
    <w:rsid w:val="001C7CE8"/>
    <w:rsid w:val="001D078E"/>
    <w:rsid w:val="001D147D"/>
    <w:rsid w:val="001D1A10"/>
    <w:rsid w:val="001D2436"/>
    <w:rsid w:val="001D3631"/>
    <w:rsid w:val="001D4018"/>
    <w:rsid w:val="001D40AE"/>
    <w:rsid w:val="001D45DD"/>
    <w:rsid w:val="001D469B"/>
    <w:rsid w:val="001D492E"/>
    <w:rsid w:val="001D50D6"/>
    <w:rsid w:val="001D58F7"/>
    <w:rsid w:val="001D6981"/>
    <w:rsid w:val="001D69A9"/>
    <w:rsid w:val="001D76C7"/>
    <w:rsid w:val="001E3004"/>
    <w:rsid w:val="001E408B"/>
    <w:rsid w:val="001E411E"/>
    <w:rsid w:val="001E4613"/>
    <w:rsid w:val="001E4635"/>
    <w:rsid w:val="001E5ADB"/>
    <w:rsid w:val="001F0D5E"/>
    <w:rsid w:val="001F17AD"/>
    <w:rsid w:val="001F1CAE"/>
    <w:rsid w:val="001F23DD"/>
    <w:rsid w:val="001F278C"/>
    <w:rsid w:val="001F30BA"/>
    <w:rsid w:val="001F32FB"/>
    <w:rsid w:val="001F46D5"/>
    <w:rsid w:val="001F5069"/>
    <w:rsid w:val="001F52BB"/>
    <w:rsid w:val="001F5A81"/>
    <w:rsid w:val="001F6369"/>
    <w:rsid w:val="001F6474"/>
    <w:rsid w:val="001F674A"/>
    <w:rsid w:val="001F71E0"/>
    <w:rsid w:val="002000F2"/>
    <w:rsid w:val="00200106"/>
    <w:rsid w:val="002010E4"/>
    <w:rsid w:val="0020143F"/>
    <w:rsid w:val="00202175"/>
    <w:rsid w:val="002027ED"/>
    <w:rsid w:val="00203CC7"/>
    <w:rsid w:val="00204077"/>
    <w:rsid w:val="00204559"/>
    <w:rsid w:val="00204FC8"/>
    <w:rsid w:val="00205283"/>
    <w:rsid w:val="002069DC"/>
    <w:rsid w:val="00206D18"/>
    <w:rsid w:val="00207742"/>
    <w:rsid w:val="00207B16"/>
    <w:rsid w:val="00210313"/>
    <w:rsid w:val="002104AC"/>
    <w:rsid w:val="00210E65"/>
    <w:rsid w:val="00210F35"/>
    <w:rsid w:val="0021176C"/>
    <w:rsid w:val="002123F5"/>
    <w:rsid w:val="00212A5D"/>
    <w:rsid w:val="00212E4D"/>
    <w:rsid w:val="00213D3C"/>
    <w:rsid w:val="00214122"/>
    <w:rsid w:val="00214806"/>
    <w:rsid w:val="00214C47"/>
    <w:rsid w:val="00214D4B"/>
    <w:rsid w:val="0021673C"/>
    <w:rsid w:val="002168CE"/>
    <w:rsid w:val="00216A1A"/>
    <w:rsid w:val="00216E4A"/>
    <w:rsid w:val="00217EA2"/>
    <w:rsid w:val="002214CE"/>
    <w:rsid w:val="00222261"/>
    <w:rsid w:val="00223FD1"/>
    <w:rsid w:val="0022481D"/>
    <w:rsid w:val="002249D5"/>
    <w:rsid w:val="00224DE8"/>
    <w:rsid w:val="002265B8"/>
    <w:rsid w:val="0023024D"/>
    <w:rsid w:val="00230ED7"/>
    <w:rsid w:val="00231257"/>
    <w:rsid w:val="002339D0"/>
    <w:rsid w:val="00233D03"/>
    <w:rsid w:val="00233E1F"/>
    <w:rsid w:val="002349A7"/>
    <w:rsid w:val="00235A3E"/>
    <w:rsid w:val="002363C9"/>
    <w:rsid w:val="00240934"/>
    <w:rsid w:val="00240FD2"/>
    <w:rsid w:val="00241022"/>
    <w:rsid w:val="0024157E"/>
    <w:rsid w:val="00241802"/>
    <w:rsid w:val="00241939"/>
    <w:rsid w:val="002430F9"/>
    <w:rsid w:val="002446BE"/>
    <w:rsid w:val="00244B0C"/>
    <w:rsid w:val="00244C67"/>
    <w:rsid w:val="00244D50"/>
    <w:rsid w:val="00244E46"/>
    <w:rsid w:val="0024536D"/>
    <w:rsid w:val="002455C6"/>
    <w:rsid w:val="00245A4B"/>
    <w:rsid w:val="00245A63"/>
    <w:rsid w:val="00245A90"/>
    <w:rsid w:val="002460AB"/>
    <w:rsid w:val="00246300"/>
    <w:rsid w:val="002466C0"/>
    <w:rsid w:val="00246BD6"/>
    <w:rsid w:val="00246F41"/>
    <w:rsid w:val="00247E86"/>
    <w:rsid w:val="00250112"/>
    <w:rsid w:val="002533AB"/>
    <w:rsid w:val="00253E89"/>
    <w:rsid w:val="002544AB"/>
    <w:rsid w:val="00254F14"/>
    <w:rsid w:val="00256101"/>
    <w:rsid w:val="00256C99"/>
    <w:rsid w:val="0025703C"/>
    <w:rsid w:val="002575D8"/>
    <w:rsid w:val="00257E43"/>
    <w:rsid w:val="0026003E"/>
    <w:rsid w:val="00260909"/>
    <w:rsid w:val="002617C5"/>
    <w:rsid w:val="00262060"/>
    <w:rsid w:val="002629AB"/>
    <w:rsid w:val="00262A75"/>
    <w:rsid w:val="00262C75"/>
    <w:rsid w:val="00263616"/>
    <w:rsid w:val="00263EEC"/>
    <w:rsid w:val="00264FAD"/>
    <w:rsid w:val="002652F2"/>
    <w:rsid w:val="00265FB5"/>
    <w:rsid w:val="0026626E"/>
    <w:rsid w:val="002678ED"/>
    <w:rsid w:val="00267BBF"/>
    <w:rsid w:val="00267E4E"/>
    <w:rsid w:val="0027082D"/>
    <w:rsid w:val="00270E27"/>
    <w:rsid w:val="00271AC4"/>
    <w:rsid w:val="00273D13"/>
    <w:rsid w:val="0027432A"/>
    <w:rsid w:val="00275078"/>
    <w:rsid w:val="00275B2B"/>
    <w:rsid w:val="00276215"/>
    <w:rsid w:val="002763EF"/>
    <w:rsid w:val="00276C5C"/>
    <w:rsid w:val="00277154"/>
    <w:rsid w:val="00277673"/>
    <w:rsid w:val="002804D0"/>
    <w:rsid w:val="00280734"/>
    <w:rsid w:val="002813ED"/>
    <w:rsid w:val="00281786"/>
    <w:rsid w:val="00282F6D"/>
    <w:rsid w:val="00283014"/>
    <w:rsid w:val="00284B9C"/>
    <w:rsid w:val="00284F96"/>
    <w:rsid w:val="0028629F"/>
    <w:rsid w:val="002862B1"/>
    <w:rsid w:val="00286AB0"/>
    <w:rsid w:val="00287098"/>
    <w:rsid w:val="0028730D"/>
    <w:rsid w:val="00287507"/>
    <w:rsid w:val="00287720"/>
    <w:rsid w:val="002877B3"/>
    <w:rsid w:val="00290032"/>
    <w:rsid w:val="002909EC"/>
    <w:rsid w:val="00291E6F"/>
    <w:rsid w:val="002945A6"/>
    <w:rsid w:val="00294CEE"/>
    <w:rsid w:val="00294EC4"/>
    <w:rsid w:val="00296616"/>
    <w:rsid w:val="002968E3"/>
    <w:rsid w:val="00297293"/>
    <w:rsid w:val="00297802"/>
    <w:rsid w:val="00297E0D"/>
    <w:rsid w:val="002A096B"/>
    <w:rsid w:val="002A1D75"/>
    <w:rsid w:val="002A2630"/>
    <w:rsid w:val="002A37BA"/>
    <w:rsid w:val="002A454A"/>
    <w:rsid w:val="002A454E"/>
    <w:rsid w:val="002A4968"/>
    <w:rsid w:val="002A696B"/>
    <w:rsid w:val="002A75AC"/>
    <w:rsid w:val="002A7A3C"/>
    <w:rsid w:val="002A7BCB"/>
    <w:rsid w:val="002A7C90"/>
    <w:rsid w:val="002B05F4"/>
    <w:rsid w:val="002B0A4C"/>
    <w:rsid w:val="002B239F"/>
    <w:rsid w:val="002B31A3"/>
    <w:rsid w:val="002B33C1"/>
    <w:rsid w:val="002B3FDB"/>
    <w:rsid w:val="002B426A"/>
    <w:rsid w:val="002B5C8B"/>
    <w:rsid w:val="002B745E"/>
    <w:rsid w:val="002B7721"/>
    <w:rsid w:val="002C06A4"/>
    <w:rsid w:val="002C0701"/>
    <w:rsid w:val="002C0B89"/>
    <w:rsid w:val="002C0E91"/>
    <w:rsid w:val="002C14D6"/>
    <w:rsid w:val="002C312D"/>
    <w:rsid w:val="002C374A"/>
    <w:rsid w:val="002C49E3"/>
    <w:rsid w:val="002C4D51"/>
    <w:rsid w:val="002C5B9E"/>
    <w:rsid w:val="002C5C69"/>
    <w:rsid w:val="002C6F70"/>
    <w:rsid w:val="002C76C7"/>
    <w:rsid w:val="002D0039"/>
    <w:rsid w:val="002D0421"/>
    <w:rsid w:val="002D1386"/>
    <w:rsid w:val="002D15C6"/>
    <w:rsid w:val="002D1B8E"/>
    <w:rsid w:val="002D2188"/>
    <w:rsid w:val="002D4A2F"/>
    <w:rsid w:val="002D4B88"/>
    <w:rsid w:val="002D4FB8"/>
    <w:rsid w:val="002D505E"/>
    <w:rsid w:val="002D5273"/>
    <w:rsid w:val="002D6254"/>
    <w:rsid w:val="002D6689"/>
    <w:rsid w:val="002D75AC"/>
    <w:rsid w:val="002E0064"/>
    <w:rsid w:val="002E0730"/>
    <w:rsid w:val="002E0A44"/>
    <w:rsid w:val="002E1748"/>
    <w:rsid w:val="002E17B3"/>
    <w:rsid w:val="002E1866"/>
    <w:rsid w:val="002E1F78"/>
    <w:rsid w:val="002E209D"/>
    <w:rsid w:val="002E2411"/>
    <w:rsid w:val="002E2F83"/>
    <w:rsid w:val="002E322E"/>
    <w:rsid w:val="002E43BB"/>
    <w:rsid w:val="002E474C"/>
    <w:rsid w:val="002E4951"/>
    <w:rsid w:val="002E5328"/>
    <w:rsid w:val="002E5364"/>
    <w:rsid w:val="002E699A"/>
    <w:rsid w:val="002E74BF"/>
    <w:rsid w:val="002F0EA4"/>
    <w:rsid w:val="002F207B"/>
    <w:rsid w:val="002F2561"/>
    <w:rsid w:val="002F2697"/>
    <w:rsid w:val="002F4539"/>
    <w:rsid w:val="002F464B"/>
    <w:rsid w:val="002F4DD4"/>
    <w:rsid w:val="002F55F6"/>
    <w:rsid w:val="002F58FC"/>
    <w:rsid w:val="002F5F5F"/>
    <w:rsid w:val="002F6480"/>
    <w:rsid w:val="002F6A8B"/>
    <w:rsid w:val="003013C3"/>
    <w:rsid w:val="003014A0"/>
    <w:rsid w:val="00301BDC"/>
    <w:rsid w:val="00301CCE"/>
    <w:rsid w:val="00302BDF"/>
    <w:rsid w:val="00302CCB"/>
    <w:rsid w:val="00303174"/>
    <w:rsid w:val="003052C4"/>
    <w:rsid w:val="0030631B"/>
    <w:rsid w:val="003067ED"/>
    <w:rsid w:val="003068AE"/>
    <w:rsid w:val="00306F49"/>
    <w:rsid w:val="0030713F"/>
    <w:rsid w:val="00307BB0"/>
    <w:rsid w:val="00310119"/>
    <w:rsid w:val="00310A99"/>
    <w:rsid w:val="00311BEC"/>
    <w:rsid w:val="00312BBD"/>
    <w:rsid w:val="003136C4"/>
    <w:rsid w:val="00315796"/>
    <w:rsid w:val="00315BB2"/>
    <w:rsid w:val="00316CF0"/>
    <w:rsid w:val="00316D63"/>
    <w:rsid w:val="00317197"/>
    <w:rsid w:val="00320741"/>
    <w:rsid w:val="00322141"/>
    <w:rsid w:val="00323507"/>
    <w:rsid w:val="0032372A"/>
    <w:rsid w:val="00324A3A"/>
    <w:rsid w:val="00324D74"/>
    <w:rsid w:val="003254C7"/>
    <w:rsid w:val="00325578"/>
    <w:rsid w:val="00326C6F"/>
    <w:rsid w:val="00327527"/>
    <w:rsid w:val="003276A2"/>
    <w:rsid w:val="00330FC8"/>
    <w:rsid w:val="0033106D"/>
    <w:rsid w:val="00331425"/>
    <w:rsid w:val="0033222E"/>
    <w:rsid w:val="00332515"/>
    <w:rsid w:val="00332D30"/>
    <w:rsid w:val="00332F77"/>
    <w:rsid w:val="00333022"/>
    <w:rsid w:val="00333591"/>
    <w:rsid w:val="0033363B"/>
    <w:rsid w:val="0033381A"/>
    <w:rsid w:val="00334880"/>
    <w:rsid w:val="00334B7F"/>
    <w:rsid w:val="00334E73"/>
    <w:rsid w:val="00335DBE"/>
    <w:rsid w:val="00335FE4"/>
    <w:rsid w:val="00336FA6"/>
    <w:rsid w:val="003370C2"/>
    <w:rsid w:val="00337D4A"/>
    <w:rsid w:val="00340541"/>
    <w:rsid w:val="00340EE4"/>
    <w:rsid w:val="003420BC"/>
    <w:rsid w:val="0034395F"/>
    <w:rsid w:val="00343B5D"/>
    <w:rsid w:val="00344876"/>
    <w:rsid w:val="00344AFE"/>
    <w:rsid w:val="00344E43"/>
    <w:rsid w:val="003460C3"/>
    <w:rsid w:val="003464A6"/>
    <w:rsid w:val="003509B8"/>
    <w:rsid w:val="00350B34"/>
    <w:rsid w:val="00351A0E"/>
    <w:rsid w:val="003521E1"/>
    <w:rsid w:val="003524B0"/>
    <w:rsid w:val="003530CA"/>
    <w:rsid w:val="00353D95"/>
    <w:rsid w:val="003544E7"/>
    <w:rsid w:val="0035463B"/>
    <w:rsid w:val="00355722"/>
    <w:rsid w:val="00357AEA"/>
    <w:rsid w:val="003601CF"/>
    <w:rsid w:val="00360897"/>
    <w:rsid w:val="00360899"/>
    <w:rsid w:val="003610D8"/>
    <w:rsid w:val="00361BAD"/>
    <w:rsid w:val="00362DB5"/>
    <w:rsid w:val="0036325F"/>
    <w:rsid w:val="00363E54"/>
    <w:rsid w:val="00365CC8"/>
    <w:rsid w:val="00365F3C"/>
    <w:rsid w:val="0036651C"/>
    <w:rsid w:val="003665DD"/>
    <w:rsid w:val="0036676C"/>
    <w:rsid w:val="00366AE1"/>
    <w:rsid w:val="00366CAE"/>
    <w:rsid w:val="00366EE5"/>
    <w:rsid w:val="003679DF"/>
    <w:rsid w:val="00367EFF"/>
    <w:rsid w:val="00370110"/>
    <w:rsid w:val="00370E07"/>
    <w:rsid w:val="0037165F"/>
    <w:rsid w:val="00371D10"/>
    <w:rsid w:val="00372817"/>
    <w:rsid w:val="00372CAD"/>
    <w:rsid w:val="00373306"/>
    <w:rsid w:val="003738FB"/>
    <w:rsid w:val="00373CDF"/>
    <w:rsid w:val="0037475F"/>
    <w:rsid w:val="00374B7A"/>
    <w:rsid w:val="00375FA7"/>
    <w:rsid w:val="00376294"/>
    <w:rsid w:val="0037665E"/>
    <w:rsid w:val="00377869"/>
    <w:rsid w:val="00377CEF"/>
    <w:rsid w:val="00380001"/>
    <w:rsid w:val="00383B68"/>
    <w:rsid w:val="003846DD"/>
    <w:rsid w:val="00384846"/>
    <w:rsid w:val="00386081"/>
    <w:rsid w:val="00386154"/>
    <w:rsid w:val="00386F68"/>
    <w:rsid w:val="00387006"/>
    <w:rsid w:val="00387172"/>
    <w:rsid w:val="0038738B"/>
    <w:rsid w:val="0038740C"/>
    <w:rsid w:val="00387842"/>
    <w:rsid w:val="00390134"/>
    <w:rsid w:val="00390A36"/>
    <w:rsid w:val="00391907"/>
    <w:rsid w:val="0039286F"/>
    <w:rsid w:val="003930BC"/>
    <w:rsid w:val="00394150"/>
    <w:rsid w:val="00394AE1"/>
    <w:rsid w:val="00394B44"/>
    <w:rsid w:val="00395505"/>
    <w:rsid w:val="0039579C"/>
    <w:rsid w:val="00397C75"/>
    <w:rsid w:val="003A0667"/>
    <w:rsid w:val="003A171F"/>
    <w:rsid w:val="003A1757"/>
    <w:rsid w:val="003A2AB4"/>
    <w:rsid w:val="003A2F28"/>
    <w:rsid w:val="003A361C"/>
    <w:rsid w:val="003A3F82"/>
    <w:rsid w:val="003A4B1E"/>
    <w:rsid w:val="003A5060"/>
    <w:rsid w:val="003A59B1"/>
    <w:rsid w:val="003A5A42"/>
    <w:rsid w:val="003A5D33"/>
    <w:rsid w:val="003A60DC"/>
    <w:rsid w:val="003A616B"/>
    <w:rsid w:val="003B0076"/>
    <w:rsid w:val="003B0814"/>
    <w:rsid w:val="003B0A77"/>
    <w:rsid w:val="003B260B"/>
    <w:rsid w:val="003B2849"/>
    <w:rsid w:val="003B4012"/>
    <w:rsid w:val="003B6F56"/>
    <w:rsid w:val="003B78B1"/>
    <w:rsid w:val="003B7AFA"/>
    <w:rsid w:val="003C083B"/>
    <w:rsid w:val="003C09F2"/>
    <w:rsid w:val="003C0C99"/>
    <w:rsid w:val="003C14BB"/>
    <w:rsid w:val="003C18C4"/>
    <w:rsid w:val="003C299C"/>
    <w:rsid w:val="003C3562"/>
    <w:rsid w:val="003C3D53"/>
    <w:rsid w:val="003C4B3A"/>
    <w:rsid w:val="003C6752"/>
    <w:rsid w:val="003C72CA"/>
    <w:rsid w:val="003C764A"/>
    <w:rsid w:val="003D0B30"/>
    <w:rsid w:val="003D1303"/>
    <w:rsid w:val="003D2152"/>
    <w:rsid w:val="003D26C5"/>
    <w:rsid w:val="003D2B7D"/>
    <w:rsid w:val="003D2E45"/>
    <w:rsid w:val="003D3147"/>
    <w:rsid w:val="003D36D8"/>
    <w:rsid w:val="003D37C5"/>
    <w:rsid w:val="003D37DD"/>
    <w:rsid w:val="003D3AFE"/>
    <w:rsid w:val="003D46E4"/>
    <w:rsid w:val="003D53CA"/>
    <w:rsid w:val="003D5646"/>
    <w:rsid w:val="003D691B"/>
    <w:rsid w:val="003D77B9"/>
    <w:rsid w:val="003D7CC6"/>
    <w:rsid w:val="003D7DBE"/>
    <w:rsid w:val="003E1398"/>
    <w:rsid w:val="003E1C48"/>
    <w:rsid w:val="003E1D02"/>
    <w:rsid w:val="003E3609"/>
    <w:rsid w:val="003E513F"/>
    <w:rsid w:val="003E5459"/>
    <w:rsid w:val="003E5584"/>
    <w:rsid w:val="003E5AAF"/>
    <w:rsid w:val="003E5EDA"/>
    <w:rsid w:val="003E64BF"/>
    <w:rsid w:val="003E65B4"/>
    <w:rsid w:val="003E6736"/>
    <w:rsid w:val="003E67BF"/>
    <w:rsid w:val="003E7510"/>
    <w:rsid w:val="003E7E57"/>
    <w:rsid w:val="003F2B92"/>
    <w:rsid w:val="003F40A5"/>
    <w:rsid w:val="003F4617"/>
    <w:rsid w:val="003F46B3"/>
    <w:rsid w:val="003F4FCA"/>
    <w:rsid w:val="003F5868"/>
    <w:rsid w:val="003F6309"/>
    <w:rsid w:val="003F6623"/>
    <w:rsid w:val="003F71DE"/>
    <w:rsid w:val="004021B1"/>
    <w:rsid w:val="00402EAE"/>
    <w:rsid w:val="004049C3"/>
    <w:rsid w:val="00405EFA"/>
    <w:rsid w:val="00406E7D"/>
    <w:rsid w:val="00407AA7"/>
    <w:rsid w:val="00407B9E"/>
    <w:rsid w:val="00407DA0"/>
    <w:rsid w:val="004100D1"/>
    <w:rsid w:val="004107E6"/>
    <w:rsid w:val="00410C2E"/>
    <w:rsid w:val="00411838"/>
    <w:rsid w:val="00412056"/>
    <w:rsid w:val="00412E7E"/>
    <w:rsid w:val="00413282"/>
    <w:rsid w:val="00413D32"/>
    <w:rsid w:val="00413DD7"/>
    <w:rsid w:val="00413E59"/>
    <w:rsid w:val="004140E1"/>
    <w:rsid w:val="0041421C"/>
    <w:rsid w:val="00414462"/>
    <w:rsid w:val="00414630"/>
    <w:rsid w:val="00414F89"/>
    <w:rsid w:val="00415A84"/>
    <w:rsid w:val="00415F0B"/>
    <w:rsid w:val="00416DBB"/>
    <w:rsid w:val="00417F1F"/>
    <w:rsid w:val="00420326"/>
    <w:rsid w:val="00420E57"/>
    <w:rsid w:val="004213B6"/>
    <w:rsid w:val="00421C60"/>
    <w:rsid w:val="00421D07"/>
    <w:rsid w:val="00422057"/>
    <w:rsid w:val="004227CC"/>
    <w:rsid w:val="00423259"/>
    <w:rsid w:val="0042425D"/>
    <w:rsid w:val="004244D8"/>
    <w:rsid w:val="00424747"/>
    <w:rsid w:val="00425254"/>
    <w:rsid w:val="004252AD"/>
    <w:rsid w:val="004262A7"/>
    <w:rsid w:val="00426B1D"/>
    <w:rsid w:val="00426C04"/>
    <w:rsid w:val="00427421"/>
    <w:rsid w:val="00427642"/>
    <w:rsid w:val="004309C1"/>
    <w:rsid w:val="004319B2"/>
    <w:rsid w:val="00432B92"/>
    <w:rsid w:val="00432BF8"/>
    <w:rsid w:val="00432CDD"/>
    <w:rsid w:val="00433A9E"/>
    <w:rsid w:val="00434385"/>
    <w:rsid w:val="00434DDB"/>
    <w:rsid w:val="0043530A"/>
    <w:rsid w:val="00435465"/>
    <w:rsid w:val="00435A75"/>
    <w:rsid w:val="00435E5B"/>
    <w:rsid w:val="00436522"/>
    <w:rsid w:val="00436D9F"/>
    <w:rsid w:val="0043733C"/>
    <w:rsid w:val="00437985"/>
    <w:rsid w:val="004402B3"/>
    <w:rsid w:val="00440606"/>
    <w:rsid w:val="004416B2"/>
    <w:rsid w:val="00441CAA"/>
    <w:rsid w:val="00442A3C"/>
    <w:rsid w:val="00443163"/>
    <w:rsid w:val="00443F6A"/>
    <w:rsid w:val="004458BA"/>
    <w:rsid w:val="00445DD5"/>
    <w:rsid w:val="0044619A"/>
    <w:rsid w:val="00446925"/>
    <w:rsid w:val="00446C1A"/>
    <w:rsid w:val="0044705C"/>
    <w:rsid w:val="004472AD"/>
    <w:rsid w:val="00447E55"/>
    <w:rsid w:val="00447F6C"/>
    <w:rsid w:val="00451528"/>
    <w:rsid w:val="004515C3"/>
    <w:rsid w:val="00451B79"/>
    <w:rsid w:val="004535BD"/>
    <w:rsid w:val="00453616"/>
    <w:rsid w:val="004536FF"/>
    <w:rsid w:val="004538DA"/>
    <w:rsid w:val="00453B1D"/>
    <w:rsid w:val="00454152"/>
    <w:rsid w:val="004542E4"/>
    <w:rsid w:val="00454738"/>
    <w:rsid w:val="004547D5"/>
    <w:rsid w:val="00454F4C"/>
    <w:rsid w:val="004553B1"/>
    <w:rsid w:val="00455A58"/>
    <w:rsid w:val="00455DCD"/>
    <w:rsid w:val="00460ED2"/>
    <w:rsid w:val="00462966"/>
    <w:rsid w:val="00462B0B"/>
    <w:rsid w:val="00462E57"/>
    <w:rsid w:val="0046490A"/>
    <w:rsid w:val="004659B4"/>
    <w:rsid w:val="004664D9"/>
    <w:rsid w:val="00466534"/>
    <w:rsid w:val="00467628"/>
    <w:rsid w:val="00470405"/>
    <w:rsid w:val="00471476"/>
    <w:rsid w:val="0047169D"/>
    <w:rsid w:val="00471714"/>
    <w:rsid w:val="00471799"/>
    <w:rsid w:val="00471A73"/>
    <w:rsid w:val="00471B87"/>
    <w:rsid w:val="00475366"/>
    <w:rsid w:val="00475CBD"/>
    <w:rsid w:val="0047653C"/>
    <w:rsid w:val="00476666"/>
    <w:rsid w:val="00480C5F"/>
    <w:rsid w:val="00481737"/>
    <w:rsid w:val="0048372D"/>
    <w:rsid w:val="00483C1D"/>
    <w:rsid w:val="00483FEA"/>
    <w:rsid w:val="00484C0D"/>
    <w:rsid w:val="00485443"/>
    <w:rsid w:val="00485A21"/>
    <w:rsid w:val="00485A59"/>
    <w:rsid w:val="00486E4B"/>
    <w:rsid w:val="0048747C"/>
    <w:rsid w:val="00490B30"/>
    <w:rsid w:val="00493125"/>
    <w:rsid w:val="004933FC"/>
    <w:rsid w:val="004938DA"/>
    <w:rsid w:val="00494100"/>
    <w:rsid w:val="00494647"/>
    <w:rsid w:val="00494E5F"/>
    <w:rsid w:val="00496280"/>
    <w:rsid w:val="004962BF"/>
    <w:rsid w:val="004974F8"/>
    <w:rsid w:val="004A031E"/>
    <w:rsid w:val="004A07FD"/>
    <w:rsid w:val="004A0A32"/>
    <w:rsid w:val="004A1BCD"/>
    <w:rsid w:val="004A25D9"/>
    <w:rsid w:val="004A3934"/>
    <w:rsid w:val="004A4240"/>
    <w:rsid w:val="004A4CDA"/>
    <w:rsid w:val="004A59E0"/>
    <w:rsid w:val="004A5BDA"/>
    <w:rsid w:val="004A6222"/>
    <w:rsid w:val="004A67C5"/>
    <w:rsid w:val="004A6BC0"/>
    <w:rsid w:val="004B0157"/>
    <w:rsid w:val="004B0878"/>
    <w:rsid w:val="004B20BD"/>
    <w:rsid w:val="004B2444"/>
    <w:rsid w:val="004B2823"/>
    <w:rsid w:val="004B29DB"/>
    <w:rsid w:val="004B2A40"/>
    <w:rsid w:val="004B4209"/>
    <w:rsid w:val="004B4293"/>
    <w:rsid w:val="004B4A65"/>
    <w:rsid w:val="004B50FC"/>
    <w:rsid w:val="004B5D59"/>
    <w:rsid w:val="004B604B"/>
    <w:rsid w:val="004B6D16"/>
    <w:rsid w:val="004C03A7"/>
    <w:rsid w:val="004C0768"/>
    <w:rsid w:val="004C12A8"/>
    <w:rsid w:val="004C1F5C"/>
    <w:rsid w:val="004C1FC0"/>
    <w:rsid w:val="004C355F"/>
    <w:rsid w:val="004C3CB4"/>
    <w:rsid w:val="004C4241"/>
    <w:rsid w:val="004C46E2"/>
    <w:rsid w:val="004C4DAD"/>
    <w:rsid w:val="004C632F"/>
    <w:rsid w:val="004C6EAE"/>
    <w:rsid w:val="004C7668"/>
    <w:rsid w:val="004D01AA"/>
    <w:rsid w:val="004D075A"/>
    <w:rsid w:val="004D0C50"/>
    <w:rsid w:val="004D1179"/>
    <w:rsid w:val="004D1196"/>
    <w:rsid w:val="004D11B9"/>
    <w:rsid w:val="004D1207"/>
    <w:rsid w:val="004D155A"/>
    <w:rsid w:val="004D1908"/>
    <w:rsid w:val="004D1AB6"/>
    <w:rsid w:val="004D1BDD"/>
    <w:rsid w:val="004D1D59"/>
    <w:rsid w:val="004D2BE5"/>
    <w:rsid w:val="004D3151"/>
    <w:rsid w:val="004D33A1"/>
    <w:rsid w:val="004D453A"/>
    <w:rsid w:val="004D48FA"/>
    <w:rsid w:val="004D70A3"/>
    <w:rsid w:val="004D7A6F"/>
    <w:rsid w:val="004D7F4B"/>
    <w:rsid w:val="004E000A"/>
    <w:rsid w:val="004E094F"/>
    <w:rsid w:val="004E154E"/>
    <w:rsid w:val="004E1882"/>
    <w:rsid w:val="004E2F8A"/>
    <w:rsid w:val="004E33BC"/>
    <w:rsid w:val="004E4815"/>
    <w:rsid w:val="004E5F2E"/>
    <w:rsid w:val="004E7054"/>
    <w:rsid w:val="004E73D9"/>
    <w:rsid w:val="004E76EF"/>
    <w:rsid w:val="004E7C42"/>
    <w:rsid w:val="004E7D9F"/>
    <w:rsid w:val="004F04CD"/>
    <w:rsid w:val="004F0D8F"/>
    <w:rsid w:val="004F18E6"/>
    <w:rsid w:val="004F1CC0"/>
    <w:rsid w:val="004F25DB"/>
    <w:rsid w:val="004F2A2E"/>
    <w:rsid w:val="004F2D5F"/>
    <w:rsid w:val="004F3471"/>
    <w:rsid w:val="004F37BA"/>
    <w:rsid w:val="004F41F2"/>
    <w:rsid w:val="004F5A5C"/>
    <w:rsid w:val="004F61BD"/>
    <w:rsid w:val="004F7099"/>
    <w:rsid w:val="005022E0"/>
    <w:rsid w:val="0050269F"/>
    <w:rsid w:val="005036C9"/>
    <w:rsid w:val="005036D8"/>
    <w:rsid w:val="00505F5A"/>
    <w:rsid w:val="00506119"/>
    <w:rsid w:val="005066A8"/>
    <w:rsid w:val="00507583"/>
    <w:rsid w:val="0050774E"/>
    <w:rsid w:val="00507B86"/>
    <w:rsid w:val="00511CFD"/>
    <w:rsid w:val="00512924"/>
    <w:rsid w:val="00513669"/>
    <w:rsid w:val="005136ED"/>
    <w:rsid w:val="005142EB"/>
    <w:rsid w:val="005148BB"/>
    <w:rsid w:val="0051695E"/>
    <w:rsid w:val="005178A4"/>
    <w:rsid w:val="00520F75"/>
    <w:rsid w:val="0052241C"/>
    <w:rsid w:val="00522880"/>
    <w:rsid w:val="00522EEB"/>
    <w:rsid w:val="00524E49"/>
    <w:rsid w:val="005250E7"/>
    <w:rsid w:val="0052511D"/>
    <w:rsid w:val="00525E11"/>
    <w:rsid w:val="005300B1"/>
    <w:rsid w:val="00530462"/>
    <w:rsid w:val="005305B6"/>
    <w:rsid w:val="005311D6"/>
    <w:rsid w:val="00531B0A"/>
    <w:rsid w:val="00531EE9"/>
    <w:rsid w:val="00532D2A"/>
    <w:rsid w:val="00532E15"/>
    <w:rsid w:val="005335E6"/>
    <w:rsid w:val="00534376"/>
    <w:rsid w:val="005345FC"/>
    <w:rsid w:val="00535141"/>
    <w:rsid w:val="00535BC3"/>
    <w:rsid w:val="005367F2"/>
    <w:rsid w:val="00536A6A"/>
    <w:rsid w:val="00536ADA"/>
    <w:rsid w:val="00540EA9"/>
    <w:rsid w:val="00542ADA"/>
    <w:rsid w:val="0054394C"/>
    <w:rsid w:val="00543AB7"/>
    <w:rsid w:val="00543C4B"/>
    <w:rsid w:val="00543FAB"/>
    <w:rsid w:val="00545B18"/>
    <w:rsid w:val="00545CFA"/>
    <w:rsid w:val="00545FE8"/>
    <w:rsid w:val="00546B5D"/>
    <w:rsid w:val="005512DC"/>
    <w:rsid w:val="0055167F"/>
    <w:rsid w:val="00551F18"/>
    <w:rsid w:val="0055261F"/>
    <w:rsid w:val="0055274D"/>
    <w:rsid w:val="00555140"/>
    <w:rsid w:val="005576B0"/>
    <w:rsid w:val="00561E31"/>
    <w:rsid w:val="00563A28"/>
    <w:rsid w:val="00563BA5"/>
    <w:rsid w:val="00563E79"/>
    <w:rsid w:val="00565D8D"/>
    <w:rsid w:val="00565FC0"/>
    <w:rsid w:val="00566D21"/>
    <w:rsid w:val="00567CD4"/>
    <w:rsid w:val="00567D19"/>
    <w:rsid w:val="005704DC"/>
    <w:rsid w:val="005712DF"/>
    <w:rsid w:val="00572AF5"/>
    <w:rsid w:val="00573002"/>
    <w:rsid w:val="005731FA"/>
    <w:rsid w:val="00573C99"/>
    <w:rsid w:val="00573E6F"/>
    <w:rsid w:val="0057432B"/>
    <w:rsid w:val="0057444B"/>
    <w:rsid w:val="0057503C"/>
    <w:rsid w:val="0057700B"/>
    <w:rsid w:val="0057777D"/>
    <w:rsid w:val="00577911"/>
    <w:rsid w:val="00580A29"/>
    <w:rsid w:val="005814A6"/>
    <w:rsid w:val="0058268A"/>
    <w:rsid w:val="00583CA2"/>
    <w:rsid w:val="0058428F"/>
    <w:rsid w:val="00585571"/>
    <w:rsid w:val="00585BAF"/>
    <w:rsid w:val="00585E29"/>
    <w:rsid w:val="00586829"/>
    <w:rsid w:val="00587083"/>
    <w:rsid w:val="00587201"/>
    <w:rsid w:val="00587477"/>
    <w:rsid w:val="00587D17"/>
    <w:rsid w:val="00587D37"/>
    <w:rsid w:val="005906FE"/>
    <w:rsid w:val="00590BC3"/>
    <w:rsid w:val="00591078"/>
    <w:rsid w:val="0059153E"/>
    <w:rsid w:val="00592756"/>
    <w:rsid w:val="005933A6"/>
    <w:rsid w:val="005941E4"/>
    <w:rsid w:val="0059466B"/>
    <w:rsid w:val="005946C5"/>
    <w:rsid w:val="00594F6F"/>
    <w:rsid w:val="0059523D"/>
    <w:rsid w:val="00595917"/>
    <w:rsid w:val="005A0AFF"/>
    <w:rsid w:val="005A0C50"/>
    <w:rsid w:val="005A339B"/>
    <w:rsid w:val="005A3774"/>
    <w:rsid w:val="005A3C30"/>
    <w:rsid w:val="005A65C7"/>
    <w:rsid w:val="005A6844"/>
    <w:rsid w:val="005A70F3"/>
    <w:rsid w:val="005A7484"/>
    <w:rsid w:val="005A7A2B"/>
    <w:rsid w:val="005B02FA"/>
    <w:rsid w:val="005B11F3"/>
    <w:rsid w:val="005B17A7"/>
    <w:rsid w:val="005B1B3E"/>
    <w:rsid w:val="005B1BED"/>
    <w:rsid w:val="005B1D95"/>
    <w:rsid w:val="005B230B"/>
    <w:rsid w:val="005B29E6"/>
    <w:rsid w:val="005B3680"/>
    <w:rsid w:val="005B3926"/>
    <w:rsid w:val="005B53E1"/>
    <w:rsid w:val="005B53FC"/>
    <w:rsid w:val="005B54AD"/>
    <w:rsid w:val="005B54B4"/>
    <w:rsid w:val="005B5BCD"/>
    <w:rsid w:val="005B78F1"/>
    <w:rsid w:val="005B7ABD"/>
    <w:rsid w:val="005B7E0A"/>
    <w:rsid w:val="005B7F7A"/>
    <w:rsid w:val="005C0498"/>
    <w:rsid w:val="005C0843"/>
    <w:rsid w:val="005C0B9B"/>
    <w:rsid w:val="005C351D"/>
    <w:rsid w:val="005C3BA6"/>
    <w:rsid w:val="005C5267"/>
    <w:rsid w:val="005C5E51"/>
    <w:rsid w:val="005C6117"/>
    <w:rsid w:val="005C639D"/>
    <w:rsid w:val="005C7483"/>
    <w:rsid w:val="005D1733"/>
    <w:rsid w:val="005D1ADE"/>
    <w:rsid w:val="005D2DFE"/>
    <w:rsid w:val="005D35EA"/>
    <w:rsid w:val="005D3F88"/>
    <w:rsid w:val="005D47B3"/>
    <w:rsid w:val="005D4878"/>
    <w:rsid w:val="005D5293"/>
    <w:rsid w:val="005D78CB"/>
    <w:rsid w:val="005E0267"/>
    <w:rsid w:val="005E19EF"/>
    <w:rsid w:val="005E2485"/>
    <w:rsid w:val="005E3FB6"/>
    <w:rsid w:val="005E47E7"/>
    <w:rsid w:val="005E4C68"/>
    <w:rsid w:val="005E523D"/>
    <w:rsid w:val="005E714C"/>
    <w:rsid w:val="005F023D"/>
    <w:rsid w:val="005F16E0"/>
    <w:rsid w:val="005F1AD5"/>
    <w:rsid w:val="005F2D39"/>
    <w:rsid w:val="005F2E2A"/>
    <w:rsid w:val="005F33DB"/>
    <w:rsid w:val="005F3D51"/>
    <w:rsid w:val="005F4344"/>
    <w:rsid w:val="005F4751"/>
    <w:rsid w:val="005F6411"/>
    <w:rsid w:val="005F756E"/>
    <w:rsid w:val="005F7910"/>
    <w:rsid w:val="005F79AD"/>
    <w:rsid w:val="005F7EA2"/>
    <w:rsid w:val="0060086A"/>
    <w:rsid w:val="006010C1"/>
    <w:rsid w:val="00601228"/>
    <w:rsid w:val="0060169D"/>
    <w:rsid w:val="00602D5D"/>
    <w:rsid w:val="00603974"/>
    <w:rsid w:val="00603CA5"/>
    <w:rsid w:val="00604DA3"/>
    <w:rsid w:val="00604FF1"/>
    <w:rsid w:val="006057C8"/>
    <w:rsid w:val="00606A10"/>
    <w:rsid w:val="00607227"/>
    <w:rsid w:val="006075D7"/>
    <w:rsid w:val="006102EC"/>
    <w:rsid w:val="0061063C"/>
    <w:rsid w:val="00610F65"/>
    <w:rsid w:val="0061177A"/>
    <w:rsid w:val="00611F03"/>
    <w:rsid w:val="00612424"/>
    <w:rsid w:val="00613D57"/>
    <w:rsid w:val="006147CA"/>
    <w:rsid w:val="00614EBE"/>
    <w:rsid w:val="00614F6C"/>
    <w:rsid w:val="00615049"/>
    <w:rsid w:val="00615220"/>
    <w:rsid w:val="00615435"/>
    <w:rsid w:val="00616410"/>
    <w:rsid w:val="006173C2"/>
    <w:rsid w:val="0061784F"/>
    <w:rsid w:val="0062149D"/>
    <w:rsid w:val="00621A25"/>
    <w:rsid w:val="006220B1"/>
    <w:rsid w:val="00622915"/>
    <w:rsid w:val="00623786"/>
    <w:rsid w:val="00623A6B"/>
    <w:rsid w:val="006242AE"/>
    <w:rsid w:val="00624819"/>
    <w:rsid w:val="00624992"/>
    <w:rsid w:val="006249E0"/>
    <w:rsid w:val="00624AD3"/>
    <w:rsid w:val="00625F3E"/>
    <w:rsid w:val="00627285"/>
    <w:rsid w:val="00627B4C"/>
    <w:rsid w:val="00630B7C"/>
    <w:rsid w:val="00631E3B"/>
    <w:rsid w:val="006320DF"/>
    <w:rsid w:val="00632FD5"/>
    <w:rsid w:val="00633E0E"/>
    <w:rsid w:val="0063422C"/>
    <w:rsid w:val="00634770"/>
    <w:rsid w:val="0063532F"/>
    <w:rsid w:val="006353D6"/>
    <w:rsid w:val="00635BAF"/>
    <w:rsid w:val="0063660B"/>
    <w:rsid w:val="00636AC0"/>
    <w:rsid w:val="00636C81"/>
    <w:rsid w:val="00637AE1"/>
    <w:rsid w:val="00637EBF"/>
    <w:rsid w:val="00642B69"/>
    <w:rsid w:val="006434C7"/>
    <w:rsid w:val="0064364F"/>
    <w:rsid w:val="00644CB2"/>
    <w:rsid w:val="00644D14"/>
    <w:rsid w:val="0064546D"/>
    <w:rsid w:val="00645AF9"/>
    <w:rsid w:val="00646263"/>
    <w:rsid w:val="00647FC5"/>
    <w:rsid w:val="00650254"/>
    <w:rsid w:val="00650B32"/>
    <w:rsid w:val="006516B7"/>
    <w:rsid w:val="00652687"/>
    <w:rsid w:val="00652923"/>
    <w:rsid w:val="00652935"/>
    <w:rsid w:val="00652CA1"/>
    <w:rsid w:val="0065312A"/>
    <w:rsid w:val="00653264"/>
    <w:rsid w:val="00653652"/>
    <w:rsid w:val="00654ED0"/>
    <w:rsid w:val="00655407"/>
    <w:rsid w:val="00655C1C"/>
    <w:rsid w:val="0065687E"/>
    <w:rsid w:val="00656FD4"/>
    <w:rsid w:val="00657551"/>
    <w:rsid w:val="0066125A"/>
    <w:rsid w:val="00661C2E"/>
    <w:rsid w:val="006623C9"/>
    <w:rsid w:val="006630BF"/>
    <w:rsid w:val="00664330"/>
    <w:rsid w:val="00664648"/>
    <w:rsid w:val="006654EC"/>
    <w:rsid w:val="00665C30"/>
    <w:rsid w:val="006670A6"/>
    <w:rsid w:val="006703F7"/>
    <w:rsid w:val="00670A85"/>
    <w:rsid w:val="00670FD5"/>
    <w:rsid w:val="00671C2F"/>
    <w:rsid w:val="00671F54"/>
    <w:rsid w:val="00671F5B"/>
    <w:rsid w:val="006725C8"/>
    <w:rsid w:val="00672C49"/>
    <w:rsid w:val="00672E23"/>
    <w:rsid w:val="00674138"/>
    <w:rsid w:val="006749A6"/>
    <w:rsid w:val="00674C95"/>
    <w:rsid w:val="006753DD"/>
    <w:rsid w:val="00675CA7"/>
    <w:rsid w:val="00676845"/>
    <w:rsid w:val="006773A8"/>
    <w:rsid w:val="0067792C"/>
    <w:rsid w:val="00677B6F"/>
    <w:rsid w:val="00677C62"/>
    <w:rsid w:val="006800D1"/>
    <w:rsid w:val="0068016C"/>
    <w:rsid w:val="00680E4B"/>
    <w:rsid w:val="006819D7"/>
    <w:rsid w:val="00683BC9"/>
    <w:rsid w:val="0068513E"/>
    <w:rsid w:val="006854AC"/>
    <w:rsid w:val="00686C93"/>
    <w:rsid w:val="00686FF4"/>
    <w:rsid w:val="006874A3"/>
    <w:rsid w:val="00687BC1"/>
    <w:rsid w:val="00687D40"/>
    <w:rsid w:val="006913F0"/>
    <w:rsid w:val="00692C44"/>
    <w:rsid w:val="00693230"/>
    <w:rsid w:val="00693AAE"/>
    <w:rsid w:val="0069544F"/>
    <w:rsid w:val="00695638"/>
    <w:rsid w:val="00695712"/>
    <w:rsid w:val="00696E11"/>
    <w:rsid w:val="00697184"/>
    <w:rsid w:val="00697337"/>
    <w:rsid w:val="006975C0"/>
    <w:rsid w:val="00697618"/>
    <w:rsid w:val="006976B1"/>
    <w:rsid w:val="006A0184"/>
    <w:rsid w:val="006A1388"/>
    <w:rsid w:val="006A13A5"/>
    <w:rsid w:val="006A26BD"/>
    <w:rsid w:val="006A2715"/>
    <w:rsid w:val="006A2965"/>
    <w:rsid w:val="006A2C08"/>
    <w:rsid w:val="006A3696"/>
    <w:rsid w:val="006A37D8"/>
    <w:rsid w:val="006A406B"/>
    <w:rsid w:val="006A42E9"/>
    <w:rsid w:val="006A4472"/>
    <w:rsid w:val="006A45C6"/>
    <w:rsid w:val="006A59FB"/>
    <w:rsid w:val="006A5DA7"/>
    <w:rsid w:val="006A5F17"/>
    <w:rsid w:val="006A6A04"/>
    <w:rsid w:val="006A7F14"/>
    <w:rsid w:val="006B129A"/>
    <w:rsid w:val="006B19AC"/>
    <w:rsid w:val="006B2FDB"/>
    <w:rsid w:val="006B33BA"/>
    <w:rsid w:val="006B4871"/>
    <w:rsid w:val="006B4904"/>
    <w:rsid w:val="006B4DB9"/>
    <w:rsid w:val="006B51BA"/>
    <w:rsid w:val="006B5978"/>
    <w:rsid w:val="006B5AAC"/>
    <w:rsid w:val="006B61BE"/>
    <w:rsid w:val="006B647F"/>
    <w:rsid w:val="006B6BAB"/>
    <w:rsid w:val="006B6E86"/>
    <w:rsid w:val="006C08C0"/>
    <w:rsid w:val="006C0C7D"/>
    <w:rsid w:val="006C0D6D"/>
    <w:rsid w:val="006C18C1"/>
    <w:rsid w:val="006C1D43"/>
    <w:rsid w:val="006C25CE"/>
    <w:rsid w:val="006C2A6A"/>
    <w:rsid w:val="006C2AC7"/>
    <w:rsid w:val="006C3158"/>
    <w:rsid w:val="006C3994"/>
    <w:rsid w:val="006C39FA"/>
    <w:rsid w:val="006C4B0D"/>
    <w:rsid w:val="006C627C"/>
    <w:rsid w:val="006C66F6"/>
    <w:rsid w:val="006C6E32"/>
    <w:rsid w:val="006C7B43"/>
    <w:rsid w:val="006D08D5"/>
    <w:rsid w:val="006D0EB0"/>
    <w:rsid w:val="006D0FDC"/>
    <w:rsid w:val="006D1085"/>
    <w:rsid w:val="006D114D"/>
    <w:rsid w:val="006D1B4A"/>
    <w:rsid w:val="006D3205"/>
    <w:rsid w:val="006D388F"/>
    <w:rsid w:val="006D39EA"/>
    <w:rsid w:val="006D4718"/>
    <w:rsid w:val="006D4C54"/>
    <w:rsid w:val="006D4D50"/>
    <w:rsid w:val="006D51E6"/>
    <w:rsid w:val="006D6220"/>
    <w:rsid w:val="006D6F94"/>
    <w:rsid w:val="006D746B"/>
    <w:rsid w:val="006D756E"/>
    <w:rsid w:val="006E0154"/>
    <w:rsid w:val="006E065C"/>
    <w:rsid w:val="006E0FCB"/>
    <w:rsid w:val="006E12C6"/>
    <w:rsid w:val="006E1705"/>
    <w:rsid w:val="006E1F1D"/>
    <w:rsid w:val="006E22A9"/>
    <w:rsid w:val="006E36D1"/>
    <w:rsid w:val="006E3CFB"/>
    <w:rsid w:val="006E47D5"/>
    <w:rsid w:val="006E49B6"/>
    <w:rsid w:val="006E5599"/>
    <w:rsid w:val="006E564B"/>
    <w:rsid w:val="006E57A5"/>
    <w:rsid w:val="006E68D5"/>
    <w:rsid w:val="006E6CE5"/>
    <w:rsid w:val="006E73D2"/>
    <w:rsid w:val="006E77EC"/>
    <w:rsid w:val="006E7B07"/>
    <w:rsid w:val="006F15BC"/>
    <w:rsid w:val="006F17EE"/>
    <w:rsid w:val="006F2271"/>
    <w:rsid w:val="006F279F"/>
    <w:rsid w:val="006F4116"/>
    <w:rsid w:val="006F4240"/>
    <w:rsid w:val="006F5B9D"/>
    <w:rsid w:val="006F6EB6"/>
    <w:rsid w:val="006F7DF1"/>
    <w:rsid w:val="0070080F"/>
    <w:rsid w:val="00700ACD"/>
    <w:rsid w:val="00700B7B"/>
    <w:rsid w:val="00700C9C"/>
    <w:rsid w:val="00700F98"/>
    <w:rsid w:val="00701706"/>
    <w:rsid w:val="00701916"/>
    <w:rsid w:val="00701BBA"/>
    <w:rsid w:val="00701DB5"/>
    <w:rsid w:val="00702849"/>
    <w:rsid w:val="00703030"/>
    <w:rsid w:val="0070393B"/>
    <w:rsid w:val="00704BB0"/>
    <w:rsid w:val="00705318"/>
    <w:rsid w:val="00705549"/>
    <w:rsid w:val="00705B45"/>
    <w:rsid w:val="00705DF4"/>
    <w:rsid w:val="00707B2B"/>
    <w:rsid w:val="00710292"/>
    <w:rsid w:val="00710A5E"/>
    <w:rsid w:val="00710AC0"/>
    <w:rsid w:val="00711CDE"/>
    <w:rsid w:val="00712871"/>
    <w:rsid w:val="00712D3E"/>
    <w:rsid w:val="00713CE6"/>
    <w:rsid w:val="00713F03"/>
    <w:rsid w:val="00715D68"/>
    <w:rsid w:val="00716117"/>
    <w:rsid w:val="00716543"/>
    <w:rsid w:val="0071709A"/>
    <w:rsid w:val="007171E3"/>
    <w:rsid w:val="0071724F"/>
    <w:rsid w:val="00720FC1"/>
    <w:rsid w:val="0072127F"/>
    <w:rsid w:val="00723382"/>
    <w:rsid w:val="00724245"/>
    <w:rsid w:val="00724CE3"/>
    <w:rsid w:val="0072508C"/>
    <w:rsid w:val="007251B7"/>
    <w:rsid w:val="00725362"/>
    <w:rsid w:val="007264F2"/>
    <w:rsid w:val="00726815"/>
    <w:rsid w:val="00726E19"/>
    <w:rsid w:val="007275B5"/>
    <w:rsid w:val="0072765D"/>
    <w:rsid w:val="007278AE"/>
    <w:rsid w:val="00730078"/>
    <w:rsid w:val="00731CF3"/>
    <w:rsid w:val="00733ECE"/>
    <w:rsid w:val="00733FE8"/>
    <w:rsid w:val="00735A44"/>
    <w:rsid w:val="00736470"/>
    <w:rsid w:val="00736DF8"/>
    <w:rsid w:val="007400D1"/>
    <w:rsid w:val="00740395"/>
    <w:rsid w:val="00742456"/>
    <w:rsid w:val="00742C91"/>
    <w:rsid w:val="00742C9E"/>
    <w:rsid w:val="007434D1"/>
    <w:rsid w:val="0074382D"/>
    <w:rsid w:val="007441E0"/>
    <w:rsid w:val="00744739"/>
    <w:rsid w:val="00745697"/>
    <w:rsid w:val="007467E3"/>
    <w:rsid w:val="0074720D"/>
    <w:rsid w:val="0074726A"/>
    <w:rsid w:val="0075024B"/>
    <w:rsid w:val="007530F5"/>
    <w:rsid w:val="0075521C"/>
    <w:rsid w:val="00756C12"/>
    <w:rsid w:val="00757AC3"/>
    <w:rsid w:val="007607EF"/>
    <w:rsid w:val="00760B14"/>
    <w:rsid w:val="007644BD"/>
    <w:rsid w:val="00764DA6"/>
    <w:rsid w:val="00766669"/>
    <w:rsid w:val="0076723E"/>
    <w:rsid w:val="00771070"/>
    <w:rsid w:val="007728C2"/>
    <w:rsid w:val="00773572"/>
    <w:rsid w:val="0077357D"/>
    <w:rsid w:val="00773B89"/>
    <w:rsid w:val="00774315"/>
    <w:rsid w:val="00774E31"/>
    <w:rsid w:val="00775841"/>
    <w:rsid w:val="007766F5"/>
    <w:rsid w:val="00776C05"/>
    <w:rsid w:val="00776C32"/>
    <w:rsid w:val="00776E30"/>
    <w:rsid w:val="00777043"/>
    <w:rsid w:val="00777942"/>
    <w:rsid w:val="007817A9"/>
    <w:rsid w:val="007817B5"/>
    <w:rsid w:val="00781D64"/>
    <w:rsid w:val="00782443"/>
    <w:rsid w:val="00782E5E"/>
    <w:rsid w:val="00783158"/>
    <w:rsid w:val="00783533"/>
    <w:rsid w:val="007838F0"/>
    <w:rsid w:val="00783B24"/>
    <w:rsid w:val="00785247"/>
    <w:rsid w:val="00785BBE"/>
    <w:rsid w:val="00786149"/>
    <w:rsid w:val="00786913"/>
    <w:rsid w:val="0078748C"/>
    <w:rsid w:val="00791C97"/>
    <w:rsid w:val="007920E8"/>
    <w:rsid w:val="007930EF"/>
    <w:rsid w:val="00793AE1"/>
    <w:rsid w:val="00793E15"/>
    <w:rsid w:val="0079410B"/>
    <w:rsid w:val="0079528E"/>
    <w:rsid w:val="00795BF9"/>
    <w:rsid w:val="007968C4"/>
    <w:rsid w:val="00796F6D"/>
    <w:rsid w:val="007A089B"/>
    <w:rsid w:val="007A0D50"/>
    <w:rsid w:val="007A0E03"/>
    <w:rsid w:val="007A150A"/>
    <w:rsid w:val="007A240E"/>
    <w:rsid w:val="007A282E"/>
    <w:rsid w:val="007A2FDD"/>
    <w:rsid w:val="007A39B7"/>
    <w:rsid w:val="007A4276"/>
    <w:rsid w:val="007A4374"/>
    <w:rsid w:val="007A4463"/>
    <w:rsid w:val="007A4A13"/>
    <w:rsid w:val="007A60B6"/>
    <w:rsid w:val="007A6888"/>
    <w:rsid w:val="007A6DA8"/>
    <w:rsid w:val="007A7092"/>
    <w:rsid w:val="007A7937"/>
    <w:rsid w:val="007B0277"/>
    <w:rsid w:val="007B0323"/>
    <w:rsid w:val="007B0446"/>
    <w:rsid w:val="007B2E8F"/>
    <w:rsid w:val="007B38EE"/>
    <w:rsid w:val="007B38F5"/>
    <w:rsid w:val="007B3DA0"/>
    <w:rsid w:val="007B5722"/>
    <w:rsid w:val="007B6037"/>
    <w:rsid w:val="007B6231"/>
    <w:rsid w:val="007B6621"/>
    <w:rsid w:val="007B6727"/>
    <w:rsid w:val="007B6755"/>
    <w:rsid w:val="007B762B"/>
    <w:rsid w:val="007B7D2E"/>
    <w:rsid w:val="007B7D4E"/>
    <w:rsid w:val="007C0696"/>
    <w:rsid w:val="007C27FB"/>
    <w:rsid w:val="007C3003"/>
    <w:rsid w:val="007C354C"/>
    <w:rsid w:val="007C3ED1"/>
    <w:rsid w:val="007C4202"/>
    <w:rsid w:val="007C4CF8"/>
    <w:rsid w:val="007C4DFB"/>
    <w:rsid w:val="007C53E0"/>
    <w:rsid w:val="007C55D2"/>
    <w:rsid w:val="007C5689"/>
    <w:rsid w:val="007C5B03"/>
    <w:rsid w:val="007C5D3A"/>
    <w:rsid w:val="007C6D32"/>
    <w:rsid w:val="007C6D87"/>
    <w:rsid w:val="007C780D"/>
    <w:rsid w:val="007D037F"/>
    <w:rsid w:val="007D1B5C"/>
    <w:rsid w:val="007D1CD4"/>
    <w:rsid w:val="007D23D5"/>
    <w:rsid w:val="007D2960"/>
    <w:rsid w:val="007D2C06"/>
    <w:rsid w:val="007D2CCC"/>
    <w:rsid w:val="007D3255"/>
    <w:rsid w:val="007D5C04"/>
    <w:rsid w:val="007D639E"/>
    <w:rsid w:val="007D653A"/>
    <w:rsid w:val="007D656D"/>
    <w:rsid w:val="007D6E9C"/>
    <w:rsid w:val="007D7A16"/>
    <w:rsid w:val="007D7BBE"/>
    <w:rsid w:val="007D7E13"/>
    <w:rsid w:val="007E19EC"/>
    <w:rsid w:val="007E1F92"/>
    <w:rsid w:val="007E2E4B"/>
    <w:rsid w:val="007E3B64"/>
    <w:rsid w:val="007E4EB8"/>
    <w:rsid w:val="007E5FD2"/>
    <w:rsid w:val="007E69BE"/>
    <w:rsid w:val="007E6A8A"/>
    <w:rsid w:val="007E6E5B"/>
    <w:rsid w:val="007E6FAE"/>
    <w:rsid w:val="007E7DE3"/>
    <w:rsid w:val="007F0380"/>
    <w:rsid w:val="007F0FFD"/>
    <w:rsid w:val="007F170C"/>
    <w:rsid w:val="007F2381"/>
    <w:rsid w:val="007F3953"/>
    <w:rsid w:val="007F3C0A"/>
    <w:rsid w:val="007F4182"/>
    <w:rsid w:val="007F49B4"/>
    <w:rsid w:val="007F5344"/>
    <w:rsid w:val="007F541C"/>
    <w:rsid w:val="007F5DD5"/>
    <w:rsid w:val="007F76BB"/>
    <w:rsid w:val="007F7784"/>
    <w:rsid w:val="00800521"/>
    <w:rsid w:val="00800B96"/>
    <w:rsid w:val="008014CE"/>
    <w:rsid w:val="008017B8"/>
    <w:rsid w:val="00802A82"/>
    <w:rsid w:val="00802AF3"/>
    <w:rsid w:val="008033C7"/>
    <w:rsid w:val="00803487"/>
    <w:rsid w:val="00803739"/>
    <w:rsid w:val="00803D45"/>
    <w:rsid w:val="00804A71"/>
    <w:rsid w:val="008052D9"/>
    <w:rsid w:val="00805D64"/>
    <w:rsid w:val="00805FCD"/>
    <w:rsid w:val="0080690D"/>
    <w:rsid w:val="00806A7D"/>
    <w:rsid w:val="00806D29"/>
    <w:rsid w:val="00807095"/>
    <w:rsid w:val="00807153"/>
    <w:rsid w:val="008071E6"/>
    <w:rsid w:val="0080737A"/>
    <w:rsid w:val="00810C35"/>
    <w:rsid w:val="00810EAC"/>
    <w:rsid w:val="008123A8"/>
    <w:rsid w:val="00812EB8"/>
    <w:rsid w:val="00813DAA"/>
    <w:rsid w:val="008141FB"/>
    <w:rsid w:val="00814218"/>
    <w:rsid w:val="00815E50"/>
    <w:rsid w:val="00815FEE"/>
    <w:rsid w:val="0081674F"/>
    <w:rsid w:val="00816AAA"/>
    <w:rsid w:val="00816E2D"/>
    <w:rsid w:val="00817487"/>
    <w:rsid w:val="00817B76"/>
    <w:rsid w:val="0082287E"/>
    <w:rsid w:val="00823B24"/>
    <w:rsid w:val="00823C01"/>
    <w:rsid w:val="00823F8D"/>
    <w:rsid w:val="00824788"/>
    <w:rsid w:val="00825035"/>
    <w:rsid w:val="00825542"/>
    <w:rsid w:val="00825550"/>
    <w:rsid w:val="00826B33"/>
    <w:rsid w:val="00826EDB"/>
    <w:rsid w:val="0082760C"/>
    <w:rsid w:val="00827E3E"/>
    <w:rsid w:val="00830665"/>
    <w:rsid w:val="008307C0"/>
    <w:rsid w:val="00830A09"/>
    <w:rsid w:val="00831BB1"/>
    <w:rsid w:val="00831D9C"/>
    <w:rsid w:val="0083218E"/>
    <w:rsid w:val="00832605"/>
    <w:rsid w:val="008326AE"/>
    <w:rsid w:val="008326DE"/>
    <w:rsid w:val="008329B9"/>
    <w:rsid w:val="0083340F"/>
    <w:rsid w:val="00833921"/>
    <w:rsid w:val="00833C20"/>
    <w:rsid w:val="00833DBC"/>
    <w:rsid w:val="00833F6B"/>
    <w:rsid w:val="00834532"/>
    <w:rsid w:val="00834C5D"/>
    <w:rsid w:val="0083508D"/>
    <w:rsid w:val="008357B8"/>
    <w:rsid w:val="008357C4"/>
    <w:rsid w:val="00836781"/>
    <w:rsid w:val="00837318"/>
    <w:rsid w:val="0084015F"/>
    <w:rsid w:val="008405A9"/>
    <w:rsid w:val="00840956"/>
    <w:rsid w:val="00842C23"/>
    <w:rsid w:val="00842DBA"/>
    <w:rsid w:val="008431F0"/>
    <w:rsid w:val="0084347A"/>
    <w:rsid w:val="008436C9"/>
    <w:rsid w:val="008442E5"/>
    <w:rsid w:val="0084494E"/>
    <w:rsid w:val="00845214"/>
    <w:rsid w:val="0084591B"/>
    <w:rsid w:val="00846371"/>
    <w:rsid w:val="00846395"/>
    <w:rsid w:val="0084736D"/>
    <w:rsid w:val="00847BBE"/>
    <w:rsid w:val="00850985"/>
    <w:rsid w:val="00851462"/>
    <w:rsid w:val="00851DE8"/>
    <w:rsid w:val="008532F0"/>
    <w:rsid w:val="00853971"/>
    <w:rsid w:val="00853BBB"/>
    <w:rsid w:val="00853C4D"/>
    <w:rsid w:val="00854061"/>
    <w:rsid w:val="00854535"/>
    <w:rsid w:val="00854C95"/>
    <w:rsid w:val="00856035"/>
    <w:rsid w:val="00856528"/>
    <w:rsid w:val="00856CE5"/>
    <w:rsid w:val="0085755E"/>
    <w:rsid w:val="00860449"/>
    <w:rsid w:val="00861813"/>
    <w:rsid w:val="00862386"/>
    <w:rsid w:val="00862F91"/>
    <w:rsid w:val="008632CA"/>
    <w:rsid w:val="00863856"/>
    <w:rsid w:val="00863955"/>
    <w:rsid w:val="00864ECC"/>
    <w:rsid w:val="00864EE7"/>
    <w:rsid w:val="008664CC"/>
    <w:rsid w:val="00866D5E"/>
    <w:rsid w:val="00866EEA"/>
    <w:rsid w:val="00867FA3"/>
    <w:rsid w:val="008700E8"/>
    <w:rsid w:val="008702C1"/>
    <w:rsid w:val="00870811"/>
    <w:rsid w:val="00870A1C"/>
    <w:rsid w:val="00870D4C"/>
    <w:rsid w:val="00870E97"/>
    <w:rsid w:val="00873660"/>
    <w:rsid w:val="00873674"/>
    <w:rsid w:val="00873F37"/>
    <w:rsid w:val="00874E7A"/>
    <w:rsid w:val="008757C0"/>
    <w:rsid w:val="008775A8"/>
    <w:rsid w:val="00877C9C"/>
    <w:rsid w:val="00877CF6"/>
    <w:rsid w:val="0088011F"/>
    <w:rsid w:val="0088083F"/>
    <w:rsid w:val="0088353E"/>
    <w:rsid w:val="0088367A"/>
    <w:rsid w:val="00886630"/>
    <w:rsid w:val="00886E72"/>
    <w:rsid w:val="00887380"/>
    <w:rsid w:val="00887B32"/>
    <w:rsid w:val="00887E5B"/>
    <w:rsid w:val="00887FD2"/>
    <w:rsid w:val="008903AB"/>
    <w:rsid w:val="0089062F"/>
    <w:rsid w:val="0089064F"/>
    <w:rsid w:val="00891240"/>
    <w:rsid w:val="00891876"/>
    <w:rsid w:val="0089188C"/>
    <w:rsid w:val="00891915"/>
    <w:rsid w:val="0089487D"/>
    <w:rsid w:val="0089628B"/>
    <w:rsid w:val="008962C8"/>
    <w:rsid w:val="008962CF"/>
    <w:rsid w:val="0089747A"/>
    <w:rsid w:val="00897565"/>
    <w:rsid w:val="00897785"/>
    <w:rsid w:val="008A0616"/>
    <w:rsid w:val="008A1247"/>
    <w:rsid w:val="008A1965"/>
    <w:rsid w:val="008A1FF2"/>
    <w:rsid w:val="008A28C9"/>
    <w:rsid w:val="008A2C34"/>
    <w:rsid w:val="008A3ECA"/>
    <w:rsid w:val="008A636C"/>
    <w:rsid w:val="008A7A09"/>
    <w:rsid w:val="008A7E63"/>
    <w:rsid w:val="008B1F6D"/>
    <w:rsid w:val="008B3162"/>
    <w:rsid w:val="008B32A0"/>
    <w:rsid w:val="008B45F6"/>
    <w:rsid w:val="008B50C5"/>
    <w:rsid w:val="008B56E3"/>
    <w:rsid w:val="008B57ED"/>
    <w:rsid w:val="008B6C5F"/>
    <w:rsid w:val="008B7A71"/>
    <w:rsid w:val="008B7AC4"/>
    <w:rsid w:val="008B7F89"/>
    <w:rsid w:val="008C032E"/>
    <w:rsid w:val="008C0929"/>
    <w:rsid w:val="008C0CCA"/>
    <w:rsid w:val="008C3A22"/>
    <w:rsid w:val="008C610A"/>
    <w:rsid w:val="008C68D0"/>
    <w:rsid w:val="008C6BF0"/>
    <w:rsid w:val="008C7101"/>
    <w:rsid w:val="008C7652"/>
    <w:rsid w:val="008D1FC6"/>
    <w:rsid w:val="008D20B2"/>
    <w:rsid w:val="008D2926"/>
    <w:rsid w:val="008D3578"/>
    <w:rsid w:val="008D5153"/>
    <w:rsid w:val="008D597D"/>
    <w:rsid w:val="008D5DE2"/>
    <w:rsid w:val="008D6116"/>
    <w:rsid w:val="008D611A"/>
    <w:rsid w:val="008D6B7D"/>
    <w:rsid w:val="008D78DE"/>
    <w:rsid w:val="008E039D"/>
    <w:rsid w:val="008E07B6"/>
    <w:rsid w:val="008E0E3F"/>
    <w:rsid w:val="008E18BD"/>
    <w:rsid w:val="008E2FE5"/>
    <w:rsid w:val="008E326E"/>
    <w:rsid w:val="008E452F"/>
    <w:rsid w:val="008E456B"/>
    <w:rsid w:val="008E4E50"/>
    <w:rsid w:val="008E4FCB"/>
    <w:rsid w:val="008E51F6"/>
    <w:rsid w:val="008E5B32"/>
    <w:rsid w:val="008E5B34"/>
    <w:rsid w:val="008E6784"/>
    <w:rsid w:val="008E7A2A"/>
    <w:rsid w:val="008E7C8E"/>
    <w:rsid w:val="008F0470"/>
    <w:rsid w:val="008F07DF"/>
    <w:rsid w:val="008F0AB1"/>
    <w:rsid w:val="008F0B03"/>
    <w:rsid w:val="008F17FB"/>
    <w:rsid w:val="008F249D"/>
    <w:rsid w:val="008F349D"/>
    <w:rsid w:val="008F36F4"/>
    <w:rsid w:val="008F3C83"/>
    <w:rsid w:val="008F47BF"/>
    <w:rsid w:val="008F606D"/>
    <w:rsid w:val="008F6450"/>
    <w:rsid w:val="008F71A7"/>
    <w:rsid w:val="009000E6"/>
    <w:rsid w:val="00901068"/>
    <w:rsid w:val="009013D1"/>
    <w:rsid w:val="009017B5"/>
    <w:rsid w:val="00901F7F"/>
    <w:rsid w:val="009024E3"/>
    <w:rsid w:val="00902916"/>
    <w:rsid w:val="009030D9"/>
    <w:rsid w:val="00903E79"/>
    <w:rsid w:val="009049BB"/>
    <w:rsid w:val="00905098"/>
    <w:rsid w:val="0090534C"/>
    <w:rsid w:val="00906C53"/>
    <w:rsid w:val="00907F95"/>
    <w:rsid w:val="00910DE9"/>
    <w:rsid w:val="0091242C"/>
    <w:rsid w:val="009126A7"/>
    <w:rsid w:val="009129FD"/>
    <w:rsid w:val="0091305D"/>
    <w:rsid w:val="00913B4B"/>
    <w:rsid w:val="00913C62"/>
    <w:rsid w:val="00914300"/>
    <w:rsid w:val="00916644"/>
    <w:rsid w:val="00921D79"/>
    <w:rsid w:val="00922685"/>
    <w:rsid w:val="00924E1B"/>
    <w:rsid w:val="00925C55"/>
    <w:rsid w:val="009264D0"/>
    <w:rsid w:val="0092670D"/>
    <w:rsid w:val="00927421"/>
    <w:rsid w:val="00927FEC"/>
    <w:rsid w:val="009303E5"/>
    <w:rsid w:val="009304EC"/>
    <w:rsid w:val="00930F7D"/>
    <w:rsid w:val="00931A16"/>
    <w:rsid w:val="0093277B"/>
    <w:rsid w:val="0093288D"/>
    <w:rsid w:val="00932A31"/>
    <w:rsid w:val="009336DD"/>
    <w:rsid w:val="00933FA5"/>
    <w:rsid w:val="009344C9"/>
    <w:rsid w:val="009354E6"/>
    <w:rsid w:val="0093673F"/>
    <w:rsid w:val="00936939"/>
    <w:rsid w:val="00943633"/>
    <w:rsid w:val="009446A6"/>
    <w:rsid w:val="009461EE"/>
    <w:rsid w:val="00946248"/>
    <w:rsid w:val="00946B5A"/>
    <w:rsid w:val="00946B5D"/>
    <w:rsid w:val="0094712A"/>
    <w:rsid w:val="00947F5C"/>
    <w:rsid w:val="00950487"/>
    <w:rsid w:val="00950AA1"/>
    <w:rsid w:val="00951C2C"/>
    <w:rsid w:val="009520A9"/>
    <w:rsid w:val="00952174"/>
    <w:rsid w:val="00952EFA"/>
    <w:rsid w:val="0095388D"/>
    <w:rsid w:val="009538D3"/>
    <w:rsid w:val="00953983"/>
    <w:rsid w:val="00954131"/>
    <w:rsid w:val="0095418D"/>
    <w:rsid w:val="00954453"/>
    <w:rsid w:val="009552BD"/>
    <w:rsid w:val="00955B9B"/>
    <w:rsid w:val="00955DCE"/>
    <w:rsid w:val="00956145"/>
    <w:rsid w:val="0095764A"/>
    <w:rsid w:val="00957A1E"/>
    <w:rsid w:val="0096059C"/>
    <w:rsid w:val="00960DAC"/>
    <w:rsid w:val="00961BD0"/>
    <w:rsid w:val="00961D2F"/>
    <w:rsid w:val="0096360F"/>
    <w:rsid w:val="00963EFF"/>
    <w:rsid w:val="00963F30"/>
    <w:rsid w:val="00964215"/>
    <w:rsid w:val="00964268"/>
    <w:rsid w:val="0096592E"/>
    <w:rsid w:val="0096612E"/>
    <w:rsid w:val="00966ED6"/>
    <w:rsid w:val="00967196"/>
    <w:rsid w:val="00967E08"/>
    <w:rsid w:val="009707DC"/>
    <w:rsid w:val="0097191F"/>
    <w:rsid w:val="00971DCB"/>
    <w:rsid w:val="009723EE"/>
    <w:rsid w:val="00972A10"/>
    <w:rsid w:val="009733F4"/>
    <w:rsid w:val="009749CA"/>
    <w:rsid w:val="00974F2F"/>
    <w:rsid w:val="0097643E"/>
    <w:rsid w:val="00976B35"/>
    <w:rsid w:val="00976C0F"/>
    <w:rsid w:val="00976FA6"/>
    <w:rsid w:val="00977571"/>
    <w:rsid w:val="00977A51"/>
    <w:rsid w:val="00977FFA"/>
    <w:rsid w:val="00980602"/>
    <w:rsid w:val="00980C74"/>
    <w:rsid w:val="00981597"/>
    <w:rsid w:val="009820D1"/>
    <w:rsid w:val="00982279"/>
    <w:rsid w:val="00982792"/>
    <w:rsid w:val="00982CA0"/>
    <w:rsid w:val="00983873"/>
    <w:rsid w:val="00983C1F"/>
    <w:rsid w:val="00983DC4"/>
    <w:rsid w:val="00983FD8"/>
    <w:rsid w:val="009841E0"/>
    <w:rsid w:val="009842CC"/>
    <w:rsid w:val="00984B3E"/>
    <w:rsid w:val="00986B29"/>
    <w:rsid w:val="00987C33"/>
    <w:rsid w:val="00987EFE"/>
    <w:rsid w:val="00990B19"/>
    <w:rsid w:val="00990C38"/>
    <w:rsid w:val="00990ED9"/>
    <w:rsid w:val="00991A54"/>
    <w:rsid w:val="00991E72"/>
    <w:rsid w:val="0099212A"/>
    <w:rsid w:val="009949FD"/>
    <w:rsid w:val="00995FDB"/>
    <w:rsid w:val="009967C8"/>
    <w:rsid w:val="009968CB"/>
    <w:rsid w:val="009976BF"/>
    <w:rsid w:val="00997F77"/>
    <w:rsid w:val="009A0CC9"/>
    <w:rsid w:val="009A2477"/>
    <w:rsid w:val="009A2E9B"/>
    <w:rsid w:val="009A3FE7"/>
    <w:rsid w:val="009A4910"/>
    <w:rsid w:val="009A56B6"/>
    <w:rsid w:val="009A6AA6"/>
    <w:rsid w:val="009A6D93"/>
    <w:rsid w:val="009A7741"/>
    <w:rsid w:val="009A791A"/>
    <w:rsid w:val="009B0A34"/>
    <w:rsid w:val="009B1A24"/>
    <w:rsid w:val="009B242B"/>
    <w:rsid w:val="009B2E86"/>
    <w:rsid w:val="009B33D9"/>
    <w:rsid w:val="009B61C8"/>
    <w:rsid w:val="009B7302"/>
    <w:rsid w:val="009B7797"/>
    <w:rsid w:val="009C08FE"/>
    <w:rsid w:val="009C10F3"/>
    <w:rsid w:val="009C17F0"/>
    <w:rsid w:val="009C30BA"/>
    <w:rsid w:val="009C35E0"/>
    <w:rsid w:val="009C4E46"/>
    <w:rsid w:val="009C50ED"/>
    <w:rsid w:val="009C54F5"/>
    <w:rsid w:val="009C6122"/>
    <w:rsid w:val="009C6541"/>
    <w:rsid w:val="009D0D56"/>
    <w:rsid w:val="009D13F9"/>
    <w:rsid w:val="009D1B5F"/>
    <w:rsid w:val="009D2284"/>
    <w:rsid w:val="009D24FA"/>
    <w:rsid w:val="009D2B6D"/>
    <w:rsid w:val="009D2B9B"/>
    <w:rsid w:val="009D2C6B"/>
    <w:rsid w:val="009D30DD"/>
    <w:rsid w:val="009D3729"/>
    <w:rsid w:val="009D3CC0"/>
    <w:rsid w:val="009D3DEE"/>
    <w:rsid w:val="009D4959"/>
    <w:rsid w:val="009D4E6A"/>
    <w:rsid w:val="009D55F4"/>
    <w:rsid w:val="009D6161"/>
    <w:rsid w:val="009D6980"/>
    <w:rsid w:val="009D7D94"/>
    <w:rsid w:val="009D7E9C"/>
    <w:rsid w:val="009E061C"/>
    <w:rsid w:val="009E0EDE"/>
    <w:rsid w:val="009E11A2"/>
    <w:rsid w:val="009E1481"/>
    <w:rsid w:val="009E21F8"/>
    <w:rsid w:val="009E301D"/>
    <w:rsid w:val="009E4A58"/>
    <w:rsid w:val="009E55A6"/>
    <w:rsid w:val="009E5B8F"/>
    <w:rsid w:val="009E6908"/>
    <w:rsid w:val="009E6E49"/>
    <w:rsid w:val="009F05E7"/>
    <w:rsid w:val="009F082F"/>
    <w:rsid w:val="009F19F0"/>
    <w:rsid w:val="009F1D88"/>
    <w:rsid w:val="009F2653"/>
    <w:rsid w:val="009F3605"/>
    <w:rsid w:val="009F3949"/>
    <w:rsid w:val="009F3BBD"/>
    <w:rsid w:val="009F3CB6"/>
    <w:rsid w:val="009F3DCF"/>
    <w:rsid w:val="009F4627"/>
    <w:rsid w:val="009F4E58"/>
    <w:rsid w:val="009F4F11"/>
    <w:rsid w:val="009F570A"/>
    <w:rsid w:val="009F6235"/>
    <w:rsid w:val="009F66A6"/>
    <w:rsid w:val="009F66D1"/>
    <w:rsid w:val="009F688A"/>
    <w:rsid w:val="009F752A"/>
    <w:rsid w:val="009F7B5E"/>
    <w:rsid w:val="00A0068F"/>
    <w:rsid w:val="00A01EC5"/>
    <w:rsid w:val="00A02617"/>
    <w:rsid w:val="00A02E55"/>
    <w:rsid w:val="00A043E7"/>
    <w:rsid w:val="00A07108"/>
    <w:rsid w:val="00A07A22"/>
    <w:rsid w:val="00A10040"/>
    <w:rsid w:val="00A10248"/>
    <w:rsid w:val="00A1025E"/>
    <w:rsid w:val="00A1047C"/>
    <w:rsid w:val="00A1081E"/>
    <w:rsid w:val="00A11534"/>
    <w:rsid w:val="00A12F9C"/>
    <w:rsid w:val="00A135CD"/>
    <w:rsid w:val="00A14558"/>
    <w:rsid w:val="00A14654"/>
    <w:rsid w:val="00A14C9B"/>
    <w:rsid w:val="00A14CE9"/>
    <w:rsid w:val="00A14E6F"/>
    <w:rsid w:val="00A1547C"/>
    <w:rsid w:val="00A15D84"/>
    <w:rsid w:val="00A16753"/>
    <w:rsid w:val="00A173F8"/>
    <w:rsid w:val="00A21EF1"/>
    <w:rsid w:val="00A2245A"/>
    <w:rsid w:val="00A24545"/>
    <w:rsid w:val="00A24B8D"/>
    <w:rsid w:val="00A24C20"/>
    <w:rsid w:val="00A25717"/>
    <w:rsid w:val="00A25772"/>
    <w:rsid w:val="00A257D7"/>
    <w:rsid w:val="00A26E7C"/>
    <w:rsid w:val="00A30238"/>
    <w:rsid w:val="00A304E5"/>
    <w:rsid w:val="00A3084D"/>
    <w:rsid w:val="00A3097F"/>
    <w:rsid w:val="00A31444"/>
    <w:rsid w:val="00A31CF4"/>
    <w:rsid w:val="00A31DCA"/>
    <w:rsid w:val="00A33076"/>
    <w:rsid w:val="00A3326F"/>
    <w:rsid w:val="00A33FC3"/>
    <w:rsid w:val="00A35449"/>
    <w:rsid w:val="00A35DED"/>
    <w:rsid w:val="00A36C65"/>
    <w:rsid w:val="00A41A5D"/>
    <w:rsid w:val="00A41B9F"/>
    <w:rsid w:val="00A42EB1"/>
    <w:rsid w:val="00A43D65"/>
    <w:rsid w:val="00A43DDB"/>
    <w:rsid w:val="00A44678"/>
    <w:rsid w:val="00A447FD"/>
    <w:rsid w:val="00A45B41"/>
    <w:rsid w:val="00A45C24"/>
    <w:rsid w:val="00A46489"/>
    <w:rsid w:val="00A464C1"/>
    <w:rsid w:val="00A467FE"/>
    <w:rsid w:val="00A47028"/>
    <w:rsid w:val="00A474D7"/>
    <w:rsid w:val="00A500AD"/>
    <w:rsid w:val="00A50BA5"/>
    <w:rsid w:val="00A513D6"/>
    <w:rsid w:val="00A52553"/>
    <w:rsid w:val="00A5290C"/>
    <w:rsid w:val="00A52966"/>
    <w:rsid w:val="00A53E71"/>
    <w:rsid w:val="00A54135"/>
    <w:rsid w:val="00A5476B"/>
    <w:rsid w:val="00A54C92"/>
    <w:rsid w:val="00A55391"/>
    <w:rsid w:val="00A55A87"/>
    <w:rsid w:val="00A578DC"/>
    <w:rsid w:val="00A613F0"/>
    <w:rsid w:val="00A635EC"/>
    <w:rsid w:val="00A636C3"/>
    <w:rsid w:val="00A63A4F"/>
    <w:rsid w:val="00A641AB"/>
    <w:rsid w:val="00A643C3"/>
    <w:rsid w:val="00A651EA"/>
    <w:rsid w:val="00A659D7"/>
    <w:rsid w:val="00A65D55"/>
    <w:rsid w:val="00A66320"/>
    <w:rsid w:val="00A670DF"/>
    <w:rsid w:val="00A67822"/>
    <w:rsid w:val="00A70383"/>
    <w:rsid w:val="00A7099D"/>
    <w:rsid w:val="00A70BBC"/>
    <w:rsid w:val="00A71499"/>
    <w:rsid w:val="00A7191F"/>
    <w:rsid w:val="00A71D94"/>
    <w:rsid w:val="00A72580"/>
    <w:rsid w:val="00A73AB9"/>
    <w:rsid w:val="00A74339"/>
    <w:rsid w:val="00A743C0"/>
    <w:rsid w:val="00A758B4"/>
    <w:rsid w:val="00A75EAC"/>
    <w:rsid w:val="00A765AC"/>
    <w:rsid w:val="00A77547"/>
    <w:rsid w:val="00A77B30"/>
    <w:rsid w:val="00A77EF6"/>
    <w:rsid w:val="00A8055B"/>
    <w:rsid w:val="00A812D3"/>
    <w:rsid w:val="00A81F31"/>
    <w:rsid w:val="00A83515"/>
    <w:rsid w:val="00A84FAE"/>
    <w:rsid w:val="00A858EC"/>
    <w:rsid w:val="00A868E8"/>
    <w:rsid w:val="00A8725D"/>
    <w:rsid w:val="00A87718"/>
    <w:rsid w:val="00A9001C"/>
    <w:rsid w:val="00A90FEA"/>
    <w:rsid w:val="00A914B6"/>
    <w:rsid w:val="00A91DBD"/>
    <w:rsid w:val="00A92CB8"/>
    <w:rsid w:val="00A93105"/>
    <w:rsid w:val="00A9484E"/>
    <w:rsid w:val="00A94C63"/>
    <w:rsid w:val="00A94CB5"/>
    <w:rsid w:val="00A96166"/>
    <w:rsid w:val="00A96E4E"/>
    <w:rsid w:val="00AA3DDB"/>
    <w:rsid w:val="00AA6748"/>
    <w:rsid w:val="00AA68AC"/>
    <w:rsid w:val="00AA6C13"/>
    <w:rsid w:val="00AA7C40"/>
    <w:rsid w:val="00AA7E1F"/>
    <w:rsid w:val="00AB03E9"/>
    <w:rsid w:val="00AB0CBF"/>
    <w:rsid w:val="00AB14F4"/>
    <w:rsid w:val="00AB18F1"/>
    <w:rsid w:val="00AB1AB5"/>
    <w:rsid w:val="00AB2125"/>
    <w:rsid w:val="00AB31F6"/>
    <w:rsid w:val="00AB398C"/>
    <w:rsid w:val="00AB3D75"/>
    <w:rsid w:val="00AB5E64"/>
    <w:rsid w:val="00AB5EA4"/>
    <w:rsid w:val="00AB6203"/>
    <w:rsid w:val="00AB7E1E"/>
    <w:rsid w:val="00AC0404"/>
    <w:rsid w:val="00AC06EA"/>
    <w:rsid w:val="00AC0D77"/>
    <w:rsid w:val="00AC0EF0"/>
    <w:rsid w:val="00AC1DC2"/>
    <w:rsid w:val="00AC24C8"/>
    <w:rsid w:val="00AC2E59"/>
    <w:rsid w:val="00AC3388"/>
    <w:rsid w:val="00AC376D"/>
    <w:rsid w:val="00AC3A10"/>
    <w:rsid w:val="00AC3FBA"/>
    <w:rsid w:val="00AC445C"/>
    <w:rsid w:val="00AC446C"/>
    <w:rsid w:val="00AC46BF"/>
    <w:rsid w:val="00AC497A"/>
    <w:rsid w:val="00AC58DF"/>
    <w:rsid w:val="00AC5BBD"/>
    <w:rsid w:val="00AC6F89"/>
    <w:rsid w:val="00AC71A9"/>
    <w:rsid w:val="00AC7D04"/>
    <w:rsid w:val="00AD0EC1"/>
    <w:rsid w:val="00AD173D"/>
    <w:rsid w:val="00AD1862"/>
    <w:rsid w:val="00AD1B87"/>
    <w:rsid w:val="00AD1C7B"/>
    <w:rsid w:val="00AD20B0"/>
    <w:rsid w:val="00AD28BB"/>
    <w:rsid w:val="00AD2B43"/>
    <w:rsid w:val="00AD3A5A"/>
    <w:rsid w:val="00AD47BE"/>
    <w:rsid w:val="00AD59BD"/>
    <w:rsid w:val="00AD6761"/>
    <w:rsid w:val="00AD7085"/>
    <w:rsid w:val="00AE04AF"/>
    <w:rsid w:val="00AE0599"/>
    <w:rsid w:val="00AE1268"/>
    <w:rsid w:val="00AE1C92"/>
    <w:rsid w:val="00AE1D85"/>
    <w:rsid w:val="00AE26CF"/>
    <w:rsid w:val="00AE568C"/>
    <w:rsid w:val="00AE5DBD"/>
    <w:rsid w:val="00AE668F"/>
    <w:rsid w:val="00AE7D62"/>
    <w:rsid w:val="00AF0002"/>
    <w:rsid w:val="00AF0121"/>
    <w:rsid w:val="00AF0610"/>
    <w:rsid w:val="00AF06B7"/>
    <w:rsid w:val="00AF17CA"/>
    <w:rsid w:val="00AF23D4"/>
    <w:rsid w:val="00AF3A1F"/>
    <w:rsid w:val="00AF40EA"/>
    <w:rsid w:val="00AF63D4"/>
    <w:rsid w:val="00AF7110"/>
    <w:rsid w:val="00AF77C8"/>
    <w:rsid w:val="00AF7AE0"/>
    <w:rsid w:val="00B005EE"/>
    <w:rsid w:val="00B023B5"/>
    <w:rsid w:val="00B0246E"/>
    <w:rsid w:val="00B028FF"/>
    <w:rsid w:val="00B02C4E"/>
    <w:rsid w:val="00B03859"/>
    <w:rsid w:val="00B03A54"/>
    <w:rsid w:val="00B03E77"/>
    <w:rsid w:val="00B040F9"/>
    <w:rsid w:val="00B0480C"/>
    <w:rsid w:val="00B05149"/>
    <w:rsid w:val="00B06960"/>
    <w:rsid w:val="00B07BD1"/>
    <w:rsid w:val="00B07FE1"/>
    <w:rsid w:val="00B100EC"/>
    <w:rsid w:val="00B107CC"/>
    <w:rsid w:val="00B10E33"/>
    <w:rsid w:val="00B1199D"/>
    <w:rsid w:val="00B122D7"/>
    <w:rsid w:val="00B12353"/>
    <w:rsid w:val="00B14BB6"/>
    <w:rsid w:val="00B15073"/>
    <w:rsid w:val="00B15604"/>
    <w:rsid w:val="00B15812"/>
    <w:rsid w:val="00B15EC5"/>
    <w:rsid w:val="00B15FCE"/>
    <w:rsid w:val="00B16D02"/>
    <w:rsid w:val="00B16F14"/>
    <w:rsid w:val="00B17088"/>
    <w:rsid w:val="00B17192"/>
    <w:rsid w:val="00B174D3"/>
    <w:rsid w:val="00B20364"/>
    <w:rsid w:val="00B21C67"/>
    <w:rsid w:val="00B22C30"/>
    <w:rsid w:val="00B2378A"/>
    <w:rsid w:val="00B23BAD"/>
    <w:rsid w:val="00B24DE8"/>
    <w:rsid w:val="00B256A5"/>
    <w:rsid w:val="00B259DC"/>
    <w:rsid w:val="00B276DA"/>
    <w:rsid w:val="00B30FCC"/>
    <w:rsid w:val="00B31146"/>
    <w:rsid w:val="00B32590"/>
    <w:rsid w:val="00B32B72"/>
    <w:rsid w:val="00B33B19"/>
    <w:rsid w:val="00B33BFD"/>
    <w:rsid w:val="00B34C4C"/>
    <w:rsid w:val="00B354B8"/>
    <w:rsid w:val="00B36CB9"/>
    <w:rsid w:val="00B370A0"/>
    <w:rsid w:val="00B404B3"/>
    <w:rsid w:val="00B404D9"/>
    <w:rsid w:val="00B406EF"/>
    <w:rsid w:val="00B40C1C"/>
    <w:rsid w:val="00B40E8B"/>
    <w:rsid w:val="00B41237"/>
    <w:rsid w:val="00B42033"/>
    <w:rsid w:val="00B44531"/>
    <w:rsid w:val="00B45456"/>
    <w:rsid w:val="00B45D2F"/>
    <w:rsid w:val="00B475A2"/>
    <w:rsid w:val="00B47BCB"/>
    <w:rsid w:val="00B50A80"/>
    <w:rsid w:val="00B52303"/>
    <w:rsid w:val="00B52395"/>
    <w:rsid w:val="00B526EE"/>
    <w:rsid w:val="00B52C12"/>
    <w:rsid w:val="00B53420"/>
    <w:rsid w:val="00B54314"/>
    <w:rsid w:val="00B55D46"/>
    <w:rsid w:val="00B56F5B"/>
    <w:rsid w:val="00B572F9"/>
    <w:rsid w:val="00B57B39"/>
    <w:rsid w:val="00B60555"/>
    <w:rsid w:val="00B60D0F"/>
    <w:rsid w:val="00B60D83"/>
    <w:rsid w:val="00B60FA2"/>
    <w:rsid w:val="00B611A8"/>
    <w:rsid w:val="00B61A0C"/>
    <w:rsid w:val="00B62018"/>
    <w:rsid w:val="00B62584"/>
    <w:rsid w:val="00B62997"/>
    <w:rsid w:val="00B62AC6"/>
    <w:rsid w:val="00B637FA"/>
    <w:rsid w:val="00B638F5"/>
    <w:rsid w:val="00B640DE"/>
    <w:rsid w:val="00B643E1"/>
    <w:rsid w:val="00B6459B"/>
    <w:rsid w:val="00B64DCB"/>
    <w:rsid w:val="00B657E7"/>
    <w:rsid w:val="00B65DC0"/>
    <w:rsid w:val="00B6656D"/>
    <w:rsid w:val="00B66663"/>
    <w:rsid w:val="00B66B54"/>
    <w:rsid w:val="00B67F02"/>
    <w:rsid w:val="00B70698"/>
    <w:rsid w:val="00B70D36"/>
    <w:rsid w:val="00B71247"/>
    <w:rsid w:val="00B72438"/>
    <w:rsid w:val="00B72D67"/>
    <w:rsid w:val="00B72ED7"/>
    <w:rsid w:val="00B74096"/>
    <w:rsid w:val="00B747F1"/>
    <w:rsid w:val="00B7511E"/>
    <w:rsid w:val="00B759BF"/>
    <w:rsid w:val="00B763AA"/>
    <w:rsid w:val="00B76805"/>
    <w:rsid w:val="00B7692B"/>
    <w:rsid w:val="00B772B0"/>
    <w:rsid w:val="00B80962"/>
    <w:rsid w:val="00B8099F"/>
    <w:rsid w:val="00B80EAC"/>
    <w:rsid w:val="00B810C0"/>
    <w:rsid w:val="00B81359"/>
    <w:rsid w:val="00B82D61"/>
    <w:rsid w:val="00B845E2"/>
    <w:rsid w:val="00B84F64"/>
    <w:rsid w:val="00B84FF5"/>
    <w:rsid w:val="00B852C2"/>
    <w:rsid w:val="00B85D52"/>
    <w:rsid w:val="00B86070"/>
    <w:rsid w:val="00B864E1"/>
    <w:rsid w:val="00B868EB"/>
    <w:rsid w:val="00B87548"/>
    <w:rsid w:val="00B87D93"/>
    <w:rsid w:val="00B90015"/>
    <w:rsid w:val="00B901AF"/>
    <w:rsid w:val="00B90587"/>
    <w:rsid w:val="00B923A3"/>
    <w:rsid w:val="00B92BE5"/>
    <w:rsid w:val="00B9446C"/>
    <w:rsid w:val="00B958DE"/>
    <w:rsid w:val="00B95CB1"/>
    <w:rsid w:val="00B973EE"/>
    <w:rsid w:val="00B978F7"/>
    <w:rsid w:val="00BA0255"/>
    <w:rsid w:val="00BA06A0"/>
    <w:rsid w:val="00BA08CB"/>
    <w:rsid w:val="00BA11F4"/>
    <w:rsid w:val="00BA1369"/>
    <w:rsid w:val="00BA1827"/>
    <w:rsid w:val="00BA22AD"/>
    <w:rsid w:val="00BA2EA3"/>
    <w:rsid w:val="00BA3580"/>
    <w:rsid w:val="00BA3E49"/>
    <w:rsid w:val="00BA4236"/>
    <w:rsid w:val="00BA49C9"/>
    <w:rsid w:val="00BA4EC1"/>
    <w:rsid w:val="00BA4F3A"/>
    <w:rsid w:val="00BA5C7C"/>
    <w:rsid w:val="00BA6E90"/>
    <w:rsid w:val="00BA736A"/>
    <w:rsid w:val="00BB0453"/>
    <w:rsid w:val="00BB05E5"/>
    <w:rsid w:val="00BB0951"/>
    <w:rsid w:val="00BB10D6"/>
    <w:rsid w:val="00BB17F1"/>
    <w:rsid w:val="00BB1914"/>
    <w:rsid w:val="00BB1B32"/>
    <w:rsid w:val="00BB2340"/>
    <w:rsid w:val="00BB3065"/>
    <w:rsid w:val="00BB30C4"/>
    <w:rsid w:val="00BB4C3B"/>
    <w:rsid w:val="00BB507D"/>
    <w:rsid w:val="00BB676A"/>
    <w:rsid w:val="00BB685A"/>
    <w:rsid w:val="00BB6D5B"/>
    <w:rsid w:val="00BB744A"/>
    <w:rsid w:val="00BB78BE"/>
    <w:rsid w:val="00BB7CD8"/>
    <w:rsid w:val="00BC04D2"/>
    <w:rsid w:val="00BC0BC7"/>
    <w:rsid w:val="00BC0DF4"/>
    <w:rsid w:val="00BC19DC"/>
    <w:rsid w:val="00BC1A4E"/>
    <w:rsid w:val="00BC1FF7"/>
    <w:rsid w:val="00BC2123"/>
    <w:rsid w:val="00BC2C32"/>
    <w:rsid w:val="00BC33BB"/>
    <w:rsid w:val="00BC36D2"/>
    <w:rsid w:val="00BC49CB"/>
    <w:rsid w:val="00BC4FFA"/>
    <w:rsid w:val="00BC50BE"/>
    <w:rsid w:val="00BC5A3A"/>
    <w:rsid w:val="00BC5BBE"/>
    <w:rsid w:val="00BC5C32"/>
    <w:rsid w:val="00BC693B"/>
    <w:rsid w:val="00BC6EFD"/>
    <w:rsid w:val="00BC7394"/>
    <w:rsid w:val="00BC7C88"/>
    <w:rsid w:val="00BD045C"/>
    <w:rsid w:val="00BD0725"/>
    <w:rsid w:val="00BD14B4"/>
    <w:rsid w:val="00BD19A3"/>
    <w:rsid w:val="00BD3012"/>
    <w:rsid w:val="00BD4886"/>
    <w:rsid w:val="00BD4DBA"/>
    <w:rsid w:val="00BD5044"/>
    <w:rsid w:val="00BD533F"/>
    <w:rsid w:val="00BD55C9"/>
    <w:rsid w:val="00BD5EA8"/>
    <w:rsid w:val="00BD6371"/>
    <w:rsid w:val="00BD64A7"/>
    <w:rsid w:val="00BD6EA1"/>
    <w:rsid w:val="00BD6F50"/>
    <w:rsid w:val="00BD7825"/>
    <w:rsid w:val="00BE04A8"/>
    <w:rsid w:val="00BE09DC"/>
    <w:rsid w:val="00BE20D8"/>
    <w:rsid w:val="00BE23B6"/>
    <w:rsid w:val="00BE266F"/>
    <w:rsid w:val="00BE28BB"/>
    <w:rsid w:val="00BE2A70"/>
    <w:rsid w:val="00BE2E90"/>
    <w:rsid w:val="00BE4458"/>
    <w:rsid w:val="00BE524A"/>
    <w:rsid w:val="00BE75E3"/>
    <w:rsid w:val="00BE7BD6"/>
    <w:rsid w:val="00BF047F"/>
    <w:rsid w:val="00BF05DA"/>
    <w:rsid w:val="00BF5D42"/>
    <w:rsid w:val="00BF651B"/>
    <w:rsid w:val="00BF6E6F"/>
    <w:rsid w:val="00BF772E"/>
    <w:rsid w:val="00BF7771"/>
    <w:rsid w:val="00BF7BA0"/>
    <w:rsid w:val="00BF7ECC"/>
    <w:rsid w:val="00C001BF"/>
    <w:rsid w:val="00C00CAA"/>
    <w:rsid w:val="00C00E56"/>
    <w:rsid w:val="00C01929"/>
    <w:rsid w:val="00C02690"/>
    <w:rsid w:val="00C02732"/>
    <w:rsid w:val="00C02F43"/>
    <w:rsid w:val="00C0332B"/>
    <w:rsid w:val="00C071A8"/>
    <w:rsid w:val="00C07A4E"/>
    <w:rsid w:val="00C07CA8"/>
    <w:rsid w:val="00C07E84"/>
    <w:rsid w:val="00C1120B"/>
    <w:rsid w:val="00C11AD4"/>
    <w:rsid w:val="00C132B2"/>
    <w:rsid w:val="00C138B5"/>
    <w:rsid w:val="00C13E8B"/>
    <w:rsid w:val="00C157CE"/>
    <w:rsid w:val="00C16985"/>
    <w:rsid w:val="00C177E6"/>
    <w:rsid w:val="00C200C7"/>
    <w:rsid w:val="00C21F31"/>
    <w:rsid w:val="00C2239C"/>
    <w:rsid w:val="00C22686"/>
    <w:rsid w:val="00C23B43"/>
    <w:rsid w:val="00C251F2"/>
    <w:rsid w:val="00C261D6"/>
    <w:rsid w:val="00C26318"/>
    <w:rsid w:val="00C26AE4"/>
    <w:rsid w:val="00C26FC7"/>
    <w:rsid w:val="00C27CDC"/>
    <w:rsid w:val="00C27E2F"/>
    <w:rsid w:val="00C303CA"/>
    <w:rsid w:val="00C30EB4"/>
    <w:rsid w:val="00C3142D"/>
    <w:rsid w:val="00C31551"/>
    <w:rsid w:val="00C31833"/>
    <w:rsid w:val="00C32979"/>
    <w:rsid w:val="00C329A8"/>
    <w:rsid w:val="00C332C4"/>
    <w:rsid w:val="00C34EE2"/>
    <w:rsid w:val="00C35BC5"/>
    <w:rsid w:val="00C36493"/>
    <w:rsid w:val="00C364DC"/>
    <w:rsid w:val="00C36F00"/>
    <w:rsid w:val="00C3715D"/>
    <w:rsid w:val="00C37239"/>
    <w:rsid w:val="00C377CC"/>
    <w:rsid w:val="00C379C3"/>
    <w:rsid w:val="00C37CC9"/>
    <w:rsid w:val="00C4003D"/>
    <w:rsid w:val="00C40C9E"/>
    <w:rsid w:val="00C40ED9"/>
    <w:rsid w:val="00C40F6F"/>
    <w:rsid w:val="00C418B8"/>
    <w:rsid w:val="00C41B42"/>
    <w:rsid w:val="00C41DF0"/>
    <w:rsid w:val="00C421B8"/>
    <w:rsid w:val="00C42697"/>
    <w:rsid w:val="00C426EC"/>
    <w:rsid w:val="00C43045"/>
    <w:rsid w:val="00C4325D"/>
    <w:rsid w:val="00C44090"/>
    <w:rsid w:val="00C4602A"/>
    <w:rsid w:val="00C4654D"/>
    <w:rsid w:val="00C4658E"/>
    <w:rsid w:val="00C46CA9"/>
    <w:rsid w:val="00C471F6"/>
    <w:rsid w:val="00C47448"/>
    <w:rsid w:val="00C5024B"/>
    <w:rsid w:val="00C502A4"/>
    <w:rsid w:val="00C5087A"/>
    <w:rsid w:val="00C51293"/>
    <w:rsid w:val="00C518A2"/>
    <w:rsid w:val="00C51E17"/>
    <w:rsid w:val="00C522BE"/>
    <w:rsid w:val="00C52E3E"/>
    <w:rsid w:val="00C532AC"/>
    <w:rsid w:val="00C541CF"/>
    <w:rsid w:val="00C55C48"/>
    <w:rsid w:val="00C56039"/>
    <w:rsid w:val="00C57162"/>
    <w:rsid w:val="00C5730B"/>
    <w:rsid w:val="00C574F2"/>
    <w:rsid w:val="00C601CF"/>
    <w:rsid w:val="00C605AC"/>
    <w:rsid w:val="00C60653"/>
    <w:rsid w:val="00C60A8A"/>
    <w:rsid w:val="00C60E5B"/>
    <w:rsid w:val="00C62761"/>
    <w:rsid w:val="00C63C12"/>
    <w:rsid w:val="00C63EB5"/>
    <w:rsid w:val="00C640FF"/>
    <w:rsid w:val="00C64140"/>
    <w:rsid w:val="00C64265"/>
    <w:rsid w:val="00C64343"/>
    <w:rsid w:val="00C65A2B"/>
    <w:rsid w:val="00C6698D"/>
    <w:rsid w:val="00C66A42"/>
    <w:rsid w:val="00C70222"/>
    <w:rsid w:val="00C704EF"/>
    <w:rsid w:val="00C70B80"/>
    <w:rsid w:val="00C71CE5"/>
    <w:rsid w:val="00C72095"/>
    <w:rsid w:val="00C7271A"/>
    <w:rsid w:val="00C72769"/>
    <w:rsid w:val="00C72919"/>
    <w:rsid w:val="00C737E4"/>
    <w:rsid w:val="00C73E25"/>
    <w:rsid w:val="00C73FFC"/>
    <w:rsid w:val="00C7405C"/>
    <w:rsid w:val="00C74173"/>
    <w:rsid w:val="00C7453E"/>
    <w:rsid w:val="00C7492D"/>
    <w:rsid w:val="00C74C34"/>
    <w:rsid w:val="00C75DBD"/>
    <w:rsid w:val="00C760DA"/>
    <w:rsid w:val="00C765CC"/>
    <w:rsid w:val="00C7779A"/>
    <w:rsid w:val="00C77E44"/>
    <w:rsid w:val="00C80C0B"/>
    <w:rsid w:val="00C80FD6"/>
    <w:rsid w:val="00C81426"/>
    <w:rsid w:val="00C822AA"/>
    <w:rsid w:val="00C823EC"/>
    <w:rsid w:val="00C8250E"/>
    <w:rsid w:val="00C82944"/>
    <w:rsid w:val="00C835EC"/>
    <w:rsid w:val="00C844C6"/>
    <w:rsid w:val="00C86030"/>
    <w:rsid w:val="00C8759C"/>
    <w:rsid w:val="00C92EB2"/>
    <w:rsid w:val="00C93637"/>
    <w:rsid w:val="00C953BE"/>
    <w:rsid w:val="00C95D2C"/>
    <w:rsid w:val="00C9625E"/>
    <w:rsid w:val="00C969BD"/>
    <w:rsid w:val="00C976AF"/>
    <w:rsid w:val="00C977B8"/>
    <w:rsid w:val="00CA0041"/>
    <w:rsid w:val="00CA1423"/>
    <w:rsid w:val="00CA15CF"/>
    <w:rsid w:val="00CA4108"/>
    <w:rsid w:val="00CA4F69"/>
    <w:rsid w:val="00CA5297"/>
    <w:rsid w:val="00CA6AFF"/>
    <w:rsid w:val="00CA756A"/>
    <w:rsid w:val="00CA7674"/>
    <w:rsid w:val="00CB09DD"/>
    <w:rsid w:val="00CB23A6"/>
    <w:rsid w:val="00CB2481"/>
    <w:rsid w:val="00CB2C8F"/>
    <w:rsid w:val="00CB2CDC"/>
    <w:rsid w:val="00CB376C"/>
    <w:rsid w:val="00CB38D2"/>
    <w:rsid w:val="00CB51B9"/>
    <w:rsid w:val="00CB544E"/>
    <w:rsid w:val="00CB573B"/>
    <w:rsid w:val="00CB672F"/>
    <w:rsid w:val="00CB6DDA"/>
    <w:rsid w:val="00CB6FDC"/>
    <w:rsid w:val="00CC16B1"/>
    <w:rsid w:val="00CC1E52"/>
    <w:rsid w:val="00CC2F2A"/>
    <w:rsid w:val="00CC3754"/>
    <w:rsid w:val="00CC3A26"/>
    <w:rsid w:val="00CC4086"/>
    <w:rsid w:val="00CC40EB"/>
    <w:rsid w:val="00CC42E9"/>
    <w:rsid w:val="00CC4AC2"/>
    <w:rsid w:val="00CC5A2D"/>
    <w:rsid w:val="00CC5F17"/>
    <w:rsid w:val="00CC6546"/>
    <w:rsid w:val="00CC67A4"/>
    <w:rsid w:val="00CD0E75"/>
    <w:rsid w:val="00CD23B8"/>
    <w:rsid w:val="00CD264B"/>
    <w:rsid w:val="00CD3966"/>
    <w:rsid w:val="00CD3F5F"/>
    <w:rsid w:val="00CD4A57"/>
    <w:rsid w:val="00CD4CE3"/>
    <w:rsid w:val="00CD5191"/>
    <w:rsid w:val="00CD559B"/>
    <w:rsid w:val="00CD60C8"/>
    <w:rsid w:val="00CD6330"/>
    <w:rsid w:val="00CD664C"/>
    <w:rsid w:val="00CD6D1C"/>
    <w:rsid w:val="00CE1414"/>
    <w:rsid w:val="00CE14B6"/>
    <w:rsid w:val="00CE198C"/>
    <w:rsid w:val="00CE2E67"/>
    <w:rsid w:val="00CE3538"/>
    <w:rsid w:val="00CE36BA"/>
    <w:rsid w:val="00CE3C61"/>
    <w:rsid w:val="00CE40E7"/>
    <w:rsid w:val="00CE4180"/>
    <w:rsid w:val="00CE4984"/>
    <w:rsid w:val="00CE56EF"/>
    <w:rsid w:val="00CE59C6"/>
    <w:rsid w:val="00CE693C"/>
    <w:rsid w:val="00CE7CAE"/>
    <w:rsid w:val="00CF26A0"/>
    <w:rsid w:val="00CF27CD"/>
    <w:rsid w:val="00CF2F2D"/>
    <w:rsid w:val="00CF3A1B"/>
    <w:rsid w:val="00CF3C1F"/>
    <w:rsid w:val="00CF3EB4"/>
    <w:rsid w:val="00CF41BC"/>
    <w:rsid w:val="00CF5628"/>
    <w:rsid w:val="00CF6926"/>
    <w:rsid w:val="00CF7A1E"/>
    <w:rsid w:val="00CF7D62"/>
    <w:rsid w:val="00D00068"/>
    <w:rsid w:val="00D00257"/>
    <w:rsid w:val="00D01458"/>
    <w:rsid w:val="00D01A29"/>
    <w:rsid w:val="00D02325"/>
    <w:rsid w:val="00D03DB3"/>
    <w:rsid w:val="00D0433D"/>
    <w:rsid w:val="00D047B2"/>
    <w:rsid w:val="00D06065"/>
    <w:rsid w:val="00D108CB"/>
    <w:rsid w:val="00D11455"/>
    <w:rsid w:val="00D11630"/>
    <w:rsid w:val="00D119B6"/>
    <w:rsid w:val="00D128DB"/>
    <w:rsid w:val="00D13047"/>
    <w:rsid w:val="00D13781"/>
    <w:rsid w:val="00D13A8F"/>
    <w:rsid w:val="00D1516E"/>
    <w:rsid w:val="00D15282"/>
    <w:rsid w:val="00D15405"/>
    <w:rsid w:val="00D15F3A"/>
    <w:rsid w:val="00D173A2"/>
    <w:rsid w:val="00D17BFB"/>
    <w:rsid w:val="00D2019B"/>
    <w:rsid w:val="00D20980"/>
    <w:rsid w:val="00D212C1"/>
    <w:rsid w:val="00D21ABB"/>
    <w:rsid w:val="00D21B16"/>
    <w:rsid w:val="00D21CDC"/>
    <w:rsid w:val="00D21E9B"/>
    <w:rsid w:val="00D227FA"/>
    <w:rsid w:val="00D22CEE"/>
    <w:rsid w:val="00D22FCD"/>
    <w:rsid w:val="00D232D3"/>
    <w:rsid w:val="00D27DDA"/>
    <w:rsid w:val="00D27FCD"/>
    <w:rsid w:val="00D30623"/>
    <w:rsid w:val="00D3153B"/>
    <w:rsid w:val="00D321FE"/>
    <w:rsid w:val="00D32C98"/>
    <w:rsid w:val="00D32D45"/>
    <w:rsid w:val="00D3303F"/>
    <w:rsid w:val="00D339A3"/>
    <w:rsid w:val="00D33A84"/>
    <w:rsid w:val="00D34261"/>
    <w:rsid w:val="00D343F4"/>
    <w:rsid w:val="00D34D55"/>
    <w:rsid w:val="00D354A2"/>
    <w:rsid w:val="00D359E7"/>
    <w:rsid w:val="00D3654C"/>
    <w:rsid w:val="00D36696"/>
    <w:rsid w:val="00D367DA"/>
    <w:rsid w:val="00D37238"/>
    <w:rsid w:val="00D37B3B"/>
    <w:rsid w:val="00D40187"/>
    <w:rsid w:val="00D4049B"/>
    <w:rsid w:val="00D407E3"/>
    <w:rsid w:val="00D40AD7"/>
    <w:rsid w:val="00D41DD4"/>
    <w:rsid w:val="00D41DFF"/>
    <w:rsid w:val="00D421AA"/>
    <w:rsid w:val="00D44383"/>
    <w:rsid w:val="00D454DC"/>
    <w:rsid w:val="00D459C3"/>
    <w:rsid w:val="00D463A3"/>
    <w:rsid w:val="00D4680F"/>
    <w:rsid w:val="00D468A3"/>
    <w:rsid w:val="00D47800"/>
    <w:rsid w:val="00D47943"/>
    <w:rsid w:val="00D47985"/>
    <w:rsid w:val="00D5000A"/>
    <w:rsid w:val="00D50BBC"/>
    <w:rsid w:val="00D51025"/>
    <w:rsid w:val="00D51F97"/>
    <w:rsid w:val="00D52C97"/>
    <w:rsid w:val="00D538E7"/>
    <w:rsid w:val="00D53E6D"/>
    <w:rsid w:val="00D54308"/>
    <w:rsid w:val="00D5474F"/>
    <w:rsid w:val="00D54E8F"/>
    <w:rsid w:val="00D54ECA"/>
    <w:rsid w:val="00D55482"/>
    <w:rsid w:val="00D55E52"/>
    <w:rsid w:val="00D56C04"/>
    <w:rsid w:val="00D57046"/>
    <w:rsid w:val="00D5713C"/>
    <w:rsid w:val="00D60086"/>
    <w:rsid w:val="00D600CB"/>
    <w:rsid w:val="00D61200"/>
    <w:rsid w:val="00D61219"/>
    <w:rsid w:val="00D616C4"/>
    <w:rsid w:val="00D61F4A"/>
    <w:rsid w:val="00D6212A"/>
    <w:rsid w:val="00D623E5"/>
    <w:rsid w:val="00D6480A"/>
    <w:rsid w:val="00D65A62"/>
    <w:rsid w:val="00D65BB8"/>
    <w:rsid w:val="00D65D3A"/>
    <w:rsid w:val="00D6643B"/>
    <w:rsid w:val="00D664BC"/>
    <w:rsid w:val="00D6682C"/>
    <w:rsid w:val="00D67F1D"/>
    <w:rsid w:val="00D706BE"/>
    <w:rsid w:val="00D70705"/>
    <w:rsid w:val="00D709AF"/>
    <w:rsid w:val="00D70F1A"/>
    <w:rsid w:val="00D711BC"/>
    <w:rsid w:val="00D721E2"/>
    <w:rsid w:val="00D725FD"/>
    <w:rsid w:val="00D72718"/>
    <w:rsid w:val="00D73FD4"/>
    <w:rsid w:val="00D7434D"/>
    <w:rsid w:val="00D7505C"/>
    <w:rsid w:val="00D7733D"/>
    <w:rsid w:val="00D80218"/>
    <w:rsid w:val="00D81186"/>
    <w:rsid w:val="00D8165D"/>
    <w:rsid w:val="00D81940"/>
    <w:rsid w:val="00D81C99"/>
    <w:rsid w:val="00D81EE7"/>
    <w:rsid w:val="00D82487"/>
    <w:rsid w:val="00D8285B"/>
    <w:rsid w:val="00D834B8"/>
    <w:rsid w:val="00D83684"/>
    <w:rsid w:val="00D83B34"/>
    <w:rsid w:val="00D83E7F"/>
    <w:rsid w:val="00D844A0"/>
    <w:rsid w:val="00D8618B"/>
    <w:rsid w:val="00D8662A"/>
    <w:rsid w:val="00D869BF"/>
    <w:rsid w:val="00D86FB2"/>
    <w:rsid w:val="00D87657"/>
    <w:rsid w:val="00D90F97"/>
    <w:rsid w:val="00D91258"/>
    <w:rsid w:val="00D91A3A"/>
    <w:rsid w:val="00D91C99"/>
    <w:rsid w:val="00D92257"/>
    <w:rsid w:val="00D92A87"/>
    <w:rsid w:val="00D93F58"/>
    <w:rsid w:val="00D94386"/>
    <w:rsid w:val="00D94538"/>
    <w:rsid w:val="00D946A9"/>
    <w:rsid w:val="00D94889"/>
    <w:rsid w:val="00D94BE9"/>
    <w:rsid w:val="00D9514B"/>
    <w:rsid w:val="00D9535D"/>
    <w:rsid w:val="00D95388"/>
    <w:rsid w:val="00D95CE9"/>
    <w:rsid w:val="00D964DA"/>
    <w:rsid w:val="00D96A81"/>
    <w:rsid w:val="00D96FF5"/>
    <w:rsid w:val="00D9758C"/>
    <w:rsid w:val="00D976C4"/>
    <w:rsid w:val="00DA049C"/>
    <w:rsid w:val="00DA06E0"/>
    <w:rsid w:val="00DA0A54"/>
    <w:rsid w:val="00DA0CD4"/>
    <w:rsid w:val="00DA1AA6"/>
    <w:rsid w:val="00DA2290"/>
    <w:rsid w:val="00DA3271"/>
    <w:rsid w:val="00DA3D8F"/>
    <w:rsid w:val="00DA41BF"/>
    <w:rsid w:val="00DA44D7"/>
    <w:rsid w:val="00DA4530"/>
    <w:rsid w:val="00DA5E29"/>
    <w:rsid w:val="00DA5E6B"/>
    <w:rsid w:val="00DA7F76"/>
    <w:rsid w:val="00DA7FCE"/>
    <w:rsid w:val="00DB0528"/>
    <w:rsid w:val="00DB0799"/>
    <w:rsid w:val="00DB0870"/>
    <w:rsid w:val="00DB17E0"/>
    <w:rsid w:val="00DB182A"/>
    <w:rsid w:val="00DB1F79"/>
    <w:rsid w:val="00DB4086"/>
    <w:rsid w:val="00DB46F5"/>
    <w:rsid w:val="00DB5AB0"/>
    <w:rsid w:val="00DB5F59"/>
    <w:rsid w:val="00DB794D"/>
    <w:rsid w:val="00DC01B5"/>
    <w:rsid w:val="00DC06B5"/>
    <w:rsid w:val="00DC136A"/>
    <w:rsid w:val="00DC32AE"/>
    <w:rsid w:val="00DC3334"/>
    <w:rsid w:val="00DC41E7"/>
    <w:rsid w:val="00DC494B"/>
    <w:rsid w:val="00DC4FBF"/>
    <w:rsid w:val="00DC685B"/>
    <w:rsid w:val="00DC76B4"/>
    <w:rsid w:val="00DD0753"/>
    <w:rsid w:val="00DD0829"/>
    <w:rsid w:val="00DD15CC"/>
    <w:rsid w:val="00DD16B4"/>
    <w:rsid w:val="00DD2639"/>
    <w:rsid w:val="00DD3CB7"/>
    <w:rsid w:val="00DD3E0D"/>
    <w:rsid w:val="00DD456E"/>
    <w:rsid w:val="00DD4597"/>
    <w:rsid w:val="00DE00BB"/>
    <w:rsid w:val="00DE03C8"/>
    <w:rsid w:val="00DE06C9"/>
    <w:rsid w:val="00DE0C64"/>
    <w:rsid w:val="00DE1DFE"/>
    <w:rsid w:val="00DE25D0"/>
    <w:rsid w:val="00DE27CD"/>
    <w:rsid w:val="00DE2E64"/>
    <w:rsid w:val="00DE39DA"/>
    <w:rsid w:val="00DE43FC"/>
    <w:rsid w:val="00DE46BD"/>
    <w:rsid w:val="00DE4746"/>
    <w:rsid w:val="00DE4FB7"/>
    <w:rsid w:val="00DE54E4"/>
    <w:rsid w:val="00DE5BE0"/>
    <w:rsid w:val="00DE6113"/>
    <w:rsid w:val="00DE63A4"/>
    <w:rsid w:val="00DE6D62"/>
    <w:rsid w:val="00DF0C28"/>
    <w:rsid w:val="00DF2866"/>
    <w:rsid w:val="00DF38A9"/>
    <w:rsid w:val="00DF3959"/>
    <w:rsid w:val="00DF3C7F"/>
    <w:rsid w:val="00DF4189"/>
    <w:rsid w:val="00DF423E"/>
    <w:rsid w:val="00DF44C3"/>
    <w:rsid w:val="00DF49A8"/>
    <w:rsid w:val="00DF54C2"/>
    <w:rsid w:val="00DF576F"/>
    <w:rsid w:val="00DF5B0D"/>
    <w:rsid w:val="00DF7012"/>
    <w:rsid w:val="00DF774D"/>
    <w:rsid w:val="00DF7A14"/>
    <w:rsid w:val="00DF7DAC"/>
    <w:rsid w:val="00E0095A"/>
    <w:rsid w:val="00E01224"/>
    <w:rsid w:val="00E016DF"/>
    <w:rsid w:val="00E033C1"/>
    <w:rsid w:val="00E03518"/>
    <w:rsid w:val="00E035DF"/>
    <w:rsid w:val="00E03FCC"/>
    <w:rsid w:val="00E0509E"/>
    <w:rsid w:val="00E05F82"/>
    <w:rsid w:val="00E06BA4"/>
    <w:rsid w:val="00E07814"/>
    <w:rsid w:val="00E07C8B"/>
    <w:rsid w:val="00E07F8B"/>
    <w:rsid w:val="00E100B3"/>
    <w:rsid w:val="00E10A53"/>
    <w:rsid w:val="00E12472"/>
    <w:rsid w:val="00E132AE"/>
    <w:rsid w:val="00E13575"/>
    <w:rsid w:val="00E157DE"/>
    <w:rsid w:val="00E15E6D"/>
    <w:rsid w:val="00E17987"/>
    <w:rsid w:val="00E2094D"/>
    <w:rsid w:val="00E20D8F"/>
    <w:rsid w:val="00E216EF"/>
    <w:rsid w:val="00E21882"/>
    <w:rsid w:val="00E21DC9"/>
    <w:rsid w:val="00E221E1"/>
    <w:rsid w:val="00E2294E"/>
    <w:rsid w:val="00E256AD"/>
    <w:rsid w:val="00E25D5A"/>
    <w:rsid w:val="00E25D88"/>
    <w:rsid w:val="00E261D6"/>
    <w:rsid w:val="00E2705B"/>
    <w:rsid w:val="00E27622"/>
    <w:rsid w:val="00E27AEF"/>
    <w:rsid w:val="00E300D3"/>
    <w:rsid w:val="00E30C2B"/>
    <w:rsid w:val="00E31D91"/>
    <w:rsid w:val="00E31DB2"/>
    <w:rsid w:val="00E32C38"/>
    <w:rsid w:val="00E34986"/>
    <w:rsid w:val="00E36D55"/>
    <w:rsid w:val="00E36E16"/>
    <w:rsid w:val="00E3735A"/>
    <w:rsid w:val="00E401C2"/>
    <w:rsid w:val="00E40373"/>
    <w:rsid w:val="00E4040F"/>
    <w:rsid w:val="00E405CC"/>
    <w:rsid w:val="00E40A0A"/>
    <w:rsid w:val="00E40EEC"/>
    <w:rsid w:val="00E414CD"/>
    <w:rsid w:val="00E415D3"/>
    <w:rsid w:val="00E41C1E"/>
    <w:rsid w:val="00E4230B"/>
    <w:rsid w:val="00E4257A"/>
    <w:rsid w:val="00E43219"/>
    <w:rsid w:val="00E4322E"/>
    <w:rsid w:val="00E43254"/>
    <w:rsid w:val="00E43906"/>
    <w:rsid w:val="00E43C80"/>
    <w:rsid w:val="00E451AC"/>
    <w:rsid w:val="00E462A9"/>
    <w:rsid w:val="00E46D6D"/>
    <w:rsid w:val="00E50388"/>
    <w:rsid w:val="00E52785"/>
    <w:rsid w:val="00E52912"/>
    <w:rsid w:val="00E53A06"/>
    <w:rsid w:val="00E548D2"/>
    <w:rsid w:val="00E56B09"/>
    <w:rsid w:val="00E56C31"/>
    <w:rsid w:val="00E60297"/>
    <w:rsid w:val="00E61CAB"/>
    <w:rsid w:val="00E62780"/>
    <w:rsid w:val="00E62A38"/>
    <w:rsid w:val="00E635ED"/>
    <w:rsid w:val="00E63E96"/>
    <w:rsid w:val="00E6466C"/>
    <w:rsid w:val="00E6502B"/>
    <w:rsid w:val="00E65255"/>
    <w:rsid w:val="00E65AA9"/>
    <w:rsid w:val="00E66379"/>
    <w:rsid w:val="00E66695"/>
    <w:rsid w:val="00E70085"/>
    <w:rsid w:val="00E70A7D"/>
    <w:rsid w:val="00E7127F"/>
    <w:rsid w:val="00E72256"/>
    <w:rsid w:val="00E722CA"/>
    <w:rsid w:val="00E72644"/>
    <w:rsid w:val="00E730D9"/>
    <w:rsid w:val="00E73E15"/>
    <w:rsid w:val="00E74473"/>
    <w:rsid w:val="00E75FA7"/>
    <w:rsid w:val="00E762D8"/>
    <w:rsid w:val="00E7653E"/>
    <w:rsid w:val="00E77498"/>
    <w:rsid w:val="00E80641"/>
    <w:rsid w:val="00E80B93"/>
    <w:rsid w:val="00E81AF2"/>
    <w:rsid w:val="00E83056"/>
    <w:rsid w:val="00E83FCD"/>
    <w:rsid w:val="00E84A97"/>
    <w:rsid w:val="00E84CE7"/>
    <w:rsid w:val="00E84E2B"/>
    <w:rsid w:val="00E862F1"/>
    <w:rsid w:val="00E8643B"/>
    <w:rsid w:val="00E86A06"/>
    <w:rsid w:val="00E87BE1"/>
    <w:rsid w:val="00E87F9B"/>
    <w:rsid w:val="00E90DBC"/>
    <w:rsid w:val="00E9137D"/>
    <w:rsid w:val="00E926FE"/>
    <w:rsid w:val="00E93951"/>
    <w:rsid w:val="00E940E0"/>
    <w:rsid w:val="00E944D9"/>
    <w:rsid w:val="00E946D4"/>
    <w:rsid w:val="00E946D6"/>
    <w:rsid w:val="00E9483F"/>
    <w:rsid w:val="00E94936"/>
    <w:rsid w:val="00E94A7C"/>
    <w:rsid w:val="00E95461"/>
    <w:rsid w:val="00E958AA"/>
    <w:rsid w:val="00E95B87"/>
    <w:rsid w:val="00E95E7F"/>
    <w:rsid w:val="00E95EB0"/>
    <w:rsid w:val="00E96A54"/>
    <w:rsid w:val="00E96C30"/>
    <w:rsid w:val="00E97EED"/>
    <w:rsid w:val="00EA0B14"/>
    <w:rsid w:val="00EA0DC9"/>
    <w:rsid w:val="00EA1422"/>
    <w:rsid w:val="00EA1649"/>
    <w:rsid w:val="00EA18C3"/>
    <w:rsid w:val="00EA230A"/>
    <w:rsid w:val="00EA232B"/>
    <w:rsid w:val="00EA2E82"/>
    <w:rsid w:val="00EA30D3"/>
    <w:rsid w:val="00EA3ECB"/>
    <w:rsid w:val="00EA3FBC"/>
    <w:rsid w:val="00EA427D"/>
    <w:rsid w:val="00EA42B7"/>
    <w:rsid w:val="00EA46E1"/>
    <w:rsid w:val="00EA48B3"/>
    <w:rsid w:val="00EA4E9D"/>
    <w:rsid w:val="00EA4F9E"/>
    <w:rsid w:val="00EA5685"/>
    <w:rsid w:val="00EA58ED"/>
    <w:rsid w:val="00EA5AB0"/>
    <w:rsid w:val="00EA5AEB"/>
    <w:rsid w:val="00EA638F"/>
    <w:rsid w:val="00EA6B52"/>
    <w:rsid w:val="00EA7964"/>
    <w:rsid w:val="00EA797F"/>
    <w:rsid w:val="00EB14F5"/>
    <w:rsid w:val="00EB1ED7"/>
    <w:rsid w:val="00EB3EE7"/>
    <w:rsid w:val="00EB4504"/>
    <w:rsid w:val="00EB507D"/>
    <w:rsid w:val="00EB57BD"/>
    <w:rsid w:val="00EB62B2"/>
    <w:rsid w:val="00EB63E7"/>
    <w:rsid w:val="00EB76D9"/>
    <w:rsid w:val="00EC0F07"/>
    <w:rsid w:val="00EC1205"/>
    <w:rsid w:val="00EC2700"/>
    <w:rsid w:val="00EC2FC4"/>
    <w:rsid w:val="00EC333F"/>
    <w:rsid w:val="00EC3C1B"/>
    <w:rsid w:val="00EC4F05"/>
    <w:rsid w:val="00EC508D"/>
    <w:rsid w:val="00EC521E"/>
    <w:rsid w:val="00EC5DD4"/>
    <w:rsid w:val="00EC6BC2"/>
    <w:rsid w:val="00EC738D"/>
    <w:rsid w:val="00EC78ED"/>
    <w:rsid w:val="00EC7EA9"/>
    <w:rsid w:val="00ED0177"/>
    <w:rsid w:val="00ED04AF"/>
    <w:rsid w:val="00ED17AC"/>
    <w:rsid w:val="00ED2CAB"/>
    <w:rsid w:val="00ED3CB9"/>
    <w:rsid w:val="00ED5F83"/>
    <w:rsid w:val="00ED6076"/>
    <w:rsid w:val="00ED67BD"/>
    <w:rsid w:val="00ED698B"/>
    <w:rsid w:val="00ED6F70"/>
    <w:rsid w:val="00ED74F3"/>
    <w:rsid w:val="00ED76D7"/>
    <w:rsid w:val="00ED7BEC"/>
    <w:rsid w:val="00EE03C9"/>
    <w:rsid w:val="00EE0B22"/>
    <w:rsid w:val="00EE18F0"/>
    <w:rsid w:val="00EE2DB3"/>
    <w:rsid w:val="00EE3862"/>
    <w:rsid w:val="00EE3B5F"/>
    <w:rsid w:val="00EE3CB9"/>
    <w:rsid w:val="00EE3FF0"/>
    <w:rsid w:val="00EE45E4"/>
    <w:rsid w:val="00EE46E4"/>
    <w:rsid w:val="00EE5288"/>
    <w:rsid w:val="00EE57C6"/>
    <w:rsid w:val="00EE662F"/>
    <w:rsid w:val="00EE694E"/>
    <w:rsid w:val="00EE7034"/>
    <w:rsid w:val="00EE72DE"/>
    <w:rsid w:val="00EE76EB"/>
    <w:rsid w:val="00EE7B00"/>
    <w:rsid w:val="00EF0342"/>
    <w:rsid w:val="00EF0AC7"/>
    <w:rsid w:val="00EF0FBA"/>
    <w:rsid w:val="00EF109C"/>
    <w:rsid w:val="00EF2159"/>
    <w:rsid w:val="00EF2607"/>
    <w:rsid w:val="00EF267B"/>
    <w:rsid w:val="00EF2716"/>
    <w:rsid w:val="00EF28E7"/>
    <w:rsid w:val="00EF2AFB"/>
    <w:rsid w:val="00EF4CDE"/>
    <w:rsid w:val="00EF4FBC"/>
    <w:rsid w:val="00EF57FB"/>
    <w:rsid w:val="00EF6237"/>
    <w:rsid w:val="00EF7364"/>
    <w:rsid w:val="00EF76B5"/>
    <w:rsid w:val="00EF7EED"/>
    <w:rsid w:val="00F00A29"/>
    <w:rsid w:val="00F0133B"/>
    <w:rsid w:val="00F01756"/>
    <w:rsid w:val="00F02523"/>
    <w:rsid w:val="00F0318D"/>
    <w:rsid w:val="00F03962"/>
    <w:rsid w:val="00F03ACA"/>
    <w:rsid w:val="00F049F2"/>
    <w:rsid w:val="00F04B19"/>
    <w:rsid w:val="00F055AD"/>
    <w:rsid w:val="00F061A6"/>
    <w:rsid w:val="00F072CA"/>
    <w:rsid w:val="00F07D2E"/>
    <w:rsid w:val="00F1011F"/>
    <w:rsid w:val="00F11977"/>
    <w:rsid w:val="00F11E7B"/>
    <w:rsid w:val="00F12095"/>
    <w:rsid w:val="00F12159"/>
    <w:rsid w:val="00F12352"/>
    <w:rsid w:val="00F12405"/>
    <w:rsid w:val="00F12D37"/>
    <w:rsid w:val="00F14B02"/>
    <w:rsid w:val="00F14D7C"/>
    <w:rsid w:val="00F14F01"/>
    <w:rsid w:val="00F17A62"/>
    <w:rsid w:val="00F20C63"/>
    <w:rsid w:val="00F221F7"/>
    <w:rsid w:val="00F24B5C"/>
    <w:rsid w:val="00F24CEA"/>
    <w:rsid w:val="00F26611"/>
    <w:rsid w:val="00F27058"/>
    <w:rsid w:val="00F2760E"/>
    <w:rsid w:val="00F27C00"/>
    <w:rsid w:val="00F30B5B"/>
    <w:rsid w:val="00F317D9"/>
    <w:rsid w:val="00F31EB4"/>
    <w:rsid w:val="00F32C62"/>
    <w:rsid w:val="00F33873"/>
    <w:rsid w:val="00F338C2"/>
    <w:rsid w:val="00F33D62"/>
    <w:rsid w:val="00F33DA1"/>
    <w:rsid w:val="00F33DBE"/>
    <w:rsid w:val="00F34859"/>
    <w:rsid w:val="00F34B5B"/>
    <w:rsid w:val="00F358E4"/>
    <w:rsid w:val="00F35B1C"/>
    <w:rsid w:val="00F35FA3"/>
    <w:rsid w:val="00F362E1"/>
    <w:rsid w:val="00F36A74"/>
    <w:rsid w:val="00F372CF"/>
    <w:rsid w:val="00F4081C"/>
    <w:rsid w:val="00F408A4"/>
    <w:rsid w:val="00F409A0"/>
    <w:rsid w:val="00F4120C"/>
    <w:rsid w:val="00F41416"/>
    <w:rsid w:val="00F416E7"/>
    <w:rsid w:val="00F42408"/>
    <w:rsid w:val="00F43273"/>
    <w:rsid w:val="00F4351D"/>
    <w:rsid w:val="00F43C99"/>
    <w:rsid w:val="00F43ECB"/>
    <w:rsid w:val="00F4448F"/>
    <w:rsid w:val="00F45F7B"/>
    <w:rsid w:val="00F46717"/>
    <w:rsid w:val="00F47BD2"/>
    <w:rsid w:val="00F47BD7"/>
    <w:rsid w:val="00F47D8A"/>
    <w:rsid w:val="00F5027B"/>
    <w:rsid w:val="00F50477"/>
    <w:rsid w:val="00F512E5"/>
    <w:rsid w:val="00F5193F"/>
    <w:rsid w:val="00F51DD9"/>
    <w:rsid w:val="00F51E10"/>
    <w:rsid w:val="00F52EDE"/>
    <w:rsid w:val="00F5392A"/>
    <w:rsid w:val="00F5394A"/>
    <w:rsid w:val="00F53BF7"/>
    <w:rsid w:val="00F54467"/>
    <w:rsid w:val="00F54860"/>
    <w:rsid w:val="00F56CDB"/>
    <w:rsid w:val="00F57321"/>
    <w:rsid w:val="00F61544"/>
    <w:rsid w:val="00F6347A"/>
    <w:rsid w:val="00F64059"/>
    <w:rsid w:val="00F64D85"/>
    <w:rsid w:val="00F65685"/>
    <w:rsid w:val="00F65DE1"/>
    <w:rsid w:val="00F67690"/>
    <w:rsid w:val="00F6788D"/>
    <w:rsid w:val="00F67900"/>
    <w:rsid w:val="00F679B7"/>
    <w:rsid w:val="00F700E2"/>
    <w:rsid w:val="00F705E3"/>
    <w:rsid w:val="00F71152"/>
    <w:rsid w:val="00F712CB"/>
    <w:rsid w:val="00F714DF"/>
    <w:rsid w:val="00F7199A"/>
    <w:rsid w:val="00F71A09"/>
    <w:rsid w:val="00F71D95"/>
    <w:rsid w:val="00F74252"/>
    <w:rsid w:val="00F758F8"/>
    <w:rsid w:val="00F76107"/>
    <w:rsid w:val="00F76AE3"/>
    <w:rsid w:val="00F80B3B"/>
    <w:rsid w:val="00F81572"/>
    <w:rsid w:val="00F82751"/>
    <w:rsid w:val="00F8290E"/>
    <w:rsid w:val="00F83763"/>
    <w:rsid w:val="00F84819"/>
    <w:rsid w:val="00F85390"/>
    <w:rsid w:val="00F85D66"/>
    <w:rsid w:val="00F8689A"/>
    <w:rsid w:val="00F86DFD"/>
    <w:rsid w:val="00F8750C"/>
    <w:rsid w:val="00F875B8"/>
    <w:rsid w:val="00F87B32"/>
    <w:rsid w:val="00F90ABE"/>
    <w:rsid w:val="00F9333B"/>
    <w:rsid w:val="00F9378B"/>
    <w:rsid w:val="00F94289"/>
    <w:rsid w:val="00F956B5"/>
    <w:rsid w:val="00F95932"/>
    <w:rsid w:val="00F977B0"/>
    <w:rsid w:val="00F97803"/>
    <w:rsid w:val="00F9797A"/>
    <w:rsid w:val="00FA0297"/>
    <w:rsid w:val="00FA045B"/>
    <w:rsid w:val="00FA0D93"/>
    <w:rsid w:val="00FA101F"/>
    <w:rsid w:val="00FA14BC"/>
    <w:rsid w:val="00FA2987"/>
    <w:rsid w:val="00FA3A58"/>
    <w:rsid w:val="00FA3F95"/>
    <w:rsid w:val="00FA4068"/>
    <w:rsid w:val="00FA4C63"/>
    <w:rsid w:val="00FA5EF1"/>
    <w:rsid w:val="00FA617E"/>
    <w:rsid w:val="00FB071A"/>
    <w:rsid w:val="00FB0BF5"/>
    <w:rsid w:val="00FB0DA9"/>
    <w:rsid w:val="00FB110E"/>
    <w:rsid w:val="00FB1CD2"/>
    <w:rsid w:val="00FB245D"/>
    <w:rsid w:val="00FB304C"/>
    <w:rsid w:val="00FB345E"/>
    <w:rsid w:val="00FB3FD7"/>
    <w:rsid w:val="00FB426D"/>
    <w:rsid w:val="00FB4C68"/>
    <w:rsid w:val="00FB64EA"/>
    <w:rsid w:val="00FB6F8A"/>
    <w:rsid w:val="00FB7145"/>
    <w:rsid w:val="00FC03A2"/>
    <w:rsid w:val="00FC0C05"/>
    <w:rsid w:val="00FC0FD1"/>
    <w:rsid w:val="00FC110F"/>
    <w:rsid w:val="00FC148F"/>
    <w:rsid w:val="00FC1DF7"/>
    <w:rsid w:val="00FC24AF"/>
    <w:rsid w:val="00FC3B6B"/>
    <w:rsid w:val="00FC3E36"/>
    <w:rsid w:val="00FC3ECC"/>
    <w:rsid w:val="00FC5CCF"/>
    <w:rsid w:val="00FC5D85"/>
    <w:rsid w:val="00FC60C1"/>
    <w:rsid w:val="00FC7A8A"/>
    <w:rsid w:val="00FC7BF4"/>
    <w:rsid w:val="00FD0220"/>
    <w:rsid w:val="00FD02E7"/>
    <w:rsid w:val="00FD0A52"/>
    <w:rsid w:val="00FD1C80"/>
    <w:rsid w:val="00FD257E"/>
    <w:rsid w:val="00FD2772"/>
    <w:rsid w:val="00FD2840"/>
    <w:rsid w:val="00FD28E6"/>
    <w:rsid w:val="00FD3516"/>
    <w:rsid w:val="00FD3F1F"/>
    <w:rsid w:val="00FD43BE"/>
    <w:rsid w:val="00FD4BA7"/>
    <w:rsid w:val="00FD6A8D"/>
    <w:rsid w:val="00FD729B"/>
    <w:rsid w:val="00FD7342"/>
    <w:rsid w:val="00FD75DB"/>
    <w:rsid w:val="00FD7E7C"/>
    <w:rsid w:val="00FE14AD"/>
    <w:rsid w:val="00FE1C01"/>
    <w:rsid w:val="00FE1D1B"/>
    <w:rsid w:val="00FE2539"/>
    <w:rsid w:val="00FE31B0"/>
    <w:rsid w:val="00FE378F"/>
    <w:rsid w:val="00FE3F04"/>
    <w:rsid w:val="00FE4A96"/>
    <w:rsid w:val="00FE5F43"/>
    <w:rsid w:val="00FE643E"/>
    <w:rsid w:val="00FE7EBD"/>
    <w:rsid w:val="00FF007A"/>
    <w:rsid w:val="00FF0D20"/>
    <w:rsid w:val="00FF1D4D"/>
    <w:rsid w:val="00FF1E01"/>
    <w:rsid w:val="00FF2042"/>
    <w:rsid w:val="00FF2C8F"/>
    <w:rsid w:val="00FF37E7"/>
    <w:rsid w:val="00FF3D50"/>
    <w:rsid w:val="00FF42C3"/>
    <w:rsid w:val="00FF4A55"/>
    <w:rsid w:val="00FF4DA6"/>
    <w:rsid w:val="00FF5594"/>
    <w:rsid w:val="00FF5D0B"/>
    <w:rsid w:val="00FF6089"/>
    <w:rsid w:val="00FF60A8"/>
    <w:rsid w:val="00FF7A6C"/>
    <w:rsid w:val="04F22125"/>
    <w:rsid w:val="06C30E64"/>
    <w:rsid w:val="1432788F"/>
    <w:rsid w:val="170A11D3"/>
    <w:rsid w:val="1993F122"/>
    <w:rsid w:val="1A1B25F4"/>
    <w:rsid w:val="1A4EA6A2"/>
    <w:rsid w:val="1B501CB4"/>
    <w:rsid w:val="1D92C776"/>
    <w:rsid w:val="1EF7EB7F"/>
    <w:rsid w:val="28D2E809"/>
    <w:rsid w:val="29FF8D9A"/>
    <w:rsid w:val="2E3241A6"/>
    <w:rsid w:val="30CB2346"/>
    <w:rsid w:val="3157A914"/>
    <w:rsid w:val="334C7020"/>
    <w:rsid w:val="36B5214E"/>
    <w:rsid w:val="3843A18C"/>
    <w:rsid w:val="3BF7F83B"/>
    <w:rsid w:val="47698F33"/>
    <w:rsid w:val="5BCC89C6"/>
    <w:rsid w:val="602DF724"/>
    <w:rsid w:val="63694680"/>
    <w:rsid w:val="67C29FB9"/>
    <w:rsid w:val="6A626013"/>
    <w:rsid w:val="74B0655A"/>
    <w:rsid w:val="7D77F245"/>
    <w:rsid w:val="7F4858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3D1091"/>
  <w15:docId w15:val="{7B0AD0C6-D54E-4AA6-944A-909BF5A57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sz w:val="22"/>
        <w:szCs w:val="22"/>
        <w:lang w:val="it-IT" w:eastAsia="en-US" w:bidi="ar-SA"/>
      </w:rPr>
    </w:rPrDefault>
    <w:pPrDefault>
      <w:pPr>
        <w:pBdr>
          <w:top w:val="nil"/>
          <w:left w:val="nil"/>
          <w:bottom w:val="nil"/>
          <w:right w:val="nil"/>
          <w:between w:val="nil"/>
        </w:pBdr>
        <w:spacing w:after="120" w:line="312" w:lineRule="auto"/>
        <w:jc w:val="both"/>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line="240" w:lineRule="auto"/>
      <w:outlineLvl w:val="0"/>
    </w:pPr>
    <w:rPr>
      <w:b/>
      <w:sz w:val="32"/>
      <w:szCs w:val="32"/>
    </w:rPr>
  </w:style>
  <w:style w:type="paragraph" w:styleId="Heading2">
    <w:name w:val="heading 2"/>
    <w:basedOn w:val="Normal"/>
    <w:next w:val="Normal"/>
    <w:pPr>
      <w:keepNext/>
      <w:keepLines/>
      <w:spacing w:before="200" w:after="200"/>
      <w:outlineLvl w:val="1"/>
    </w:pPr>
    <w:rPr>
      <w:b/>
      <w:sz w:val="28"/>
      <w:szCs w:val="28"/>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rPr>
  </w:style>
  <w:style w:type="paragraph" w:styleId="Heading5">
    <w:name w:val="heading 5"/>
    <w:basedOn w:val="Normal"/>
    <w:next w:val="Normal"/>
    <w:pPr>
      <w:keepNext/>
      <w:keepLines/>
      <w:spacing w:before="240" w:after="80"/>
      <w:jc w:val="center"/>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after="60"/>
    </w:pPr>
    <w:rPr>
      <w:sz w:val="52"/>
      <w:szCs w:val="52"/>
    </w:rPr>
  </w:style>
  <w:style w:type="paragraph" w:styleId="Subtitle">
    <w:name w:val="Subtitle"/>
    <w:basedOn w:val="Normal"/>
    <w:next w:val="Normal"/>
    <w:pPr>
      <w:keepNext/>
      <w:keepLines/>
      <w:spacing w:after="320"/>
    </w:pPr>
    <w:rPr>
      <w:rFonts w:ascii="Arial" w:eastAsia="Arial" w:hAnsi="Arial" w:cs="Arial"/>
      <w:color w:val="666666"/>
      <w:sz w:val="30"/>
      <w:szCs w:val="30"/>
    </w:r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unhideWhenUsed/>
    <w:rPr>
      <w:sz w:val="16"/>
      <w:szCs w:val="16"/>
    </w:rPr>
  </w:style>
  <w:style w:type="paragraph" w:styleId="BalloonText">
    <w:name w:val="Balloon Text"/>
    <w:basedOn w:val="Normal"/>
    <w:link w:val="BalloonTextChar"/>
    <w:uiPriority w:val="99"/>
    <w:semiHidden/>
    <w:unhideWhenUsed/>
    <w:rsid w:val="0055274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274D"/>
    <w:rPr>
      <w:rFonts w:ascii="Segoe UI" w:hAnsi="Segoe UI" w:cs="Segoe UI"/>
      <w:sz w:val="18"/>
      <w:szCs w:val="18"/>
    </w:rPr>
  </w:style>
  <w:style w:type="character" w:styleId="LineNumber">
    <w:name w:val="line number"/>
    <w:basedOn w:val="DefaultParagraphFont"/>
    <w:uiPriority w:val="99"/>
    <w:semiHidden/>
    <w:unhideWhenUsed/>
    <w:rsid w:val="00E07814"/>
  </w:style>
  <w:style w:type="paragraph" w:styleId="TOC1">
    <w:name w:val="toc 1"/>
    <w:basedOn w:val="Normal"/>
    <w:next w:val="Normal"/>
    <w:autoRedefine/>
    <w:uiPriority w:val="39"/>
    <w:unhideWhenUsed/>
    <w:rsid w:val="00FB0DA9"/>
    <w:pPr>
      <w:spacing w:after="100"/>
    </w:pPr>
  </w:style>
  <w:style w:type="paragraph" w:styleId="TOC2">
    <w:name w:val="toc 2"/>
    <w:basedOn w:val="Normal"/>
    <w:next w:val="Normal"/>
    <w:autoRedefine/>
    <w:uiPriority w:val="39"/>
    <w:unhideWhenUsed/>
    <w:rsid w:val="00FB0DA9"/>
    <w:pPr>
      <w:spacing w:after="100"/>
      <w:ind w:left="240"/>
    </w:pPr>
  </w:style>
  <w:style w:type="paragraph" w:styleId="TOC3">
    <w:name w:val="toc 3"/>
    <w:basedOn w:val="Normal"/>
    <w:next w:val="Normal"/>
    <w:autoRedefine/>
    <w:uiPriority w:val="39"/>
    <w:unhideWhenUsed/>
    <w:rsid w:val="00FB0DA9"/>
    <w:pPr>
      <w:spacing w:after="100"/>
      <w:ind w:left="480"/>
    </w:pPr>
  </w:style>
  <w:style w:type="character" w:styleId="Hyperlink">
    <w:name w:val="Hyperlink"/>
    <w:basedOn w:val="DefaultParagraphFont"/>
    <w:uiPriority w:val="99"/>
    <w:unhideWhenUsed/>
    <w:rsid w:val="00FB0DA9"/>
    <w:rPr>
      <w:color w:val="0563C1" w:themeColor="hyperlink"/>
      <w:u w:val="single"/>
    </w:rPr>
  </w:style>
  <w:style w:type="character" w:styleId="PlaceholderText">
    <w:name w:val="Placeholder Text"/>
    <w:basedOn w:val="DefaultParagraphFont"/>
    <w:uiPriority w:val="99"/>
    <w:semiHidden/>
    <w:rsid w:val="00AD6761"/>
    <w:rPr>
      <w:color w:val="808080"/>
    </w:rPr>
  </w:style>
  <w:style w:type="paragraph" w:styleId="CommentSubject">
    <w:name w:val="annotation subject"/>
    <w:basedOn w:val="CommentText"/>
    <w:next w:val="CommentText"/>
    <w:link w:val="CommentSubjectChar"/>
    <w:uiPriority w:val="99"/>
    <w:semiHidden/>
    <w:unhideWhenUsed/>
    <w:rsid w:val="00B42033"/>
    <w:rPr>
      <w:b/>
      <w:bCs/>
    </w:rPr>
  </w:style>
  <w:style w:type="character" w:customStyle="1" w:styleId="CommentSubjectChar">
    <w:name w:val="Comment Subject Char"/>
    <w:basedOn w:val="CommentTextChar"/>
    <w:link w:val="CommentSubject"/>
    <w:uiPriority w:val="99"/>
    <w:semiHidden/>
    <w:rsid w:val="00B42033"/>
    <w:rPr>
      <w:b/>
      <w:bCs/>
      <w:sz w:val="20"/>
      <w:szCs w:val="20"/>
      <w:lang w:val="en-GB"/>
    </w:rPr>
  </w:style>
  <w:style w:type="table" w:customStyle="1" w:styleId="PlainTable21">
    <w:name w:val="Plain Table 21"/>
    <w:basedOn w:val="TableNormal"/>
    <w:uiPriority w:val="42"/>
    <w:rsid w:val="000D059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0D05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14CE9"/>
    <w:pPr>
      <w:spacing w:after="0" w:line="240" w:lineRule="auto"/>
    </w:pPr>
    <w:rPr>
      <w:lang w:val="en-GB"/>
    </w:rPr>
  </w:style>
  <w:style w:type="paragraph" w:styleId="Header">
    <w:name w:val="header"/>
    <w:basedOn w:val="Normal"/>
    <w:link w:val="HeaderChar"/>
    <w:uiPriority w:val="99"/>
    <w:unhideWhenUsed/>
    <w:rsid w:val="009538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388D"/>
    <w:rPr>
      <w:lang w:val="en-GB"/>
    </w:rPr>
  </w:style>
  <w:style w:type="paragraph" w:styleId="Footer">
    <w:name w:val="footer"/>
    <w:basedOn w:val="Normal"/>
    <w:link w:val="FooterChar"/>
    <w:uiPriority w:val="99"/>
    <w:unhideWhenUsed/>
    <w:rsid w:val="009538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388D"/>
    <w:rPr>
      <w:lang w:val="en-GB"/>
    </w:rPr>
  </w:style>
  <w:style w:type="table" w:customStyle="1" w:styleId="Paper">
    <w:name w:val="Paper"/>
    <w:basedOn w:val="PlainTable21"/>
    <w:uiPriority w:val="99"/>
    <w:rsid w:val="00C70B80"/>
    <w:pPr>
      <w:pBdr>
        <w:top w:val="none" w:sz="0" w:space="0" w:color="auto"/>
        <w:left w:val="none" w:sz="0" w:space="0" w:color="auto"/>
        <w:bottom w:val="none" w:sz="0" w:space="0" w:color="auto"/>
        <w:right w:val="none" w:sz="0" w:space="0" w:color="auto"/>
        <w:between w:val="none" w:sz="0" w:space="0" w:color="auto"/>
      </w:pBdr>
      <w:jc w:val="left"/>
    </w:pPr>
    <w:rPr>
      <w:sz w:val="18"/>
    </w:rPr>
    <w:tblPr>
      <w:jc w:val="center"/>
      <w:tblBorders>
        <w:top w:val="single" w:sz="6" w:space="0" w:color="auto"/>
        <w:bottom w:val="single" w:sz="6" w:space="0" w:color="auto"/>
      </w:tblBorders>
      <w:tblCellMar>
        <w:top w:w="58" w:type="dxa"/>
        <w:left w:w="115" w:type="dxa"/>
        <w:bottom w:w="58" w:type="dxa"/>
        <w:right w:w="115" w:type="dxa"/>
      </w:tblCellMar>
    </w:tblPr>
    <w:trPr>
      <w:jc w:val="center"/>
    </w:trPr>
    <w:tcPr>
      <w:vAlign w:val="center"/>
    </w:tc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1">
    <w:name w:val="Unresolved Mention1"/>
    <w:basedOn w:val="DefaultParagraphFont"/>
    <w:uiPriority w:val="99"/>
    <w:semiHidden/>
    <w:unhideWhenUsed/>
    <w:rsid w:val="002C49E3"/>
    <w:rPr>
      <w:color w:val="808080"/>
      <w:shd w:val="clear" w:color="auto" w:fill="E6E6E6"/>
    </w:rPr>
  </w:style>
  <w:style w:type="table" w:customStyle="1" w:styleId="5">
    <w:name w:val="5"/>
    <w:basedOn w:val="TableNormal"/>
    <w:rsid w:val="00496280"/>
    <w:pPr>
      <w:pBdr>
        <w:top w:val="none" w:sz="0" w:space="0" w:color="000000"/>
        <w:left w:val="none" w:sz="0" w:space="0" w:color="000000"/>
        <w:bottom w:val="none" w:sz="0" w:space="0" w:color="000000"/>
        <w:right w:val="none" w:sz="0" w:space="0" w:color="000000"/>
        <w:between w:val="none" w:sz="0" w:space="0" w:color="000000"/>
      </w:pBdr>
      <w:spacing w:after="0" w:line="240" w:lineRule="auto"/>
      <w:jc w:val="left"/>
    </w:pPr>
    <w:rPr>
      <w:sz w:val="20"/>
      <w:szCs w:val="20"/>
      <w:lang w:val="en-US" w:eastAsia="it-IT"/>
    </w:rPr>
    <w:tblPr>
      <w:tblStyleRowBandSize w:val="1"/>
      <w:tblStyleColBandSize w:val="1"/>
    </w:tblPr>
  </w:style>
  <w:style w:type="table" w:customStyle="1" w:styleId="6">
    <w:name w:val="6"/>
    <w:basedOn w:val="TableNormal"/>
    <w:rsid w:val="008F36F4"/>
    <w:pPr>
      <w:pBdr>
        <w:top w:val="none" w:sz="0" w:space="0" w:color="000000"/>
        <w:left w:val="none" w:sz="0" w:space="0" w:color="000000"/>
        <w:bottom w:val="none" w:sz="0" w:space="0" w:color="000000"/>
        <w:right w:val="none" w:sz="0" w:space="0" w:color="000000"/>
        <w:between w:val="none" w:sz="0" w:space="0" w:color="000000"/>
      </w:pBdr>
      <w:spacing w:after="0" w:line="240" w:lineRule="auto"/>
      <w:jc w:val="left"/>
    </w:pPr>
    <w:rPr>
      <w:sz w:val="20"/>
      <w:szCs w:val="20"/>
      <w:lang w:val="en-US" w:eastAsia="it-IT"/>
    </w:rPr>
    <w:tblPr>
      <w:tblStyleRowBandSize w:val="1"/>
      <w:tblStyleColBandSize w:val="1"/>
    </w:tblPr>
  </w:style>
  <w:style w:type="paragraph" w:styleId="Caption">
    <w:name w:val="caption"/>
    <w:basedOn w:val="Normal"/>
    <w:next w:val="Normal"/>
    <w:link w:val="CaptionChar"/>
    <w:uiPriority w:val="35"/>
    <w:unhideWhenUsed/>
    <w:qFormat/>
    <w:rsid w:val="00EA46E1"/>
    <w:pPr>
      <w:spacing w:after="200" w:line="240" w:lineRule="auto"/>
    </w:pPr>
    <w:rPr>
      <w:i/>
      <w:iCs/>
      <w:color w:val="44546A" w:themeColor="text2"/>
      <w:sz w:val="18"/>
      <w:szCs w:val="18"/>
    </w:rPr>
  </w:style>
  <w:style w:type="paragraph" w:customStyle="1" w:styleId="Papercaption">
    <w:name w:val="Paper caption"/>
    <w:basedOn w:val="Caption"/>
    <w:link w:val="PapercaptionChar"/>
    <w:qFormat/>
    <w:rsid w:val="00716117"/>
    <w:pPr>
      <w:keepNext/>
      <w:jc w:val="center"/>
    </w:pPr>
    <w:rPr>
      <w:i w:val="0"/>
      <w:color w:val="auto"/>
    </w:rPr>
  </w:style>
  <w:style w:type="paragraph" w:customStyle="1" w:styleId="Paperstyle">
    <w:name w:val="Paper style"/>
    <w:basedOn w:val="Normal"/>
    <w:link w:val="PaperstyleChar"/>
    <w:qFormat/>
    <w:rsid w:val="00D54E8F"/>
  </w:style>
  <w:style w:type="character" w:customStyle="1" w:styleId="CaptionChar">
    <w:name w:val="Caption Char"/>
    <w:basedOn w:val="DefaultParagraphFont"/>
    <w:link w:val="Caption"/>
    <w:uiPriority w:val="35"/>
    <w:rsid w:val="00B07FE1"/>
    <w:rPr>
      <w:i/>
      <w:iCs/>
      <w:color w:val="44546A" w:themeColor="text2"/>
      <w:sz w:val="18"/>
      <w:szCs w:val="18"/>
      <w:lang w:val="en-GB"/>
    </w:rPr>
  </w:style>
  <w:style w:type="character" w:customStyle="1" w:styleId="PapercaptionChar">
    <w:name w:val="Paper caption Char"/>
    <w:basedOn w:val="CaptionChar"/>
    <w:link w:val="Papercaption"/>
    <w:rsid w:val="00716117"/>
    <w:rPr>
      <w:i w:val="0"/>
      <w:iCs/>
      <w:color w:val="auto"/>
      <w:sz w:val="18"/>
      <w:szCs w:val="18"/>
      <w:lang w:val="en-GB"/>
    </w:rPr>
  </w:style>
  <w:style w:type="character" w:customStyle="1" w:styleId="PaperstyleChar">
    <w:name w:val="Paper style Char"/>
    <w:basedOn w:val="DefaultParagraphFont"/>
    <w:link w:val="Paperstyle"/>
    <w:rsid w:val="00D54E8F"/>
    <w:rPr>
      <w:sz w:val="22"/>
      <w:szCs w:val="22"/>
      <w:lang w:val="en-GB"/>
    </w:rPr>
  </w:style>
  <w:style w:type="paragraph" w:styleId="FootnoteText">
    <w:name w:val="footnote text"/>
    <w:basedOn w:val="Normal"/>
    <w:link w:val="FootnoteTextChar"/>
    <w:uiPriority w:val="99"/>
    <w:semiHidden/>
    <w:unhideWhenUsed/>
    <w:rsid w:val="00594F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4F6F"/>
    <w:rPr>
      <w:sz w:val="20"/>
      <w:szCs w:val="20"/>
      <w:lang w:val="en-GB"/>
    </w:rPr>
  </w:style>
  <w:style w:type="character" w:styleId="FootnoteReference">
    <w:name w:val="footnote reference"/>
    <w:basedOn w:val="DefaultParagraphFont"/>
    <w:uiPriority w:val="99"/>
    <w:unhideWhenUsed/>
    <w:rsid w:val="00594F6F"/>
    <w:rPr>
      <w:vertAlign w:val="superscript"/>
    </w:rPr>
  </w:style>
  <w:style w:type="paragraph" w:styleId="Revision">
    <w:name w:val="Revision"/>
    <w:hidden/>
    <w:uiPriority w:val="99"/>
    <w:semiHidden/>
    <w:rsid w:val="00B20364"/>
    <w:pPr>
      <w:pBdr>
        <w:top w:val="none" w:sz="0" w:space="0" w:color="auto"/>
        <w:left w:val="none" w:sz="0" w:space="0" w:color="auto"/>
        <w:bottom w:val="none" w:sz="0" w:space="0" w:color="auto"/>
        <w:right w:val="none" w:sz="0" w:space="0" w:color="auto"/>
        <w:between w:val="none" w:sz="0" w:space="0" w:color="auto"/>
      </w:pBdr>
      <w:spacing w:after="0" w:line="240" w:lineRule="auto"/>
      <w:jc w:val="left"/>
    </w:pPr>
    <w:rPr>
      <w:lang w:val="en-GB"/>
    </w:rPr>
  </w:style>
  <w:style w:type="paragraph" w:customStyle="1" w:styleId="Tabletext">
    <w:name w:val="Table text"/>
    <w:basedOn w:val="Normal"/>
    <w:rsid w:val="00854061"/>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color w:val="auto"/>
      <w:lang w:eastAsia="en-GB"/>
    </w:rPr>
  </w:style>
  <w:style w:type="character" w:customStyle="1" w:styleId="TitleChar">
    <w:name w:val="Title Char"/>
    <w:basedOn w:val="DefaultParagraphFont"/>
    <w:link w:val="Title"/>
    <w:rsid w:val="00414630"/>
    <w:rPr>
      <w:sz w:val="52"/>
      <w:szCs w:val="52"/>
      <w:lang w:val="en-GB"/>
    </w:rPr>
  </w:style>
  <w:style w:type="paragraph" w:styleId="BodyText">
    <w:name w:val="Body Text"/>
    <w:basedOn w:val="Normal"/>
    <w:link w:val="BodyTextChar"/>
    <w:semiHidden/>
    <w:unhideWhenUsed/>
    <w:rsid w:val="00414630"/>
    <w:pPr>
      <w:pBdr>
        <w:top w:val="none" w:sz="0" w:space="0" w:color="auto"/>
        <w:left w:val="none" w:sz="0" w:space="0" w:color="auto"/>
        <w:bottom w:val="none" w:sz="0" w:space="0" w:color="auto"/>
        <w:right w:val="none" w:sz="0" w:space="0" w:color="auto"/>
        <w:between w:val="none" w:sz="0" w:space="0" w:color="auto"/>
      </w:pBdr>
      <w:spacing w:after="140" w:line="288" w:lineRule="auto"/>
      <w:jc w:val="left"/>
    </w:pPr>
    <w:rPr>
      <w:rFonts w:ascii="Liberation Serif" w:eastAsia="Noto Sans CJK SC Regular" w:hAnsi="Liberation Serif" w:cs="FreeSans"/>
      <w:color w:val="00000A"/>
      <w:lang w:val="en-US" w:eastAsia="zh-CN" w:bidi="hi-IN"/>
    </w:rPr>
  </w:style>
  <w:style w:type="character" w:customStyle="1" w:styleId="BodyTextChar">
    <w:name w:val="Body Text Char"/>
    <w:basedOn w:val="DefaultParagraphFont"/>
    <w:link w:val="BodyText"/>
    <w:semiHidden/>
    <w:rsid w:val="00414630"/>
    <w:rPr>
      <w:rFonts w:ascii="Liberation Serif" w:eastAsia="Noto Sans CJK SC Regular" w:hAnsi="Liberation Serif" w:cs="FreeSans"/>
      <w:color w:val="00000A"/>
      <w:lang w:val="en-US" w:eastAsia="zh-CN" w:bidi="hi-IN"/>
    </w:rPr>
  </w:style>
  <w:style w:type="paragraph" w:styleId="ListParagraph">
    <w:name w:val="List Paragraph"/>
    <w:basedOn w:val="Normal"/>
    <w:link w:val="ListParagraphChar"/>
    <w:uiPriority w:val="34"/>
    <w:qFormat/>
    <w:rsid w:val="00026661"/>
    <w:pPr>
      <w:ind w:left="720"/>
      <w:contextualSpacing/>
    </w:pPr>
  </w:style>
  <w:style w:type="character" w:customStyle="1" w:styleId="UnresolvedMention2">
    <w:name w:val="Unresolved Mention2"/>
    <w:basedOn w:val="DefaultParagraphFont"/>
    <w:uiPriority w:val="99"/>
    <w:semiHidden/>
    <w:unhideWhenUsed/>
    <w:rsid w:val="000A1580"/>
    <w:rPr>
      <w:color w:val="605E5C"/>
      <w:shd w:val="clear" w:color="auto" w:fill="E1DFDD"/>
    </w:rPr>
  </w:style>
  <w:style w:type="character" w:customStyle="1" w:styleId="ListParagraphChar">
    <w:name w:val="List Paragraph Char"/>
    <w:basedOn w:val="DefaultParagraphFont"/>
    <w:link w:val="ListParagraph"/>
    <w:uiPriority w:val="34"/>
    <w:rsid w:val="00BE28BB"/>
    <w:rPr>
      <w:lang w:val="en-GB"/>
    </w:rPr>
  </w:style>
  <w:style w:type="character" w:styleId="Emphasis">
    <w:name w:val="Emphasis"/>
    <w:basedOn w:val="DefaultParagraphFont"/>
    <w:uiPriority w:val="20"/>
    <w:qFormat/>
    <w:rsid w:val="003F71DE"/>
    <w:rPr>
      <w:i/>
      <w:iCs/>
    </w:rPr>
  </w:style>
  <w:style w:type="character" w:styleId="UnresolvedMention">
    <w:name w:val="Unresolved Mention"/>
    <w:basedOn w:val="DefaultParagraphFont"/>
    <w:uiPriority w:val="99"/>
    <w:semiHidden/>
    <w:unhideWhenUsed/>
    <w:rsid w:val="004276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987316">
      <w:bodyDiv w:val="1"/>
      <w:marLeft w:val="0"/>
      <w:marRight w:val="0"/>
      <w:marTop w:val="0"/>
      <w:marBottom w:val="0"/>
      <w:divBdr>
        <w:top w:val="none" w:sz="0" w:space="0" w:color="auto"/>
        <w:left w:val="none" w:sz="0" w:space="0" w:color="auto"/>
        <w:bottom w:val="none" w:sz="0" w:space="0" w:color="auto"/>
        <w:right w:val="none" w:sz="0" w:space="0" w:color="auto"/>
      </w:divBdr>
    </w:div>
    <w:div w:id="795873316">
      <w:bodyDiv w:val="1"/>
      <w:marLeft w:val="0"/>
      <w:marRight w:val="0"/>
      <w:marTop w:val="0"/>
      <w:marBottom w:val="0"/>
      <w:divBdr>
        <w:top w:val="none" w:sz="0" w:space="0" w:color="auto"/>
        <w:left w:val="none" w:sz="0" w:space="0" w:color="auto"/>
        <w:bottom w:val="none" w:sz="0" w:space="0" w:color="auto"/>
        <w:right w:val="none" w:sz="0" w:space="0" w:color="auto"/>
      </w:divBdr>
    </w:div>
    <w:div w:id="1114208935">
      <w:bodyDiv w:val="1"/>
      <w:marLeft w:val="0"/>
      <w:marRight w:val="0"/>
      <w:marTop w:val="0"/>
      <w:marBottom w:val="0"/>
      <w:divBdr>
        <w:top w:val="none" w:sz="0" w:space="0" w:color="auto"/>
        <w:left w:val="none" w:sz="0" w:space="0" w:color="auto"/>
        <w:bottom w:val="none" w:sz="0" w:space="0" w:color="auto"/>
        <w:right w:val="none" w:sz="0" w:space="0" w:color="auto"/>
      </w:divBdr>
    </w:div>
    <w:div w:id="1176119084">
      <w:bodyDiv w:val="1"/>
      <w:marLeft w:val="0"/>
      <w:marRight w:val="0"/>
      <w:marTop w:val="0"/>
      <w:marBottom w:val="0"/>
      <w:divBdr>
        <w:top w:val="none" w:sz="0" w:space="0" w:color="auto"/>
        <w:left w:val="none" w:sz="0" w:space="0" w:color="auto"/>
        <w:bottom w:val="none" w:sz="0" w:space="0" w:color="auto"/>
        <w:right w:val="none" w:sz="0" w:space="0" w:color="auto"/>
      </w:divBdr>
    </w:div>
    <w:div w:id="1276717350">
      <w:bodyDiv w:val="1"/>
      <w:marLeft w:val="0"/>
      <w:marRight w:val="0"/>
      <w:marTop w:val="0"/>
      <w:marBottom w:val="0"/>
      <w:divBdr>
        <w:top w:val="none" w:sz="0" w:space="0" w:color="auto"/>
        <w:left w:val="none" w:sz="0" w:space="0" w:color="auto"/>
        <w:bottom w:val="none" w:sz="0" w:space="0" w:color="auto"/>
        <w:right w:val="none" w:sz="0" w:space="0" w:color="auto"/>
      </w:divBdr>
      <w:divsChild>
        <w:div w:id="55511967">
          <w:marLeft w:val="0"/>
          <w:marRight w:val="0"/>
          <w:marTop w:val="0"/>
          <w:marBottom w:val="0"/>
          <w:divBdr>
            <w:top w:val="none" w:sz="0" w:space="0" w:color="auto"/>
            <w:left w:val="none" w:sz="0" w:space="0" w:color="auto"/>
            <w:bottom w:val="none" w:sz="0" w:space="0" w:color="auto"/>
            <w:right w:val="none" w:sz="0" w:space="0" w:color="auto"/>
          </w:divBdr>
        </w:div>
        <w:div w:id="145822872">
          <w:marLeft w:val="0"/>
          <w:marRight w:val="0"/>
          <w:marTop w:val="0"/>
          <w:marBottom w:val="0"/>
          <w:divBdr>
            <w:top w:val="none" w:sz="0" w:space="0" w:color="auto"/>
            <w:left w:val="none" w:sz="0" w:space="0" w:color="auto"/>
            <w:bottom w:val="none" w:sz="0" w:space="0" w:color="auto"/>
            <w:right w:val="none" w:sz="0" w:space="0" w:color="auto"/>
          </w:divBdr>
        </w:div>
        <w:div w:id="247816102">
          <w:marLeft w:val="0"/>
          <w:marRight w:val="0"/>
          <w:marTop w:val="0"/>
          <w:marBottom w:val="0"/>
          <w:divBdr>
            <w:top w:val="none" w:sz="0" w:space="0" w:color="auto"/>
            <w:left w:val="none" w:sz="0" w:space="0" w:color="auto"/>
            <w:bottom w:val="none" w:sz="0" w:space="0" w:color="auto"/>
            <w:right w:val="none" w:sz="0" w:space="0" w:color="auto"/>
          </w:divBdr>
        </w:div>
        <w:div w:id="480192892">
          <w:marLeft w:val="0"/>
          <w:marRight w:val="0"/>
          <w:marTop w:val="0"/>
          <w:marBottom w:val="0"/>
          <w:divBdr>
            <w:top w:val="none" w:sz="0" w:space="0" w:color="auto"/>
            <w:left w:val="none" w:sz="0" w:space="0" w:color="auto"/>
            <w:bottom w:val="none" w:sz="0" w:space="0" w:color="auto"/>
            <w:right w:val="none" w:sz="0" w:space="0" w:color="auto"/>
          </w:divBdr>
        </w:div>
        <w:div w:id="565452221">
          <w:marLeft w:val="0"/>
          <w:marRight w:val="0"/>
          <w:marTop w:val="0"/>
          <w:marBottom w:val="0"/>
          <w:divBdr>
            <w:top w:val="none" w:sz="0" w:space="0" w:color="auto"/>
            <w:left w:val="none" w:sz="0" w:space="0" w:color="auto"/>
            <w:bottom w:val="none" w:sz="0" w:space="0" w:color="auto"/>
            <w:right w:val="none" w:sz="0" w:space="0" w:color="auto"/>
          </w:divBdr>
        </w:div>
        <w:div w:id="926814771">
          <w:marLeft w:val="0"/>
          <w:marRight w:val="0"/>
          <w:marTop w:val="0"/>
          <w:marBottom w:val="0"/>
          <w:divBdr>
            <w:top w:val="none" w:sz="0" w:space="0" w:color="auto"/>
            <w:left w:val="none" w:sz="0" w:space="0" w:color="auto"/>
            <w:bottom w:val="none" w:sz="0" w:space="0" w:color="auto"/>
            <w:right w:val="none" w:sz="0" w:space="0" w:color="auto"/>
          </w:divBdr>
        </w:div>
        <w:div w:id="1308166474">
          <w:marLeft w:val="0"/>
          <w:marRight w:val="0"/>
          <w:marTop w:val="0"/>
          <w:marBottom w:val="0"/>
          <w:divBdr>
            <w:top w:val="none" w:sz="0" w:space="0" w:color="auto"/>
            <w:left w:val="none" w:sz="0" w:space="0" w:color="auto"/>
            <w:bottom w:val="none" w:sz="0" w:space="0" w:color="auto"/>
            <w:right w:val="none" w:sz="0" w:space="0" w:color="auto"/>
          </w:divBdr>
        </w:div>
        <w:div w:id="1511138209">
          <w:marLeft w:val="0"/>
          <w:marRight w:val="0"/>
          <w:marTop w:val="0"/>
          <w:marBottom w:val="0"/>
          <w:divBdr>
            <w:top w:val="none" w:sz="0" w:space="0" w:color="auto"/>
            <w:left w:val="none" w:sz="0" w:space="0" w:color="auto"/>
            <w:bottom w:val="none" w:sz="0" w:space="0" w:color="auto"/>
            <w:right w:val="none" w:sz="0" w:space="0" w:color="auto"/>
          </w:divBdr>
        </w:div>
        <w:div w:id="1708026085">
          <w:marLeft w:val="0"/>
          <w:marRight w:val="0"/>
          <w:marTop w:val="0"/>
          <w:marBottom w:val="0"/>
          <w:divBdr>
            <w:top w:val="none" w:sz="0" w:space="0" w:color="auto"/>
            <w:left w:val="none" w:sz="0" w:space="0" w:color="auto"/>
            <w:bottom w:val="none" w:sz="0" w:space="0" w:color="auto"/>
            <w:right w:val="none" w:sz="0" w:space="0" w:color="auto"/>
          </w:divBdr>
        </w:div>
        <w:div w:id="1835563200">
          <w:marLeft w:val="0"/>
          <w:marRight w:val="0"/>
          <w:marTop w:val="0"/>
          <w:marBottom w:val="0"/>
          <w:divBdr>
            <w:top w:val="none" w:sz="0" w:space="0" w:color="auto"/>
            <w:left w:val="none" w:sz="0" w:space="0" w:color="auto"/>
            <w:bottom w:val="none" w:sz="0" w:space="0" w:color="auto"/>
            <w:right w:val="none" w:sz="0" w:space="0" w:color="auto"/>
          </w:divBdr>
        </w:div>
        <w:div w:id="1918901050">
          <w:marLeft w:val="0"/>
          <w:marRight w:val="0"/>
          <w:marTop w:val="0"/>
          <w:marBottom w:val="0"/>
          <w:divBdr>
            <w:top w:val="none" w:sz="0" w:space="0" w:color="auto"/>
            <w:left w:val="none" w:sz="0" w:space="0" w:color="auto"/>
            <w:bottom w:val="none" w:sz="0" w:space="0" w:color="auto"/>
            <w:right w:val="none" w:sz="0" w:space="0" w:color="auto"/>
          </w:divBdr>
        </w:div>
      </w:divsChild>
    </w:div>
    <w:div w:id="1787264645">
      <w:bodyDiv w:val="1"/>
      <w:marLeft w:val="0"/>
      <w:marRight w:val="0"/>
      <w:marTop w:val="0"/>
      <w:marBottom w:val="0"/>
      <w:divBdr>
        <w:top w:val="none" w:sz="0" w:space="0" w:color="auto"/>
        <w:left w:val="none" w:sz="0" w:space="0" w:color="auto"/>
        <w:bottom w:val="none" w:sz="0" w:space="0" w:color="auto"/>
        <w:right w:val="none" w:sz="0" w:space="0" w:color="auto"/>
      </w:divBdr>
    </w:div>
    <w:div w:id="1887835217">
      <w:bodyDiv w:val="1"/>
      <w:marLeft w:val="0"/>
      <w:marRight w:val="0"/>
      <w:marTop w:val="0"/>
      <w:marBottom w:val="0"/>
      <w:divBdr>
        <w:top w:val="none" w:sz="0" w:space="0" w:color="auto"/>
        <w:left w:val="none" w:sz="0" w:space="0" w:color="auto"/>
        <w:bottom w:val="none" w:sz="0" w:space="0" w:color="auto"/>
        <w:right w:val="none" w:sz="0" w:space="0" w:color="auto"/>
      </w:divBdr>
    </w:div>
    <w:div w:id="193659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52BE71-5FED-449D-A4B5-D95262AB8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41</Pages>
  <Words>160826</Words>
  <Characters>916713</Characters>
  <Application>Microsoft Office Word</Application>
  <DocSecurity>0</DocSecurity>
  <Lines>7639</Lines>
  <Paragraphs>2150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Ideaconsult Ltd.</Company>
  <LinksUpToDate>false</LinksUpToDate>
  <CharactersWithSpaces>1075389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Gianpietro Basei</dc:creator>
  <cp:keywords/>
  <dc:description/>
  <cp:lastModifiedBy>Gianpietro Basei</cp:lastModifiedBy>
  <cp:revision>14</cp:revision>
  <cp:lastPrinted>2018-12-10T19:24:00Z</cp:lastPrinted>
  <dcterms:created xsi:type="dcterms:W3CDTF">2018-12-14T16:03:00Z</dcterms:created>
  <dcterms:modified xsi:type="dcterms:W3CDTF">2018-12-17T12:45:00Z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2_1">
    <vt:lpwstr>http://www.zotero.org/styles/chicago-author-date</vt:lpwstr>
  </property>
  <property fmtid="{D5CDD505-2E9C-101B-9397-08002B2CF9AE}" pid="6" name="Mendeley Recent Style Id 5_1">
    <vt:lpwstr>http://www.zotero.org/styles/ieee</vt:lpwstr>
  </property>
  <property fmtid="{D5CDD505-2E9C-101B-9397-08002B2CF9AE}" pid="7" name="Mendeley Recent Style Name 5_1">
    <vt:lpwstr>IEEE</vt:lpwstr>
  </property>
  <property fmtid="{D5CDD505-2E9C-101B-9397-08002B2CF9AE}" pid="8" name="Mendeley Recent Style Id 8_1">
    <vt:lpwstr>http://www.zotero.org/styles/nature</vt:lpwstr>
  </property>
  <property fmtid="{D5CDD505-2E9C-101B-9397-08002B2CF9AE}" pid="9" name="Mendeley Recent Style Name 8_1">
    <vt:lpwstr>Nature</vt:lpwstr>
  </property>
  <property fmtid="{D5CDD505-2E9C-101B-9397-08002B2CF9AE}" pid="10" name="Mendeley Citation Style_1">
    <vt:lpwstr>http://www.zotero.org/styles/nature</vt:lpwstr>
  </property>
  <property fmtid="{D5CDD505-2E9C-101B-9397-08002B2CF9AE}" pid="11" name="Mendeley Unique User Id_1">
    <vt:lpwstr>6dd771ca-8347-333d-91a7-51cb40eeedf0</vt:lpwstr>
  </property>
  <property fmtid="{D5CDD505-2E9C-101B-9397-08002B2CF9AE}" pid="12" name="Mendeley Recent Style Id 1_1">
    <vt:lpwstr>http://www.zotero.org/styles/american-sociological-association</vt:lpwstr>
  </property>
  <property fmtid="{D5CDD505-2E9C-101B-9397-08002B2CF9AE}" pid="13" name="Mendeley Recent Style Name 1_1">
    <vt:lpwstr>American Sociological Association</vt:lpwstr>
  </property>
  <property fmtid="{D5CDD505-2E9C-101B-9397-08002B2CF9AE}" pid="14" name="Mendeley Recent Style Name 2_1">
    <vt:lpwstr>Chicago Manual of Style 17th edition (author-date)</vt:lpwstr>
  </property>
  <property fmtid="{D5CDD505-2E9C-101B-9397-08002B2CF9AE}" pid="15" name="Mendeley Recent Style Id 3_1">
    <vt:lpwstr>http://www.zotero.org/styles/harvard-cite-them-right</vt:lpwstr>
  </property>
  <property fmtid="{D5CDD505-2E9C-101B-9397-08002B2CF9AE}" pid="16" name="Mendeley Recent Style Name 3_1">
    <vt:lpwstr>Cite Them Right 10th edition - Harvard</vt:lpwstr>
  </property>
  <property fmtid="{D5CDD505-2E9C-101B-9397-08002B2CF9AE}" pid="17" name="Mendeley Recent Style Id 4_1">
    <vt:lpwstr>http://www.zotero.org/styles/environmental-modelling-and-software</vt:lpwstr>
  </property>
  <property fmtid="{D5CDD505-2E9C-101B-9397-08002B2CF9AE}" pid="18" name="Mendeley Recent Style Name 4_1">
    <vt:lpwstr>Environmental Modelling and Software</vt:lpwstr>
  </property>
  <property fmtid="{D5CDD505-2E9C-101B-9397-08002B2CF9AE}" pid="19" name="Mendeley Recent Style Id 6_1">
    <vt:lpwstr>http://www.zotero.org/styles/modern-humanities-research-association</vt:lpwstr>
  </property>
  <property fmtid="{D5CDD505-2E9C-101B-9397-08002B2CF9AE}" pid="20" name="Mendeley Recent Style Name 6_1">
    <vt:lpwstr>Modern Humanities Research Association 3rd edition (note with bibliography)</vt:lpwstr>
  </property>
  <property fmtid="{D5CDD505-2E9C-101B-9397-08002B2CF9AE}" pid="21" name="Mendeley Recent Style Id 7_1">
    <vt:lpwstr>http://www.zotero.org/styles/modern-language-association</vt:lpwstr>
  </property>
  <property fmtid="{D5CDD505-2E9C-101B-9397-08002B2CF9AE}" pid="22" name="Mendeley Recent Style Name 7_1">
    <vt:lpwstr>Modern Language Association 8th edition</vt:lpwstr>
  </property>
  <property fmtid="{D5CDD505-2E9C-101B-9397-08002B2CF9AE}" pid="23" name="Mendeley Recent Style Id 9_1">
    <vt:lpwstr>http://www.zotero.org/styles/taylor-and-francis-harvard-x</vt:lpwstr>
  </property>
  <property fmtid="{D5CDD505-2E9C-101B-9397-08002B2CF9AE}" pid="24" name="Mendeley Recent Style Name 9_1">
    <vt:lpwstr>Taylor &amp; Francis - Harvard X</vt:lpwstr>
  </property>
</Properties>
</file>