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D0485" w14:textId="6ECBD378" w:rsidR="00C7443D" w:rsidRDefault="007E51EF" w:rsidP="00522788">
      <w:pPr>
        <w:spacing w:line="276" w:lineRule="auto"/>
        <w:ind w:firstLine="567"/>
      </w:pPr>
      <w:r>
        <w:t>G</w:t>
      </w:r>
      <w:r w:rsidR="00C7443D">
        <w:t xml:space="preserve">. </w:t>
      </w:r>
      <w:r>
        <w:rPr>
          <w:smallCaps/>
        </w:rPr>
        <w:t>Savonarola</w:t>
      </w:r>
      <w:r w:rsidR="00C7443D">
        <w:t>,</w:t>
      </w:r>
      <w:r w:rsidR="00C7443D" w:rsidRPr="00C7443D">
        <w:t xml:space="preserve"> </w:t>
      </w:r>
      <w:r>
        <w:rPr>
          <w:bCs/>
          <w:i/>
        </w:rPr>
        <w:t>Rime</w:t>
      </w:r>
      <w:r w:rsidR="00C7443D" w:rsidRPr="00C7443D">
        <w:rPr>
          <w:bCs/>
        </w:rPr>
        <w:t xml:space="preserve">, </w:t>
      </w:r>
      <w:r>
        <w:rPr>
          <w:bCs/>
        </w:rPr>
        <w:t>Genova</w:t>
      </w:r>
      <w:r w:rsidR="00C7443D" w:rsidRPr="00C7443D">
        <w:rPr>
          <w:bCs/>
        </w:rPr>
        <w:t xml:space="preserve">, Il </w:t>
      </w:r>
      <w:r>
        <w:rPr>
          <w:bCs/>
        </w:rPr>
        <w:t>Melangolo</w:t>
      </w:r>
      <w:r w:rsidR="00C7443D" w:rsidRPr="00C7443D">
        <w:rPr>
          <w:bCs/>
        </w:rPr>
        <w:t>, 2015</w:t>
      </w:r>
      <w:r w:rsidR="0036237C">
        <w:rPr>
          <w:bCs/>
        </w:rPr>
        <w:t xml:space="preserve"> (</w:t>
      </w:r>
      <w:r w:rsidR="0036237C" w:rsidRPr="0036237C">
        <w:rPr>
          <w:bCs/>
          <w:i/>
        </w:rPr>
        <w:t>nugae</w:t>
      </w:r>
      <w:r w:rsidR="0036237C">
        <w:rPr>
          <w:bCs/>
        </w:rPr>
        <w:t xml:space="preserve"> 212)</w:t>
      </w:r>
      <w:r w:rsidR="00C7443D" w:rsidRPr="00C7443D">
        <w:rPr>
          <w:bCs/>
        </w:rPr>
        <w:t xml:space="preserve">, pp. </w:t>
      </w:r>
      <w:r w:rsidR="0036237C">
        <w:rPr>
          <w:bCs/>
        </w:rPr>
        <w:t>260</w:t>
      </w:r>
      <w:r w:rsidR="00C7443D" w:rsidRPr="00C7443D">
        <w:rPr>
          <w:bCs/>
        </w:rPr>
        <w:t>.</w:t>
      </w:r>
    </w:p>
    <w:p w14:paraId="54232155" w14:textId="77777777" w:rsidR="00C7443D" w:rsidRDefault="00C7443D" w:rsidP="00522788">
      <w:pPr>
        <w:spacing w:line="276" w:lineRule="auto"/>
        <w:ind w:firstLine="567"/>
      </w:pPr>
    </w:p>
    <w:p w14:paraId="47B5EFAC" w14:textId="68D02A26" w:rsidR="00577AD4" w:rsidRPr="00577AD4" w:rsidRDefault="00577AD4" w:rsidP="00522788">
      <w:pPr>
        <w:spacing w:line="276" w:lineRule="auto"/>
        <w:ind w:firstLine="567"/>
        <w:rPr>
          <w:sz w:val="20"/>
          <w:szCs w:val="20"/>
        </w:rPr>
      </w:pPr>
      <w:r w:rsidRPr="00577AD4">
        <w:rPr>
          <w:sz w:val="20"/>
          <w:szCs w:val="20"/>
          <w:highlight w:val="green"/>
        </w:rPr>
        <w:t>Aggiungi</w:t>
      </w:r>
      <w:r w:rsidRPr="00577AD4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A. </w:t>
      </w:r>
      <w:r w:rsidRPr="00577AD4">
        <w:rPr>
          <w:sz w:val="20"/>
          <w:szCs w:val="20"/>
        </w:rPr>
        <w:t>Gualtieri, The Poetics of Ascetism: Savonarola's Poetry in the Light of his Theory of Art, RSLR, 21, 1985, 77-113</w:t>
      </w:r>
      <w:r>
        <w:rPr>
          <w:sz w:val="20"/>
          <w:szCs w:val="20"/>
        </w:rPr>
        <w:t>.</w:t>
      </w:r>
      <w:bookmarkStart w:id="0" w:name="_GoBack"/>
      <w:bookmarkEnd w:id="0"/>
    </w:p>
    <w:p w14:paraId="626E9779" w14:textId="77777777" w:rsidR="00577AD4" w:rsidRDefault="00577AD4" w:rsidP="00522788">
      <w:pPr>
        <w:spacing w:line="276" w:lineRule="auto"/>
        <w:ind w:firstLine="567"/>
      </w:pPr>
    </w:p>
    <w:p w14:paraId="5E73D50D" w14:textId="0C11F61C" w:rsidR="00A154B0" w:rsidRDefault="00DD2C01" w:rsidP="00985151">
      <w:pPr>
        <w:spacing w:line="276" w:lineRule="auto"/>
        <w:ind w:firstLine="567"/>
      </w:pPr>
      <w:r>
        <w:t xml:space="preserve">In questo agile ed elegante volumetto Giona Tuccini, professore di Letteratura italiana alla University of Cape Town, ha raccolto e annotato le quattordici poesie a noi note sicuramente ascrivibili a Girolamo Savonarola. </w:t>
      </w:r>
      <w:r w:rsidR="00966955">
        <w:t>Il curatore ha seguito</w:t>
      </w:r>
      <w:r>
        <w:t xml:space="preserve"> la lezione critica</w:t>
      </w:r>
      <w:r w:rsidR="00966955">
        <w:t xml:space="preserve"> e il canone di autenticità</w:t>
      </w:r>
      <w:r>
        <w:t xml:space="preserve"> </w:t>
      </w:r>
      <w:r w:rsidR="00EC112D">
        <w:t xml:space="preserve">solidamente </w:t>
      </w:r>
      <w:r>
        <w:t>stabi</w:t>
      </w:r>
      <w:r w:rsidR="00966955">
        <w:t>liti nel 1968 da Mario Martelli e sostanzialmente confermati pochi anni dopo – sulla base del ritrovato zibaldone autografo noto come codice Borromeo – da Giulio Cattin</w:t>
      </w:r>
      <w:r w:rsidR="00966955">
        <w:rPr>
          <w:rStyle w:val="Rimandonotaapidipagina"/>
        </w:rPr>
        <w:footnoteReference w:id="1"/>
      </w:r>
      <w:r w:rsidR="00966955">
        <w:t>.</w:t>
      </w:r>
      <w:r w:rsidR="00EC112D">
        <w:t xml:space="preserve"> Si tratta nel complesso di sei canzoni, tre sonetti e cinque laude databi</w:t>
      </w:r>
      <w:r w:rsidR="00A154B0">
        <w:t>li tra il 1472 e il 1484 circa.</w:t>
      </w:r>
    </w:p>
    <w:p w14:paraId="213265C7" w14:textId="64E0670B" w:rsidR="004624EF" w:rsidRDefault="000C3C66" w:rsidP="00985151">
      <w:pPr>
        <w:spacing w:line="276" w:lineRule="auto"/>
        <w:ind w:firstLine="567"/>
      </w:pPr>
      <w:r>
        <w:t xml:space="preserve">Savonarola nacque </w:t>
      </w:r>
      <w:r w:rsidR="00A154B0">
        <w:t xml:space="preserve">a Ferrara </w:t>
      </w:r>
      <w:r>
        <w:t>nel 1452 e giuns</w:t>
      </w:r>
      <w:r w:rsidR="00E52736">
        <w:t>e a Firenze trentenne, nel 1482:</w:t>
      </w:r>
      <w:r>
        <w:t xml:space="preserve"> la sua fu </w:t>
      </w:r>
      <w:r w:rsidR="00E52736">
        <w:t xml:space="preserve">dunque </w:t>
      </w:r>
      <w:r>
        <w:t>una produzione poetica giovani</w:t>
      </w:r>
      <w:r w:rsidR="00DA30EC">
        <w:t>le,</w:t>
      </w:r>
      <w:r>
        <w:t xml:space="preserve"> </w:t>
      </w:r>
      <w:r w:rsidR="007F4DC9">
        <w:t xml:space="preserve">per lo più </w:t>
      </w:r>
      <w:r w:rsidR="00122ED8">
        <w:t>ferrarese e bolognese</w:t>
      </w:r>
      <w:r w:rsidR="00A154B0">
        <w:t xml:space="preserve"> (a Bologna egli prese infatti, nel 1475, l'abito domenicano). Una produzione </w:t>
      </w:r>
      <w:r w:rsidR="007F4DC9">
        <w:t>precedente</w:t>
      </w:r>
      <w:r w:rsidR="00A154B0">
        <w:t>, in altre parole,</w:t>
      </w:r>
      <w:r w:rsidR="007F4DC9">
        <w:t xml:space="preserve"> </w:t>
      </w:r>
      <w:r w:rsidR="00122ED8">
        <w:t xml:space="preserve">il suo incontro </w:t>
      </w:r>
      <w:r w:rsidR="00E52736">
        <w:t>con la cultura fiorentina</w:t>
      </w:r>
      <w:r w:rsidR="00122ED8">
        <w:t xml:space="preserve"> – per quanto il codice</w:t>
      </w:r>
      <w:r w:rsidR="009735B7">
        <w:t xml:space="preserve"> Borromeo, databile al 1483-1485</w:t>
      </w:r>
      <w:r w:rsidR="00122ED8">
        <w:t xml:space="preserve">, fornisca prove inequivocabili del precoce interesse del frate per la tradizione </w:t>
      </w:r>
      <w:r w:rsidR="005C1EF9">
        <w:t xml:space="preserve">letteraria e </w:t>
      </w:r>
      <w:r w:rsidR="00122ED8">
        <w:t>religiosa toscana</w:t>
      </w:r>
      <w:r w:rsidR="00122ED8">
        <w:rPr>
          <w:rStyle w:val="Rimandonotaapidipagina"/>
        </w:rPr>
        <w:footnoteReference w:id="2"/>
      </w:r>
      <w:r w:rsidR="00122ED8">
        <w:t>. La parabola profetica e politica di Savonarola, ad ogni modo, ebbe inizio quando il domenicano aveva chiuso la sua attività poetica da circa un decennio</w:t>
      </w:r>
      <w:r w:rsidR="005C1EF9">
        <w:t xml:space="preserve">. La tentazione </w:t>
      </w:r>
      <w:r w:rsidR="00FB496F">
        <w:t xml:space="preserve">anacronistica </w:t>
      </w:r>
      <w:r w:rsidR="005C1EF9">
        <w:t xml:space="preserve">di leggere le rime alla luce della </w:t>
      </w:r>
      <w:r w:rsidR="009735B7">
        <w:t xml:space="preserve">più celebre </w:t>
      </w:r>
      <w:r w:rsidR="005C1EF9">
        <w:t xml:space="preserve">predicazione pubblica degli anni '90 </w:t>
      </w:r>
      <w:r w:rsidR="004F1773">
        <w:t>(</w:t>
      </w:r>
      <w:r w:rsidR="00FB496F">
        <w:t>o addirittura come «commento in chiave lirica» di essa</w:t>
      </w:r>
      <w:r w:rsidR="00FB496F">
        <w:rPr>
          <w:rStyle w:val="Rimandonotaapidipagina"/>
        </w:rPr>
        <w:footnoteReference w:id="3"/>
      </w:r>
      <w:r w:rsidR="004F1773">
        <w:t>), per quanto</w:t>
      </w:r>
      <w:r w:rsidR="00FB496F">
        <w:t xml:space="preserve"> comprensibile, </w:t>
      </w:r>
      <w:r w:rsidR="004F1773">
        <w:t>è dunque senz'altro</w:t>
      </w:r>
      <w:r w:rsidR="00FB496F">
        <w:t xml:space="preserve"> fuorviante.</w:t>
      </w:r>
      <w:r w:rsidR="009735B7">
        <w:t xml:space="preserve"> </w:t>
      </w:r>
      <w:r w:rsidR="0062526F">
        <w:t xml:space="preserve">Nelle vivaci </w:t>
      </w:r>
      <w:r w:rsidR="0062526F" w:rsidRPr="00CB7A84">
        <w:t>pagine introduttive (</w:t>
      </w:r>
      <w:r w:rsidR="0062526F" w:rsidRPr="00CB7A84">
        <w:rPr>
          <w:i/>
          <w:iCs/>
        </w:rPr>
        <w:t>Fuoco vivo in carne dolorosa</w:t>
      </w:r>
      <w:r w:rsidR="0062526F">
        <w:t>, pp. 5-73)</w:t>
      </w:r>
      <w:r w:rsidR="009735B7">
        <w:t xml:space="preserve"> Tuccini cede forse, t</w:t>
      </w:r>
      <w:r w:rsidR="008A1B0C">
        <w:t xml:space="preserve">alvolta, a tale </w:t>
      </w:r>
      <w:r w:rsidR="004624EF">
        <w:t>tentazio</w:t>
      </w:r>
      <w:r w:rsidR="00A154B0">
        <w:t>ne;</w:t>
      </w:r>
      <w:r w:rsidR="004624EF">
        <w:t xml:space="preserve"> ad es. laddove (p. 41) interpreta come anticipazione della predicazione profetica l'invito a «non pigliar impresa» del </w:t>
      </w:r>
      <w:r w:rsidR="004624EF" w:rsidRPr="004624EF">
        <w:rPr>
          <w:i/>
        </w:rPr>
        <w:t>De ruina ecclesiae</w:t>
      </w:r>
      <w:r w:rsidR="004624EF">
        <w:t>: un invito apocalittico alla fuga dal mondo che</w:t>
      </w:r>
      <w:r w:rsidR="00570F4C">
        <w:t>, se ben capisco,</w:t>
      </w:r>
      <w:r w:rsidR="004624EF">
        <w:t xml:space="preserve"> si pone invece, ecclesiologicamente e politicamente, agli antipodi rispetto al concreto </w:t>
      </w:r>
      <w:r w:rsidR="00985151">
        <w:t>impegno</w:t>
      </w:r>
      <w:r w:rsidR="004624EF">
        <w:t xml:space="preserve"> profetico </w:t>
      </w:r>
      <w:r w:rsidR="00A154B0">
        <w:t xml:space="preserve">dell'età "matura" </w:t>
      </w:r>
      <w:r w:rsidR="00985151">
        <w:t xml:space="preserve">per il rinnovamento </w:t>
      </w:r>
      <w:r w:rsidR="004624EF">
        <w:t>della Chiesa e della cristianità tutta</w:t>
      </w:r>
      <w:r w:rsidR="00985151">
        <w:t>.</w:t>
      </w:r>
      <w:r w:rsidR="004624EF">
        <w:t xml:space="preserve"> </w:t>
      </w:r>
    </w:p>
    <w:p w14:paraId="0B0A8B52" w14:textId="445DA128" w:rsidR="0062526F" w:rsidRDefault="004624EF" w:rsidP="00985151">
      <w:pPr>
        <w:spacing w:line="276" w:lineRule="auto"/>
        <w:ind w:firstLine="567"/>
      </w:pPr>
      <w:r>
        <w:t>Detto questo, bisogna riconoscere che nella vicenda savonaroliana i mutamenti e le rotture si intrecciarono a innegabili elementi di conti</w:t>
      </w:r>
      <w:r w:rsidR="00A154B0">
        <w:t>nuità. E i</w:t>
      </w:r>
      <w:r>
        <w:t>n tal senso la linea di lettura unitaria dell'opera e della figura del frate prescelta dal curatore risulta condivisibile</w:t>
      </w:r>
      <w:r w:rsidR="00A154B0">
        <w:t xml:space="preserve">, </w:t>
      </w:r>
      <w:r w:rsidR="00570F4C">
        <w:t>nella misura in cui</w:t>
      </w:r>
      <w:r w:rsidR="00A154B0">
        <w:t xml:space="preserve"> essa</w:t>
      </w:r>
      <w:r w:rsidR="00570F4C">
        <w:t xml:space="preserve"> insiste soprattutto</w:t>
      </w:r>
      <w:r w:rsidR="00DA30EC">
        <w:t xml:space="preserve"> sulla dimensione mistica dell'esperienza religiosa di Savonarola</w:t>
      </w:r>
      <w:r w:rsidR="00EF37EB">
        <w:t xml:space="preserve"> (già al centro di una stimolante antologia curata da Adriana Valerio</w:t>
      </w:r>
      <w:r w:rsidR="00EF37EB">
        <w:rPr>
          <w:rStyle w:val="Rimandonotaapidipagina"/>
        </w:rPr>
        <w:footnoteReference w:id="4"/>
      </w:r>
      <w:r w:rsidR="00EF37EB">
        <w:t>)</w:t>
      </w:r>
      <w:r w:rsidR="00DA30EC">
        <w:t xml:space="preserve">, sul suo «sogno vertiginoso di spartire con Gesù, la Vergine e Maria Maddalena – presenti sul Calvario – i momenti determinanti dell'opera cristica: la crocifissione e il trapasso» (p. 61). «O Croce, fammi loco / e le mie membra prendi»: l'ansia di martirio che </w:t>
      </w:r>
      <w:r w:rsidR="0062526F">
        <w:t>ispira</w:t>
      </w:r>
      <w:r w:rsidR="00DA30EC">
        <w:t xml:space="preserve"> la </w:t>
      </w:r>
      <w:r w:rsidR="00DA30EC" w:rsidRPr="00DA30EC">
        <w:rPr>
          <w:i/>
        </w:rPr>
        <w:t>Laude al crocifisso</w:t>
      </w:r>
      <w:r w:rsidR="00DA30EC">
        <w:t xml:space="preserve"> (p. 174) e quasi tutta la produzione poetica </w:t>
      </w:r>
      <w:r w:rsidR="00D4297B">
        <w:t>raccolta nel volumetto</w:t>
      </w:r>
      <w:r w:rsidR="0062526F">
        <w:t xml:space="preserve"> accompagnò</w:t>
      </w:r>
      <w:r w:rsidR="00D4297B">
        <w:t xml:space="preserve"> infatti il frate ferrarese</w:t>
      </w:r>
      <w:r w:rsidR="0062526F">
        <w:t xml:space="preserve">, indubbiamente, fino alla sua drammatica fine. </w:t>
      </w:r>
    </w:p>
    <w:p w14:paraId="122509E6" w14:textId="77777777" w:rsidR="00A154B0" w:rsidRDefault="00080BE4" w:rsidP="00522788">
      <w:pPr>
        <w:spacing w:line="276" w:lineRule="auto"/>
        <w:ind w:firstLine="567"/>
        <w:rPr>
          <w:iCs/>
        </w:rPr>
      </w:pPr>
      <w:r>
        <w:t xml:space="preserve">Questo filo rosso andrà tenuto </w:t>
      </w:r>
      <w:r w:rsidR="0062526F">
        <w:t>presente anche studiando la predicazione pubblica e profetica del frate</w:t>
      </w:r>
      <w:r>
        <w:t xml:space="preserve"> nel carattere complesso, articolato, multid</w:t>
      </w:r>
      <w:r w:rsidR="00A154B0">
        <w:t>imensionale che di fatto ebbe. Nondimeno,</w:t>
      </w:r>
      <w:r>
        <w:t xml:space="preserve"> per una valutazione equilibrata dei rapporti tra il Savonarola «moralista»</w:t>
      </w:r>
      <w:r>
        <w:rPr>
          <w:rStyle w:val="Rimandonotaapidipagina"/>
        </w:rPr>
        <w:footnoteReference w:id="5"/>
      </w:r>
      <w:r>
        <w:t xml:space="preserve"> dei primi componimenti (</w:t>
      </w:r>
      <w:r>
        <w:rPr>
          <w:i/>
        </w:rPr>
        <w:t>D</w:t>
      </w:r>
      <w:r w:rsidRPr="00080BE4">
        <w:rPr>
          <w:i/>
        </w:rPr>
        <w:t>e ruina mundi</w:t>
      </w:r>
      <w:r>
        <w:t xml:space="preserve"> e </w:t>
      </w:r>
      <w:r>
        <w:rPr>
          <w:i/>
        </w:rPr>
        <w:t>D</w:t>
      </w:r>
      <w:r w:rsidRPr="00080BE4">
        <w:rPr>
          <w:i/>
        </w:rPr>
        <w:t>e ruina ecclesiae</w:t>
      </w:r>
      <w:r w:rsidR="00FC61A3">
        <w:t>), il 'mistico' delle altre rime e dei vari trattatelli spirituali</w:t>
      </w:r>
      <w:r w:rsidR="0062526F">
        <w:t xml:space="preserve"> </w:t>
      </w:r>
      <w:r w:rsidR="00FC61A3">
        <w:t xml:space="preserve">(tra cui </w:t>
      </w:r>
      <w:r w:rsidR="00FC61A3">
        <w:lastRenderedPageBreak/>
        <w:t xml:space="preserve">soprattutto il </w:t>
      </w:r>
      <w:r w:rsidR="00CF313F">
        <w:rPr>
          <w:i/>
        </w:rPr>
        <w:t>Trattato dell'</w:t>
      </w:r>
      <w:r w:rsidR="00FC61A3" w:rsidRPr="00FC61A3">
        <w:rPr>
          <w:i/>
        </w:rPr>
        <w:t>amore di Gesù</w:t>
      </w:r>
      <w:r w:rsidR="00FC61A3">
        <w:t>, composto nel 1492) e il profeta dei grandi cicli degli anni 1494-1498 sarà importante chiarire caso per caso il preciso significato di espressioni e stilemi solo apparentemente identici, ma in realtà molto diversi a seconda del contesto, dei destinatari e delle finalità che portarono l'autore ad utilizzarli</w:t>
      </w:r>
      <w:r w:rsidR="00EF37EB">
        <w:t xml:space="preserve"> (basti pensare alla situazione evidentemente eccezionale nella quale</w:t>
      </w:r>
      <w:r w:rsidR="00CF313F">
        <w:t xml:space="preserve"> nella primavera del 1498</w:t>
      </w:r>
      <w:r w:rsidR="00EF37EB">
        <w:t xml:space="preserve"> Savonarola</w:t>
      </w:r>
      <w:r w:rsidR="00CF313F">
        <w:t>, rinchiuso nel carcere dell'Alberghetto e in attesa della propria esecuzione,</w:t>
      </w:r>
      <w:r w:rsidR="00EF37EB">
        <w:t xml:space="preserve"> si trovò a comporre il commento al Salmo </w:t>
      </w:r>
      <w:r w:rsidR="00EF37EB">
        <w:rPr>
          <w:i/>
          <w:iCs/>
        </w:rPr>
        <w:t>Miserere mei,</w:t>
      </w:r>
      <w:r w:rsidR="00EF37EB" w:rsidRPr="00EF37EB">
        <w:rPr>
          <w:i/>
          <w:iCs/>
        </w:rPr>
        <w:t xml:space="preserve"> Deus</w:t>
      </w:r>
      <w:r w:rsidR="00EF37EB">
        <w:rPr>
          <w:iCs/>
        </w:rPr>
        <w:t>)</w:t>
      </w:r>
      <w:r w:rsidR="00CF313F">
        <w:rPr>
          <w:iCs/>
        </w:rPr>
        <w:t>.</w:t>
      </w:r>
    </w:p>
    <w:p w14:paraId="7A3E5AC0" w14:textId="47D17E08" w:rsidR="00C96DA9" w:rsidRPr="00A154B0" w:rsidRDefault="00CF313F" w:rsidP="00522788">
      <w:pPr>
        <w:spacing w:line="276" w:lineRule="auto"/>
        <w:ind w:firstLine="567"/>
        <w:rPr>
          <w:iCs/>
        </w:rPr>
      </w:pPr>
      <w:r>
        <w:rPr>
          <w:iCs/>
        </w:rPr>
        <w:t xml:space="preserve">Particolarmente opportune risultano quindi le note, rigorose e puntuali, apposte da Tuccini ai singoli componimenti, dei quali </w:t>
      </w:r>
      <w:r w:rsidR="00A154B0">
        <w:rPr>
          <w:iCs/>
        </w:rPr>
        <w:t>sono indicati</w:t>
      </w:r>
      <w:r>
        <w:rPr>
          <w:iCs/>
        </w:rPr>
        <w:t xml:space="preserve"> anzitutto i testimoni e</w:t>
      </w:r>
      <w:r w:rsidR="00A154B0">
        <w:rPr>
          <w:iCs/>
        </w:rPr>
        <w:t xml:space="preserve"> le eventuali edizioni a stampa,</w:t>
      </w:r>
      <w:r>
        <w:rPr>
          <w:iCs/>
        </w:rPr>
        <w:t xml:space="preserve"> realizzate in alcuni casi (vd. i numeri V, X, XI e XII) quando il frate era ancora in vita. </w:t>
      </w:r>
      <w:r w:rsidR="006048D4">
        <w:rPr>
          <w:iCs/>
        </w:rPr>
        <w:t>Alla contestualizzazione storica e all'analisi metrica il commento ai testi aggiunge quindi una sistema</w:t>
      </w:r>
      <w:r w:rsidR="00A154B0">
        <w:rPr>
          <w:iCs/>
        </w:rPr>
        <w:t xml:space="preserve">tica ricognizione delle fonti. Tra queste, </w:t>
      </w:r>
      <w:r w:rsidR="006048D4">
        <w:rPr>
          <w:iCs/>
        </w:rPr>
        <w:t xml:space="preserve">domina incontrastato il Petrarca del </w:t>
      </w:r>
      <w:r w:rsidR="006048D4" w:rsidRPr="006048D4">
        <w:rPr>
          <w:i/>
          <w:iCs/>
        </w:rPr>
        <w:t>Canzoniere</w:t>
      </w:r>
      <w:r w:rsidR="006048D4">
        <w:rPr>
          <w:iCs/>
        </w:rPr>
        <w:t xml:space="preserve"> e dei </w:t>
      </w:r>
      <w:r w:rsidR="006048D4" w:rsidRPr="006048D4">
        <w:rPr>
          <w:i/>
          <w:iCs/>
        </w:rPr>
        <w:t>Triumphi</w:t>
      </w:r>
      <w:r w:rsidR="006048D4">
        <w:rPr>
          <w:iCs/>
        </w:rPr>
        <w:t>. Il peculiare petrarchismo di Savonarola non era, naturalmente, sfuggito alla critica</w:t>
      </w:r>
      <w:r w:rsidR="00A154B0">
        <w:rPr>
          <w:iCs/>
        </w:rPr>
        <w:t>. A</w:t>
      </w:r>
      <w:r w:rsidR="00C52E33">
        <w:rPr>
          <w:iCs/>
        </w:rPr>
        <w:t xml:space="preserve"> Tuccini si deve tuttavia uno spoglio esaustivo dei riferimenti e una chiara e coerente riformulazione della proposta interpretativa – che fu già di Vittorio Rossi – </w:t>
      </w:r>
      <w:r w:rsidR="00C52E33">
        <w:t>del travestimento spirituale di Petrarca</w:t>
      </w:r>
      <w:r w:rsidR="00C52E33" w:rsidRPr="00C52E33">
        <w:t xml:space="preserve"> </w:t>
      </w:r>
      <w:r w:rsidR="00C52E33">
        <w:t>come espediente «atto ad agevolare la diffusione delle liriche spirituali»</w:t>
      </w:r>
      <w:r w:rsidR="003230EE">
        <w:t xml:space="preserve"> attraverso forme familiari al pubblico colto</w:t>
      </w:r>
      <w:r w:rsidR="00C52E33">
        <w:rPr>
          <w:rStyle w:val="Rimandonotaapidipagina"/>
        </w:rPr>
        <w:footnoteReference w:id="6"/>
      </w:r>
      <w:r w:rsidR="009F5E73">
        <w:t xml:space="preserve"> (ferma restando la fondamentale svalutazione da parte di Savonarola della poesia quale forma espressiva intrinsecamente profana, come chiarito nell'</w:t>
      </w:r>
      <w:r w:rsidR="009F5E73" w:rsidRPr="009F5E73">
        <w:rPr>
          <w:i/>
        </w:rPr>
        <w:t>Apologeticus de ratione poeticae artis</w:t>
      </w:r>
      <w:r w:rsidR="009F5E73">
        <w:t>). Preziose risultano anche, in tal senso, le indicazioni fornite nell'introduzione (pp. 14-17) sulla dimensione musicale dell</w:t>
      </w:r>
      <w:r w:rsidR="00FC3EFA">
        <w:t xml:space="preserve">'eredità poetica savonaroliana: </w:t>
      </w:r>
      <w:r w:rsidR="009F5E73">
        <w:t xml:space="preserve">un'eredità soprattutto apocrifa, poiché gli schemi metrici adottati </w:t>
      </w:r>
      <w:r w:rsidR="00FC3EFA">
        <w:t xml:space="preserve">da Savonarola non furono i prediletti dai musici del tempo. Alla bibliografia sull'argomento segnalata dal curatore </w:t>
      </w:r>
      <w:r w:rsidR="00A154B0">
        <w:t>ci si limita qui</w:t>
      </w:r>
      <w:r w:rsidR="00FC3EFA">
        <w:t xml:space="preserve"> ad aggiungere l'ampia antologia curata nel 1999 da Patrick Macey</w:t>
      </w:r>
      <w:r w:rsidR="00FC3EFA">
        <w:rPr>
          <w:rStyle w:val="Rimandonotaapidipagina"/>
        </w:rPr>
        <w:footnoteReference w:id="7"/>
      </w:r>
      <w:r w:rsidR="00FC3EFA">
        <w:t xml:space="preserve">; mentre la testimonianza di Benedetto Luschino sull'attività musicale e </w:t>
      </w:r>
      <w:r w:rsidR="00A80ED5">
        <w:t xml:space="preserve">poetica del giovane Savonarola – </w:t>
      </w:r>
      <w:r w:rsidR="00FC3EFA">
        <w:t>citata indirettamente</w:t>
      </w:r>
      <w:r w:rsidR="00A80ED5">
        <w:t>, dalla biografia di Ridolfi,</w:t>
      </w:r>
      <w:r w:rsidR="00FC3EFA">
        <w:t xml:space="preserve"> </w:t>
      </w:r>
      <w:r w:rsidR="00A80ED5">
        <w:t xml:space="preserve">nella </w:t>
      </w:r>
      <w:r w:rsidR="00A80ED5" w:rsidRPr="00A80ED5">
        <w:rPr>
          <w:i/>
        </w:rPr>
        <w:t>Cronologia della vita</w:t>
      </w:r>
      <w:r w:rsidR="00A80ED5">
        <w:t xml:space="preserve"> che chiude il volume (pp. 213-245: 213) – </w:t>
      </w:r>
      <w:r w:rsidR="00FC3EFA">
        <w:t xml:space="preserve">si </w:t>
      </w:r>
      <w:r w:rsidR="00A80ED5">
        <w:t xml:space="preserve">può ora leggere integralmente nell'edizione critica dei </w:t>
      </w:r>
      <w:r w:rsidR="00A80ED5" w:rsidRPr="00A80ED5">
        <w:rPr>
          <w:i/>
        </w:rPr>
        <w:t>Vulnera diligentis</w:t>
      </w:r>
      <w:r w:rsidR="00A80ED5">
        <w:t xml:space="preserve"> curata da Stefano Dall'Aglio</w:t>
      </w:r>
      <w:r w:rsidR="00A80ED5">
        <w:rPr>
          <w:rStyle w:val="Rimandonotaapidipagina"/>
        </w:rPr>
        <w:footnoteReference w:id="8"/>
      </w:r>
      <w:r w:rsidR="00A80ED5">
        <w:t>.</w:t>
      </w:r>
    </w:p>
    <w:p w14:paraId="4796AF72" w14:textId="77777777" w:rsidR="00A80ED5" w:rsidRDefault="00A80ED5" w:rsidP="00080BE4">
      <w:pPr>
        <w:spacing w:line="276" w:lineRule="auto"/>
        <w:ind w:firstLine="567"/>
        <w:jc w:val="right"/>
      </w:pPr>
    </w:p>
    <w:p w14:paraId="288BBE1D" w14:textId="1409312F" w:rsidR="00080BE4" w:rsidRDefault="00080BE4" w:rsidP="00080BE4">
      <w:pPr>
        <w:spacing w:line="276" w:lineRule="auto"/>
        <w:ind w:firstLine="567"/>
        <w:jc w:val="right"/>
      </w:pPr>
      <w:r>
        <w:t>Michele Lodone</w:t>
      </w:r>
    </w:p>
    <w:p w14:paraId="68915ED4" w14:textId="09534025" w:rsidR="00EF37EB" w:rsidRDefault="00EF37EB" w:rsidP="00080BE4">
      <w:pPr>
        <w:spacing w:line="276" w:lineRule="auto"/>
        <w:ind w:firstLine="567"/>
        <w:jc w:val="right"/>
      </w:pPr>
      <w:r>
        <w:t>(michele.lodone@sns.it)</w:t>
      </w:r>
    </w:p>
    <w:sectPr w:rsidR="00EF37EB" w:rsidSect="008E3E5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057A2D" w14:textId="77777777" w:rsidR="00A80ED5" w:rsidRDefault="00A80ED5" w:rsidP="005B2021">
      <w:r>
        <w:separator/>
      </w:r>
    </w:p>
  </w:endnote>
  <w:endnote w:type="continuationSeparator" w:id="0">
    <w:p w14:paraId="7DA51E92" w14:textId="77777777" w:rsidR="00A80ED5" w:rsidRDefault="00A80ED5" w:rsidP="005B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D90C46" w14:textId="77777777" w:rsidR="00A80ED5" w:rsidRDefault="00A80ED5" w:rsidP="005B2021">
      <w:r>
        <w:separator/>
      </w:r>
    </w:p>
  </w:footnote>
  <w:footnote w:type="continuationSeparator" w:id="0">
    <w:p w14:paraId="4ABF2FFC" w14:textId="77777777" w:rsidR="00A80ED5" w:rsidRDefault="00A80ED5" w:rsidP="005B2021">
      <w:r>
        <w:continuationSeparator/>
      </w:r>
    </w:p>
  </w:footnote>
  <w:footnote w:id="1">
    <w:p w14:paraId="0A59DC48" w14:textId="34C0D606" w:rsidR="00A80ED5" w:rsidRPr="00966955" w:rsidRDefault="00A80ED5" w:rsidP="00A80ED5">
      <w:pPr>
        <w:pStyle w:val="Testonotaapidipagina"/>
        <w:tabs>
          <w:tab w:val="left" w:pos="0"/>
        </w:tabs>
        <w:ind w:firstLine="567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lang w:val="it-IT"/>
        </w:rPr>
        <w:t xml:space="preserve">Vd. </w:t>
      </w:r>
      <w:r>
        <w:t xml:space="preserve">Milano, Biblioteca Ambrosiana, S.P.II.5, e </w:t>
      </w:r>
      <w:r w:rsidRPr="00A856EB">
        <w:t xml:space="preserve">G. </w:t>
      </w:r>
      <w:r w:rsidRPr="00A856EB">
        <w:rPr>
          <w:smallCaps/>
        </w:rPr>
        <w:t>Cattin</w:t>
      </w:r>
      <w:r w:rsidRPr="00A856EB">
        <w:t xml:space="preserve">, </w:t>
      </w:r>
      <w:r w:rsidRPr="00A856EB">
        <w:rPr>
          <w:i/>
        </w:rPr>
        <w:t>Il primo Savonarola. Poesie e prediche autografe dal codice Borromeo</w:t>
      </w:r>
      <w:r w:rsidRPr="00A856EB">
        <w:t>, Firenze</w:t>
      </w:r>
      <w:r>
        <w:t>,</w:t>
      </w:r>
      <w:r w:rsidRPr="00966955">
        <w:rPr>
          <w:rFonts w:ascii="Arial" w:hAnsi="Arial" w:cs="Arial"/>
          <w:color w:val="545454"/>
          <w:shd w:val="clear" w:color="auto" w:fill="FFFFFF"/>
        </w:rPr>
        <w:t xml:space="preserve"> </w:t>
      </w:r>
      <w:r w:rsidRPr="00966955">
        <w:rPr>
          <w:lang w:val="it-IT"/>
        </w:rPr>
        <w:t>Olschki</w:t>
      </w:r>
      <w:r>
        <w:rPr>
          <w:lang w:val="it-IT"/>
        </w:rPr>
        <w:t>,</w:t>
      </w:r>
      <w:r w:rsidRPr="00A856EB">
        <w:t> 1973</w:t>
      </w:r>
      <w:r>
        <w:t>.</w:t>
      </w:r>
    </w:p>
  </w:footnote>
  <w:footnote w:id="2">
    <w:p w14:paraId="3837F04E" w14:textId="51656161" w:rsidR="00A80ED5" w:rsidRPr="00122ED8" w:rsidRDefault="00A80ED5" w:rsidP="00A80ED5">
      <w:pPr>
        <w:pStyle w:val="Testonotaapidipagina"/>
        <w:tabs>
          <w:tab w:val="left" w:pos="0"/>
        </w:tabs>
        <w:ind w:firstLine="567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lang w:val="it-IT"/>
        </w:rPr>
        <w:t xml:space="preserve">Vd. R. </w:t>
      </w:r>
      <w:r w:rsidRPr="00122ED8">
        <w:rPr>
          <w:smallCaps/>
          <w:lang w:val="it-IT"/>
        </w:rPr>
        <w:t>Bessi</w:t>
      </w:r>
      <w:r>
        <w:rPr>
          <w:lang w:val="it-IT"/>
        </w:rPr>
        <w:t xml:space="preserve">, </w:t>
      </w:r>
      <w:r w:rsidRPr="00122ED8">
        <w:rPr>
          <w:i/>
          <w:lang w:val="it-IT"/>
        </w:rPr>
        <w:t>Girolamo S</w:t>
      </w:r>
      <w:r>
        <w:rPr>
          <w:i/>
          <w:lang w:val="it-IT"/>
        </w:rPr>
        <w:t>a</w:t>
      </w:r>
      <w:r w:rsidRPr="00122ED8">
        <w:rPr>
          <w:i/>
          <w:lang w:val="it-IT"/>
        </w:rPr>
        <w:t>vonarola petrarchista (e una nota sul primo soggiorno fiorentino)</w:t>
      </w:r>
      <w:r>
        <w:rPr>
          <w:lang w:val="it-IT"/>
        </w:rPr>
        <w:t>, in</w:t>
      </w:r>
      <w:r w:rsidRPr="00122ED8">
        <w:t xml:space="preserve"> </w:t>
      </w:r>
      <w:r w:rsidRPr="00A856EB">
        <w:t>G.C. Garfagnini (</w:t>
      </w:r>
      <w:r>
        <w:t>a cura di</w:t>
      </w:r>
      <w:r w:rsidRPr="00A856EB">
        <w:t xml:space="preserve">), </w:t>
      </w:r>
      <w:r w:rsidRPr="00A856EB">
        <w:rPr>
          <w:i/>
        </w:rPr>
        <w:t>Studi savonaroliani. Verso il V centenario</w:t>
      </w:r>
      <w:r w:rsidRPr="00A856EB">
        <w:t xml:space="preserve">, Firenze 1996, pp. </w:t>
      </w:r>
      <w:r>
        <w:t>137-147: 138-141.</w:t>
      </w:r>
      <w:r>
        <w:rPr>
          <w:lang w:val="it-IT"/>
        </w:rPr>
        <w:t xml:space="preserve"> </w:t>
      </w:r>
    </w:p>
  </w:footnote>
  <w:footnote w:id="3">
    <w:p w14:paraId="34599750" w14:textId="4AC09D44" w:rsidR="00A80ED5" w:rsidRPr="00FB496F" w:rsidRDefault="00A80ED5" w:rsidP="00A80ED5">
      <w:pPr>
        <w:pStyle w:val="Testonotaapidipagina"/>
        <w:tabs>
          <w:tab w:val="left" w:pos="0"/>
        </w:tabs>
        <w:ind w:firstLine="567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A856EB">
        <w:t xml:space="preserve">D. </w:t>
      </w:r>
      <w:r w:rsidRPr="00A856EB">
        <w:rPr>
          <w:smallCaps/>
        </w:rPr>
        <w:t>Coppola</w:t>
      </w:r>
      <w:r w:rsidRPr="00A856EB">
        <w:t xml:space="preserve">, </w:t>
      </w:r>
      <w:r w:rsidRPr="00A856EB">
        <w:rPr>
          <w:i/>
        </w:rPr>
        <w:t>La poesia religiosa del secolo XV</w:t>
      </w:r>
      <w:r w:rsidRPr="00A856EB">
        <w:t>, Firenze</w:t>
      </w:r>
      <w:r>
        <w:t>,</w:t>
      </w:r>
      <w:r w:rsidRPr="00FB496F">
        <w:rPr>
          <w:lang w:val="it-IT"/>
        </w:rPr>
        <w:t xml:space="preserve"> </w:t>
      </w:r>
      <w:r w:rsidRPr="00966955">
        <w:rPr>
          <w:lang w:val="it-IT"/>
        </w:rPr>
        <w:t>Olschki</w:t>
      </w:r>
      <w:r>
        <w:rPr>
          <w:lang w:val="it-IT"/>
        </w:rPr>
        <w:t>,</w:t>
      </w:r>
      <w:r w:rsidRPr="00A856EB">
        <w:t xml:space="preserve"> 1963</w:t>
      </w:r>
      <w:r>
        <w:t>, p. 152.</w:t>
      </w:r>
    </w:p>
  </w:footnote>
  <w:footnote w:id="4">
    <w:p w14:paraId="72BE5ECB" w14:textId="6C03CB0B" w:rsidR="00A80ED5" w:rsidRPr="00EF37EB" w:rsidRDefault="00A80ED5" w:rsidP="00A80ED5">
      <w:pPr>
        <w:pStyle w:val="Testonotaapidipagina"/>
        <w:tabs>
          <w:tab w:val="left" w:pos="0"/>
        </w:tabs>
        <w:ind w:firstLine="567"/>
        <w:rPr>
          <w:lang w:val="it-IT"/>
        </w:rPr>
      </w:pPr>
      <w:r>
        <w:rPr>
          <w:rStyle w:val="Rimandonotaapidipagina"/>
        </w:rPr>
        <w:footnoteRef/>
      </w:r>
      <w:r>
        <w:rPr>
          <w:smallCaps/>
          <w:spacing w:val="-4"/>
        </w:rPr>
        <w:t xml:space="preserve"> G. Savonarola</w:t>
      </w:r>
      <w:r w:rsidRPr="00A856EB">
        <w:rPr>
          <w:spacing w:val="-4"/>
        </w:rPr>
        <w:t xml:space="preserve">, </w:t>
      </w:r>
      <w:r w:rsidRPr="00A856EB">
        <w:rPr>
          <w:i/>
          <w:spacing w:val="-4"/>
        </w:rPr>
        <w:t>Fede e speranza di un profeta. Pagine scelte</w:t>
      </w:r>
      <w:r>
        <w:rPr>
          <w:spacing w:val="-4"/>
        </w:rPr>
        <w:t>, a cura di</w:t>
      </w:r>
      <w:r w:rsidRPr="00A856EB">
        <w:rPr>
          <w:spacing w:val="-4"/>
        </w:rPr>
        <w:t xml:space="preserve"> A. Valerio, Milano</w:t>
      </w:r>
      <w:r>
        <w:rPr>
          <w:spacing w:val="-4"/>
        </w:rPr>
        <w:t>, Paoline,</w:t>
      </w:r>
      <w:r w:rsidRPr="00A856EB">
        <w:rPr>
          <w:spacing w:val="-4"/>
        </w:rPr>
        <w:t xml:space="preserve"> 1998</w:t>
      </w:r>
      <w:r>
        <w:t>.</w:t>
      </w:r>
    </w:p>
  </w:footnote>
  <w:footnote w:id="5">
    <w:p w14:paraId="0C80D035" w14:textId="28E84203" w:rsidR="00A80ED5" w:rsidRPr="00080BE4" w:rsidRDefault="00A80ED5" w:rsidP="00A80ED5">
      <w:pPr>
        <w:pStyle w:val="Testonotaapidipagina"/>
        <w:tabs>
          <w:tab w:val="left" w:pos="0"/>
        </w:tabs>
        <w:ind w:firstLine="567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lang w:val="it-IT"/>
        </w:rPr>
        <w:t xml:space="preserve">Vd. </w:t>
      </w:r>
      <w:r>
        <w:rPr>
          <w:smallCaps/>
        </w:rPr>
        <w:t>D. Weinstein</w:t>
      </w:r>
      <w:r w:rsidRPr="00A856EB">
        <w:t xml:space="preserve">, </w:t>
      </w:r>
      <w:r w:rsidRPr="00A856EB">
        <w:rPr>
          <w:i/>
        </w:rPr>
        <w:t xml:space="preserve">Savonarola. Ascesa e caduta di un profeta del Rinascimento </w:t>
      </w:r>
      <w:r w:rsidRPr="00A856EB">
        <w:t>[2011], trad. it. Bologna</w:t>
      </w:r>
      <w:r>
        <w:t>, Il Mulino,</w:t>
      </w:r>
      <w:r w:rsidRPr="00A856EB">
        <w:t xml:space="preserve"> 2013</w:t>
      </w:r>
      <w:r>
        <w:t xml:space="preserve">, pp. 17-27 (cap. I: </w:t>
      </w:r>
      <w:r w:rsidRPr="00080BE4">
        <w:rPr>
          <w:i/>
        </w:rPr>
        <w:t>La formazione di un moralista</w:t>
      </w:r>
      <w:r>
        <w:t>).</w:t>
      </w:r>
    </w:p>
  </w:footnote>
  <w:footnote w:id="6">
    <w:p w14:paraId="114E84A7" w14:textId="4BAC52C9" w:rsidR="00A80ED5" w:rsidRPr="005B2021" w:rsidRDefault="00A80ED5" w:rsidP="00A80ED5">
      <w:pPr>
        <w:pStyle w:val="Testonotaapidipagina"/>
        <w:tabs>
          <w:tab w:val="left" w:pos="0"/>
        </w:tabs>
        <w:ind w:firstLine="567"/>
        <w:rPr>
          <w:lang w:val="it-IT"/>
        </w:rPr>
      </w:pPr>
      <w:r>
        <w:rPr>
          <w:rStyle w:val="Rimandonotaapidipagina"/>
        </w:rPr>
        <w:footnoteRef/>
      </w:r>
      <w:r>
        <w:t xml:space="preserve"> Vd. </w:t>
      </w:r>
      <w:r>
        <w:rPr>
          <w:lang w:val="it-IT"/>
        </w:rPr>
        <w:t xml:space="preserve">V. </w:t>
      </w:r>
      <w:r w:rsidRPr="005B2021">
        <w:rPr>
          <w:smallCaps/>
          <w:lang w:val="it-IT"/>
        </w:rPr>
        <w:t>Rossi</w:t>
      </w:r>
      <w:r>
        <w:rPr>
          <w:lang w:val="it-IT"/>
        </w:rPr>
        <w:t xml:space="preserve">, </w:t>
      </w:r>
      <w:r w:rsidRPr="005B2021">
        <w:rPr>
          <w:i/>
          <w:lang w:val="it-IT"/>
        </w:rPr>
        <w:t>Il Quattrocento</w:t>
      </w:r>
      <w:r>
        <w:rPr>
          <w:i/>
          <w:lang w:val="it-IT"/>
        </w:rPr>
        <w:t xml:space="preserve"> </w:t>
      </w:r>
      <w:r>
        <w:rPr>
          <w:lang w:val="it-IT"/>
        </w:rPr>
        <w:t>[1933</w:t>
      </w:r>
      <w:r>
        <w:rPr>
          <w:vertAlign w:val="superscript"/>
          <w:lang w:val="it-IT"/>
        </w:rPr>
        <w:t>2</w:t>
      </w:r>
      <w:r>
        <w:rPr>
          <w:lang w:val="it-IT"/>
        </w:rPr>
        <w:t>], aggiornamento a cura di R. Bessi, introd. di M. Martelli, Milano-Padova, Vallardi-Piccin, 1992, p. 449.</w:t>
      </w:r>
    </w:p>
  </w:footnote>
  <w:footnote w:id="7">
    <w:p w14:paraId="77A6425B" w14:textId="68A48B10" w:rsidR="00A80ED5" w:rsidRPr="00FC3EFA" w:rsidRDefault="00A80ED5" w:rsidP="00A80ED5">
      <w:pPr>
        <w:pStyle w:val="Testonotaapidipagina"/>
        <w:tabs>
          <w:tab w:val="left" w:pos="0"/>
        </w:tabs>
        <w:ind w:firstLine="567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5961F4">
        <w:rPr>
          <w:i/>
          <w:iCs/>
        </w:rPr>
        <w:t>Savonarolan Laude, Motets, and Anthems</w:t>
      </w:r>
      <w:r>
        <w:t>, ed. by P. Macey, Madison, A-R Editions, 1999.</w:t>
      </w:r>
    </w:p>
  </w:footnote>
  <w:footnote w:id="8">
    <w:p w14:paraId="39512F1E" w14:textId="649FFC72" w:rsidR="00A80ED5" w:rsidRPr="00A80ED5" w:rsidRDefault="00A80ED5" w:rsidP="00A80ED5">
      <w:pPr>
        <w:pStyle w:val="Testonotaapidipagina"/>
        <w:tabs>
          <w:tab w:val="left" w:pos="0"/>
        </w:tabs>
        <w:ind w:firstLine="567"/>
        <w:rPr>
          <w:lang w:val="it-IT"/>
        </w:rPr>
      </w:pPr>
      <w:r>
        <w:rPr>
          <w:rStyle w:val="Rimandonotaapidipagina"/>
        </w:rPr>
        <w:footnoteRef/>
      </w:r>
      <w:r>
        <w:t xml:space="preserve"> Vd. </w:t>
      </w:r>
      <w:r>
        <w:rPr>
          <w:smallCaps/>
        </w:rPr>
        <w:t>B.</w:t>
      </w:r>
      <w:r w:rsidRPr="00A80ED5">
        <w:rPr>
          <w:smallCaps/>
        </w:rPr>
        <w:t xml:space="preserve"> Luschino</w:t>
      </w:r>
      <w:r w:rsidRPr="00164EEB">
        <w:t xml:space="preserve">, </w:t>
      </w:r>
      <w:r w:rsidRPr="00164EEB">
        <w:rPr>
          <w:i/>
        </w:rPr>
        <w:t>Vulnera diligentis</w:t>
      </w:r>
      <w:r w:rsidRPr="00164EEB">
        <w:t xml:space="preserve">, </w:t>
      </w:r>
      <w:r>
        <w:t>a cura di</w:t>
      </w:r>
      <w:r w:rsidRPr="00164EEB">
        <w:t xml:space="preserve"> S. Dall’Aglio, Firenze</w:t>
      </w:r>
      <w:r>
        <w:t>, SISMEL,</w:t>
      </w:r>
      <w:r w:rsidRPr="00164EEB">
        <w:t xml:space="preserve"> 2002</w:t>
      </w:r>
      <w:r>
        <w:t xml:space="preserve">, p. 19 («Ancora da gharzoncello, per causa di non si infirmare per li molti &amp; assidui studii, imparò a sonare alcuno musicale &amp; honesto strumento per passarsi tale hora solitariamente honesto tempo, per cagione più presto di medicina che di corporale sollazzo»). Un </w:t>
      </w:r>
      <w:r w:rsidR="00A154B0">
        <w:t>minima</w:t>
      </w:r>
      <w:r>
        <w:t xml:space="preserve"> integrazione bibliografica </w:t>
      </w:r>
      <w:r w:rsidR="00A154B0">
        <w:t xml:space="preserve">anche </w:t>
      </w:r>
      <w:r>
        <w:t xml:space="preserve">al </w:t>
      </w:r>
      <w:r w:rsidR="00A154B0">
        <w:t xml:space="preserve">commento: su Pietro Riario – nel quale </w:t>
      </w:r>
      <w:r>
        <w:t xml:space="preserve">l'autore identifica in modo convincente il «satirico mattone» di </w:t>
      </w:r>
      <w:r w:rsidRPr="00A80ED5">
        <w:rPr>
          <w:i/>
        </w:rPr>
        <w:t>De ruina mundi</w:t>
      </w:r>
      <w:r>
        <w:t xml:space="preserve">, v. 23 (p. 86) </w:t>
      </w:r>
      <w:r w:rsidR="00A154B0">
        <w:t xml:space="preserve">– </w:t>
      </w:r>
      <w:r>
        <w:t xml:space="preserve">vd. </w:t>
      </w:r>
      <w:r w:rsidRPr="00A856EB">
        <w:t xml:space="preserve">P. </w:t>
      </w:r>
      <w:r w:rsidRPr="00A856EB">
        <w:rPr>
          <w:smallCaps/>
        </w:rPr>
        <w:t>Farenga</w:t>
      </w:r>
      <w:r w:rsidRPr="00A856EB">
        <w:t>,</w:t>
      </w:r>
      <w:r w:rsidRPr="00403F6C">
        <w:t xml:space="preserve"> </w:t>
      </w:r>
      <w:r w:rsidRPr="00403F6C">
        <w:rPr>
          <w:i/>
          <w:iCs/>
        </w:rPr>
        <w:t>«Monumenta memoriae». Pietro Riario fra mito e storia</w:t>
      </w:r>
      <w:r w:rsidRPr="00403F6C">
        <w:t xml:space="preserve">, in </w:t>
      </w:r>
      <w:r>
        <w:t xml:space="preserve">M. </w:t>
      </w:r>
      <w:r w:rsidRPr="003A095F">
        <w:rPr>
          <w:highlight w:val="green"/>
        </w:rPr>
        <w:t>Miglio (ed.),</w:t>
      </w:r>
      <w:r w:rsidRPr="00A856EB">
        <w:t xml:space="preserve"> </w:t>
      </w:r>
      <w:r w:rsidRPr="00A856EB">
        <w:rPr>
          <w:i/>
        </w:rPr>
        <w:t>Un Pontificato ed una città. Sisto IV (1471-1484)</w:t>
      </w:r>
      <w:r w:rsidRPr="00A856EB">
        <w:t>, Roma</w:t>
      </w:r>
      <w:r>
        <w:t>, Istituto storico italiano per il Medio Evo,</w:t>
      </w:r>
      <w:r w:rsidRPr="00A856EB">
        <w:t xml:space="preserve"> 1986</w:t>
      </w:r>
      <w:r w:rsidRPr="00403F6C">
        <w:t>, pp. 179-216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43D"/>
    <w:rsid w:val="00033737"/>
    <w:rsid w:val="00051F6B"/>
    <w:rsid w:val="00073217"/>
    <w:rsid w:val="00080BE4"/>
    <w:rsid w:val="000C3C66"/>
    <w:rsid w:val="00105125"/>
    <w:rsid w:val="00122ED8"/>
    <w:rsid w:val="00164EEB"/>
    <w:rsid w:val="001F3988"/>
    <w:rsid w:val="00233EB9"/>
    <w:rsid w:val="00251530"/>
    <w:rsid w:val="003230EE"/>
    <w:rsid w:val="0036237C"/>
    <w:rsid w:val="00397BEC"/>
    <w:rsid w:val="003A095F"/>
    <w:rsid w:val="004624EF"/>
    <w:rsid w:val="00462B52"/>
    <w:rsid w:val="004C7CC5"/>
    <w:rsid w:val="004F1773"/>
    <w:rsid w:val="00522788"/>
    <w:rsid w:val="00570F4C"/>
    <w:rsid w:val="00577AD4"/>
    <w:rsid w:val="005961F4"/>
    <w:rsid w:val="005B2021"/>
    <w:rsid w:val="005C1EF9"/>
    <w:rsid w:val="005D1573"/>
    <w:rsid w:val="006048D4"/>
    <w:rsid w:val="0062526F"/>
    <w:rsid w:val="00653908"/>
    <w:rsid w:val="006C62CE"/>
    <w:rsid w:val="007A4A86"/>
    <w:rsid w:val="007E51EF"/>
    <w:rsid w:val="007F4DC9"/>
    <w:rsid w:val="00805B69"/>
    <w:rsid w:val="00835C4E"/>
    <w:rsid w:val="00843A4C"/>
    <w:rsid w:val="008A1B0C"/>
    <w:rsid w:val="008E3E50"/>
    <w:rsid w:val="00927DE0"/>
    <w:rsid w:val="00966955"/>
    <w:rsid w:val="009735B7"/>
    <w:rsid w:val="00985151"/>
    <w:rsid w:val="009F5E73"/>
    <w:rsid w:val="00A154B0"/>
    <w:rsid w:val="00A80ED5"/>
    <w:rsid w:val="00C52E33"/>
    <w:rsid w:val="00C7443D"/>
    <w:rsid w:val="00C96DA9"/>
    <w:rsid w:val="00CA67F1"/>
    <w:rsid w:val="00CB7A84"/>
    <w:rsid w:val="00CF313F"/>
    <w:rsid w:val="00D11354"/>
    <w:rsid w:val="00D4297B"/>
    <w:rsid w:val="00DA30EC"/>
    <w:rsid w:val="00DD2C01"/>
    <w:rsid w:val="00E52736"/>
    <w:rsid w:val="00EC112D"/>
    <w:rsid w:val="00ED4D68"/>
    <w:rsid w:val="00EF37EB"/>
    <w:rsid w:val="00FB496F"/>
    <w:rsid w:val="00FC3EFA"/>
    <w:rsid w:val="00FC61A3"/>
    <w:rsid w:val="00FD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5E7B0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3737"/>
    <w:pPr>
      <w:jc w:val="both"/>
    </w:pPr>
    <w:rPr>
      <w:rFonts w:ascii="Times New Roman" w:hAnsi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autoRedefine/>
    <w:uiPriority w:val="99"/>
    <w:unhideWhenUsed/>
    <w:rsid w:val="004C7CC5"/>
    <w:rPr>
      <w:rFonts w:eastAsia="Times New Roman" w:cs="Times New Roman"/>
      <w:sz w:val="20"/>
      <w:lang w:val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4C7CC5"/>
    <w:rPr>
      <w:rFonts w:ascii="Times New Roman" w:eastAsia="Times New Roman" w:hAnsi="Times New Roman" w:cs="Times New Roman"/>
      <w:sz w:val="20"/>
      <w:lang w:val="en-US"/>
    </w:rPr>
  </w:style>
  <w:style w:type="character" w:styleId="Rimandonotaapidipagina">
    <w:name w:val="footnote reference"/>
    <w:basedOn w:val="Caratterepredefinitoparagrafo"/>
    <w:uiPriority w:val="99"/>
    <w:unhideWhenUsed/>
    <w:rsid w:val="005B2021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3737"/>
    <w:pPr>
      <w:jc w:val="both"/>
    </w:pPr>
    <w:rPr>
      <w:rFonts w:ascii="Times New Roman" w:hAnsi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autoRedefine/>
    <w:uiPriority w:val="99"/>
    <w:unhideWhenUsed/>
    <w:rsid w:val="004C7CC5"/>
    <w:rPr>
      <w:rFonts w:eastAsia="Times New Roman" w:cs="Times New Roman"/>
      <w:sz w:val="20"/>
      <w:lang w:val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4C7CC5"/>
    <w:rPr>
      <w:rFonts w:ascii="Times New Roman" w:eastAsia="Times New Roman" w:hAnsi="Times New Roman" w:cs="Times New Roman"/>
      <w:sz w:val="20"/>
      <w:lang w:val="en-US"/>
    </w:rPr>
  </w:style>
  <w:style w:type="character" w:styleId="Rimandonotaapidipagina">
    <w:name w:val="footnote reference"/>
    <w:basedOn w:val="Caratterepredefinitoparagrafo"/>
    <w:uiPriority w:val="99"/>
    <w:unhideWhenUsed/>
    <w:rsid w:val="005B20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3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2</Pages>
  <Words>888</Words>
  <Characters>5062</Characters>
  <Application>Microsoft Macintosh Word</Application>
  <DocSecurity>0</DocSecurity>
  <Lines>42</Lines>
  <Paragraphs>11</Paragraphs>
  <ScaleCrop>false</ScaleCrop>
  <Company/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Lodone</dc:creator>
  <cp:keywords/>
  <dc:description/>
  <cp:lastModifiedBy>Michele Lodone</cp:lastModifiedBy>
  <cp:revision>32</cp:revision>
  <dcterms:created xsi:type="dcterms:W3CDTF">2015-06-17T17:38:00Z</dcterms:created>
  <dcterms:modified xsi:type="dcterms:W3CDTF">2016-05-12T09:36:00Z</dcterms:modified>
</cp:coreProperties>
</file>